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南京体育学院综合体操馆新风除尘系统项目</w:t>
      </w:r>
      <w:r/>
    </w:p>
    <w:p>
      <w:pPr>
        <w:pStyle w:val="97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6"/>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6"/>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JSZC-320000-JITC-C2026-0371</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南京体育学院</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十</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44"/>
          <w:szCs w:val="44"/>
          <w:highlight w:val="none"/>
        </w:rPr>
      </w:pPr>
      <w:r/>
      <w:bookmarkStart w:id="0" w:name="_Toc531620161"/>
      <w:r/>
      <w:bookmarkStart w:id="1" w:name="_Toc80264696"/>
      <w:r>
        <w:rPr>
          <w:rFonts w:ascii="Microsoft New Tai Lue" w:hAnsi="Microsoft New Tai Lue" w:cs="Microsoft New Tai Lue"/>
          <w:b/>
          <w:color w:val="auto"/>
          <w:sz w:val="44"/>
          <w:szCs w:val="44"/>
          <w:highlight w:val="none"/>
        </w:rPr>
        <w:t xml:space="preserve">目   录</w:t>
      </w:r>
      <w:r/>
    </w:p>
    <w:p>
      <w:pPr>
        <w:pStyle w:val="785"/>
        <w:jc w:val="left"/>
        <w:spacing w:line="480" w:lineRule="auto"/>
        <w:tabs>
          <w:tab w:val="right" w:pos="8730" w:leader="dot"/>
        </w:tabs>
        <w:rPr>
          <w:b/>
          <w:bCs/>
          <w:color w:val="auto"/>
          <w:sz w:val="30"/>
          <w:szCs w:val="30"/>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_Toc30635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第一章 </w:t>
      </w:r>
      <w:r>
        <w:rPr>
          <w:rFonts w:hint="eastAsia" w:ascii="Microsoft New Tai Lue" w:hAnsi="Microsoft New Tai Lue" w:cs="Microsoft New Tai Lue"/>
          <w:b/>
          <w:bCs/>
          <w:color w:val="auto"/>
          <w:sz w:val="30"/>
          <w:szCs w:val="30"/>
          <w:highlight w:val="none"/>
        </w:rPr>
        <w:t xml:space="preserve">竞争性磋商公告</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_Toc30635 \h </w:instrText>
      </w:r>
      <w:r>
        <w:rPr>
          <w:b/>
          <w:bCs/>
          <w:color w:val="auto"/>
          <w:sz w:val="30"/>
          <w:szCs w:val="30"/>
          <w:highlight w:val="none"/>
        </w:rPr>
        <w:fldChar w:fldCharType="separate"/>
      </w:r>
      <w:r>
        <w:rPr>
          <w:b/>
          <w:bCs/>
          <w:color w:val="auto"/>
          <w:sz w:val="30"/>
          <w:szCs w:val="30"/>
          <w:highlight w:val="none"/>
        </w:rPr>
        <w:t xml:space="preserve">2</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_Toc26529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第二章 供应商须知</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_Toc26529 \h </w:instrText>
      </w:r>
      <w:r>
        <w:rPr>
          <w:b/>
          <w:bCs/>
          <w:color w:val="auto"/>
          <w:sz w:val="30"/>
          <w:szCs w:val="30"/>
          <w:highlight w:val="none"/>
        </w:rPr>
        <w:fldChar w:fldCharType="separate"/>
      </w:r>
      <w:r>
        <w:rPr>
          <w:b/>
          <w:bCs/>
          <w:color w:val="auto"/>
          <w:sz w:val="30"/>
          <w:szCs w:val="30"/>
          <w:highlight w:val="none"/>
        </w:rPr>
        <w:t xml:space="preserve">7</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_Toc18850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三</w:t>
      </w:r>
      <w:r>
        <w:rPr>
          <w:rFonts w:ascii="Microsoft New Tai Lue" w:hAnsi="Microsoft New Tai Lue" w:cs="Microsoft New Tai Lue"/>
          <w:b/>
          <w:bCs/>
          <w:color w:val="auto"/>
          <w:sz w:val="30"/>
          <w:szCs w:val="30"/>
          <w:highlight w:val="none"/>
        </w:rPr>
        <w:t xml:space="preserve">章 评审方法与评审标准</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_Toc18850 \h </w:instrText>
      </w:r>
      <w:r>
        <w:rPr>
          <w:b/>
          <w:bCs/>
          <w:color w:val="auto"/>
          <w:sz w:val="30"/>
          <w:szCs w:val="30"/>
          <w:highlight w:val="none"/>
        </w:rPr>
        <w:fldChar w:fldCharType="separate"/>
      </w:r>
      <w:r>
        <w:rPr>
          <w:b/>
          <w:bCs/>
          <w:color w:val="auto"/>
          <w:sz w:val="30"/>
          <w:szCs w:val="30"/>
          <w:highlight w:val="none"/>
        </w:rPr>
        <w:t xml:space="preserve">24</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_Toc28240 </w:instrText>
      </w:r>
      <w:r>
        <w:rPr>
          <w:rFonts w:ascii="宋体" w:hAnsi="宋体" w:eastAsia="宋体"/>
          <w:b/>
          <w:bCs/>
          <w:color w:val="auto"/>
          <w:sz w:val="30"/>
          <w:szCs w:val="30"/>
          <w:highlight w:val="none"/>
        </w:rPr>
        <w:fldChar w:fldCharType="separate"/>
      </w:r>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_Toc28240 \h </w:instrText>
      </w:r>
      <w:r>
        <w:rPr>
          <w:b/>
          <w:bCs/>
          <w:color w:val="auto"/>
          <w:sz w:val="30"/>
          <w:szCs w:val="30"/>
          <w:highlight w:val="none"/>
        </w:rPr>
        <w:fldChar w:fldCharType="separate"/>
      </w:r>
      <w:r>
        <w:rPr>
          <w:b/>
          <w:bCs/>
          <w:color w:val="auto"/>
          <w:sz w:val="30"/>
          <w:szCs w:val="30"/>
          <w:highlight w:val="none"/>
        </w:rPr>
        <w:t xml:space="preserve">27</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_Toc3304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五</w:t>
      </w:r>
      <w:r>
        <w:rPr>
          <w:rFonts w:ascii="Microsoft New Tai Lue" w:hAnsi="Microsoft New Tai Lue" w:cs="Microsoft New Tai Lue"/>
          <w:b/>
          <w:bCs/>
          <w:color w:val="auto"/>
          <w:sz w:val="30"/>
          <w:szCs w:val="30"/>
          <w:highlight w:val="none"/>
        </w:rPr>
        <w:t xml:space="preserve">章 </w:t>
      </w:r>
      <w:r>
        <w:rPr>
          <w:rFonts w:hint="eastAsia" w:ascii="宋体" w:hAnsi="宋体" w:cs="宋体"/>
          <w:b/>
          <w:bCs/>
          <w:color w:val="auto"/>
          <w:sz w:val="30"/>
          <w:szCs w:val="30"/>
          <w:highlight w:val="none"/>
        </w:rPr>
        <w:t xml:space="preserve">政府采购合同条款及格式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_Toc3304 \h </w:instrText>
      </w:r>
      <w:r>
        <w:rPr>
          <w:b/>
          <w:bCs/>
          <w:color w:val="auto"/>
          <w:sz w:val="30"/>
          <w:szCs w:val="30"/>
          <w:highlight w:val="none"/>
        </w:rPr>
        <w:fldChar w:fldCharType="separate"/>
      </w:r>
      <w:r>
        <w:rPr>
          <w:b/>
          <w:bCs/>
          <w:color w:val="auto"/>
          <w:sz w:val="30"/>
          <w:szCs w:val="30"/>
          <w:highlight w:val="none"/>
        </w:rPr>
        <w:t xml:space="preserve">29</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color w:val="auto"/>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_Toc7207 </w:instrText>
      </w:r>
      <w:r>
        <w:rPr>
          <w:rFonts w:ascii="宋体" w:hAnsi="宋体" w:eastAsia="宋体"/>
          <w:b/>
          <w:bCs/>
          <w:color w:val="auto"/>
          <w:sz w:val="30"/>
          <w:szCs w:val="30"/>
          <w:highlight w:val="none"/>
        </w:rPr>
        <w:fldChar w:fldCharType="separate"/>
      </w:r>
      <w:r>
        <w:rPr>
          <w:rFonts w:ascii="Microsoft New Tai Lue" w:hAnsi="Microsoft New Tai Lue" w:eastAsia="宋体" w:cs="Microsoft New Tai Lue"/>
          <w:b/>
          <w:bCs/>
          <w:color w:val="auto"/>
          <w:sz w:val="30"/>
          <w:szCs w:val="30"/>
          <w:highlight w:val="none"/>
          <w:lang w:val="en-US" w:eastAsia="zh-CN" w:bidi="ar-SA"/>
        </w:rPr>
        <w:t xml:space="preserve">第六章 </w:t>
      </w:r>
      <w:r>
        <w:rPr>
          <w:rFonts w:hint="eastAsia" w:ascii="Microsoft New Tai Lue" w:hAnsi="Microsoft New Tai Lue" w:eastAsia="宋体" w:cs="Microsoft New Tai Lue"/>
          <w:b/>
          <w:bCs/>
          <w:color w:val="auto"/>
          <w:sz w:val="30"/>
          <w:szCs w:val="30"/>
          <w:highlight w:val="none"/>
          <w:lang w:val="en-US" w:eastAsia="zh-CN" w:bidi="ar-SA"/>
        </w:rPr>
        <w:t xml:space="preserve">响应文件格式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_Toc7207 \h </w:instrText>
      </w:r>
      <w:r>
        <w:rPr>
          <w:b/>
          <w:bCs/>
          <w:color w:val="auto"/>
          <w:sz w:val="30"/>
          <w:szCs w:val="30"/>
          <w:highlight w:val="none"/>
        </w:rPr>
        <w:fldChar w:fldCharType="separate"/>
      </w:r>
      <w:r>
        <w:rPr>
          <w:b/>
          <w:bCs/>
          <w:color w:val="auto"/>
          <w:sz w:val="30"/>
          <w:szCs w:val="30"/>
          <w:highlight w:val="none"/>
        </w:rPr>
        <w:t xml:space="preserve">54</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987"/>
        <w:tabs>
          <w:tab w:val="right" w:pos="8834" w:leader="dot"/>
        </w:tabs>
        <w:rPr>
          <w:rFonts w:ascii="Microsoft New Tai Lue" w:hAnsi="Microsoft New Tai Lue" w:cs="Microsoft New Tai Lue"/>
          <w:color w:val="auto"/>
          <w:highlight w:val="none"/>
        </w:rPr>
      </w:pPr>
      <w:r>
        <w:rPr>
          <w:rFonts w:ascii="宋体" w:hAnsi="宋体" w:eastAsia="宋体"/>
          <w:b/>
          <w:color w:val="auto"/>
          <w:highlight w:val="none"/>
        </w:rPr>
        <w:fldChar w:fldCharType="end"/>
      </w:r>
      <w:bookmarkEnd w:id="0"/>
      <w:r/>
      <w:bookmarkEnd w:id="1"/>
      <w:r/>
      <w:r/>
    </w:p>
    <w:p>
      <w:pPr>
        <w:pStyle w:val="995"/>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bookmarkStart w:id="5" w:name="_Toc30635"/>
      <w:r>
        <w:rPr>
          <w:rFonts w:hint="eastAsia" w:ascii="Microsoft New Tai Lue" w:hAnsi="Microsoft New Tai Lue" w:cs="Microsoft New Tai Lue"/>
          <w:color w:val="auto"/>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南京体育学院综合体操馆新风除尘系统项目</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10</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30</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6" w:name="_Toc96347851"/>
      <w:r/>
      <w:bookmarkStart w:id="7"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JSZC-320000-JITC-C2026-0371</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南京体育学院综合体操馆新风除尘系统项目</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宋体" w:hAnsi="宋体" w:cs="宋体"/>
          <w:b/>
          <w:color w:val="auto"/>
          <w:szCs w:val="21"/>
          <w:highlight w:val="none"/>
          <w:lang w:val="en-US" w:eastAsia="zh-CN"/>
        </w:rPr>
        <w:t xml:space="preserve">158.768776</w:t>
      </w:r>
      <w:r>
        <w:rPr>
          <w:rFonts w:hint="eastAsia" w:ascii="Microsoft New Tai Lue" w:hAnsi="Microsoft New Tai Lue" w:cs="Microsoft New Tai Lue"/>
          <w:bCs/>
          <w:color w:val="auto"/>
          <w:szCs w:val="21"/>
          <w:highlight w:val="none"/>
          <w:lang w:val="en-US" w:eastAsia="zh-CN"/>
        </w:rPr>
        <w:t xml:space="preserve">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最高限价为1587687.76元</w:t>
      </w:r>
      <w:r>
        <w:rPr>
          <w:rFonts w:hint="eastAsia" w:ascii="宋体" w:hAnsi="宋体" w:eastAsia="宋体" w:cs="宋体"/>
          <w:b/>
          <w:color w:val="auto"/>
          <w:szCs w:val="21"/>
          <w:highlight w:val="none"/>
          <w:lang w:val="en-US" w:eastAsia="zh-CN"/>
        </w:rPr>
        <w:t xml:space="preserve">，</w:t>
      </w:r>
      <w:r>
        <w:rPr>
          <w:rFonts w:hint="eastAsia" w:ascii="宋体" w:hAnsi="宋体" w:cs="宋体"/>
          <w:b/>
          <w:color w:val="auto"/>
          <w:szCs w:val="21"/>
          <w:highlight w:val="none"/>
          <w:lang w:val="en-US" w:eastAsia="zh-CN"/>
        </w:rPr>
        <w:t xml:space="preserve">供应商响应</w:t>
      </w:r>
      <w:r>
        <w:rPr>
          <w:rFonts w:hint="eastAsia" w:ascii="宋体" w:hAnsi="宋体" w:eastAsia="宋体" w:cs="宋体"/>
          <w:b/>
          <w:color w:val="auto"/>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u w:val="none"/>
          <w:lang w:eastAsia="zh-CN"/>
        </w:rPr>
        <w:t xml:space="preserve">南京体育学院灵谷寺校区综合体操馆新风除尘系统，</w:t>
      </w:r>
      <w:r>
        <w:rPr>
          <w:rFonts w:hint="eastAsia" w:ascii="宋体" w:hAnsi="宋体" w:cs="宋体"/>
          <w:bCs/>
          <w:color w:val="auto"/>
          <w:szCs w:val="21"/>
          <w:highlight w:val="none"/>
          <w:u w:val="none"/>
          <w:lang w:val="en-US" w:eastAsia="zh-CN"/>
        </w:rPr>
        <w:t xml:space="preserve">具体详见采购需求及工程量清单</w:t>
      </w:r>
      <w:r>
        <w:rPr>
          <w:rFonts w:hint="eastAsia" w:ascii="宋体" w:hAnsi="宋体" w:cs="宋体"/>
          <w:bCs/>
          <w:color w:val="auto"/>
          <w:szCs w:val="21"/>
          <w:highlight w:val="none"/>
          <w:lang w:val="en-US"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60日历天</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hint="eastAsia" w:ascii="宋体" w:hAnsi="宋体" w:cs="宋体"/>
          <w:bCs/>
          <w:color w:val="auto"/>
          <w:szCs w:val="21"/>
          <w:highlight w:val="none"/>
        </w:rPr>
      </w:pPr>
      <w:r/>
      <w:bookmarkStart w:id="12" w:name="_Toc80264699"/>
      <w:r/>
      <w:bookmarkStart w:id="13" w:name="_Toc93909067"/>
      <w:r/>
      <w:bookmarkStart w:id="14" w:name="_Toc96347853"/>
      <w:r/>
      <w:bookmarkStart w:id="15" w:name="_Toc80792690"/>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jc w:val="left"/>
        <w:spacing w:line="360" w:lineRule="auto"/>
        <w:rPr>
          <w:rFonts w:hint="eastAsia" w:hAnsi="宋体" w:cs="宋体"/>
          <w:b/>
          <w:bCs/>
          <w:color w:val="auto"/>
          <w:position w:val="0"/>
          <w:sz w:val="21"/>
          <w:szCs w:val="21"/>
          <w:highlight w:val="none"/>
        </w:rPr>
      </w:pPr>
      <w:r>
        <w:rPr>
          <w:rFonts w:hint="eastAsia" w:ascii="宋体" w:hAnsi="宋体" w:cs="宋体"/>
          <w:bCs/>
          <w:color w:val="auto"/>
          <w:szCs w:val="21"/>
          <w:highlight w:val="none"/>
        </w:rPr>
        <w:t xml:space="preserve">2.2.1 中小企业政策</w:t>
      </w:r>
      <w:r>
        <w:rPr>
          <w:rFonts w:hint="eastAsia" w:ascii="宋体" w:hAnsi="宋体" w:cs="宋体"/>
          <w:bCs/>
          <w:color w:val="auto"/>
          <w:szCs w:val="21"/>
          <w:highlight w:val="none"/>
          <w:lang w:eastAsia="zh-CN"/>
        </w:rPr>
        <w:t xml:space="preserve">：</w:t>
      </w:r>
      <w:r>
        <w:rPr>
          <w:rFonts w:hint="eastAsia" w:hAnsi="宋体" w:cs="宋体"/>
          <w:b/>
          <w:bCs/>
          <w:color w:val="auto"/>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color w:val="auto"/>
          <w:szCs w:val="24"/>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b/>
          <w:bCs/>
          <w:color w:val="auto"/>
          <w:szCs w:val="24"/>
          <w:highlight w:val="none"/>
          <w:lang w:val="en-US" w:eastAsia="zh-CN"/>
        </w:rPr>
        <w:t xml:space="preserve">（1）</w:t>
      </w:r>
      <w:r>
        <w:rPr>
          <w:rFonts w:hint="eastAsia" w:eastAsia="宋体" w:cs="Times New Roman"/>
          <w:b/>
          <w:bCs/>
          <w:color w:val="auto"/>
          <w:szCs w:val="24"/>
          <w:highlight w:val="none"/>
          <w:lang w:val="en-US" w:eastAsia="zh-CN"/>
        </w:rPr>
        <w:t xml:space="preserve">供应商</w:t>
      </w:r>
      <w:r>
        <w:rPr>
          <w:rFonts w:hint="eastAsia" w:ascii="Times New Roman" w:hAnsi="Times New Roman" w:eastAsia="宋体" w:cs="Times New Roman"/>
          <w:b/>
          <w:bCs/>
          <w:color w:val="auto"/>
          <w:szCs w:val="24"/>
          <w:highlight w:val="none"/>
          <w:lang w:val="en-US" w:eastAsia="zh-CN"/>
        </w:rPr>
        <w:t xml:space="preserve">具有施工总承包</w:t>
      </w:r>
      <w:r>
        <w:rPr>
          <w:rFonts w:hint="eastAsia" w:cs="Times New Roman"/>
          <w:b/>
          <w:bCs/>
          <w:color w:val="auto"/>
          <w:szCs w:val="24"/>
          <w:highlight w:val="none"/>
          <w:lang w:val="en-US" w:eastAsia="zh-CN"/>
        </w:rPr>
        <w:t xml:space="preserve">机电</w:t>
      </w:r>
      <w:r>
        <w:rPr>
          <w:rFonts w:hint="eastAsia" w:ascii="Times New Roman" w:hAnsi="Times New Roman" w:eastAsia="宋体" w:cs="Times New Roman"/>
          <w:b/>
          <w:bCs/>
          <w:color w:val="auto"/>
          <w:szCs w:val="24"/>
          <w:highlight w:val="none"/>
          <w:lang w:val="en-US" w:eastAsia="zh-CN"/>
        </w:rPr>
        <w:t xml:space="preserve">工程</w:t>
      </w:r>
      <w:r>
        <w:rPr>
          <w:rFonts w:hint="eastAsia" w:cs="Times New Roman"/>
          <w:b/>
          <w:bCs/>
          <w:color w:val="auto"/>
          <w:szCs w:val="24"/>
          <w:highlight w:val="none"/>
          <w:lang w:val="en-US" w:eastAsia="zh-CN"/>
        </w:rPr>
        <w:t xml:space="preserve">二</w:t>
      </w:r>
      <w:r>
        <w:rPr>
          <w:rFonts w:hint="eastAsia" w:ascii="Times New Roman" w:hAnsi="Times New Roman" w:eastAsia="宋体" w:cs="Times New Roman"/>
          <w:b/>
          <w:bCs/>
          <w:color w:val="auto"/>
          <w:szCs w:val="24"/>
          <w:highlight w:val="none"/>
          <w:lang w:val="en-US" w:eastAsia="zh-CN"/>
        </w:rPr>
        <w:t xml:space="preserve">级(含）以上资质</w:t>
      </w:r>
      <w:r>
        <w:rPr>
          <w:rFonts w:hint="eastAsia" w:cs="Times New Roman"/>
          <w:b/>
          <w:bCs/>
          <w:color w:val="auto"/>
          <w:szCs w:val="24"/>
          <w:highlight w:val="none"/>
          <w:lang w:val="en-US" w:eastAsia="zh-CN"/>
        </w:rPr>
        <w:t xml:space="preserve">或建筑机电安装工程专业承包二级及以上资质</w:t>
      </w:r>
      <w:r>
        <w:rPr>
          <w:rFonts w:hint="eastAsia" w:ascii="Times New Roman" w:hAnsi="Times New Roman" w:eastAsia="宋体" w:cs="Times New Roman"/>
          <w:b/>
          <w:bCs/>
          <w:color w:val="auto"/>
          <w:szCs w:val="24"/>
          <w:highlight w:val="none"/>
          <w:lang w:val="en-US" w:eastAsia="zh-CN"/>
        </w:rPr>
        <w:t xml:space="preserve">(提供有效的证书复印件加盖供应商章)。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（2）</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具备有效的安全生产许可证。(提供证书复印件加盖供应商章)。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（3）</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拟担任本项目项目负责人具备注册建造师证</w:t>
      </w:r>
      <w:r>
        <w:rPr>
          <w:rFonts w:hint="eastAsia" w:cs="Times New Roman"/>
          <w:b/>
          <w:bCs/>
          <w:color w:val="auto"/>
          <w:szCs w:val="24"/>
          <w:highlight w:val="none"/>
          <w:lang w:val="en-US" w:eastAsia="zh-CN"/>
        </w:rPr>
        <w:t xml:space="preserve">机电</w:t>
      </w:r>
      <w:r>
        <w:rPr>
          <w:rFonts w:hint="eastAsia" w:ascii="Times New Roman" w:hAnsi="Times New Roman" w:eastAsia="宋体" w:cs="Times New Roman"/>
          <w:b/>
          <w:bCs/>
          <w:color w:val="auto"/>
          <w:szCs w:val="24"/>
          <w:highlight w:val="none"/>
          <w:lang w:val="en-US" w:eastAsia="zh-CN"/>
        </w:rPr>
        <w:t xml:space="preserve">工程二级(含)</w:t>
      </w:r>
      <w:r>
        <w:rPr>
          <w:rFonts w:hint="eastAsia" w:ascii="Times New Roman" w:hAnsi="Times New Roman" w:eastAsia="宋体" w:cs="Times New Roman"/>
          <w:color w:val="auto"/>
          <w:szCs w:val="24"/>
          <w:highlight w:val="none"/>
          <w:lang w:val="en-US" w:eastAsia="zh-CN"/>
        </w:rPr>
        <w:t xml:space="preserve">以上并且具有有效期内的安全生产考核证书(B类证)，注册单位须与投标响应单位一致。(提供有效的证书复印件加盖供应商章)。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（4）</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必须提供拟投入本工程项目负责人与</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签订的</w:t>
      </w:r>
      <w:r>
        <w:rPr>
          <w:rFonts w:hint="eastAsia" w:ascii="Times New Roman" w:hAnsi="Times New Roman" w:eastAsia="宋体" w:cs="Times New Roman"/>
          <w:b/>
          <w:bCs/>
          <w:color w:val="auto"/>
          <w:szCs w:val="24"/>
          <w:highlight w:val="none"/>
          <w:lang w:val="en-US" w:eastAsia="zh-CN"/>
        </w:rPr>
        <w:t xml:space="preserve">有效劳动合同</w:t>
      </w:r>
      <w:r>
        <w:rPr>
          <w:rFonts w:hint="eastAsia" w:ascii="Times New Roman" w:hAnsi="Times New Roman" w:eastAsia="宋体" w:cs="Times New Roman"/>
          <w:color w:val="auto"/>
          <w:szCs w:val="24"/>
          <w:highlight w:val="none"/>
          <w:lang w:val="en-US" w:eastAsia="zh-CN"/>
        </w:rPr>
        <w:t xml:space="preserve">及社保机构出具的近半年(202</w:t>
      </w:r>
      <w:r>
        <w:rPr>
          <w:rFonts w:hint="eastAsia" w:cs="Times New Roman"/>
          <w:color w:val="auto"/>
          <w:szCs w:val="24"/>
          <w:highlight w:val="none"/>
          <w:lang w:val="en-US" w:eastAsia="zh-CN"/>
        </w:rPr>
        <w:t xml:space="preserve">6</w:t>
      </w:r>
      <w:r>
        <w:rPr>
          <w:rFonts w:hint="eastAsia" w:ascii="Times New Roman" w:hAnsi="Times New Roman" w:eastAsia="宋体" w:cs="Times New Roman"/>
          <w:color w:val="auto"/>
          <w:szCs w:val="24"/>
          <w:highlight w:val="none"/>
          <w:lang w:val="en-US" w:eastAsia="zh-CN"/>
        </w:rPr>
        <w:t xml:space="preserve">年</w:t>
      </w:r>
      <w:r>
        <w:rPr>
          <w:rFonts w:hint="eastAsia" w:cs="Times New Roman"/>
          <w:color w:val="auto"/>
          <w:szCs w:val="24"/>
          <w:highlight w:val="none"/>
          <w:lang w:val="en-US" w:eastAsia="zh-CN"/>
        </w:rPr>
        <w:t xml:space="preserve">2</w:t>
      </w:r>
      <w:r>
        <w:rPr>
          <w:rFonts w:hint="eastAsia" w:ascii="Times New Roman" w:hAnsi="Times New Roman" w:eastAsia="宋体" w:cs="Times New Roman"/>
          <w:color w:val="auto"/>
          <w:szCs w:val="24"/>
          <w:highlight w:val="none"/>
          <w:lang w:val="en-US" w:eastAsia="zh-CN"/>
        </w:rPr>
        <w:t xml:space="preserve">月（含）)以来任意一个月</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为拟投入本工程的项目负责人缴纳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（5）本项目不允许分包、转包。（提供书面承诺书加盖供应商公章，格式自拟）</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ascii="Times New Roman" w:hAnsi="Times New Roman" w:eastAsia="宋体" w:cs="Times New Roman"/>
          <w:color w:val="auto"/>
          <w:szCs w:val="24"/>
          <w:highlight w:val="none"/>
          <w:lang w:val="en-US" w:eastAsia="zh-CN"/>
        </w:rPr>
        <w:t xml:space="preserve">（6）拟派的</w:t>
      </w:r>
      <w:r>
        <w:rPr>
          <w:rFonts w:hint="eastAsia" w:ascii="Times New Roman" w:hAnsi="Times New Roman" w:eastAsia="宋体" w:cs="Times New Roman"/>
          <w:i w:val="0"/>
          <w:iCs w:val="0"/>
          <w:caps w:val="0"/>
          <w:color w:val="auto"/>
          <w:spacing w:val="0"/>
          <w:sz w:val="21"/>
          <w:szCs w:val="24"/>
          <w:highlight w:val="none"/>
          <w:u w:val="none"/>
        </w:rPr>
        <w:t xml:space="preserve">项目负责人必须满足下列条件（符合并提供加盖公章承诺书</w:t>
      </w:r>
      <w:r>
        <w:rPr>
          <w:rFonts w:hint="eastAsia" w:ascii="Times New Roman" w:hAnsi="Times New Roman" w:eastAsia="宋体" w:cs="Times New Roman"/>
          <w:i w:val="0"/>
          <w:iCs w:val="0"/>
          <w:caps w:val="0"/>
          <w:color w:val="auto"/>
          <w:spacing w:val="0"/>
          <w:sz w:val="21"/>
          <w:szCs w:val="24"/>
          <w:highlight w:val="none"/>
          <w:u w:val="none"/>
          <w:lang w:eastAsia="zh-CN"/>
        </w:rPr>
        <w:t xml:space="preserve">，</w:t>
      </w:r>
      <w:r>
        <w:rPr>
          <w:rFonts w:hint="eastAsia" w:ascii="Times New Roman" w:hAnsi="Times New Roman" w:eastAsia="宋体" w:cs="Times New Roman"/>
          <w:i w:val="0"/>
          <w:iCs w:val="0"/>
          <w:caps w:val="0"/>
          <w:color w:val="auto"/>
          <w:spacing w:val="0"/>
          <w:sz w:val="21"/>
          <w:szCs w:val="24"/>
          <w:highlight w:val="none"/>
          <w:u w:val="none"/>
          <w:lang w:val="en-US" w:eastAsia="zh-CN"/>
        </w:rPr>
        <w:t xml:space="preserve">格式自拟</w:t>
      </w:r>
      <w:r>
        <w:rPr>
          <w:rFonts w:hint="eastAsia" w:ascii="Times New Roman" w:hAnsi="Times New Roman" w:eastAsia="宋体" w:cs="Times New Roman"/>
          <w:i w:val="0"/>
          <w:iCs w:val="0"/>
          <w:caps w:val="0"/>
          <w:color w:val="auto"/>
          <w:spacing w:val="0"/>
          <w:sz w:val="21"/>
          <w:szCs w:val="24"/>
          <w:highlight w:val="none"/>
          <w:u w:val="none"/>
        </w:rPr>
        <w:t xml:space="preserve">）：</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a.</w:t>
      </w:r>
      <w:r>
        <w:rPr>
          <w:rFonts w:hint="eastAsia" w:ascii="Times New Roman" w:hAnsi="Times New Roman" w:eastAsia="宋体" w:cs="Times New Roman"/>
          <w:i w:val="0"/>
          <w:iCs w:val="0"/>
          <w:caps w:val="0"/>
          <w:color w:val="auto"/>
          <w:spacing w:val="0"/>
          <w:sz w:val="21"/>
          <w:szCs w:val="24"/>
          <w:highlight w:val="none"/>
          <w:u w:val="none"/>
        </w:rPr>
        <w:t xml:space="preserve">项目负责人不得同时在两个或者两个以上单位受聘或者执业（包括但不仅限于以下两种情形）：</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1）</w:t>
      </w:r>
      <w:r>
        <w:rPr>
          <w:rFonts w:hint="eastAsia" w:ascii="Times New Roman" w:hAnsi="Times New Roman" w:eastAsia="宋体" w:cs="Times New Roman"/>
          <w:i w:val="0"/>
          <w:iCs w:val="0"/>
          <w:caps w:val="0"/>
          <w:color w:val="auto"/>
          <w:spacing w:val="0"/>
          <w:sz w:val="21"/>
          <w:szCs w:val="24"/>
          <w:highlight w:val="none"/>
          <w:u w:val="none"/>
        </w:rPr>
        <w:t xml:space="preserve">同时在两个及以上单位签订劳动合同或缴纳社会保险；</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2）</w:t>
      </w:r>
      <w:r>
        <w:rPr>
          <w:rFonts w:hint="eastAsia" w:ascii="Times New Roman" w:hAnsi="Times New Roman" w:eastAsia="宋体" w:cs="Times New Roman"/>
          <w:i w:val="0"/>
          <w:iCs w:val="0"/>
          <w:caps w:val="0"/>
          <w:color w:val="auto"/>
          <w:spacing w:val="0"/>
          <w:sz w:val="21"/>
          <w:szCs w:val="24"/>
          <w:highlight w:val="none"/>
          <w:u w:val="none"/>
        </w:rPr>
        <w:t xml:space="preserve">将本人执（职）业资格证书同时注册在两个及以上单位。</w:t>
      </w:r>
      <w:r/>
    </w:p>
    <w:p>
      <w:pPr>
        <w:pStyle w:val="772"/>
        <w:numPr>
          <w:ilvl w:val="-1"/>
          <w:numId w:val="0"/>
        </w:numPr>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i w:val="0"/>
          <w:iCs w:val="0"/>
          <w:caps w:val="0"/>
          <w:color w:val="auto"/>
          <w:spacing w:val="0"/>
          <w:sz w:val="21"/>
          <w:szCs w:val="24"/>
          <w:highlight w:val="none"/>
          <w:u w:val="none"/>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（7）</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满足以下条件</w:t>
      </w:r>
      <w:r>
        <w:rPr>
          <w:rFonts w:hint="eastAsia" w:cs="Times New Roman"/>
          <w:color w:val="auto"/>
          <w:szCs w:val="24"/>
          <w:highlight w:val="none"/>
          <w:lang w:val="en-US" w:eastAsia="zh-CN"/>
        </w:rPr>
        <w:t xml:space="preserve">（</w:t>
      </w:r>
      <w:r>
        <w:rPr>
          <w:rFonts w:hint="eastAsia" w:ascii="Times New Roman" w:hAnsi="Times New Roman" w:eastAsia="宋体" w:cs="Times New Roman"/>
          <w:color w:val="auto"/>
          <w:szCs w:val="24"/>
          <w:highlight w:val="none"/>
          <w:lang w:val="en-US" w:eastAsia="zh-CN"/>
        </w:rPr>
        <w:t xml:space="preserve">提供承诺书原件</w:t>
      </w:r>
      <w:r>
        <w:rPr>
          <w:rFonts w:hint="eastAsia" w:cs="Times New Roman"/>
          <w:color w:val="auto"/>
          <w:szCs w:val="24"/>
          <w:highlight w:val="none"/>
          <w:lang w:val="en-US" w:eastAsia="zh-CN"/>
        </w:rPr>
        <w:t xml:space="preserve">，格式自拟）</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a.未处于被责令停业、投标资格 被取消或财产被接管、冻结和破产状态的企业;</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b,企业没有因骗取中标、严重违约或者违规用工、拖欠工人工资以及发生重大工程质量、安全生产事故等问题，被有关部门暂停投标资格并在暂停期内的。</w:t>
      </w:r>
      <w:r/>
    </w:p>
    <w:p>
      <w:pPr>
        <w:ind w:firstLine="420"/>
        <w:spacing w:line="360" w:lineRule="auto"/>
        <w:rPr>
          <w:rFonts w:hint="eastAsia"/>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（8）根据《省住房</w:t>
      </w:r>
      <w:r>
        <w:rPr>
          <w:rFonts w:hint="eastAsia" w:ascii="Times New Roman" w:hAnsi="Times New Roman" w:eastAsia="宋体" w:cs="Times New Roman"/>
          <w:i w:val="0"/>
          <w:iCs w:val="0"/>
          <w:caps w:val="0"/>
          <w:color w:val="auto"/>
          <w:spacing w:val="0"/>
          <w:sz w:val="21"/>
          <w:szCs w:val="24"/>
          <w:highlight w:val="none"/>
          <w:u w:val="none"/>
        </w:rPr>
        <w:t xml:space="preserve">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w:t>
      </w:r>
      <w:r>
        <w:rPr>
          <w:rFonts w:hint="eastAsia" w:cs="Times New Roman"/>
          <w:i w:val="0"/>
          <w:iCs w:val="0"/>
          <w:caps w:val="0"/>
          <w:color w:val="auto"/>
          <w:spacing w:val="0"/>
          <w:sz w:val="21"/>
          <w:szCs w:val="24"/>
          <w:highlight w:val="none"/>
          <w:u w:val="none"/>
          <w:lang w:val="en-US" w:eastAsia="zh-CN"/>
        </w:rPr>
        <w:t xml:space="preserve">磋商小组</w:t>
      </w:r>
      <w:r>
        <w:rPr>
          <w:rFonts w:hint="eastAsia" w:ascii="Times New Roman" w:hAnsi="Times New Roman" w:eastAsia="宋体" w:cs="Times New Roman"/>
          <w:i w:val="0"/>
          <w:iCs w:val="0"/>
          <w:caps w:val="0"/>
          <w:color w:val="auto"/>
          <w:spacing w:val="0"/>
          <w:sz w:val="21"/>
          <w:szCs w:val="24"/>
          <w:highlight w:val="none"/>
          <w:u w:val="none"/>
        </w:rPr>
        <w:t xml:space="preserve">对各</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的资质动态情况进行核查，</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在资格审查申请文件递交截止时间当日及</w:t>
      </w:r>
      <w:r>
        <w:rPr>
          <w:rFonts w:hint="eastAsia" w:cs="Times New Roman"/>
          <w:i w:val="0"/>
          <w:iCs w:val="0"/>
          <w:caps w:val="0"/>
          <w:color w:val="auto"/>
          <w:spacing w:val="0"/>
          <w:sz w:val="21"/>
          <w:szCs w:val="24"/>
          <w:highlight w:val="none"/>
          <w:u w:val="none"/>
          <w:lang w:val="en-US" w:eastAsia="zh-CN"/>
        </w:rPr>
        <w:t xml:space="preserve">响应</w:t>
      </w:r>
      <w:r>
        <w:rPr>
          <w:rFonts w:hint="eastAsia" w:ascii="Times New Roman" w:hAnsi="Times New Roman" w:eastAsia="宋体" w:cs="Times New Roman"/>
          <w:i w:val="0"/>
          <w:iCs w:val="0"/>
          <w:caps w:val="0"/>
          <w:color w:val="auto"/>
          <w:spacing w:val="0"/>
          <w:sz w:val="21"/>
          <w:szCs w:val="24"/>
          <w:highlight w:val="none"/>
          <w:u w:val="none"/>
        </w:rPr>
        <w:t xml:space="preserve">文件递交截止时间当日，建筑业企业资质动态监管结果处于不合格状态的，作为资格审查不通过（或无效投标）处理。（企业动态资质查询信息以江苏省住建厅综合服务平台发布的信息为准）</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6" w:name="_Toc28359005"/>
      <w:r/>
      <w:bookmarkStart w:id="17" w:name="_Toc28359082"/>
      <w:r/>
      <w:bookmarkStart w:id="18" w:name="_Toc35393793"/>
      <w:r/>
      <w:bookmarkStart w:id="19" w:name="_Toc38985266"/>
      <w:r/>
      <w:bookmarkStart w:id="20" w:name="_Toc35393624"/>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6"/>
      <w:r/>
      <w:bookmarkEnd w:id="17"/>
      <w:r>
        <w:rPr>
          <w:rFonts w:hint="eastAsia" w:ascii="Microsoft New Tai Lue" w:hAnsi="Microsoft New Tai Lue" w:eastAsia="宋体" w:cs="Microsoft New Tai Lue"/>
          <w:b/>
          <w:bCs/>
          <w:color w:val="auto"/>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1" w:name="OLE_LINK104"/>
      <w:r>
        <w:rPr>
          <w:rFonts w:hint="eastAsia" w:ascii="Microsoft New Tai Lue" w:hAnsi="Microsoft New Tai Lue" w:eastAsia="宋体" w:cs="Microsoft New Tai Lue"/>
          <w:bCs/>
          <w:color w:val="auto"/>
          <w:szCs w:val="21"/>
          <w:highlight w:val="none"/>
          <w:lang w:eastAsia="zh-CN"/>
        </w:rPr>
        <w:t xml:space="preserve">止</w:t>
      </w:r>
      <w:bookmarkStart w:id="22"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eastAsia="宋体" w:cs="Microsoft New Tai Lue"/>
          <w:bCs/>
          <w:color w:val="auto"/>
          <w:szCs w:val="21"/>
          <w:highlight w:val="none"/>
          <w:lang w:val="en-US" w:eastAsia="zh-CN"/>
        </w:rPr>
        <w:t xml:space="preserve">月</w:t>
      </w:r>
      <w:r>
        <w:rPr>
          <w:rFonts w:hint="eastAsia" w:ascii="Microsoft New Tai Lue" w:hAnsi="Microsoft New Tai Lue" w:cs="Microsoft New Tai Lue"/>
          <w:bCs/>
          <w:color w:val="auto"/>
          <w:szCs w:val="21"/>
          <w:highlight w:val="none"/>
          <w:lang w:val="en-US"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4" w:name="_Toc28359007"/>
      <w:r/>
      <w:bookmarkStart w:id="25" w:name="_Toc28359084"/>
      <w:r/>
      <w:bookmarkStart w:id="26" w:name="_Toc35393794"/>
      <w:r/>
      <w:bookmarkStart w:id="27" w:name="_Toc38985267"/>
      <w:r/>
      <w:bookmarkStart w:id="28" w:name="_Toc35393625"/>
      <w:r>
        <w:rPr>
          <w:rFonts w:hint="eastAsia" w:ascii="Microsoft New Tai Lue" w:hAnsi="Microsoft New Tai Lue" w:eastAsia="宋体" w:cs="Microsoft New Tai Lue"/>
          <w:b/>
          <w:bCs/>
          <w:color w:val="auto"/>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eastAsia="宋体" w:cs="Microsoft New Tai Lue"/>
          <w:bCs/>
          <w:color w:val="auto"/>
          <w:szCs w:val="21"/>
          <w:highlight w:val="none"/>
          <w:lang w:val="en-US" w:eastAsia="zh-CN"/>
        </w:rPr>
        <w:t xml:space="preserve">月</w:t>
      </w:r>
      <w:r>
        <w:rPr>
          <w:rFonts w:hint="eastAsia" w:ascii="Microsoft New Tai Lue" w:hAnsi="Microsoft New Tai Lue" w:cs="Microsoft New Tai Lue"/>
          <w:bCs/>
          <w:color w:val="auto"/>
          <w:szCs w:val="21"/>
          <w:highlight w:val="none"/>
          <w:lang w:val="en-US"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9" w:name="_Toc93909070"/>
      <w:r/>
      <w:bookmarkStart w:id="30"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264702"/>
      <w:r/>
      <w:bookmarkStart w:id="32" w:name="_Toc80792694"/>
      <w:r/>
      <w:bookmarkStart w:id="33" w:name="_Toc93909071"/>
      <w:r/>
      <w:bookmarkStart w:id="34"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auto"/>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147474393"/>
          <w:placeholder>
            <w:docPart w:val="{86367886-e435-4c8f-886e-5495cd2bea0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南京体育学院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宋体" w:hAnsi="宋体" w:cs="宋体"/>
          <w:bCs/>
          <w:color w:val="auto"/>
          <w:szCs w:val="21"/>
          <w:highlight w:val="none"/>
        </w:rPr>
        <w:t xml:space="preserve">南京市玄武区灵谷寺路8号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宋体" w:hAnsi="宋体" w:eastAsia="宋体" w:cs="宋体"/>
          <w:bCs/>
          <w:color w:val="auto"/>
          <w:szCs w:val="21"/>
          <w:highlight w:val="none"/>
        </w:rPr>
        <w:t xml:space="preserve">刘老师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025-84755266</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史平华、陆新一、马继烨、黄锡芳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15951799162  19941561767</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pStyle w:val="772"/>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995"/>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107246212"/>
      <w:r/>
      <w:bookmarkStart w:id="38" w:name="_Toc26529"/>
      <w:r>
        <w:rPr>
          <w:rFonts w:ascii="Microsoft New Tai Lue" w:hAnsi="Microsoft New Tai Lue" w:cs="Microsoft New Tai Lue"/>
          <w:color w:val="auto"/>
          <w:highlight w:val="none"/>
        </w:rPr>
        <w:t xml:space="preserve">供应商须知</w:t>
      </w:r>
      <w:bookmarkEnd w:id="36"/>
      <w:r/>
      <w:bookmarkEnd w:id="37"/>
      <w:r/>
      <w:bookmarkEnd w:id="38"/>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71"/>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16"/>
              <w:spacing w:before="160" w:line="276" w:lineRule="auto"/>
              <w:rPr>
                <w:rFonts w:hint="eastAsia" w:eastAsia="宋体" w:cs="Microsoft New Tai Lue"/>
                <w:color w:val="auto"/>
                <w:sz w:val="21"/>
                <w:szCs w:val="21"/>
                <w:highlight w:val="none"/>
                <w:lang w:val="en-US" w:eastAsia="zh-CN" w:bidi="ar-SA"/>
              </w:rPr>
            </w:pPr>
            <w:r>
              <w:rPr>
                <w:rFonts w:hint="eastAsia"/>
                <w:color w:val="auto"/>
                <w:sz w:val="21"/>
                <w:szCs w:val="21"/>
                <w:highlight w:val="none"/>
                <w:lang w:val="en-US" w:bidi="ar-SA"/>
              </w:rPr>
              <w:t xml:space="preserve">名称：</w:t>
            </w:r>
            <w:r>
              <w:rPr>
                <w:rFonts w:hint="eastAsia" w:cs="Microsoft New Tai Lue"/>
                <w:color w:val="auto"/>
                <w:sz w:val="21"/>
                <w:szCs w:val="21"/>
                <w:highlight w:val="none"/>
                <w:lang w:val="en-US" w:eastAsia="zh-CN" w:bidi="ar-SA"/>
              </w:rPr>
              <w:t xml:space="preserve">南京体育学院</w:t>
            </w:r>
            <w:r/>
          </w:p>
          <w:p>
            <w:pPr>
              <w:pStyle w:val="1016"/>
              <w:spacing w:before="160" w:line="276" w:lineRule="auto"/>
              <w:rPr>
                <w:rFonts w:hint="eastAsia" w:cs="Microsoft New Tai Lue"/>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cs="Microsoft New Tai Lue"/>
                <w:color w:val="auto"/>
                <w:sz w:val="21"/>
                <w:szCs w:val="21"/>
                <w:highlight w:val="none"/>
                <w:lang w:val="en-US" w:eastAsia="zh-CN" w:bidi="ar-SA"/>
              </w:rPr>
              <w:t xml:space="preserve">南京市玄武区灵谷寺路8号</w:t>
            </w:r>
            <w:r/>
          </w:p>
          <w:p>
            <w:pPr>
              <w:pStyle w:val="1016"/>
              <w:spacing w:before="160" w:line="276" w:lineRule="auto"/>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eastAsia="zh-CN" w:bidi="ar-SA"/>
              </w:rPr>
              <w:t xml:space="preserve">联系人：刘老师</w:t>
            </w:r>
            <w:r/>
          </w:p>
          <w:p>
            <w:pPr>
              <w:pStyle w:val="1016"/>
              <w:spacing w:before="160" w:line="276" w:lineRule="auto"/>
              <w:rPr>
                <w:rFonts w:eastAsia="宋体"/>
                <w:color w:val="auto"/>
                <w:sz w:val="21"/>
                <w:szCs w:val="21"/>
                <w:highlight w:val="none"/>
                <w:lang w:val="en-US" w:eastAsia="zh-CN"/>
              </w:rPr>
            </w:pPr>
            <w:r>
              <w:rPr>
                <w:rFonts w:hint="eastAsia" w:cs="Microsoft New Tai Lue"/>
                <w:color w:val="auto"/>
                <w:sz w:val="21"/>
                <w:szCs w:val="21"/>
                <w:highlight w:val="none"/>
                <w:lang w:val="en-US" w:eastAsia="zh-CN" w:bidi="ar-SA"/>
              </w:rPr>
              <w:t xml:space="preserve">电话：025-84755266</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16"/>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8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8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89"/>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pStyle w:val="799"/>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■不组织，采购</w:t>
            </w:r>
            <w:r>
              <w:rPr>
                <w:rFonts w:hint="eastAsia" w:ascii="宋体" w:hAnsi="宋体" w:eastAsia="宋体" w:cs="宋体"/>
                <w:bCs/>
                <w:color w:val="auto"/>
                <w:sz w:val="21"/>
                <w:szCs w:val="21"/>
                <w:highlight w:val="none"/>
                <w:lang w:val="en-US" w:eastAsia="zh-CN" w:bidi="ar-SA"/>
              </w:rPr>
              <w:t xml:space="preserve">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auto"/>
                <w:szCs w:val="21"/>
                <w:highlight w:val="none"/>
                <w:lang w:val="en-US" w:eastAsia="zh-CN"/>
              </w:rPr>
              <w:suppressLineNumbers w:val="0"/>
            </w:pPr>
            <w:r>
              <w:rPr>
                <w:rFonts w:hint="eastAsia" w:cs="宋体"/>
                <w:color w:val="auto"/>
                <w:sz w:val="21"/>
                <w:szCs w:val="21"/>
                <w:highlight w:val="none"/>
                <w:lang w:val="en-US" w:eastAsia="zh-CN"/>
              </w:rPr>
              <w:t xml:space="preserve">各潜在供应商应认真踏勘现场，成交</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16"/>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19"/>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19"/>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19"/>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19"/>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w:t>
            </w:r>
            <w:r>
              <w:rPr>
                <w:rFonts w:hint="eastAsia" w:ascii="宋体" w:hAnsi="宋体" w:cs="宋体"/>
                <w:bCs/>
                <w:color w:val="auto"/>
                <w:highlight w:val="none"/>
                <w:lang w:eastAsia="zh-CN"/>
              </w:rPr>
              <w:t xml:space="preserve">sph@jstcc.cn</w:t>
            </w:r>
            <w:r>
              <w:rPr>
                <w:rFonts w:hint="eastAsia" w:ascii="宋体" w:hAnsi="宋体" w:cs="宋体"/>
                <w:bCs/>
                <w:color w:val="auto"/>
                <w:highlight w:val="none"/>
              </w:rPr>
              <w:t xml:space="preserve">）通知采购人或采购代理机构。</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19"/>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w:t>
            </w:r>
            <w:r>
              <w:rPr>
                <w:rFonts w:hint="eastAsia" w:hAnsi="宋体" w:cs="宋体"/>
                <w:bCs/>
                <w:color w:val="auto"/>
                <w:sz w:val="21"/>
                <w:highlight w:val="none"/>
                <w:lang w:eastAsia="zh-CN"/>
              </w:rPr>
              <w:t xml:space="preserve">sph@jstcc.cn</w:t>
            </w:r>
            <w:r>
              <w:rPr>
                <w:rFonts w:hint="eastAsia" w:hAnsi="宋体" w:cs="宋体"/>
                <w:bCs/>
                <w:color w:val="auto"/>
                <w:sz w:val="21"/>
                <w:highlight w:val="none"/>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本项目代理服务费按计价格【2002】1980号文工程类的40%计取。</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76"/>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工程</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6"/>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hAnsi="宋体" w:cs="宋体"/>
                <w:color w:val="auto"/>
                <w:sz w:val="21"/>
                <w:szCs w:val="21"/>
                <w:highlight w:val="none"/>
                <w:lang w:val="en-US" w:eastAsia="zh-CN" w:bidi="ar-SA"/>
              </w:rPr>
              <w:t xml:space="preserve">建筑</w:t>
            </w:r>
            <w:r>
              <w:rPr>
                <w:rFonts w:hint="eastAsia" w:ascii="宋体" w:hAnsi="宋体" w:eastAsia="宋体" w:cs="宋体"/>
                <w:color w:val="auto"/>
                <w:sz w:val="21"/>
                <w:szCs w:val="21"/>
                <w:highlight w:val="none"/>
                <w:lang w:val="en-US" w:eastAsia="zh-CN" w:bidi="ar-SA"/>
              </w:rPr>
              <w:t xml:space="preserve">业</w:t>
            </w:r>
            <w:r/>
          </w:p>
        </w:tc>
      </w:tr>
      <w:tr>
        <w:trPr>
          <w:jc w:val="center"/>
          <w:trHeight w:val="1963"/>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976"/>
              <w:spacing w:line="360" w:lineRule="auto"/>
              <w:rPr>
                <w:rFonts w:hint="eastAsia" w:hAnsi="宋体" w:cs="宋体"/>
                <w:b/>
                <w:bCs/>
                <w:color w:val="auto"/>
                <w:highlight w:val="none"/>
                <w:lang w:val="en-US" w:eastAsia="zh-CN"/>
              </w:rPr>
            </w:pPr>
            <w:r>
              <w:rPr>
                <w:rFonts w:hint="eastAsia"/>
                <w:color w:val="auto"/>
                <w:highlight w:val="none"/>
                <w:lang w:val="en-US" w:eastAsia="zh-CN"/>
              </w:rPr>
              <w:t xml:space="preserve">报价文件要求：</w:t>
            </w:r>
            <w:r>
              <w:rPr>
                <w:rFonts w:hint="eastAsia"/>
                <w:b/>
                <w:bCs/>
                <w:color w:val="auto"/>
                <w:highlight w:val="none"/>
                <w:lang w:val="en-US" w:eastAsia="zh-CN"/>
              </w:rPr>
              <w:t xml:space="preserve">项目成交结果发布后，成交供应商应向采购人提供与响应文件报价一致的软件版初始报价，及excel版本初始报价（含</w:t>
            </w:r>
            <w:r>
              <w:rPr>
                <w:rFonts w:hint="default" w:ascii="宋体" w:hAnsi="宋体" w:eastAsia="宋体" w:cs="宋体"/>
                <w:b/>
                <w:bCs/>
                <w:color w:val="auto"/>
                <w:highlight w:val="none"/>
                <w:lang w:val="en-US" w:eastAsia="zh-CN"/>
              </w:rPr>
              <w:t xml:space="preserve">分部分项工程项目清单综合单价分析表</w:t>
            </w:r>
            <w:r>
              <w:rPr>
                <w:rFonts w:hint="eastAsia" w:ascii="宋体" w:hAnsi="宋体" w:cs="宋体"/>
                <w:b/>
                <w:bCs/>
                <w:color w:val="auto"/>
                <w:highlight w:val="none"/>
                <w:lang w:val="en-US" w:eastAsia="zh-CN"/>
              </w:rPr>
              <w:t xml:space="preserve">）</w:t>
            </w:r>
            <w:r>
              <w:rPr>
                <w:rFonts w:hint="eastAsia" w:hAnsi="宋体" w:cs="宋体"/>
                <w:b/>
                <w:bCs/>
                <w:color w:val="auto"/>
                <w:highlight w:val="none"/>
                <w:lang w:val="en-US" w:eastAsia="zh-CN"/>
              </w:rPr>
              <w:t xml:space="preserve">。</w:t>
            </w:r>
            <w:r/>
          </w:p>
          <w:p>
            <w:pPr>
              <w:pStyle w:val="976"/>
              <w:spacing w:line="360" w:lineRule="auto"/>
              <w:rPr>
                <w:rFonts w:hint="eastAsia"/>
                <w:color w:val="auto"/>
                <w:highlight w:val="none"/>
                <w:lang w:val="en-US" w:eastAsia="zh-CN"/>
              </w:rPr>
            </w:pPr>
            <w:r>
              <w:rPr>
                <w:rFonts w:hint="eastAsia"/>
                <w:color w:val="auto"/>
                <w:highlight w:val="none"/>
                <w:lang w:val="en-US" w:eastAsia="zh-CN"/>
              </w:rPr>
              <w:t xml:space="preserve">供应商可前往网盘 </w:t>
            </w:r>
            <w:r/>
          </w:p>
          <w:p>
            <w:pPr>
              <w:pStyle w:val="976"/>
              <w:spacing w:line="360" w:lineRule="auto"/>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t xml:space="preserve">链接: </w:t>
            </w:r>
            <w:r>
              <w:rPr>
                <w:rFonts w:hint="eastAsia" w:hAnsi="宋体" w:cs="宋体"/>
                <w:color w:val="auto"/>
                <w:highlight w:val="none"/>
              </w:rPr>
            </w:r>
            <w:r/>
          </w:p>
          <w:p>
            <w:pPr>
              <w:pStyle w:val="976"/>
              <w:spacing w:line="360" w:lineRule="auto"/>
              <w:rPr>
                <w:rFonts w:hint="eastAsia" w:hAnsi="宋体" w:cs="宋体"/>
                <w:color w:val="auto"/>
                <w:highlight w:val="none"/>
              </w:rPr>
            </w:pPr>
            <w:r>
              <w:rPr>
                <w:rFonts w:hint="eastAsia"/>
                <w:color w:val="auto"/>
                <w:highlight w:val="none"/>
                <w:lang w:val="en-US" w:eastAsia="zh-CN"/>
              </w:rPr>
              <w:t xml:space="preserve">https://pan.baidu.com/s/14GYja1PpYt4IXVf5CGP5zw?pwd=zrb1 提取码: zrb1</w:t>
            </w:r>
            <w:r>
              <w:rPr>
                <w:rFonts w:hint="eastAsia"/>
                <w:color w:val="auto"/>
                <w:highlight w:val="none"/>
                <w:lang w:val="en-US" w:eastAsia="zh-CN"/>
              </w:rPr>
              <w:t xml:space="preserve">自行下载图纸。</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95"/>
        <w:rPr>
          <w:rFonts w:ascii="宋体" w:hAnsi="宋体" w:cs="宋体"/>
          <w:color w:val="auto"/>
          <w:highlight w:val="none"/>
        </w:rPr>
      </w:pPr>
      <w:r/>
      <w:bookmarkStart w:id="39" w:name="_Toc100905199"/>
      <w:r/>
      <w:bookmarkStart w:id="40" w:name="_Toc107246213"/>
      <w:r/>
      <w:bookmarkStart w:id="41" w:name="_Toc104560837"/>
      <w:r/>
      <w:bookmarkStart w:id="42" w:name="_Toc103848526"/>
      <w:r>
        <w:rPr>
          <w:rFonts w:ascii="Microsoft New Tai Lue" w:hAnsi="Microsoft New Tai Lue" w:cs="Microsoft New Tai Lue"/>
          <w:color w:val="auto"/>
          <w:highlight w:val="none"/>
        </w:rPr>
        <w:br w:type="page" w:clear="all"/>
      </w:r>
      <w:bookmarkStart w:id="43" w:name="_Toc657"/>
      <w:r>
        <w:rPr>
          <w:rFonts w:hint="eastAsia" w:ascii="宋体" w:hAnsi="宋体" w:cs="宋体"/>
          <w:color w:val="auto"/>
          <w:highlight w:val="none"/>
        </w:rPr>
        <w:t xml:space="preserve">供应商须知</w:t>
      </w:r>
      <w:bookmarkEnd w:id="43"/>
      <w:r/>
      <w:r/>
    </w:p>
    <w:p>
      <w:pPr>
        <w:pStyle w:val="947"/>
        <w:ind w:left="0" w:right="210"/>
        <w:spacing w:line="360" w:lineRule="auto"/>
        <w:rPr>
          <w:rFonts w:ascii="宋体" w:hAnsi="宋体" w:cs="宋体"/>
          <w:color w:val="auto"/>
          <w:highlight w:val="none"/>
        </w:rPr>
      </w:pPr>
      <w:r/>
      <w:bookmarkStart w:id="44" w:name="_Toc295"/>
      <w:r>
        <w:rPr>
          <w:rFonts w:hint="eastAsia" w:ascii="宋体" w:hAnsi="宋体" w:cs="宋体"/>
          <w:color w:val="auto"/>
          <w:highlight w:val="none"/>
        </w:rPr>
        <w:t xml:space="preserve">一．总则</w:t>
      </w:r>
      <w:bookmarkEnd w:id="44"/>
      <w:r/>
      <w:r/>
    </w:p>
    <w:p>
      <w:pPr>
        <w:pStyle w:val="947"/>
        <w:ind w:left="0" w:right="210"/>
        <w:spacing w:line="360" w:lineRule="auto"/>
        <w:rPr>
          <w:rFonts w:ascii="宋体" w:hAnsi="宋体" w:cs="宋体"/>
          <w:color w:val="auto"/>
          <w:highlight w:val="none"/>
        </w:rPr>
      </w:pPr>
      <w:r/>
      <w:bookmarkStart w:id="45" w:name="_Toc26789"/>
      <w:r>
        <w:rPr>
          <w:rFonts w:hint="eastAsia" w:ascii="宋体" w:hAnsi="宋体" w:cs="宋体"/>
          <w:color w:val="auto"/>
          <w:highlight w:val="none"/>
        </w:rPr>
        <w:t xml:space="preserve">1.采购方式</w:t>
      </w:r>
      <w:bookmarkEnd w:id="4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47"/>
        <w:ind w:left="0" w:right="210"/>
        <w:spacing w:line="360" w:lineRule="auto"/>
        <w:rPr>
          <w:rFonts w:ascii="宋体" w:hAnsi="宋体" w:cs="宋体"/>
          <w:color w:val="auto"/>
          <w:highlight w:val="none"/>
        </w:rPr>
      </w:pPr>
      <w:r/>
      <w:bookmarkStart w:id="46" w:name="_Toc21532"/>
      <w:r>
        <w:rPr>
          <w:rFonts w:hint="eastAsia" w:ascii="宋体" w:hAnsi="宋体" w:cs="宋体"/>
          <w:color w:val="auto"/>
          <w:highlight w:val="none"/>
        </w:rPr>
        <w:t xml:space="preserve">2.定义</w:t>
      </w:r>
      <w:bookmarkEnd w:id="46"/>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47"/>
        <w:ind w:left="0" w:right="210"/>
        <w:spacing w:line="360" w:lineRule="auto"/>
        <w:rPr>
          <w:rFonts w:ascii="宋体" w:hAnsi="宋体" w:cs="宋体"/>
          <w:color w:val="auto"/>
          <w:highlight w:val="none"/>
        </w:rPr>
      </w:pPr>
      <w:r/>
      <w:bookmarkStart w:id="47" w:name="_Toc2256"/>
      <w:r>
        <w:rPr>
          <w:rFonts w:hint="eastAsia" w:ascii="宋体" w:hAnsi="宋体" w:cs="宋体"/>
          <w:color w:val="auto"/>
          <w:highlight w:val="none"/>
        </w:rPr>
        <w:t xml:space="preserve">3.适用法律</w:t>
      </w:r>
      <w:bookmarkEnd w:id="4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7"/>
        <w:ind w:left="0" w:right="210"/>
        <w:spacing w:line="360" w:lineRule="auto"/>
        <w:rPr>
          <w:rFonts w:ascii="宋体" w:hAnsi="宋体" w:cs="宋体"/>
          <w:color w:val="auto"/>
          <w:highlight w:val="none"/>
        </w:rPr>
      </w:pPr>
      <w:r/>
      <w:bookmarkStart w:id="48" w:name="_Toc11931"/>
      <w:r>
        <w:rPr>
          <w:rFonts w:hint="eastAsia" w:ascii="宋体" w:hAnsi="宋体" w:cs="宋体"/>
          <w:color w:val="auto"/>
          <w:highlight w:val="none"/>
        </w:rPr>
        <w:t xml:space="preserve">4.政府采购政策（包括但不限于下列具体政策要求）</w:t>
      </w:r>
      <w:bookmarkEnd w:id="48"/>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47"/>
        <w:ind w:left="0" w:right="210"/>
        <w:spacing w:line="360" w:lineRule="auto"/>
        <w:rPr>
          <w:rFonts w:ascii="宋体" w:hAnsi="宋体" w:cs="宋体"/>
          <w:color w:val="auto"/>
          <w:highlight w:val="none"/>
        </w:rPr>
      </w:pPr>
      <w:r/>
      <w:bookmarkStart w:id="49" w:name="_Toc13814"/>
      <w:r>
        <w:rPr>
          <w:rFonts w:hint="eastAsia" w:ascii="宋体" w:hAnsi="宋体" w:cs="宋体"/>
          <w:color w:val="auto"/>
          <w:highlight w:val="none"/>
        </w:rPr>
        <w:t xml:space="preserve">5.相关费用</w:t>
      </w:r>
      <w:bookmarkEnd w:id="4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47"/>
        <w:ind w:left="0" w:right="210"/>
        <w:spacing w:line="360" w:lineRule="auto"/>
        <w:rPr>
          <w:rFonts w:ascii="宋体" w:hAnsi="宋体" w:cs="宋体"/>
          <w:color w:val="auto"/>
          <w:highlight w:val="none"/>
        </w:rPr>
      </w:pPr>
      <w:r/>
      <w:bookmarkStart w:id="50" w:name="_Toc10334"/>
      <w:r>
        <w:rPr>
          <w:rFonts w:hint="eastAsia" w:ascii="宋体" w:hAnsi="宋体" w:cs="宋体"/>
          <w:color w:val="auto"/>
          <w:highlight w:val="none"/>
        </w:rPr>
        <w:t xml:space="preserve">6.保密</w:t>
      </w:r>
      <w:bookmarkEnd w:id="5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7"/>
        <w:ind w:left="0" w:right="210"/>
        <w:spacing w:line="360" w:lineRule="auto"/>
        <w:rPr>
          <w:rFonts w:ascii="宋体" w:hAnsi="宋体" w:cs="宋体"/>
          <w:color w:val="auto"/>
          <w:highlight w:val="none"/>
        </w:rPr>
      </w:pPr>
      <w:r/>
      <w:bookmarkStart w:id="51" w:name="_Toc8106"/>
      <w:r>
        <w:rPr>
          <w:rFonts w:hint="eastAsia" w:ascii="宋体" w:hAnsi="宋体" w:cs="宋体"/>
          <w:color w:val="auto"/>
          <w:highlight w:val="none"/>
        </w:rPr>
        <w:t xml:space="preserve">7.语言文字、计量单位</w:t>
      </w:r>
      <w:bookmarkEnd w:id="5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47"/>
        <w:ind w:left="0" w:right="210"/>
        <w:spacing w:line="360" w:lineRule="auto"/>
        <w:rPr>
          <w:rFonts w:ascii="宋体" w:hAnsi="宋体" w:cs="宋体"/>
          <w:color w:val="auto"/>
          <w:highlight w:val="none"/>
        </w:rPr>
      </w:pPr>
      <w:r/>
      <w:bookmarkStart w:id="52" w:name="_Toc22123"/>
      <w:r>
        <w:rPr>
          <w:rFonts w:hint="eastAsia" w:ascii="宋体" w:hAnsi="宋体" w:cs="宋体"/>
          <w:color w:val="auto"/>
          <w:highlight w:val="none"/>
        </w:rPr>
        <w:t xml:space="preserve">8.现场考察</w:t>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47"/>
        <w:ind w:left="0" w:right="210"/>
        <w:spacing w:line="360" w:lineRule="auto"/>
        <w:rPr>
          <w:rFonts w:ascii="宋体" w:hAnsi="宋体" w:cs="宋体"/>
          <w:color w:val="auto"/>
          <w:highlight w:val="none"/>
        </w:rPr>
      </w:pPr>
      <w:r/>
      <w:bookmarkStart w:id="53" w:name="_Toc941"/>
      <w:r>
        <w:rPr>
          <w:rFonts w:hint="eastAsia" w:ascii="宋体" w:hAnsi="宋体" w:cs="宋体"/>
          <w:color w:val="auto"/>
          <w:highlight w:val="none"/>
        </w:rPr>
        <w:t xml:space="preserve">9.磋商前答疑会</w:t>
      </w:r>
      <w:bookmarkEnd w:id="5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47"/>
        <w:ind w:left="0" w:right="210"/>
        <w:spacing w:line="360" w:lineRule="auto"/>
        <w:rPr>
          <w:rFonts w:ascii="宋体" w:hAnsi="宋体" w:cs="宋体"/>
          <w:color w:val="auto"/>
          <w:highlight w:val="none"/>
        </w:rPr>
      </w:pPr>
      <w:r/>
      <w:bookmarkStart w:id="54" w:name="_Toc20739"/>
      <w:r>
        <w:rPr>
          <w:rFonts w:hint="eastAsia" w:ascii="宋体" w:hAnsi="宋体" w:cs="宋体"/>
          <w:color w:val="auto"/>
          <w:szCs w:val="21"/>
          <w:highlight w:val="none"/>
        </w:rPr>
        <w:t xml:space="preserve">10.联合体响应</w:t>
      </w:r>
      <w:bookmarkEnd w:id="5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47"/>
        <w:ind w:left="0" w:right="210"/>
        <w:spacing w:line="360" w:lineRule="auto"/>
        <w:rPr>
          <w:rFonts w:ascii="宋体" w:hAnsi="宋体" w:cs="宋体"/>
          <w:color w:val="auto"/>
          <w:highlight w:val="none"/>
        </w:rPr>
      </w:pPr>
      <w:r/>
      <w:bookmarkStart w:id="55" w:name="_Toc19615"/>
      <w:r>
        <w:rPr>
          <w:rFonts w:hint="eastAsia" w:ascii="宋体" w:hAnsi="宋体" w:cs="宋体"/>
          <w:color w:val="auto"/>
          <w:highlight w:val="none"/>
        </w:rPr>
        <w:t xml:space="preserve">11.分包</w:t>
      </w:r>
      <w:bookmarkEnd w:id="5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7"/>
        <w:ind w:left="0" w:right="210"/>
        <w:spacing w:line="360" w:lineRule="auto"/>
        <w:rPr>
          <w:rFonts w:ascii="宋体" w:hAnsi="宋体" w:cs="宋体"/>
          <w:color w:val="auto"/>
          <w:highlight w:val="none"/>
        </w:rPr>
      </w:pPr>
      <w:r/>
      <w:bookmarkStart w:id="56" w:name="_Toc17958"/>
      <w:r>
        <w:rPr>
          <w:rFonts w:hint="eastAsia" w:ascii="宋体" w:hAnsi="宋体" w:cs="宋体"/>
          <w:color w:val="auto"/>
          <w:highlight w:val="none"/>
        </w:rPr>
        <w:t xml:space="preserve">12.样品</w:t>
      </w:r>
      <w:bookmarkEnd w:id="5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章《评审方法与评审标准》。</w:t>
      </w:r>
      <w:r/>
    </w:p>
    <w:p>
      <w:pPr>
        <w:pStyle w:val="947"/>
        <w:ind w:left="0" w:right="210"/>
        <w:spacing w:line="360" w:lineRule="auto"/>
        <w:rPr>
          <w:rFonts w:ascii="宋体" w:hAnsi="宋体" w:cs="宋体"/>
          <w:color w:val="auto"/>
          <w:highlight w:val="none"/>
        </w:rPr>
      </w:pPr>
      <w:r/>
      <w:bookmarkStart w:id="57" w:name="_Toc3821"/>
      <w:r>
        <w:rPr>
          <w:rFonts w:hint="eastAsia" w:ascii="宋体" w:hAnsi="宋体" w:cs="宋体"/>
          <w:color w:val="auto"/>
          <w:highlight w:val="none"/>
        </w:rPr>
        <w:t xml:space="preserve">13.采购进口产品</w:t>
      </w:r>
      <w:bookmarkEnd w:id="5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58" w:name="_Toc25906"/>
      <w:r>
        <w:rPr>
          <w:rFonts w:hint="eastAsia" w:ascii="宋体" w:hAnsi="宋体" w:cs="宋体"/>
          <w:color w:val="auto"/>
          <w:highlight w:val="none"/>
        </w:rPr>
        <w:t xml:space="preserve">14.采购项目预算及最高限价</w:t>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59" w:name="_Toc7813"/>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60" w:name="_Toc5211"/>
      <w:r>
        <w:rPr>
          <w:rFonts w:hint="eastAsia" w:ascii="宋体" w:hAnsi="宋体" w:cs="宋体"/>
          <w:color w:val="auto"/>
          <w:highlight w:val="none"/>
        </w:rPr>
        <w:t xml:space="preserve">二．磋商文件</w:t>
      </w:r>
      <w:bookmarkEnd w:id="60"/>
      <w:r/>
      <w:r/>
    </w:p>
    <w:p>
      <w:pPr>
        <w:pStyle w:val="947"/>
        <w:ind w:left="0" w:right="210"/>
        <w:spacing w:line="360" w:lineRule="auto"/>
        <w:rPr>
          <w:rFonts w:ascii="宋体" w:hAnsi="宋体" w:cs="宋体"/>
          <w:color w:val="auto"/>
          <w:highlight w:val="none"/>
        </w:rPr>
      </w:pPr>
      <w:r/>
      <w:bookmarkStart w:id="61" w:name="_Toc2776"/>
      <w:r>
        <w:rPr>
          <w:rFonts w:hint="eastAsia" w:ascii="宋体" w:hAnsi="宋体" w:cs="宋体"/>
          <w:color w:val="auto"/>
          <w:highlight w:val="none"/>
        </w:rPr>
        <w:t xml:space="preserve">16.磋商文件的构成</w:t>
      </w:r>
      <w:bookmarkEnd w:id="61"/>
      <w:r/>
      <w:r/>
    </w:p>
    <w:p>
      <w:pPr>
        <w:pStyle w:val="1019"/>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47"/>
        <w:ind w:left="0" w:right="210"/>
        <w:spacing w:line="360" w:lineRule="auto"/>
        <w:rPr>
          <w:rFonts w:ascii="宋体" w:hAnsi="宋体" w:cs="宋体"/>
          <w:color w:val="auto"/>
          <w:highlight w:val="none"/>
        </w:rPr>
      </w:pPr>
      <w:r/>
      <w:bookmarkStart w:id="62" w:name="_Toc10006"/>
      <w:r>
        <w:rPr>
          <w:rFonts w:hint="eastAsia" w:ascii="宋体" w:hAnsi="宋体" w:cs="宋体"/>
          <w:color w:val="auto"/>
          <w:highlight w:val="none"/>
        </w:rPr>
        <w:t xml:space="preserve">17.磋商文件的澄清或者修改</w:t>
      </w:r>
      <w:bookmarkEnd w:id="6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7"/>
        <w:ind w:left="0" w:right="210"/>
        <w:spacing w:line="360" w:lineRule="auto"/>
        <w:rPr>
          <w:rFonts w:ascii="宋体" w:hAnsi="宋体" w:cs="宋体"/>
          <w:color w:val="auto"/>
          <w:highlight w:val="none"/>
        </w:rPr>
      </w:pPr>
      <w:r/>
      <w:bookmarkStart w:id="63" w:name="_Toc31787"/>
      <w:r>
        <w:rPr>
          <w:rFonts w:hint="eastAsia" w:ascii="宋体" w:hAnsi="宋体" w:cs="宋体"/>
          <w:color w:val="auto"/>
          <w:highlight w:val="none"/>
        </w:rPr>
        <w:t xml:space="preserve">三．响应文件</w:t>
      </w:r>
      <w:bookmarkEnd w:id="63"/>
      <w:r/>
      <w:r/>
    </w:p>
    <w:p>
      <w:pPr>
        <w:pStyle w:val="947"/>
        <w:ind w:left="0" w:right="210"/>
        <w:spacing w:line="360" w:lineRule="auto"/>
        <w:rPr>
          <w:rFonts w:ascii="宋体" w:hAnsi="宋体" w:cs="宋体"/>
          <w:color w:val="auto"/>
          <w:highlight w:val="none"/>
        </w:rPr>
      </w:pPr>
      <w:r/>
      <w:bookmarkStart w:id="64" w:name="_Toc17582"/>
      <w:r>
        <w:rPr>
          <w:rFonts w:hint="eastAsia" w:ascii="宋体" w:hAnsi="宋体" w:cs="宋体"/>
          <w:color w:val="auto"/>
          <w:highlight w:val="none"/>
        </w:rPr>
        <w:t xml:space="preserve">18.响应文件的组成</w:t>
      </w:r>
      <w:bookmarkEnd w:id="6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实施方案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.1响应文件的其他部分由供应商根据编制响应文件需要提供的其他相关文件组成。</w:t>
      </w:r>
      <w:r/>
    </w:p>
    <w:p>
      <w:pPr>
        <w:pStyle w:val="947"/>
        <w:ind w:left="0" w:right="210"/>
        <w:spacing w:line="360" w:lineRule="auto"/>
        <w:rPr>
          <w:rFonts w:ascii="宋体" w:hAnsi="宋体" w:cs="宋体"/>
          <w:color w:val="auto"/>
          <w:szCs w:val="21"/>
          <w:highlight w:val="none"/>
        </w:rPr>
      </w:pPr>
      <w:r/>
      <w:bookmarkStart w:id="65" w:name="_Toc1106"/>
      <w:r>
        <w:rPr>
          <w:rFonts w:hint="eastAsia" w:ascii="宋体" w:hAnsi="宋体" w:cs="宋体"/>
          <w:color w:val="auto"/>
          <w:highlight w:val="none"/>
        </w:rPr>
        <w:t xml:space="preserve">19.响应文件编制的原则</w:t>
      </w:r>
      <w:bookmarkEnd w:id="6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47"/>
        <w:ind w:left="0" w:right="210"/>
        <w:spacing w:line="360" w:lineRule="auto"/>
        <w:rPr>
          <w:rFonts w:ascii="宋体" w:hAnsi="宋体" w:cs="宋体"/>
          <w:color w:val="auto"/>
          <w:szCs w:val="21"/>
          <w:highlight w:val="none"/>
        </w:rPr>
      </w:pPr>
      <w:r/>
      <w:bookmarkStart w:id="66" w:name="_Toc26770"/>
      <w:r>
        <w:rPr>
          <w:rFonts w:hint="eastAsia" w:ascii="宋体" w:hAnsi="宋体" w:cs="宋体"/>
          <w:color w:val="auto"/>
          <w:highlight w:val="none"/>
        </w:rPr>
        <w:t xml:space="preserve">20.报价</w:t>
      </w:r>
      <w:bookmarkEnd w:id="66"/>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67" w:name="_Toc17981"/>
      <w:r>
        <w:rPr>
          <w:rFonts w:hint="eastAsia" w:ascii="宋体" w:hAnsi="宋体" w:cs="宋体"/>
          <w:color w:val="auto"/>
          <w:highlight w:val="none"/>
        </w:rPr>
        <w:t xml:space="preserve">21.响应有效期</w:t>
      </w:r>
      <w:bookmarkEnd w:id="67"/>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47"/>
        <w:ind w:left="0" w:right="210"/>
        <w:spacing w:line="360" w:lineRule="auto"/>
        <w:rPr>
          <w:rFonts w:ascii="宋体" w:hAnsi="宋体" w:cs="宋体"/>
          <w:color w:val="auto"/>
          <w:highlight w:val="none"/>
        </w:rPr>
      </w:pPr>
      <w:r/>
      <w:bookmarkStart w:id="68" w:name="_Toc29226"/>
      <w:r>
        <w:rPr>
          <w:rFonts w:hint="eastAsia" w:ascii="宋体" w:hAnsi="宋体" w:cs="宋体"/>
          <w:color w:val="auto"/>
          <w:highlight w:val="none"/>
        </w:rPr>
        <w:t xml:space="preserve">22.磋商保证金</w:t>
      </w:r>
      <w:bookmarkEnd w:id="68"/>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47"/>
        <w:ind w:left="0" w:right="210"/>
        <w:spacing w:line="360" w:lineRule="auto"/>
        <w:rPr>
          <w:rFonts w:ascii="宋体" w:hAnsi="宋体" w:cs="宋体"/>
          <w:color w:val="auto"/>
          <w:highlight w:val="none"/>
        </w:rPr>
      </w:pPr>
      <w:r/>
      <w:bookmarkStart w:id="69" w:name="_Toc13063"/>
      <w:r>
        <w:rPr>
          <w:rFonts w:hint="eastAsia" w:ascii="宋体" w:hAnsi="宋体" w:cs="宋体"/>
          <w:color w:val="auto"/>
          <w:highlight w:val="none"/>
        </w:rPr>
        <w:t xml:space="preserve">23.响应文件的制作和签署</w:t>
      </w:r>
      <w:bookmarkEnd w:id="69"/>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70" w:name="_Toc16938542"/>
      <w:r/>
      <w:bookmarkEnd w:id="70"/>
      <w:r/>
      <w:bookmarkStart w:id="71" w:name="_Toc20823298"/>
      <w:r/>
      <w:bookmarkEnd w:id="71"/>
      <w:r/>
      <w:bookmarkStart w:id="72" w:name="_Toc513029226"/>
      <w:r/>
      <w:bookmarkEnd w:id="72"/>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73" w:name="_Toc10288"/>
      <w:r>
        <w:rPr>
          <w:rFonts w:hint="eastAsia" w:ascii="宋体" w:hAnsi="宋体" w:cs="宋体"/>
          <w:color w:val="auto"/>
          <w:highlight w:val="none"/>
        </w:rPr>
        <w:t xml:space="preserve">四．响应文件的提交</w:t>
      </w:r>
      <w:bookmarkEnd w:id="73"/>
      <w:r/>
      <w:r/>
    </w:p>
    <w:p>
      <w:pPr>
        <w:pStyle w:val="947"/>
        <w:ind w:left="0" w:right="210"/>
        <w:spacing w:line="360" w:lineRule="auto"/>
        <w:rPr>
          <w:rFonts w:hint="eastAsia" w:ascii="宋体" w:hAnsi="宋体" w:eastAsia="宋体" w:cs="宋体"/>
          <w:color w:val="auto"/>
          <w:highlight w:val="none"/>
          <w:lang w:val="en-US" w:eastAsia="zh-CN"/>
        </w:rPr>
      </w:pPr>
      <w:r/>
      <w:bookmarkStart w:id="74" w:name="_Toc20583"/>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74"/>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47"/>
        <w:ind w:left="0" w:right="210"/>
        <w:spacing w:line="360" w:lineRule="auto"/>
        <w:rPr>
          <w:rFonts w:hint="eastAsia" w:ascii="宋体" w:hAnsi="宋体" w:eastAsia="宋体" w:cs="宋体"/>
          <w:color w:val="auto"/>
          <w:highlight w:val="none"/>
          <w:lang w:eastAsia="zh-CN"/>
        </w:rPr>
      </w:pPr>
      <w:r/>
      <w:bookmarkStart w:id="75" w:name="_Toc20823300"/>
      <w:r/>
      <w:bookmarkStart w:id="76" w:name="_Toc29657"/>
      <w:r/>
      <w:bookmarkStart w:id="77" w:name="_Toc513029228"/>
      <w:r/>
      <w:bookmarkStart w:id="78" w:name="_Toc16938544"/>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75"/>
      <w:r/>
      <w:bookmarkEnd w:id="76"/>
      <w:r/>
      <w:bookmarkEnd w:id="77"/>
      <w:r/>
      <w:bookmarkEnd w:id="7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79" w:name="_Toc20823301"/>
      <w:r/>
      <w:bookmarkStart w:id="80" w:name="_Toc120614218"/>
      <w:r/>
      <w:bookmarkStart w:id="81" w:name="_Toc513029229"/>
      <w:r/>
      <w:bookmarkStart w:id="82" w:name="_Toc16938545"/>
      <w:r/>
      <w:r/>
    </w:p>
    <w:p>
      <w:pPr>
        <w:pStyle w:val="947"/>
        <w:ind w:left="0" w:right="210"/>
        <w:spacing w:line="360" w:lineRule="auto"/>
        <w:rPr>
          <w:rFonts w:hint="eastAsia" w:ascii="宋体" w:hAnsi="宋体" w:eastAsia="宋体" w:cs="宋体"/>
          <w:color w:val="auto"/>
          <w:highlight w:val="none"/>
        </w:rPr>
      </w:pPr>
      <w:r/>
      <w:bookmarkStart w:id="83" w:name="_Toc23471"/>
      <w:r>
        <w:rPr>
          <w:rFonts w:hint="eastAsia" w:ascii="宋体" w:hAnsi="宋体" w:eastAsia="宋体" w:cs="宋体"/>
          <w:color w:val="auto"/>
          <w:highlight w:val="none"/>
        </w:rPr>
        <w:t xml:space="preserve">五、</w:t>
      </w:r>
      <w:bookmarkEnd w:id="79"/>
      <w:r/>
      <w:bookmarkEnd w:id="80"/>
      <w:r/>
      <w:bookmarkEnd w:id="81"/>
      <w:r/>
      <w:bookmarkEnd w:id="82"/>
      <w:r>
        <w:rPr>
          <w:rFonts w:hint="eastAsia" w:ascii="宋体" w:hAnsi="宋体" w:eastAsia="宋体" w:cs="宋体"/>
          <w:color w:val="auto"/>
          <w:highlight w:val="none"/>
          <w:lang w:eastAsia="zh-CN"/>
        </w:rPr>
        <w:t xml:space="preserve">响应文件的解密与评审</w:t>
      </w:r>
      <w:bookmarkEnd w:id="83"/>
      <w:r/>
      <w:r/>
    </w:p>
    <w:p>
      <w:pPr>
        <w:pStyle w:val="947"/>
        <w:ind w:left="0" w:right="210"/>
        <w:spacing w:line="360" w:lineRule="auto"/>
        <w:rPr>
          <w:rFonts w:hint="eastAsia" w:ascii="宋体" w:hAnsi="宋体" w:eastAsia="宋体" w:cs="宋体"/>
          <w:color w:val="auto"/>
          <w:highlight w:val="none"/>
          <w:lang w:eastAsia="zh-CN"/>
        </w:rPr>
      </w:pPr>
      <w:r/>
      <w:bookmarkStart w:id="84" w:name="_Toc31323"/>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8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47"/>
        <w:ind w:left="0" w:right="210"/>
        <w:spacing w:line="360" w:lineRule="auto"/>
        <w:rPr>
          <w:rFonts w:hint="eastAsia" w:ascii="宋体" w:hAnsi="宋体" w:eastAsia="宋体" w:cs="宋体"/>
          <w:color w:val="auto"/>
          <w:highlight w:val="none"/>
          <w:lang w:eastAsia="zh-CN"/>
        </w:rPr>
      </w:pPr>
      <w:r/>
      <w:bookmarkStart w:id="85" w:name="_Toc30141"/>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8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47"/>
        <w:ind w:left="0" w:right="210"/>
        <w:spacing w:line="360" w:lineRule="auto"/>
        <w:rPr>
          <w:rFonts w:hint="eastAsia" w:ascii="宋体" w:hAnsi="宋体" w:eastAsia="宋体" w:cs="宋体"/>
          <w:color w:val="auto"/>
          <w:highlight w:val="none"/>
          <w:lang w:eastAsia="zh-CN"/>
        </w:rPr>
      </w:pPr>
      <w:r/>
      <w:bookmarkStart w:id="86" w:name="_Toc12178"/>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86"/>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47"/>
        <w:ind w:left="0" w:right="210"/>
        <w:spacing w:line="360" w:lineRule="auto"/>
        <w:rPr>
          <w:rFonts w:hint="eastAsia" w:ascii="宋体" w:hAnsi="宋体" w:eastAsia="宋体" w:cs="宋体"/>
          <w:color w:val="auto"/>
          <w:highlight w:val="none"/>
          <w:lang w:eastAsia="zh-CN"/>
        </w:rPr>
      </w:pPr>
      <w:r/>
      <w:bookmarkStart w:id="87" w:name="_Toc1012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87"/>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47"/>
        <w:ind w:left="0" w:right="210"/>
        <w:spacing w:line="360" w:lineRule="auto"/>
        <w:rPr>
          <w:rFonts w:hint="eastAsia" w:ascii="宋体" w:hAnsi="宋体" w:eastAsia="宋体" w:cs="宋体"/>
          <w:color w:val="auto"/>
          <w:highlight w:val="none"/>
          <w:lang w:eastAsia="zh-CN"/>
        </w:rPr>
      </w:pPr>
      <w:r/>
      <w:bookmarkStart w:id="88" w:name="_Toc4815"/>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8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47"/>
        <w:ind w:left="0" w:right="210"/>
        <w:spacing w:line="360" w:lineRule="auto"/>
        <w:rPr>
          <w:rFonts w:hint="eastAsia" w:ascii="宋体" w:hAnsi="宋体" w:eastAsia="宋体" w:cs="宋体"/>
          <w:color w:val="auto"/>
          <w:highlight w:val="none"/>
          <w:lang w:eastAsia="zh-CN"/>
        </w:rPr>
      </w:pPr>
      <w:r/>
      <w:bookmarkStart w:id="89" w:name="_Toc195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89"/>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.3.5法律法规规定的其他应当终止情形。</w:t>
      </w:r>
      <w:r/>
    </w:p>
    <w:p>
      <w:pPr>
        <w:pStyle w:val="947"/>
        <w:ind w:left="0" w:right="210"/>
        <w:spacing w:line="360" w:lineRule="auto"/>
        <w:rPr>
          <w:rFonts w:ascii="宋体" w:hAnsi="宋体" w:cs="宋体"/>
          <w:color w:val="auto"/>
          <w:highlight w:val="none"/>
        </w:rPr>
      </w:pPr>
      <w:r/>
      <w:bookmarkStart w:id="90" w:name="_Toc3859"/>
      <w:r>
        <w:rPr>
          <w:rFonts w:hint="eastAsia" w:ascii="宋体" w:hAnsi="宋体" w:cs="宋体"/>
          <w:color w:val="auto"/>
          <w:highlight w:val="none"/>
        </w:rPr>
        <w:t xml:space="preserve">六．确定成交</w:t>
      </w:r>
      <w:bookmarkEnd w:id="90"/>
      <w:r/>
      <w:r/>
    </w:p>
    <w:p>
      <w:pPr>
        <w:pStyle w:val="947"/>
        <w:ind w:left="0" w:right="210"/>
        <w:spacing w:line="360" w:lineRule="auto"/>
        <w:rPr>
          <w:rFonts w:hint="eastAsia" w:ascii="宋体" w:hAnsi="宋体" w:eastAsia="宋体" w:cs="宋体"/>
          <w:color w:val="auto"/>
          <w:highlight w:val="none"/>
          <w:lang w:eastAsia="zh-CN"/>
        </w:rPr>
      </w:pPr>
      <w:r/>
      <w:bookmarkStart w:id="91" w:name="_Toc5445"/>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9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由采购人代表现场确认</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47"/>
        <w:ind w:left="0" w:right="210"/>
        <w:spacing w:line="360" w:lineRule="auto"/>
        <w:rPr>
          <w:rFonts w:hint="eastAsia" w:ascii="宋体" w:hAnsi="宋体" w:eastAsia="宋体" w:cs="宋体"/>
          <w:color w:val="auto"/>
          <w:highlight w:val="none"/>
          <w:lang w:eastAsia="zh-CN"/>
        </w:rPr>
      </w:pPr>
      <w:r/>
      <w:bookmarkStart w:id="92" w:name="_Toc589"/>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92"/>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7"/>
        <w:ind w:left="0" w:right="210"/>
        <w:spacing w:line="360" w:lineRule="auto"/>
        <w:rPr>
          <w:rFonts w:ascii="宋体" w:hAnsi="宋体" w:cs="宋体"/>
          <w:color w:val="auto"/>
          <w:highlight w:val="none"/>
        </w:rPr>
      </w:pPr>
      <w:r/>
      <w:bookmarkStart w:id="93" w:name="_Toc15432"/>
      <w:r>
        <w:rPr>
          <w:rFonts w:hint="eastAsia" w:ascii="宋体" w:hAnsi="宋体" w:cs="宋体"/>
          <w:color w:val="auto"/>
          <w:highlight w:val="none"/>
        </w:rPr>
        <w:t xml:space="preserve">41.签订合同</w:t>
      </w:r>
      <w:bookmarkEnd w:id="9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7"/>
        <w:ind w:left="0" w:right="210"/>
        <w:spacing w:line="360" w:lineRule="auto"/>
        <w:rPr>
          <w:rFonts w:ascii="宋体" w:hAnsi="宋体" w:cs="宋体"/>
          <w:color w:val="auto"/>
          <w:szCs w:val="21"/>
          <w:highlight w:val="none"/>
        </w:rPr>
      </w:pPr>
      <w:r/>
      <w:bookmarkStart w:id="94" w:name="_Toc19280"/>
      <w:r>
        <w:rPr>
          <w:rFonts w:hint="eastAsia" w:ascii="宋体" w:hAnsi="宋体" w:cs="宋体"/>
          <w:color w:val="auto"/>
          <w:szCs w:val="21"/>
          <w:highlight w:val="none"/>
        </w:rPr>
        <w:t xml:space="preserve">42.履约保证金</w:t>
      </w:r>
      <w:bookmarkEnd w:id="9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47"/>
        <w:ind w:left="0" w:right="210"/>
        <w:spacing w:line="360" w:lineRule="auto"/>
        <w:rPr>
          <w:rFonts w:ascii="宋体" w:hAnsi="宋体" w:cs="宋体"/>
          <w:color w:val="auto"/>
          <w:highlight w:val="none"/>
        </w:rPr>
      </w:pPr>
      <w:r/>
      <w:bookmarkStart w:id="95" w:name="_Toc26303"/>
      <w:r>
        <w:rPr>
          <w:rFonts w:hint="eastAsia" w:ascii="宋体" w:hAnsi="宋体" w:cs="宋体"/>
          <w:color w:val="auto"/>
          <w:highlight w:val="none"/>
        </w:rPr>
        <w:t xml:space="preserve">七．询问与质疑</w:t>
      </w:r>
      <w:bookmarkEnd w:id="95"/>
      <w:r/>
      <w:r/>
    </w:p>
    <w:p>
      <w:pPr>
        <w:pStyle w:val="947"/>
        <w:ind w:left="0" w:right="210"/>
        <w:spacing w:line="360" w:lineRule="auto"/>
        <w:rPr>
          <w:rFonts w:ascii="宋体" w:hAnsi="宋体" w:cs="宋体"/>
          <w:color w:val="auto"/>
          <w:szCs w:val="21"/>
          <w:highlight w:val="none"/>
        </w:rPr>
      </w:pPr>
      <w:r/>
      <w:bookmarkStart w:id="96" w:name="_Toc31891"/>
      <w:r>
        <w:rPr>
          <w:rFonts w:hint="eastAsia" w:ascii="宋体" w:hAnsi="宋体" w:cs="宋体"/>
          <w:color w:val="auto"/>
          <w:szCs w:val="21"/>
          <w:highlight w:val="none"/>
        </w:rPr>
        <w:t xml:space="preserve">43.询问</w:t>
      </w:r>
      <w:bookmarkEnd w:id="9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47"/>
        <w:ind w:left="0" w:right="210"/>
        <w:spacing w:line="360" w:lineRule="auto"/>
        <w:rPr>
          <w:rFonts w:ascii="宋体" w:hAnsi="宋体" w:cs="宋体"/>
          <w:color w:val="auto"/>
          <w:szCs w:val="21"/>
          <w:highlight w:val="none"/>
        </w:rPr>
      </w:pPr>
      <w:r/>
      <w:bookmarkStart w:id="97" w:name="_Toc32161"/>
      <w:r>
        <w:rPr>
          <w:rFonts w:hint="eastAsia" w:ascii="宋体" w:hAnsi="宋体" w:cs="宋体"/>
          <w:color w:val="auto"/>
          <w:szCs w:val="21"/>
          <w:highlight w:val="none"/>
        </w:rPr>
        <w:t xml:space="preserve">44.质疑</w:t>
      </w:r>
      <w:bookmarkEnd w:id="9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47"/>
        <w:ind w:left="0" w:right="210"/>
        <w:spacing w:line="360" w:lineRule="auto"/>
        <w:rPr>
          <w:rFonts w:ascii="宋体" w:hAnsi="宋体" w:cs="宋体"/>
          <w:color w:val="auto"/>
          <w:highlight w:val="none"/>
        </w:rPr>
      </w:pPr>
      <w:r/>
      <w:bookmarkStart w:id="98" w:name="_Toc522"/>
      <w:r>
        <w:rPr>
          <w:rFonts w:hint="eastAsia" w:ascii="宋体" w:hAnsi="宋体" w:cs="宋体"/>
          <w:color w:val="auto"/>
          <w:highlight w:val="none"/>
        </w:rPr>
        <w:t xml:space="preserve">八．其他</w:t>
      </w:r>
      <w:bookmarkEnd w:id="98"/>
      <w:r/>
      <w:r/>
    </w:p>
    <w:p>
      <w:pPr>
        <w:pStyle w:val="947"/>
        <w:ind w:left="0" w:right="210"/>
        <w:spacing w:line="360" w:lineRule="auto"/>
        <w:rPr>
          <w:rFonts w:ascii="宋体" w:hAnsi="宋体" w:cs="宋体"/>
          <w:color w:val="auto"/>
          <w:szCs w:val="21"/>
          <w:highlight w:val="none"/>
        </w:rPr>
      </w:pPr>
      <w:r/>
      <w:bookmarkStart w:id="99" w:name="_Toc12425"/>
      <w:r>
        <w:rPr>
          <w:rFonts w:hint="eastAsia" w:ascii="宋体" w:hAnsi="宋体" w:cs="宋体"/>
          <w:color w:val="auto"/>
          <w:szCs w:val="21"/>
          <w:highlight w:val="none"/>
        </w:rPr>
        <w:t xml:space="preserve">45.采购代理服务费</w:t>
      </w:r>
      <w:bookmarkEnd w:id="9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szCs w:val="21"/>
          <w:highlight w:val="none"/>
        </w:rPr>
      </w:pPr>
      <w:r/>
      <w:bookmarkStart w:id="100" w:name="_Toc14987"/>
      <w:r>
        <w:rPr>
          <w:rFonts w:hint="eastAsia" w:ascii="宋体" w:hAnsi="宋体" w:cs="宋体"/>
          <w:color w:val="auto"/>
          <w:szCs w:val="21"/>
          <w:highlight w:val="none"/>
        </w:rPr>
        <w:t xml:space="preserve">46.其他规定</w:t>
      </w:r>
      <w:bookmarkEnd w:id="100"/>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47"/>
        <w:ind w:left="0" w:right="210"/>
        <w:spacing w:line="360" w:lineRule="auto"/>
        <w:rPr>
          <w:rFonts w:ascii="宋体" w:hAnsi="宋体" w:cs="宋体"/>
          <w:color w:val="auto"/>
          <w:szCs w:val="21"/>
          <w:highlight w:val="none"/>
        </w:rPr>
      </w:pPr>
      <w:r/>
      <w:bookmarkStart w:id="101" w:name="_Toc16883"/>
      <w:r>
        <w:rPr>
          <w:rFonts w:hint="eastAsia" w:ascii="宋体" w:hAnsi="宋体" w:cs="宋体"/>
          <w:color w:val="auto"/>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995"/>
        <w:rPr>
          <w:rStyle w:val="1004"/>
          <w:rFonts w:ascii="Microsoft New Tai Lue" w:hAnsi="Microsoft New Tai Lue" w:cs="Microsoft New Tai Lue"/>
          <w:b/>
          <w:bCs/>
          <w:color w:val="auto"/>
          <w:highlight w:val="none"/>
        </w:rPr>
      </w:pPr>
      <w:r/>
      <w:bookmarkStart w:id="103" w:name="_Toc107246272"/>
      <w:r/>
      <w:bookmarkStart w:id="104" w:name="_Toc91836563"/>
      <w:r>
        <w:rPr>
          <w:rFonts w:ascii="Microsoft New Tai Lue" w:hAnsi="Microsoft New Tai Lue" w:cs="Microsoft New Tai Lue"/>
          <w:color w:val="auto"/>
          <w:highlight w:val="none"/>
        </w:rPr>
        <w:br w:type="page" w:clear="all"/>
      </w:r>
      <w:bookmarkStart w:id="105" w:name="_Toc1885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三</w:t>
      </w:r>
      <w:r>
        <w:rPr>
          <w:rFonts w:ascii="Microsoft New Tai Lue" w:hAnsi="Microsoft New Tai Lue" w:cs="Microsoft New Tai Lue"/>
          <w:color w:val="auto"/>
          <w:highlight w:val="none"/>
        </w:rPr>
        <w:t xml:space="preserve">章 评审方法与评审标准</w:t>
      </w:r>
      <w:bookmarkEnd w:id="103"/>
      <w:r/>
      <w:bookmarkEnd w:id="105"/>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响应文件进行评价和比较，评审采用综合评分法</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bidi="ar"/>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线上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lang w:eastAsia="zh-CN"/>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供应商如未在规定时间内递交第二轮报价（最终报价）或递交无效报价，将视为自行退出磋商。</w:t>
      </w:r>
      <w:r/>
    </w:p>
    <w:p>
      <w:pPr>
        <w:pStyle w:val="799"/>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tbl>
      <w:tblPr>
        <w:tblStyle w:val="77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7011"/>
        <w:gridCol w:w="761"/>
      </w:tblGrid>
      <w:tr>
        <w:trPr>
          <w:jc w:val="center"/>
          <w:trHeight w:val="377"/>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分值</w:t>
            </w:r>
            <w:r/>
          </w:p>
        </w:tc>
      </w:tr>
      <w:tr>
        <w:trPr>
          <w:jc w:val="center"/>
          <w:trHeight w:val="1242"/>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1</w:t>
            </w:r>
            <w:r/>
          </w:p>
        </w:tc>
        <w:tc>
          <w:tcPr>
            <w:tcBorders>
              <w:top w:val="single" w:color="auto" w:sz="4" w:space="0"/>
              <w:left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价格</w:t>
            </w:r>
            <w:r>
              <w:rPr>
                <w:rFonts w:hint="eastAsia" w:ascii="宋体" w:hAnsi="宋体" w:eastAsia="宋体"/>
                <w:color w:val="auto"/>
                <w:szCs w:val="21"/>
                <w:highlight w:val="none"/>
              </w:rPr>
              <w:br/>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Arial"/>
                <w:color w:val="auto"/>
                <w:szCs w:val="21"/>
                <w:highlight w:val="none"/>
              </w:rPr>
              <w:suppressLineNumbers w:val="0"/>
            </w:pPr>
            <w:r>
              <w:rPr>
                <w:rFonts w:hint="eastAsia" w:ascii="宋体" w:hAnsi="宋体" w:eastAsia="宋体"/>
                <w:color w:val="auto"/>
                <w:szCs w:val="21"/>
                <w:highlight w:val="none"/>
              </w:rPr>
              <w:t xml:space="preserve">采用低价优先法计算，</w:t>
            </w:r>
            <w:r>
              <w:rPr>
                <w:rFonts w:hint="default" w:ascii="宋体" w:hAnsi="宋体" w:eastAsia="宋体" w:cs="Arial"/>
                <w:color w:val="auto"/>
                <w:szCs w:val="21"/>
                <w:highlight w:val="none"/>
              </w:rPr>
              <w:t xml:space="preserve">即满足</w:t>
            </w:r>
            <w:r>
              <w:rPr>
                <w:rFonts w:hint="eastAsia" w:ascii="宋体" w:hAnsi="宋体" w:eastAsia="宋体" w:cs="Arial"/>
                <w:color w:val="auto"/>
                <w:szCs w:val="21"/>
                <w:highlight w:val="none"/>
              </w:rPr>
              <w:t xml:space="preserve">采购</w:t>
            </w:r>
            <w:r>
              <w:rPr>
                <w:rFonts w:hint="default" w:ascii="宋体" w:hAnsi="宋体" w:eastAsia="宋体" w:cs="Arial"/>
                <w:color w:val="auto"/>
                <w:szCs w:val="21"/>
                <w:highlight w:val="none"/>
              </w:rPr>
              <w:t xml:space="preserve">文件要求且</w:t>
            </w:r>
            <w:r>
              <w:rPr>
                <w:rFonts w:hint="eastAsia" w:ascii="宋体" w:hAnsi="宋体" w:eastAsia="宋体" w:cs="Arial"/>
                <w:color w:val="auto"/>
                <w:szCs w:val="21"/>
                <w:highlight w:val="none"/>
              </w:rPr>
              <w:t xml:space="preserve">采购响应</w:t>
            </w:r>
            <w:r>
              <w:rPr>
                <w:rFonts w:hint="default" w:ascii="宋体" w:hAnsi="宋体" w:eastAsia="宋体" w:cs="Arial"/>
                <w:color w:val="auto"/>
                <w:szCs w:val="21"/>
                <w:highlight w:val="none"/>
              </w:rPr>
              <w:t xml:space="preserve">价格最低的</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报价为评标基准价</w:t>
            </w:r>
            <w:r>
              <w:rPr>
                <w:rFonts w:hint="eastAsia" w:ascii="宋体" w:hAnsi="宋体" w:eastAsia="宋体" w:cs="Arial"/>
                <w:color w:val="auto"/>
                <w:szCs w:val="21"/>
                <w:highlight w:val="none"/>
              </w:rPr>
              <w:t xml:space="preserve">，</w:t>
            </w:r>
            <w:r>
              <w:rPr>
                <w:rFonts w:hint="default" w:ascii="宋体" w:hAnsi="宋体" w:eastAsia="宋体" w:cs="Arial"/>
                <w:color w:val="auto"/>
                <w:szCs w:val="21"/>
                <w:highlight w:val="none"/>
              </w:rPr>
              <w:t xml:space="preserve">其价格分为满分。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default" w:ascii="宋体" w:hAnsi="宋体" w:eastAsia="宋体" w:cs="Arial"/>
                <w:color w:val="auto"/>
                <w:szCs w:val="21"/>
                <w:highlight w:val="none"/>
              </w:rPr>
              <w:t xml:space="preserve">其他</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人的价格分统一按照下列公式计算</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报价得分=(评标基准价/</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w:t>
            </w:r>
            <w:r>
              <w:rPr>
                <w:rFonts w:hint="eastAsia" w:ascii="宋体" w:hAnsi="宋体" w:eastAsia="宋体" w:cs="Arial"/>
                <w:color w:val="auto"/>
                <w:szCs w:val="21"/>
                <w:highlight w:val="none"/>
              </w:rPr>
              <w:t xml:space="preserve">4</w:t>
            </w:r>
            <w:r>
              <w:rPr>
                <w:rFonts w:hint="eastAsia" w:ascii="宋体" w:hAnsi="宋体" w:eastAsia="宋体" w:cs="Arial"/>
                <w:color w:val="auto"/>
                <w:szCs w:val="21"/>
                <w:highlight w:val="none"/>
                <w:lang w:val="en-US" w:eastAsia="zh-CN"/>
              </w:rPr>
              <w:t xml:space="preserve">0</w:t>
            </w:r>
            <w:r>
              <w:rPr>
                <w:rFonts w:hint="eastAsia" w:ascii="宋体" w:hAnsi="宋体" w:eastAsia="宋体"/>
                <w:color w:val="auto"/>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en-US" w:eastAsia="zh-CN"/>
              </w:rPr>
              <w:t xml:space="preserve">0</w:t>
            </w:r>
            <w:r/>
          </w:p>
        </w:tc>
      </w:tr>
      <w:tr>
        <w:trPr>
          <w:jc w:val="center"/>
          <w:trHeight w:val="135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2.1</w:t>
            </w:r>
            <w:r/>
          </w:p>
        </w:tc>
        <w:tc>
          <w:tcPr>
            <w:tcBorders>
              <w:top w:val="single" w:color="auto" w:sz="4" w:space="0"/>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服务方案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根据供应商提供的项目实施方案（施工组织总体设想）评分，表述全面、合理、科学、可行、针对性强的得</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分，表述较为全面、合理、科学、可行、针对性较强的得5分，表述不太全面、合理、科学、可行、针对性不强的得2分。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8</w:t>
            </w:r>
            <w:r/>
          </w:p>
        </w:tc>
      </w:tr>
      <w:tr>
        <w:trPr>
          <w:jc w:val="center"/>
          <w:trHeight w:val="1017"/>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根据供应商提供的施工进度计划和各阶段进度的保证措施评分，合理、先进、有序的得5分，基本符合的得3分，条理不清、混乱的得1分。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017"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2.3</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根据供应商提供的工程质量保证措施评分，合理可行、针对性强的得5分；合理可行、针对性较强的得3分；合理可行、针对性一般的得1分。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0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2.4</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关键施工技术、工艺及工程项目实施的重点、难点和解决方案评分，分析全面，解决对策可行性强的得5分，整体内容基本完整，重点突出性、针对性较强的得3分，分析较全面，解决对策有一定的针对性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1"/>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2.5</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根据供应商提供的劳动力、机械设备和材料投入计划评分，计划清晰、完整、合理的5分，较为清晰、完整、合理的得3分，不太清晰、完整、合理的得1分。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2.6</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根据供应商提供的安全文明施工保证措施评分，合理、可行、针对性强的得5分，合理、可行、针对性较强的得3分，合理、可行、针对性一般的得1分。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2.7</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售后服务体系、售后服务人员、售后服务承诺、故障现场响应时间，定期的回访、维保制度，质保期内的售后服务范围、质保期满后的售后服务范围等情况进行打分。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售后服务方案完善、可行性强，响应及时，得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售后服务方案较为完善、可行性及响应及时性尚可，得4分；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售后服务方案简单、响应较慢，得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7</w:t>
            </w:r>
            <w:r/>
          </w:p>
        </w:tc>
      </w:tr>
      <w:tr>
        <w:trPr>
          <w:jc w:val="center"/>
          <w:trHeight w:val="1536"/>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eastAsia="宋体"/>
                <w:color w:val="auto"/>
                <w:highlight w:val="none"/>
                <w:lang w:eastAsia="zh-CN"/>
              </w:rPr>
              <w:suppressLineNumbers w:val="0"/>
            </w:pPr>
            <w:r>
              <w:rPr>
                <w:rFonts w:hint="eastAsia" w:ascii="宋体" w:hAnsi="宋体" w:eastAsia="宋体"/>
                <w:color w:val="auto"/>
                <w:szCs w:val="21"/>
                <w:highlight w:val="none"/>
              </w:rPr>
              <w:t xml:space="preserve">人员</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8分</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供应商拟投入本项目的项目负责人具有工程师职称的得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提供能体现上述要求的有效证书复印件及社保机构出具的近</w:t>
            </w:r>
            <w:r>
              <w:rPr>
                <w:rFonts w:hint="eastAsia" w:ascii="宋体" w:hAnsi="宋体" w:eastAsia="宋体" w:cs="宋体"/>
                <w:color w:val="auto"/>
                <w:szCs w:val="21"/>
                <w:highlight w:val="none"/>
                <w:lang w:val="en-US" w:eastAsia="zh-CN"/>
              </w:rPr>
              <w:t xml:space="preserve">半年</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以来</w:t>
            </w:r>
            <w:r>
              <w:rPr>
                <w:rFonts w:hint="eastAsia" w:ascii="宋体" w:hAnsi="宋体" w:eastAsia="宋体" w:cs="宋体"/>
                <w:color w:val="auto"/>
                <w:szCs w:val="21"/>
                <w:highlight w:val="none"/>
              </w:rPr>
              <w:t xml:space="preserve">任意一个月的供应商为其缴纳社保的证明材料复印件，加盖供应商章，否则不得分。</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2</w:t>
            </w:r>
            <w:r/>
          </w:p>
        </w:tc>
      </w:tr>
      <w:tr>
        <w:trPr>
          <w:jc w:val="center"/>
          <w:trHeight w:val="54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highlight w:val="none"/>
              </w:rPr>
              <w:t xml:space="preserve">项目管理机构主要管理人员【项目负责人除外，具体包含现场技术负责人、施工员、质量员、安全员、资料员</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预算员</w:t>
            </w:r>
            <w:r>
              <w:rPr>
                <w:rFonts w:hint="eastAsia" w:ascii="宋体" w:hAnsi="宋体" w:eastAsia="宋体"/>
                <w:color w:val="auto"/>
                <w:highlight w:val="none"/>
              </w:rPr>
              <w:t xml:space="preserve">】，人员数量不少于：技术负责人1名(具有注册建造师证</w:t>
            </w:r>
            <w:r>
              <w:rPr>
                <w:rFonts w:hint="eastAsia" w:ascii="宋体" w:hAnsi="宋体"/>
                <w:color w:val="auto"/>
                <w:highlight w:val="none"/>
                <w:lang w:val="en-US" w:eastAsia="zh-CN"/>
              </w:rPr>
              <w:t xml:space="preserve">机电</w:t>
            </w:r>
            <w:r>
              <w:rPr>
                <w:rFonts w:hint="eastAsia" w:ascii="宋体" w:hAnsi="宋体" w:eastAsia="宋体"/>
                <w:color w:val="auto"/>
                <w:highlight w:val="none"/>
              </w:rPr>
              <w:t xml:space="preserve">工程二级及以上），施工员1名，质量员1名，安全员1名，资料员1名，</w:t>
            </w:r>
            <w:r>
              <w:rPr>
                <w:rFonts w:hint="eastAsia" w:ascii="宋体" w:hAnsi="宋体" w:eastAsia="宋体"/>
                <w:color w:val="auto"/>
                <w:highlight w:val="none"/>
                <w:lang w:val="en-US" w:eastAsia="zh-CN"/>
              </w:rPr>
              <w:t xml:space="preserve">预算员1名（具有二级及以上注册造价师），</w:t>
            </w:r>
            <w:r>
              <w:rPr>
                <w:rFonts w:hint="eastAsia" w:ascii="宋体" w:hAnsi="宋体" w:eastAsia="宋体"/>
                <w:color w:val="auto"/>
                <w:highlight w:val="none"/>
              </w:rPr>
              <w:t xml:space="preserve">人员配备齐全得</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rPr>
              <w:t xml:space="preserve">分，每缺少一人扣</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分。（提供上述人员明细表、相关证书（注册证书、岗位证书）、</w:t>
            </w:r>
            <w:r>
              <w:rPr>
                <w:rFonts w:hint="eastAsia" w:ascii="宋体" w:hAnsi="宋体" w:eastAsia="宋体" w:cs="宋体"/>
                <w:bCs/>
                <w:color w:val="auto"/>
                <w:szCs w:val="21"/>
                <w:highlight w:val="none"/>
              </w:rPr>
              <w:t xml:space="preserve">社保机构出具的近半年（202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以来</w:t>
            </w:r>
            <w:r>
              <w:rPr>
                <w:rFonts w:hint="eastAsia" w:ascii="宋体" w:hAnsi="宋体" w:eastAsia="宋体" w:cs="宋体"/>
                <w:bCs/>
                <w:color w:val="auto"/>
                <w:szCs w:val="21"/>
                <w:highlight w:val="none"/>
              </w:rPr>
              <w:t xml:space="preserve">任意一个月投标申请人为其缴纳的社保缴费证明【加盖社保公章或具有可验证的二维码（或验证码）】复印件加盖供应商公章装订在</w:t>
            </w: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rPr>
              <w:t xml:space="preserve">文件中，加盖社保缴费电子专用章证明材料可视为原件，否则视为未提供</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同一人不重复计分。</w:t>
            </w:r>
            <w:r>
              <w:rPr>
                <w:rFonts w:hint="eastAsia" w:ascii="宋体" w:hAnsi="宋体" w:eastAsia="宋体"/>
                <w:color w:val="auto"/>
                <w:highlight w:val="none"/>
              </w:rPr>
              <w:t xml:space="preserve">）</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6</w:t>
            </w:r>
            <w:r/>
          </w:p>
        </w:tc>
      </w:tr>
      <w:tr>
        <w:trPr>
          <w:jc w:val="center"/>
          <w:trHeight w:val="1099"/>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业绩</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12分</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rPr>
              <w:t xml:space="preserve">分。（</w:t>
            </w:r>
            <w:r>
              <w:rPr>
                <w:rFonts w:hint="eastAsia"/>
                <w:color w:val="auto"/>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w:t>
            </w:r>
            <w:r>
              <w:rPr>
                <w:rFonts w:hint="eastAsia" w:ascii="宋体" w:hAnsi="宋体" w:cs="宋体"/>
                <w:color w:val="auto"/>
                <w:szCs w:val="21"/>
                <w:highlight w:val="none"/>
                <w:lang w:val="en-US"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olor w:val="auto"/>
                <w:szCs w:val="21"/>
                <w:highlight w:val="none"/>
              </w:rPr>
              <w:t xml:space="preserve">否则不得分。）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9</w:t>
            </w:r>
            <w:r/>
          </w:p>
        </w:tc>
      </w:tr>
      <w:tr>
        <w:trPr>
          <w:jc w:val="center"/>
          <w:trHeight w:val="1372"/>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根据供应商拟派本项目的项目负责人202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color w:val="auto"/>
                <w:szCs w:val="21"/>
                <w:highlight w:val="none"/>
                <w:lang w:eastAsia="zh-CN"/>
              </w:rPr>
              <w:t xml:space="preserve">（</w:t>
            </w:r>
            <w:r>
              <w:rPr>
                <w:rFonts w:hint="eastAsia"/>
                <w:color w:val="auto"/>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w:t>
            </w:r>
            <w:r>
              <w:rPr>
                <w:rFonts w:hint="eastAsia" w:ascii="宋体" w:hAnsi="宋体" w:cs="宋体"/>
                <w:color w:val="auto"/>
                <w:szCs w:val="21"/>
                <w:highlight w:val="none"/>
                <w:lang w:val="en-US"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olor w:val="auto"/>
                <w:szCs w:val="21"/>
                <w:highlight w:val="none"/>
              </w:rPr>
              <w:t xml:space="preserve">否则不得分。）</w:t>
            </w:r>
            <w:r/>
          </w:p>
          <w:p>
            <w:pPr>
              <w:ind w:left="0" w:right="0" w:firstLine="422"/>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eastAsia="宋体"/>
                <w:b/>
                <w:bCs/>
                <w:color w:val="auto"/>
                <w:highlight w:val="none"/>
              </w:rPr>
              <w:t xml:space="preserve">注：项目负责人业绩与企业业绩</w:t>
            </w:r>
            <w:r>
              <w:rPr>
                <w:rFonts w:hint="eastAsia" w:eastAsia="宋体"/>
                <w:b/>
                <w:bCs/>
                <w:color w:val="auto"/>
                <w:highlight w:val="none"/>
                <w:lang w:val="en-US" w:eastAsia="zh-CN"/>
              </w:rPr>
              <w:t xml:space="preserve">不可兼得</w:t>
            </w:r>
            <w:r>
              <w:rPr>
                <w:rFonts w:hint="eastAsia" w:eastAsia="宋体"/>
                <w:b/>
                <w:bCs/>
                <w:color w:val="auto"/>
                <w:highlight w:val="none"/>
              </w:rPr>
              <w:t xml:space="preserve">。</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3</w:t>
            </w:r>
            <w:r/>
          </w:p>
        </w:tc>
      </w:tr>
      <w:tr>
        <w:trPr>
          <w:jc w:val="center"/>
          <w:trHeight w:val="454" w:hRule="exact"/>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5</w:t>
            </w:r>
            <w:r/>
          </w:p>
        </w:tc>
        <w:tc>
          <w:tcPr>
            <w:gridSpan w:val="2"/>
            <w:tcBorders>
              <w:left w:val="single" w:color="auto" w:sz="4" w:space="0"/>
              <w:right w:val="single" w:color="auto" w:sz="4" w:space="0"/>
            </w:tcBorders>
            <w:tcW w:w="8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合  计</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100</w:t>
            </w:r>
            <w:r/>
          </w:p>
        </w:tc>
      </w:tr>
    </w:tbl>
    <w:p>
      <w:pPr>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bookmarkStart w:id="360" w:name="_GoBack"/>
      <w:r/>
      <w:bookmarkEnd w:id="360"/>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bookmarkEnd w:id="104"/>
      <w:r/>
      <w:r/>
    </w:p>
    <w:p>
      <w:pPr>
        <w:rPr>
          <w:rFonts w:hint="eastAsia" w:ascii="Times New Roman" w:hAnsi="Times New Roman" w:eastAsia="宋体" w:cs="Times New Roman"/>
          <w:b/>
          <w:bCs/>
          <w:color w:val="auto"/>
          <w:sz w:val="30"/>
          <w:szCs w:val="30"/>
          <w:highlight w:val="none"/>
          <w:lang w:eastAsia="zh-CN"/>
        </w:rPr>
      </w:pPr>
      <w:r/>
      <w:bookmarkStart w:id="106" w:name="_Toc8308"/>
      <w:r/>
      <w:bookmarkStart w:id="107" w:name="_Toc91836564"/>
      <w:r/>
      <w:bookmarkStart w:id="108" w:name="_Toc107246271"/>
      <w:r>
        <w:rPr>
          <w:rFonts w:hint="eastAsia" w:ascii="Times New Roman" w:hAnsi="Times New Roman" w:eastAsia="宋体" w:cs="Times New Roman"/>
          <w:b/>
          <w:bCs/>
          <w:color w:val="auto"/>
          <w:sz w:val="30"/>
          <w:szCs w:val="30"/>
          <w:highlight w:val="none"/>
          <w:lang w:eastAsia="zh-CN"/>
        </w:rPr>
        <w:br w:type="page" w:clear="all"/>
      </w:r>
      <w:r/>
    </w:p>
    <w:p>
      <w:pPr>
        <w:ind w:left="100" w:right="100"/>
        <w:jc w:val="center"/>
        <w:keepLines/>
        <w:keepNext/>
        <w:spacing w:before="120" w:after="120"/>
        <w:widowControl w:val="off"/>
        <w:rPr>
          <w:rFonts w:hint="eastAsia" w:ascii="Times New Roman" w:hAnsi="Times New Roman" w:eastAsia="宋体" w:cs="Times New Roman"/>
          <w:b/>
          <w:bCs/>
          <w:color w:val="auto"/>
          <w:sz w:val="30"/>
          <w:szCs w:val="30"/>
          <w:highlight w:val="none"/>
          <w:lang w:val="zh-CN" w:eastAsia="zh-CN"/>
        </w:rPr>
        <w:outlineLvl w:val="0"/>
      </w:pPr>
      <w:r/>
      <w:bookmarkStart w:id="109" w:name="_Toc28240"/>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bookmarkEnd w:id="106"/>
      <w:r/>
      <w:bookmarkEnd w:id="109"/>
      <w:r/>
      <w:r/>
    </w:p>
    <w:p>
      <w:pPr>
        <w:pStyle w:val="776"/>
        <w:ind w:firstLine="410"/>
        <w:jc w:val="left"/>
        <w:spacing w:after="0" w:line="360" w:lineRule="auto"/>
        <w:rPr>
          <w:rFonts w:hint="eastAsia" w:ascii="宋体" w:hAnsi="宋体" w:eastAsia="宋体" w:cs="宋体"/>
          <w:b/>
          <w:bCs/>
          <w:color w:val="auto"/>
          <w:spacing w:val="-3"/>
          <w:szCs w:val="21"/>
          <w:highlight w:val="none"/>
          <w:lang w:eastAsia="zh-CN"/>
        </w:rPr>
      </w:pPr>
      <w:r>
        <w:rPr>
          <w:rFonts w:hint="eastAsia" w:ascii="宋体" w:hAnsi="宋体" w:cs="宋体"/>
          <w:b/>
          <w:bCs/>
          <w:color w:val="auto"/>
          <w:spacing w:val="-3"/>
          <w:szCs w:val="21"/>
          <w:highlight w:val="none"/>
        </w:rPr>
        <w:t xml:space="preserve">一、项目名称：</w:t>
      </w:r>
      <w:r>
        <w:rPr>
          <w:rFonts w:hint="eastAsia" w:ascii="宋体" w:hAnsi="宋体" w:cs="宋体"/>
          <w:bCs/>
          <w:color w:val="auto"/>
          <w:szCs w:val="21"/>
          <w:highlight w:val="none"/>
          <w:lang w:eastAsia="zh-CN"/>
        </w:rPr>
        <w:t xml:space="preserve">南京体育学院综合体操馆新风除尘系统项目</w:t>
      </w:r>
      <w:r/>
    </w:p>
    <w:p>
      <w:pPr>
        <w:ind w:firstLine="406"/>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pacing w:val="-4"/>
          <w:szCs w:val="21"/>
          <w:highlight w:val="none"/>
        </w:rPr>
        <w:t xml:space="preserve">二、项目概况</w:t>
      </w:r>
      <w:r>
        <w:rPr>
          <w:rFonts w:hint="eastAsia" w:ascii="宋体" w:hAnsi="宋体" w:eastAsia="宋体" w:cs="宋体"/>
          <w:color w:val="auto"/>
          <w:spacing w:val="-4"/>
          <w:szCs w:val="21"/>
          <w:highlight w:val="none"/>
        </w:rPr>
        <w:t xml:space="preserve">：本工程为</w:t>
      </w:r>
      <w:r>
        <w:rPr>
          <w:rFonts w:hint="eastAsia" w:ascii="宋体" w:hAnsi="宋体" w:cs="宋体"/>
          <w:bCs/>
          <w:color w:val="auto"/>
          <w:szCs w:val="21"/>
          <w:highlight w:val="none"/>
          <w:lang w:eastAsia="zh-CN"/>
        </w:rPr>
        <w:t xml:space="preserve">南京体育学院综合体操馆新风除尘系统项目</w:t>
      </w:r>
      <w:r>
        <w:rPr>
          <w:rFonts w:hint="eastAsia" w:ascii="宋体" w:hAnsi="宋体" w:eastAsia="宋体" w:cs="宋体"/>
          <w:color w:val="auto"/>
          <w:spacing w:val="-4"/>
          <w:szCs w:val="21"/>
          <w:highlight w:val="none"/>
        </w:rPr>
        <w:t xml:space="preserve">。</w:t>
      </w:r>
      <w:r/>
    </w:p>
    <w:p>
      <w:pPr>
        <w:ind w:firstLine="406"/>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pacing w:val="-4"/>
          <w:szCs w:val="21"/>
          <w:highlight w:val="none"/>
        </w:rPr>
        <w:t xml:space="preserve">三、采购内容：</w:t>
      </w:r>
      <w:r>
        <w:rPr>
          <w:rFonts w:hint="eastAsia" w:ascii="宋体" w:hAnsi="宋体" w:eastAsia="宋体" w:cs="宋体"/>
          <w:bCs/>
          <w:color w:val="auto"/>
          <w:szCs w:val="21"/>
          <w:highlight w:val="none"/>
        </w:rPr>
        <w:t xml:space="preserve">主要施工内容</w:t>
      </w:r>
      <w:r>
        <w:rPr>
          <w:rFonts w:hint="eastAsia" w:ascii="宋体" w:hAnsi="宋体" w:eastAsia="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为南京体育学院综合体操馆新增新风系统及除尘系统</w:t>
      </w:r>
      <w:r>
        <w:rPr>
          <w:rFonts w:hint="eastAsia" w:ascii="宋体" w:hAnsi="宋体" w:eastAsia="宋体" w:cs="宋体"/>
          <w:bCs/>
          <w:color w:val="auto"/>
          <w:szCs w:val="21"/>
          <w:highlight w:val="none"/>
        </w:rPr>
        <w:t xml:space="preserve">。具体详见工程量清单。</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rPr>
          <w:rFonts w:hint="eastAsia" w:ascii="宋体" w:hAnsi="宋体" w:cs="宋体"/>
          <w:b/>
          <w:bCs/>
          <w:color w:val="auto"/>
          <w:szCs w:val="21"/>
          <w:highlight w:val="none"/>
          <w:lang w:val="en-US" w:eastAsia="zh-CN"/>
        </w:rPr>
        <w:t xml:space="preserve">合同形式及</w:t>
      </w:r>
      <w:r>
        <w:rPr>
          <w:rFonts w:hint="eastAsia" w:ascii="宋体" w:hAnsi="宋体" w:eastAsia="宋体" w:cs="宋体"/>
          <w:b/>
          <w:bCs/>
          <w:color w:val="auto"/>
          <w:szCs w:val="21"/>
          <w:highlight w:val="none"/>
        </w:rPr>
        <w:t xml:space="preserve">付款方式：</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Style w:val="1045"/>
          <w:rFonts w:hint="eastAsia" w:ascii="宋体" w:hAnsi="宋体" w:eastAsia="宋体" w:cs="宋体"/>
          <w:color w:val="auto"/>
          <w:szCs w:val="21"/>
          <w:highlight w:val="none"/>
        </w:rPr>
        <w:t xml:space="preserve">合同价格形式：固定单价合同。</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由采购人按下列程序付款。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3"/>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rPr>
        <w:t xml:space="preserve">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pStyle w:val="794"/>
        <w:ind w:firstLine="400"/>
        <w:rPr>
          <w:rFonts w:hint="eastAsia"/>
          <w:color w:val="auto"/>
          <w:highlight w:val="none"/>
        </w:rPr>
      </w:pPr>
      <w:r>
        <w:rPr>
          <w:rFonts w:hint="eastAsia" w:cs="宋体"/>
          <w:color w:val="auto"/>
          <w:szCs w:val="21"/>
          <w:highlight w:val="none"/>
          <w:u w:val="single"/>
        </w:rPr>
        <w:t xml:space="preserve">采购人有权根据工程进度的要求调整工程付款的时间和比例，供应商不得因此而提出异议。</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五、工期及地点：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服务期限（工期）：</w:t>
      </w:r>
      <w:r>
        <w:rPr>
          <w:rFonts w:hint="eastAsia" w:ascii="宋体" w:hAnsi="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 日历天</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服务地点：</w:t>
      </w:r>
      <w:r>
        <w:rPr>
          <w:rFonts w:hint="eastAsia" w:ascii="宋体" w:hAnsi="宋体" w:eastAsia="宋体" w:cs="宋体"/>
          <w:color w:val="auto"/>
          <w:szCs w:val="21"/>
          <w:highlight w:val="none"/>
        </w:rPr>
        <w:t xml:space="preserve">采购人指定地点。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六、工程量清单见附件。本项目暂列金额详见工程量清单。</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bidi="ar"/>
        </w:rPr>
        <w:t xml:space="preserve">工程质量保修要求：</w:t>
      </w:r>
      <w:r/>
    </w:p>
    <w:p>
      <w:pPr>
        <w:ind w:firstLine="420"/>
        <w:spacing w:line="360" w:lineRule="auto"/>
        <w:rPr>
          <w:rFonts w:eastAsia="宋体"/>
          <w:color w:val="auto"/>
          <w:highlight w:val="none"/>
        </w:rPr>
      </w:pPr>
      <w:r>
        <w:rPr>
          <w:rFonts w:hint="eastAsia" w:eastAsia="宋体"/>
          <w:color w:val="auto"/>
          <w:highlight w:val="none"/>
        </w:rPr>
        <w:t xml:space="preserve">本工程质量保修期从工程经过发包人或发包人上级项目管理部门或工程质量管理部门验收合格交付使用之日起算，截</w:t>
      </w:r>
      <w:r>
        <w:rPr>
          <w:rFonts w:hint="eastAsia" w:eastAsia="宋体"/>
          <w:color w:val="auto"/>
          <w:highlight w:val="none"/>
          <w:lang w:val="en-US" w:eastAsia="zh-CN"/>
        </w:rPr>
        <w:t xml:space="preserve">止</w:t>
      </w:r>
      <w:r>
        <w:rPr>
          <w:rFonts w:hint="eastAsia" w:eastAsia="宋体"/>
          <w:color w:val="auto"/>
          <w:highlight w:val="none"/>
        </w:rPr>
        <w:t xml:space="preserve">时间以投标书为准并不得低于法定期限。</w:t>
      </w:r>
      <w:r/>
    </w:p>
    <w:p>
      <w:pPr>
        <w:ind w:firstLine="420"/>
        <w:spacing w:line="360" w:lineRule="auto"/>
        <w:rPr>
          <w:rFonts w:hint="eastAsia" w:ascii="微软雅黑" w:hAnsi="微软雅黑" w:eastAsia="宋体" w:cs="微软雅黑"/>
          <w:color w:val="auto"/>
          <w:szCs w:val="21"/>
          <w:highlight w:val="none"/>
        </w:rPr>
      </w:pPr>
      <w:r>
        <w:rPr>
          <w:rFonts w:hint="eastAsia" w:eastAsia="宋体"/>
          <w:color w:val="auto"/>
          <w:highlight w:val="none"/>
        </w:rPr>
        <w:t xml:space="preserve">本项目的缺陷责任期为2年，从工程通过竣工验收之日起计算。</w:t>
      </w:r>
      <w:r/>
    </w:p>
    <w:p>
      <w:pPr>
        <w:ind w:firstLine="420"/>
        <w:jc w:val="left"/>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zh-CN" w:bidi="ar"/>
        </w:rPr>
        <w:t xml:space="preserve">缺陷责任期</w:t>
      </w:r>
      <w:r>
        <w:rPr>
          <w:rFonts w:hint="eastAsia" w:ascii="宋体" w:hAnsi="宋体" w:eastAsia="宋体" w:cs="宋体"/>
          <w:bCs/>
          <w:color w:val="auto"/>
          <w:szCs w:val="21"/>
          <w:highlight w:val="none"/>
          <w:lang w:val="zh-CN" w:eastAsia="zh-TW" w:bidi="ar"/>
        </w:rPr>
        <w:t xml:space="preserve">内若因供应商施工责任引起质量缺陷，供应商应该在双方约定期限内派人到场保修，并承担保修责任及保修费用。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八、验收要求：</w:t>
      </w:r>
      <w:r>
        <w:rPr>
          <w:rFonts w:hint="eastAsia" w:ascii="宋体" w:hAnsi="宋体" w:eastAsia="宋体" w:cs="宋体"/>
          <w:bCs/>
          <w:color w:val="auto"/>
          <w:szCs w:val="21"/>
          <w:highlight w:val="none"/>
          <w:lang w:bidi="ar"/>
        </w:rPr>
        <w:t xml:space="preserve">符合《建设工程质量管理条例》</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九、施工要求：</w:t>
      </w:r>
      <w:r/>
    </w:p>
    <w:p>
      <w:pPr>
        <w:ind w:firstLine="422"/>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eastAsia="zh-TW" w:bidi="ar"/>
        </w:rPr>
        <w:t xml:space="preserve">1</w:t>
      </w:r>
      <w:r>
        <w:rPr>
          <w:rFonts w:hint="eastAsia" w:ascii="宋体" w:hAnsi="宋体" w:eastAsia="宋体" w:cs="宋体"/>
          <w:b/>
          <w:color w:val="auto"/>
          <w:szCs w:val="21"/>
          <w:highlight w:val="none"/>
          <w:lang w:bidi="ar"/>
        </w:rPr>
        <w:t xml:space="preserve">、本项目</w:t>
      </w:r>
      <w:r>
        <w:rPr>
          <w:rFonts w:hint="eastAsia" w:ascii="宋体" w:hAnsi="宋体" w:eastAsia="宋体" w:cs="宋体"/>
          <w:b/>
          <w:color w:val="auto"/>
          <w:szCs w:val="21"/>
          <w:highlight w:val="none"/>
          <w:lang w:eastAsia="zh-TW" w:bidi="ar"/>
        </w:rPr>
        <w:t xml:space="preserve">供应商</w:t>
      </w:r>
      <w:r>
        <w:rPr>
          <w:rFonts w:hint="eastAsia" w:ascii="宋体" w:hAnsi="宋体" w:eastAsia="宋体" w:cs="宋体"/>
          <w:b/>
          <w:color w:val="auto"/>
          <w:szCs w:val="21"/>
          <w:highlight w:val="none"/>
          <w:lang w:bidi="ar"/>
        </w:rPr>
        <w:t xml:space="preserve">施工中应</w:t>
      </w:r>
      <w:r>
        <w:rPr>
          <w:rFonts w:hint="eastAsia" w:ascii="宋体" w:hAnsi="宋体" w:eastAsia="宋体" w:cs="宋体"/>
          <w:b/>
          <w:color w:val="auto"/>
          <w:szCs w:val="21"/>
          <w:highlight w:val="none"/>
          <w:lang w:eastAsia="zh-TW" w:bidi="ar"/>
        </w:rPr>
        <w:t xml:space="preserve">做到文明施工，做好施工现场及</w:t>
      </w:r>
      <w:r>
        <w:rPr>
          <w:rFonts w:hint="eastAsia" w:ascii="宋体" w:hAnsi="宋体" w:eastAsia="宋体" w:cs="宋体"/>
          <w:b/>
          <w:color w:val="auto"/>
          <w:szCs w:val="21"/>
          <w:highlight w:val="none"/>
          <w:lang w:bidi="ar"/>
        </w:rPr>
        <w:t xml:space="preserve">校</w:t>
      </w:r>
      <w:r>
        <w:rPr>
          <w:rFonts w:hint="eastAsia" w:ascii="宋体" w:hAnsi="宋体" w:eastAsia="宋体" w:cs="宋体"/>
          <w:b/>
          <w:color w:val="auto"/>
          <w:szCs w:val="21"/>
          <w:highlight w:val="none"/>
          <w:lang w:eastAsia="zh-TW" w:bidi="ar"/>
        </w:rPr>
        <w:t xml:space="preserve">内整洁，施工垃圾及时清运，</w:t>
      </w:r>
      <w:r>
        <w:rPr>
          <w:rFonts w:hint="eastAsia" w:ascii="宋体" w:hAnsi="宋体" w:eastAsia="宋体" w:cs="宋体"/>
          <w:b/>
          <w:color w:val="auto"/>
          <w:szCs w:val="21"/>
          <w:highlight w:val="none"/>
          <w:lang w:bidi="ar"/>
        </w:rPr>
        <w:t xml:space="preserve">工完场清，</w:t>
      </w:r>
      <w:r>
        <w:rPr>
          <w:rFonts w:hint="eastAsia" w:ascii="宋体" w:hAnsi="宋体" w:eastAsia="宋体" w:cs="宋体"/>
          <w:b/>
          <w:color w:val="auto"/>
          <w:szCs w:val="21"/>
          <w:highlight w:val="none"/>
          <w:lang w:eastAsia="zh-TW" w:bidi="ar"/>
        </w:rPr>
        <w:t xml:space="preserve">清运手续、费用由施工方自行解决。</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eastAsia="zh-TW" w:bidi="ar"/>
        </w:rPr>
        <w:t xml:space="preserve">2</w:t>
      </w:r>
      <w:r>
        <w:rPr>
          <w:rFonts w:hint="eastAsia" w:ascii="宋体" w:hAnsi="宋体" w:eastAsia="宋体" w:cs="宋体"/>
          <w:bCs/>
          <w:color w:val="auto"/>
          <w:szCs w:val="21"/>
          <w:highlight w:val="none"/>
          <w:lang w:bidi="ar"/>
        </w:rPr>
        <w:t xml:space="preserve">、</w:t>
      </w:r>
      <w:r>
        <w:rPr>
          <w:rFonts w:hint="eastAsia" w:ascii="宋体" w:hAnsi="宋体" w:eastAsia="宋体" w:cs="宋体"/>
          <w:bCs/>
          <w:color w:val="auto"/>
          <w:szCs w:val="21"/>
          <w:highlight w:val="none"/>
          <w:lang w:eastAsia="zh-TW" w:bidi="ar"/>
        </w:rPr>
        <w:t xml:space="preserve">所提供的施工材料必须符合国家质量检测、环境、安全等有关标准。</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3、</w:t>
      </w:r>
      <w:r>
        <w:rPr>
          <w:rFonts w:hint="eastAsia" w:ascii="宋体" w:hAnsi="宋体" w:eastAsia="宋体" w:cs="宋体"/>
          <w:bCs/>
          <w:color w:val="auto"/>
          <w:szCs w:val="21"/>
          <w:highlight w:val="none"/>
          <w:lang w:eastAsia="zh-TW" w:bidi="ar"/>
        </w:rPr>
        <w:t xml:space="preserve">推广绿色建材产品应用</w:t>
      </w:r>
      <w:r>
        <w:rPr>
          <w:rFonts w:hint="eastAsia" w:ascii="宋体" w:hAnsi="宋体" w:eastAsia="宋体" w:cs="宋体"/>
          <w:bCs/>
          <w:color w:val="auto"/>
          <w:szCs w:val="21"/>
          <w:highlight w:val="none"/>
          <w:lang w:bidi="ar"/>
        </w:rPr>
        <w:t xml:space="preserve">。</w:t>
      </w:r>
      <w:r>
        <w:rPr>
          <w:rFonts w:hint="eastAsia" w:ascii="宋体" w:hAnsi="宋体" w:eastAsia="宋体" w:cs="宋体"/>
          <w:color w:val="auto"/>
          <w:szCs w:val="21"/>
          <w:highlight w:val="none"/>
        </w:rPr>
        <w:t xml:space="preserve">本项目有关绿色采购要求执行苏财购【2023】65号文。供应商所提供的各类设备设施材料必须为环保、节能、安全产品。必须符合国家标准，有质量环保检验合格证明和有中文标识的产品名称、规格、型号、生产厂厂名、厂址等，不得用国家明令淘汰的建筑装饰装修材料和设备。材料、设备进场前需经采购人和监理验收合格后方可入场，如不符合质量要求和规格差异，应禁止使用。若已使用，对工程造成的损失由供应商负责。</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4、</w:t>
      </w:r>
      <w:r>
        <w:rPr>
          <w:rFonts w:hint="eastAsia" w:ascii="宋体" w:hAnsi="宋体" w:eastAsia="宋体" w:cs="宋体"/>
          <w:bCs/>
          <w:color w:val="auto"/>
          <w:szCs w:val="21"/>
          <w:highlight w:val="none"/>
          <w:lang w:eastAsia="zh-TW" w:bidi="ar"/>
        </w:rPr>
        <w:t xml:space="preserve">供应商必须严格遵守安全规程，加强安全纪律，持证上岗，施工时必须佩戴安全帽，高空作业时须系安全带，保证安全用电，做好防火工作等。</w:t>
      </w:r>
      <w:r/>
    </w:p>
    <w:p>
      <w:pPr>
        <w:ind w:firstLine="420"/>
        <w:spacing w:line="360" w:lineRule="auto"/>
        <w:rPr>
          <w:rFonts w:hint="eastAsia" w:ascii="宋体" w:hAnsi="宋体" w:eastAsia="宋体" w:cs="宋体"/>
          <w:bCs/>
          <w:color w:val="auto"/>
          <w:szCs w:val="21"/>
          <w:highlight w:val="none"/>
          <w:lang w:val="zh-CN" w:eastAsia="zh-TW"/>
        </w:rPr>
      </w:pPr>
      <w:r>
        <w:rPr>
          <w:rFonts w:hint="eastAsia" w:ascii="宋体" w:hAnsi="宋体" w:eastAsia="宋体" w:cs="宋体"/>
          <w:bCs/>
          <w:color w:val="auto"/>
          <w:szCs w:val="21"/>
          <w:highlight w:val="none"/>
          <w:lang w:bidi="ar"/>
        </w:rPr>
        <w:t xml:space="preserve">6、</w:t>
      </w:r>
      <w:r>
        <w:rPr>
          <w:rFonts w:hint="eastAsia" w:ascii="宋体" w:hAnsi="宋体" w:eastAsia="宋体" w:cs="宋体"/>
          <w:bCs/>
          <w:color w:val="auto"/>
          <w:szCs w:val="21"/>
          <w:highlight w:val="none"/>
          <w:lang w:val="zh-CN" w:eastAsia="zh-TW" w:bidi="ar"/>
        </w:rPr>
        <w:t xml:space="preserve">工程量清单报价应包含完成本工程内容所需的全部费用，包括且不限于分部分项工程费、措施项目费、其它项目费和税金、考虑风险因素而调整的费用、完成磋商文件中的要求而发生的费用等。</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bidi="ar"/>
        </w:rPr>
        <w:t xml:space="preserve">7</w:t>
      </w:r>
      <w:r>
        <w:rPr>
          <w:rFonts w:hint="eastAsia" w:ascii="宋体" w:hAnsi="宋体" w:eastAsia="宋体" w:cs="宋体"/>
          <w:bCs/>
          <w:color w:val="auto"/>
          <w:szCs w:val="21"/>
          <w:highlight w:val="none"/>
          <w:lang w:val="zh-CN" w:eastAsia="zh-TW" w:bidi="ar"/>
        </w:rPr>
        <w:t xml:space="preserve">、临时用水、用电，请供应商自行考虑并计入综合报价内。</w:t>
      </w:r>
      <w:r>
        <w:rPr>
          <w:rFonts w:hint="eastAsia" w:ascii="宋体" w:hAnsi="宋体" w:eastAsia="宋体" w:cs="宋体"/>
          <w:color w:val="auto"/>
          <w:szCs w:val="21"/>
          <w:highlight w:val="none"/>
        </w:rPr>
        <w:t xml:space="preserve">水电费用由采购人指定人员抄表，根据用量按实缴纳，由采购人代缴的将从工程款中予以扣回。</w:t>
      </w:r>
      <w:r/>
    </w:p>
    <w:p>
      <w:pPr>
        <w:ind w:firstLine="420"/>
        <w:spacing w:line="360" w:lineRule="auto"/>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bidi="ar"/>
        </w:rPr>
        <w:t xml:space="preserve">8</w:t>
      </w:r>
      <w:r>
        <w:rPr>
          <w:rFonts w:hint="eastAsia" w:ascii="宋体" w:hAnsi="宋体" w:eastAsia="宋体" w:cs="宋体"/>
          <w:bCs/>
          <w:color w:val="auto"/>
          <w:szCs w:val="21"/>
          <w:highlight w:val="none"/>
          <w:lang w:val="zh-CN" w:eastAsia="zh-TW" w:bidi="ar"/>
        </w:rPr>
        <w:t xml:space="preserve">、对于江苏省、南京市相关部门对工程施工要求所发的文件规定，特别是对于工程围挡、扬尘控制等的要求，请供应商在报价中充分考虑，结算时不得增加与此有关的费用。</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9、</w:t>
      </w:r>
      <w:r>
        <w:rPr>
          <w:rFonts w:hint="eastAsia" w:ascii="宋体" w:hAnsi="宋体" w:eastAsia="宋体" w:cs="宋体"/>
          <w:bCs/>
          <w:color w:val="auto"/>
          <w:szCs w:val="21"/>
          <w:highlight w:val="none"/>
          <w:lang w:eastAsia="zh-TW" w:bidi="ar"/>
        </w:rPr>
        <w:t xml:space="preserve">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bidi="ar"/>
        </w:rPr>
        <w:t xml:space="preserve">10、</w:t>
      </w:r>
      <w:r>
        <w:rPr>
          <w:rFonts w:hint="eastAsia" w:ascii="宋体" w:hAnsi="宋体" w:eastAsia="宋体" w:cs="宋体"/>
          <w:bCs/>
          <w:color w:val="auto"/>
          <w:szCs w:val="21"/>
          <w:highlight w:val="none"/>
          <w:lang w:eastAsia="zh-TW" w:bidi="ar"/>
        </w:rPr>
        <w:t xml:space="preserve">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color w:val="auto"/>
          <w:szCs w:val="21"/>
          <w:highlight w:val="none"/>
          <w:lang w:bidi="ar"/>
        </w:rPr>
        <w:t xml:space="preserve">11</w:t>
      </w:r>
      <w:r>
        <w:rPr>
          <w:rFonts w:hint="eastAsia" w:ascii="宋体" w:hAnsi="宋体" w:eastAsia="宋体" w:cs="宋体"/>
          <w:bCs/>
          <w:color w:val="auto"/>
          <w:szCs w:val="21"/>
          <w:highlight w:val="none"/>
          <w:lang w:val="zh-CN" w:eastAsia="zh-TW" w:bidi="ar"/>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zh-CN" w:eastAsia="zh-TW" w:bidi="ar"/>
        </w:rPr>
      </w:r>
      <w:r/>
    </w:p>
    <w:p>
      <w:pPr>
        <w:numPr>
          <w:ilvl w:val="0"/>
          <w:numId w:val="4"/>
        </w:numPr>
        <w:ind w:firstLine="0"/>
        <w:rPr>
          <w:rFonts w:hint="eastAsia" w:eastAsia="宋体"/>
          <w:color w:val="auto"/>
          <w:highlight w:val="none"/>
          <w:lang w:val="en-US" w:eastAsia="zh-CN"/>
        </w:rPr>
      </w:pPr>
      <w:r>
        <w:rPr>
          <w:rFonts w:hint="eastAsia" w:ascii="宋体" w:hAnsi="宋体" w:eastAsia="宋体" w:cs="宋体"/>
          <w:b/>
          <w:bCs/>
          <w:color w:val="auto"/>
          <w:szCs w:val="21"/>
          <w:highlight w:val="none"/>
          <w:lang w:bidi="ar"/>
        </w:rPr>
        <w:t xml:space="preserve">附件：</w:t>
      </w:r>
      <w:r>
        <w:rPr>
          <w:rFonts w:hint="eastAsia" w:ascii="宋体" w:hAnsi="宋体" w:eastAsia="宋体" w:cs="宋体"/>
          <w:b/>
          <w:bCs/>
          <w:color w:val="auto"/>
          <w:szCs w:val="21"/>
          <w:highlight w:val="none"/>
          <w:lang w:val="en-US" w:eastAsia="zh-CN" w:bidi="ar"/>
        </w:rPr>
        <w:t xml:space="preserve">工程量</w:t>
      </w:r>
      <w:r>
        <w:rPr>
          <w:rFonts w:hint="eastAsia" w:ascii="宋体" w:hAnsi="宋体" w:eastAsia="宋体" w:cs="宋体"/>
          <w:b/>
          <w:bCs/>
          <w:color w:val="auto"/>
          <w:szCs w:val="21"/>
          <w:highlight w:val="none"/>
          <w:lang w:bidi="ar"/>
        </w:rPr>
        <w:t xml:space="preserve">清单</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图纸、编制说明</w:t>
      </w:r>
      <w:r/>
    </w:p>
    <w:p>
      <w:pPr>
        <w:pStyle w:val="1039"/>
        <w:numPr>
          <w:ilvl w:val="0"/>
          <w:numId w:val="0"/>
        </w:num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39"/>
        <w:numPr>
          <w:ilvl w:val="0"/>
          <w:numId w:val="0"/>
        </w:numPr>
        <w:jc w:val="center"/>
        <w:rPr>
          <w:rFonts w:hint="eastAsia" w:ascii="宋体" w:hAnsi="宋体" w:cs="宋体"/>
          <w:color w:val="auto"/>
          <w:highlight w:val="none"/>
        </w:rPr>
      </w:pPr>
      <w:r/>
      <w:bookmarkStart w:id="110" w:name="_Toc3304"/>
      <w:r>
        <w:rPr>
          <w:rFonts w:ascii="Microsoft New Tai Lue" w:hAnsi="Microsoft New Tai Lue" w:cs="Microsoft New Tai Lue"/>
          <w:color w:val="auto"/>
          <w:highlight w:val="none"/>
        </w:rPr>
        <w:br w:type="page" w:clear="all"/>
      </w:r>
      <w:bookmarkStart w:id="111" w:name="_Toc10724627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bookmarkEnd w:id="111"/>
      <w:r>
        <w:rPr>
          <w:rFonts w:hint="eastAsia" w:ascii="宋体" w:hAnsi="宋体" w:cs="宋体"/>
          <w:color w:val="auto"/>
          <w:highlight w:val="none"/>
        </w:rPr>
        <w:t xml:space="preserve">政府采购合同条款及格式</w:t>
      </w:r>
      <w:bookmarkEnd w:id="110"/>
      <w:r/>
      <w:r/>
    </w:p>
    <w:p>
      <w:pPr>
        <w:ind w:firstLine="372"/>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spacing w:line="440" w:lineRule="exact"/>
        <w:widowControl/>
        <w:rPr>
          <w:rFonts w:hint="eastAsia" w:ascii="宋体" w:hAnsi="宋体" w:eastAsia="宋体" w:cs="宋体"/>
          <w:color w:val="auto"/>
          <w:sz w:val="28"/>
          <w:szCs w:val="28"/>
          <w:highlight w:val="none"/>
          <w:lang w:eastAsia="zh-CN"/>
        </w:rPr>
      </w:pPr>
      <w:r/>
      <w:bookmarkStart w:id="112" w:name="_Toc31252"/>
      <w:r/>
      <w:bookmarkStart w:id="113" w:name="_Toc5487"/>
      <w:r/>
      <w:bookmarkStart w:id="114" w:name="_Toc17754"/>
      <w:r/>
      <w:bookmarkStart w:id="115" w:name="_Toc31618"/>
      <w:r/>
      <w:bookmarkStart w:id="116" w:name="_Toc14567"/>
      <w:r/>
      <w:bookmarkStart w:id="117" w:name="_Toc15150"/>
      <w:r>
        <w:rPr>
          <w:rStyle w:val="1044"/>
          <w:rFonts w:hint="eastAsia" w:ascii="宋体" w:hAnsi="宋体" w:eastAsia="宋体" w:cs="宋体"/>
          <w:color w:val="auto"/>
          <w:sz w:val="28"/>
          <w:szCs w:val="28"/>
          <w:highlight w:val="none"/>
        </w:rPr>
        <w:t xml:space="preserve">第一部分 合同协议书</w:t>
      </w:r>
      <w:bookmarkEnd w:id="112"/>
      <w:r/>
      <w:bookmarkEnd w:id="113"/>
      <w:r/>
      <w:bookmarkEnd w:id="114"/>
      <w:r/>
      <w:bookmarkEnd w:id="115"/>
      <w:r/>
      <w:bookmarkEnd w:id="116"/>
      <w:r/>
      <w:bookmarkEnd w:id="117"/>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发包人（全称）：</w:t>
      </w:r>
      <w:r>
        <w:rPr>
          <w:rStyle w:val="1045"/>
          <w:rFonts w:hint="eastAsia" w:ascii="宋体" w:hAnsi="宋体" w:eastAsia="宋体" w:cs="宋体"/>
          <w:color w:val="auto"/>
          <w:szCs w:val="21"/>
          <w:highlight w:val="none"/>
          <w:u w:val="single"/>
        </w:rPr>
        <w:t xml:space="preserve">南京体育学院</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承包人（全称）：</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6"/>
          <w:rFonts w:hint="eastAsia" w:ascii="宋体" w:hAnsi="宋体" w:eastAsia="宋体" w:cs="宋体"/>
          <w:color w:val="auto"/>
          <w:szCs w:val="21"/>
          <w:highlight w:val="none"/>
        </w:rPr>
        <w:t xml:space="preserve">    根据《中华人民共和国建筑法》、《中华人民共和国民法典》及有关法律、法规、规章，按照</w:t>
      </w:r>
      <w:r>
        <w:rPr>
          <w:rStyle w:val="1046"/>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的情况</w:t>
      </w:r>
      <w:r>
        <w:rPr>
          <w:rStyle w:val="1047"/>
          <w:rFonts w:hint="eastAsia" w:ascii="宋体" w:hAnsi="宋体" w:eastAsia="宋体" w:cs="宋体"/>
          <w:color w:val="auto"/>
          <w:szCs w:val="21"/>
          <w:highlight w:val="none"/>
          <w:u w:val="none"/>
        </w:rPr>
        <w:t xml:space="preserve">，</w:t>
      </w:r>
      <w:r>
        <w:rPr>
          <w:rStyle w:val="1046"/>
          <w:rFonts w:hint="eastAsia" w:ascii="宋体" w:hAnsi="宋体" w:eastAsia="宋体" w:cs="宋体"/>
          <w:color w:val="auto"/>
          <w:szCs w:val="21"/>
          <w:highlight w:val="none"/>
        </w:rPr>
        <w:t xml:space="preserve">遵循平等、自愿、公平和诚实信用的原则，双方就</w:t>
      </w:r>
      <w:r>
        <w:rPr>
          <w:rStyle w:val="1046"/>
          <w:rFonts w:hint="eastAsia" w:ascii="宋体" w:hAnsi="宋体" w:eastAsia="宋体" w:cs="宋体"/>
          <w:color w:val="auto"/>
          <w:szCs w:val="21"/>
          <w:highlight w:val="none"/>
          <w:u w:val="single"/>
        </w:rPr>
        <w:t xml:space="preserve"> </w:t>
      </w:r>
      <w:r>
        <w:rPr>
          <w:rStyle w:val="1046"/>
          <w:rFonts w:hint="eastAsia" w:ascii="宋体" w:hAnsi="宋体" w:cs="宋体"/>
          <w:color w:val="auto"/>
          <w:szCs w:val="21"/>
          <w:highlight w:val="none"/>
          <w:u w:val="single"/>
          <w:lang w:val="en-US" w:eastAsia="zh-CN"/>
        </w:rPr>
        <w:t xml:space="preserve">    </w:t>
      </w:r>
      <w:r>
        <w:rPr>
          <w:rStyle w:val="1046"/>
          <w:rFonts w:hint="eastAsia" w:ascii="宋体" w:hAnsi="宋体" w:eastAsia="宋体" w:cs="宋体"/>
          <w:color w:val="auto"/>
          <w:szCs w:val="21"/>
          <w:highlight w:val="none"/>
        </w:rPr>
        <w:t xml:space="preserve">及有关事项，经充分协商，共同达成如下协议：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一、工程概况</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1.工程名称：</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2.工程地点：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3.工程立项批准文号：</w:t>
      </w:r>
      <w:r>
        <w:rPr>
          <w:rStyle w:val="1046"/>
          <w:rFonts w:hint="eastAsia" w:ascii="宋体" w:hAnsi="宋体" w:eastAsia="宋体" w:cs="宋体"/>
          <w:color w:val="auto"/>
          <w:szCs w:val="21"/>
          <w:highlight w:val="none"/>
          <w:u w:val="single"/>
        </w:rPr>
        <w:t xml:space="preserve">  /  </w:t>
      </w:r>
      <w:r>
        <w:rPr>
          <w:rStyle w:val="1046"/>
          <w:rFonts w:hint="eastAsia" w:ascii="宋体" w:hAnsi="宋体" w:eastAsia="宋体" w:cs="宋体"/>
          <w:color w:val="auto"/>
          <w:szCs w:val="21"/>
          <w:highlight w:val="none"/>
        </w:rPr>
        <w:t xml:space="preserve">。</w:t>
      </w:r>
      <w:r>
        <w:rPr>
          <w:rStyle w:val="1045"/>
          <w:rFonts w:hint="eastAsia" w:ascii="宋体" w:hAnsi="宋体" w:eastAsia="宋体" w:cs="宋体"/>
          <w:color w:val="auto"/>
          <w:szCs w:val="21"/>
          <w:highlight w:val="none"/>
        </w:rPr>
        <w:t xml:space="preserve">    </w:t>
      </w:r>
      <w:r>
        <w:rPr>
          <w:rStyle w:val="1046"/>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4.工程内容：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5.工程承包范围：</w:t>
      </w:r>
      <w:r>
        <w:rPr>
          <w:rStyle w:val="1047"/>
          <w:rFonts w:hint="eastAsia" w:ascii="宋体" w:hAnsi="宋体" w:eastAsia="宋体" w:cs="宋体"/>
          <w:color w:val="auto"/>
          <w:szCs w:val="21"/>
          <w:highlight w:val="none"/>
        </w:rPr>
        <w:t xml:space="preserve">采购文件、</w:t>
      </w:r>
      <w:r>
        <w:rPr>
          <w:rStyle w:val="1046"/>
          <w:rFonts w:hint="eastAsia" w:ascii="宋体" w:hAnsi="宋体" w:eastAsia="宋体" w:cs="宋体"/>
          <w:color w:val="auto"/>
          <w:szCs w:val="21"/>
          <w:highlight w:val="none"/>
          <w:u w:val="single"/>
        </w:rPr>
        <w:t xml:space="preserve">工程量清单所示的所有工程内容。</w:t>
      </w:r>
      <w:r/>
    </w:p>
    <w:p>
      <w:pPr>
        <w:spacing w:line="440" w:lineRule="exact"/>
        <w:rPr>
          <w:rFonts w:hint="eastAsia" w:ascii="宋体" w:hAnsi="宋体" w:eastAsia="宋体" w:cs="宋体"/>
          <w:color w:val="auto"/>
          <w:szCs w:val="21"/>
          <w:highlight w:val="none"/>
          <w:lang w:eastAsia="zh-CN"/>
        </w:rPr>
      </w:pPr>
      <w:r>
        <w:rPr>
          <w:rStyle w:val="1045"/>
          <w:rFonts w:hint="eastAsia" w:ascii="宋体" w:hAnsi="宋体" w:eastAsia="宋体" w:cs="宋体"/>
          <w:color w:val="auto"/>
          <w:szCs w:val="21"/>
          <w:highlight w:val="none"/>
        </w:rPr>
        <w:t xml:space="preserve">二、合同工期</w:t>
      </w:r>
      <w:r>
        <w:rPr>
          <w:rStyle w:val="1045"/>
          <w:rFonts w:hint="eastAsia" w:ascii="宋体" w:hAnsi="宋体" w:cs="宋体"/>
          <w:color w:val="auto"/>
          <w:szCs w:val="21"/>
          <w:highlight w:val="none"/>
          <w:lang w:eastAsia="zh-CN"/>
        </w:rPr>
        <w:tab/>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工期总日历天数：</w:t>
      </w:r>
      <w:r>
        <w:rPr>
          <w:rStyle w:val="1045"/>
          <w:rFonts w:hint="eastAsia" w:ascii="宋体" w:hAnsi="宋体" w:eastAsia="宋体" w:cs="宋体"/>
          <w:color w:val="auto"/>
          <w:szCs w:val="21"/>
          <w:highlight w:val="none"/>
          <w:u w:val="single"/>
        </w:rPr>
        <w:t xml:space="preserve">  </w:t>
      </w:r>
      <w:r>
        <w:rPr>
          <w:rStyle w:val="1045"/>
          <w:rFonts w:hint="eastAsia" w:ascii="宋体" w:hAnsi="宋体" w:cs="宋体"/>
          <w:color w:val="auto"/>
          <w:szCs w:val="21"/>
          <w:highlight w:val="none"/>
          <w:u w:val="single"/>
          <w:lang w:val="en-US" w:eastAsia="zh-CN"/>
        </w:rPr>
        <w:t xml:space="preserve">  </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天。（具体开工时间以甲方通知为准）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三、质量标准</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工程质量：</w:t>
      </w:r>
      <w:r>
        <w:rPr>
          <w:rStyle w:val="1046"/>
          <w:rFonts w:hint="eastAsia" w:ascii="宋体" w:hAnsi="宋体" w:eastAsia="宋体" w:cs="宋体"/>
          <w:color w:val="auto"/>
          <w:szCs w:val="21"/>
          <w:highlight w:val="none"/>
        </w:rPr>
        <w:t xml:space="preserve">符合现行国家最新质量验收标准。</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四、缺陷责任期​</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本工程的缺陷责任期为两年，从工程通过竣工验收之日起计。</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五、签约合同价与合同价格形式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1.签约合同价为：        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其中：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（1）安全</w:t>
      </w:r>
      <w:r>
        <w:rPr>
          <w:rStyle w:val="1045"/>
          <w:rFonts w:hint="eastAsia" w:ascii="宋体" w:hAnsi="宋体" w:cs="宋体"/>
          <w:color w:val="auto"/>
          <w:szCs w:val="21"/>
          <w:highlight w:val="none"/>
          <w:lang w:val="en-US" w:eastAsia="zh-CN"/>
        </w:rPr>
        <w:t xml:space="preserve">生产措施费费率</w:t>
      </w:r>
      <w:r>
        <w:rPr>
          <w:rStyle w:val="1045"/>
          <w:rFonts w:hint="eastAsia" w:ascii="宋体" w:hAnsi="宋体" w:eastAsia="宋体" w:cs="宋体"/>
          <w:color w:val="auto"/>
          <w:szCs w:val="21"/>
          <w:highlight w:val="none"/>
        </w:rPr>
        <w:t xml:space="preserve">：</w:t>
      </w:r>
      <w:r>
        <w:rPr>
          <w:rStyle w:val="1045"/>
          <w:rFonts w:hint="eastAsia" w:ascii="宋体" w:hAnsi="宋体" w:cs="宋体"/>
          <w:color w:val="auto"/>
          <w:szCs w:val="21"/>
          <w:highlight w:val="none"/>
          <w:u w:val="single"/>
          <w:lang w:val="en-US" w:eastAsia="zh-CN"/>
        </w:rPr>
        <w:t xml:space="preserve">          </w:t>
      </w:r>
      <w:r>
        <w:rPr>
          <w:rStyle w:val="1045"/>
          <w:rFonts w:hint="eastAsia" w:ascii="宋体" w:hAnsi="宋体" w:eastAsia="宋体" w:cs="宋体"/>
          <w:color w:val="auto"/>
          <w:szCs w:val="21"/>
          <w:highlight w:val="none"/>
        </w:rPr>
        <w:t xml:space="preserve">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（2）材料和工程设备暂估价金额：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（3）专业工程暂估价金额：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（4）暂列金额：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2.合同价格形式：固定单价合同。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六、项目经理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承包人项目经理：</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七、合同文件构成</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本协议书与下列文件一起构成合同文件：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（1）成交通知书；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（2）响应函及其附录；</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（3）专用合同条款及其附件；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（4）通用合同条款；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（5）技术标准和要求；</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（6）图纸；</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（7）已标价工程量清单或预算书；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（8）采购文件及附件，响应文件及附件；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（9）其他合同文件。</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在合同订立及履行过程中形成的与合同有关的文件均构成合同文件组成部分。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上述各项合同文件包括合同当事人就该项合同文件所作出的补充和修改，属于同一类内容的文件，应以最新签署的为准。专用合同条款及其附件须经合同当事人签字并盖章。</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八、承诺</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1.发包人承诺按照法律规定筹集工程建设资金并按照合同约定的期限和方式支付合同价款。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2.承包人承诺按照法律规定及合同约定组织完成工程施工，确保工程质量和安全，不进行转包及违法分包，并在缺陷责任期及保修期内承担相应的工程维修责任。</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九、词语含义</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本协议书中词语含义与第二部分通用合同条款中赋予的含义相同。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十、补充协议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合同未尽事宜，合同当事人另行签订补充协议，补充协议是合同的组成部分。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十一、合同生效</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本合同自</w:t>
      </w:r>
      <w:r>
        <w:rPr>
          <w:rStyle w:val="1046"/>
          <w:rFonts w:hint="eastAsia" w:ascii="宋体" w:hAnsi="宋体" w:eastAsia="宋体" w:cs="宋体"/>
          <w:color w:val="auto"/>
          <w:szCs w:val="21"/>
          <w:highlight w:val="none"/>
          <w:u w:val="single"/>
        </w:rPr>
        <w:t xml:space="preserve">双方签字并盖章后</w:t>
      </w:r>
      <w:r>
        <w:rPr>
          <w:rStyle w:val="1045"/>
          <w:rFonts w:hint="eastAsia" w:ascii="宋体" w:hAnsi="宋体" w:eastAsia="宋体" w:cs="宋体"/>
          <w:color w:val="auto"/>
          <w:szCs w:val="21"/>
          <w:highlight w:val="none"/>
        </w:rPr>
        <w:t xml:space="preserve">生效。</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十二、合同份数</w:t>
      </w:r>
      <w:r/>
    </w:p>
    <w:p>
      <w:pPr>
        <w:ind w:firstLine="48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本合同一式</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6</w:t>
      </w:r>
      <w:r>
        <w:rPr>
          <w:rStyle w:val="1045"/>
          <w:rFonts w:hint="eastAsia" w:ascii="宋体" w:hAnsi="宋体" w:eastAsia="宋体" w:cs="宋体"/>
          <w:color w:val="auto"/>
          <w:szCs w:val="21"/>
          <w:highlight w:val="none"/>
        </w:rPr>
        <w:t xml:space="preserve">份，均具有同等法律效力，发包人执</w:t>
      </w:r>
      <w:r>
        <w:rPr>
          <w:rStyle w:val="1008"/>
          <w:rFonts w:hint="eastAsia" w:ascii="宋体" w:hAnsi="宋体" w:eastAsia="宋体" w:cs="宋体"/>
          <w:color w:val="auto"/>
          <w:szCs w:val="21"/>
          <w:highlight w:val="none"/>
          <w:u w:val="single"/>
        </w:rPr>
        <w:t xml:space="preserve">  4  </w:t>
      </w:r>
      <w:r>
        <w:rPr>
          <w:rStyle w:val="1045"/>
          <w:rFonts w:hint="eastAsia" w:ascii="宋体" w:hAnsi="宋体" w:eastAsia="宋体" w:cs="宋体"/>
          <w:color w:val="auto"/>
          <w:szCs w:val="21"/>
          <w:highlight w:val="none"/>
        </w:rPr>
        <w:t xml:space="preserve">份，承包人执</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2</w:t>
      </w:r>
      <w:r>
        <w:rPr>
          <w:rStyle w:val="1045"/>
          <w:rFonts w:hint="eastAsia" w:ascii="宋体" w:hAnsi="宋体" w:eastAsia="宋体" w:cs="宋体"/>
          <w:color w:val="auto"/>
          <w:szCs w:val="21"/>
          <w:highlight w:val="none"/>
        </w:rPr>
        <w:t xml:space="preserve">份。</w:t>
      </w:r>
      <w:r/>
    </w:p>
    <w:p>
      <w:pPr>
        <w:ind w:firstLine="420"/>
        <w:spacing w:line="440" w:lineRule="exact"/>
        <w:rPr>
          <w:rStyle w:val="1008"/>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甲方（盖章）：                         乙方（盖章）：</w:t>
      </w:r>
      <w:r/>
    </w:p>
    <w:p>
      <w:pPr>
        <w:ind w:left="4200" w:hanging="378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地址：                                 地址：</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电话：                                 电话：</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代表签字：                             代表签字：</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开户银行：                             开户银行：</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行号：                                 行号：</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帐号：                                 帐号：</w:t>
      </w:r>
      <w:r/>
    </w:p>
    <w:p>
      <w:pPr>
        <w:ind w:left="0" w:firstLine="420"/>
        <w:jc w:val="both"/>
        <w:spacing w:line="440" w:lineRule="exact"/>
        <w:widowControl w:val="off"/>
        <w:rPr>
          <w:rFonts w:hint="eastAsia" w:ascii="宋体" w:hAnsi="宋体" w:eastAsia="宋体" w:cs="宋体"/>
          <w:b/>
          <w:color w:val="auto"/>
          <w:position w:val="-10"/>
          <w:sz w:val="24"/>
          <w:szCs w:val="21"/>
          <w:highlight w:val="none"/>
          <w:lang w:eastAsia="zh-CN"/>
        </w:rPr>
      </w:pPr>
      <w:r>
        <w:rPr>
          <w:rStyle w:val="1008"/>
          <w:rFonts w:hint="eastAsia" w:ascii="宋体" w:hAnsi="宋体" w:eastAsia="宋体" w:cs="宋体"/>
          <w:b w:val="0"/>
          <w:color w:val="auto"/>
          <w:position w:val="0"/>
          <w:sz w:val="21"/>
          <w:szCs w:val="21"/>
          <w:highlight w:val="none"/>
          <w:lang w:eastAsia="zh-CN"/>
        </w:rPr>
        <w:t xml:space="preserve">日期：                                 日期：    </w:t>
      </w:r>
      <w:r>
        <w:rPr>
          <w:rStyle w:val="1046"/>
          <w:rFonts w:hint="eastAsia" w:ascii="宋体" w:hAnsi="宋体" w:eastAsia="宋体" w:cs="宋体"/>
          <w:b/>
          <w:color w:val="auto"/>
          <w:position w:val="-10"/>
          <w:sz w:val="21"/>
          <w:szCs w:val="21"/>
          <w:highlight w:val="none"/>
          <w:lang w:eastAsia="zh-CN"/>
        </w:rPr>
        <w:t xml:space="preserve">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Style w:val="1044"/>
          <w:rFonts w:hint="eastAsia" w:ascii="微软雅黑" w:hAnsi="微软雅黑" w:eastAsia="宋体" w:cs="微软雅黑"/>
          <w:color w:val="auto"/>
          <w:szCs w:val="21"/>
          <w:highlight w:val="none"/>
        </w:rPr>
      </w:pPr>
      <w:r>
        <w:rPr>
          <w:rStyle w:val="1044"/>
          <w:rFonts w:hint="eastAsia" w:ascii="微软雅黑" w:hAnsi="微软雅黑" w:eastAsia="宋体" w:cs="微软雅黑"/>
          <w:color w:val="auto"/>
          <w:szCs w:val="21"/>
          <w:highlight w:val="none"/>
        </w:rPr>
        <w:br w:type="page" w:clear="all"/>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18" w:name="_Toc28433"/>
      <w:r/>
      <w:bookmarkStart w:id="119" w:name="_Toc11391"/>
      <w:r/>
      <w:bookmarkStart w:id="120" w:name="_Toc19227"/>
      <w:r>
        <w:rPr>
          <w:rStyle w:val="1044"/>
          <w:rFonts w:hint="eastAsia" w:ascii="宋体" w:hAnsi="宋体" w:eastAsia="宋体" w:cs="宋体"/>
          <w:color w:val="auto"/>
          <w:sz w:val="28"/>
          <w:szCs w:val="28"/>
          <w:highlight w:val="none"/>
        </w:rPr>
        <w:t xml:space="preserve">第二部分  合同通用条款</w:t>
      </w:r>
      <w:bookmarkEnd w:id="118"/>
      <w:r/>
      <w:bookmarkEnd w:id="119"/>
      <w:r/>
      <w:bookmarkEnd w:id="120"/>
      <w:r/>
      <w:r/>
    </w:p>
    <w:p>
      <w:pPr>
        <w:ind w:firstLine="52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此部分采用《建设工程施工合同》范本（GF-2017-0201）中《第二部分  通用条款》</w:t>
      </w:r>
      <w:r/>
    </w:p>
    <w:p>
      <w:pPr>
        <w:ind w:firstLine="420"/>
        <w:spacing w:line="440" w:lineRule="exact"/>
        <w:tabs>
          <w:tab w:val="left" w:pos="1440" w:leader="none"/>
        </w:tabs>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21" w:name="_Toc18549"/>
      <w:r/>
      <w:bookmarkStart w:id="122" w:name="_Toc20759"/>
      <w:r/>
      <w:bookmarkStart w:id="123" w:name="_Toc15113"/>
      <w:r>
        <w:rPr>
          <w:rStyle w:val="1044"/>
          <w:rFonts w:hint="eastAsia" w:ascii="宋体" w:hAnsi="宋体" w:eastAsia="宋体" w:cs="宋体"/>
          <w:color w:val="auto"/>
          <w:sz w:val="28"/>
          <w:szCs w:val="28"/>
          <w:highlight w:val="none"/>
        </w:rPr>
        <w:t xml:space="preserve">第三部分  合同专用条款</w:t>
      </w:r>
      <w:bookmarkEnd w:id="121"/>
      <w:r/>
      <w:bookmarkEnd w:id="122"/>
      <w:r/>
      <w:bookmarkEnd w:id="123"/>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4" w:name="_Toc17883"/>
      <w:r/>
      <w:bookmarkStart w:id="125" w:name="_Toc22627"/>
      <w:r/>
      <w:bookmarkStart w:id="126" w:name="_Toc22177"/>
      <w:r/>
      <w:bookmarkStart w:id="127" w:name="_Toc14128"/>
      <w:r/>
      <w:bookmarkStart w:id="128" w:name="_Toc25357"/>
      <w:r>
        <w:rPr>
          <w:rFonts w:hint="eastAsia" w:ascii="宋体" w:hAnsi="宋体" w:eastAsia="宋体" w:cs="宋体"/>
          <w:b/>
          <w:bCs w:val="0"/>
          <w:color w:val="auto"/>
          <w:sz w:val="21"/>
          <w:szCs w:val="21"/>
          <w:highlight w:val="none"/>
          <w:lang w:eastAsia="zh-CN"/>
        </w:rPr>
        <w:t xml:space="preserve">1 一般约定</w:t>
      </w:r>
      <w:bookmarkEnd w:id="124"/>
      <w:r/>
      <w:bookmarkEnd w:id="125"/>
      <w:r/>
      <w:bookmarkEnd w:id="126"/>
      <w:r/>
      <w:bookmarkEnd w:id="127"/>
      <w:r/>
      <w:bookmarkEnd w:id="128"/>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 合同文件的优先顺序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组成本合同的文件及优先解释顺序如下：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2、成交通知书；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3、本合同专用条款；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4、本合同通用条款；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5、标准、规范及有关技术文件；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6、工程量清单；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7、采购文件、响应文件及其附件（含：承包人投标过程所作承诺）；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8、合同履行中，发包人承包人有关工程的洽商、变更等书面协议或文件视为本合同的组成。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9" w:name="_Toc16546"/>
      <w:r/>
      <w:bookmarkStart w:id="130" w:name="_Toc4008"/>
      <w:r/>
      <w:bookmarkStart w:id="131" w:name="_Toc3063"/>
      <w:r/>
      <w:bookmarkStart w:id="132" w:name="_Toc2013"/>
      <w:r/>
      <w:bookmarkStart w:id="133" w:name="_Toc13537"/>
      <w:r>
        <w:rPr>
          <w:rFonts w:hint="eastAsia" w:ascii="宋体" w:hAnsi="宋体" w:eastAsia="宋体" w:cs="宋体"/>
          <w:b/>
          <w:bCs w:val="0"/>
          <w:color w:val="auto"/>
          <w:sz w:val="21"/>
          <w:szCs w:val="21"/>
          <w:highlight w:val="none"/>
          <w:lang w:eastAsia="zh-CN"/>
        </w:rPr>
        <w:t xml:space="preserve">2 发包人义务</w:t>
      </w:r>
      <w:bookmarkEnd w:id="129"/>
      <w:r/>
      <w:bookmarkEnd w:id="130"/>
      <w:r/>
      <w:bookmarkEnd w:id="131"/>
      <w:r/>
      <w:bookmarkEnd w:id="132"/>
      <w:r/>
      <w:bookmarkEnd w:id="133"/>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 发包人委派的现场人员：</w:t>
      </w:r>
      <w:r>
        <w:rPr>
          <w:rFonts w:hint="eastAsia" w:ascii="宋体" w:hAnsi="宋体" w:eastAsia="宋体" w:cs="宋体"/>
          <w:color w:val="auto"/>
          <w:szCs w:val="21"/>
          <w:highlight w:val="none"/>
        </w:rPr>
        <w:t xml:space="preserve">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2.2提供施工场地：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发包人提供施工场地的约定：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1</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施工场地具备施工条件的要求及完成的时间：</w:t>
      </w:r>
      <w:r>
        <w:rPr>
          <w:rFonts w:hint="eastAsia" w:ascii="宋体" w:hAnsi="宋体" w:eastAsia="宋体" w:cs="宋体"/>
          <w:color w:val="auto"/>
          <w:spacing w:val="-6"/>
          <w:szCs w:val="21"/>
          <w:highlight w:val="none"/>
          <w:u w:val="single"/>
        </w:rPr>
        <w:t xml:space="preserve"> 约定的开工时间前。</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2</w:t>
      </w:r>
      <w:r>
        <w:rPr>
          <w:rFonts w:hint="eastAsia" w:ascii="宋体" w:hAnsi="宋体" w:cs="宋体"/>
          <w:color w:val="auto"/>
          <w:spacing w:val="-6"/>
          <w:szCs w:val="21"/>
          <w:highlight w:val="none"/>
          <w:lang w:eastAsia="zh-CN"/>
        </w:rPr>
        <w:t xml:space="preserve">）</w:t>
      </w:r>
      <w:r>
        <w:rPr>
          <w:rStyle w:val="1045"/>
          <w:rFonts w:hint="eastAsia" w:ascii="宋体" w:hAnsi="宋体" w:eastAsia="宋体" w:cs="宋体"/>
          <w:color w:val="auto"/>
          <w:szCs w:val="21"/>
          <w:highlight w:val="none"/>
        </w:rPr>
        <w:t xml:space="preserve">开工前，水、电由</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接至施工现场（50米范围内），</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仅提供现场用水、电接入位置，自</w:t>
      </w:r>
      <w:r>
        <w:rPr>
          <w:rFonts w:hint="eastAsia" w:ascii="宋体" w:hAnsi="宋体" w:eastAsia="宋体" w:cs="宋体"/>
          <w:color w:val="auto"/>
          <w:szCs w:val="21"/>
          <w:highlight w:val="none"/>
        </w:rPr>
        <w:t xml:space="preserve">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先行垫付，不论承包人在响应清单中是否计入，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都将在结算时按</w:t>
      </w:r>
      <w:r>
        <w:rPr>
          <w:rFonts w:hint="eastAsia" w:ascii="宋体" w:hAnsi="宋体" w:cs="宋体"/>
          <w:color w:val="auto"/>
          <w:szCs w:val="21"/>
          <w:highlight w:val="none"/>
          <w:lang w:val="en-US" w:eastAsia="zh-CN"/>
        </w:rPr>
        <w:t xml:space="preserve">市场价</w:t>
      </w:r>
      <w:r>
        <w:rPr>
          <w:rFonts w:hint="eastAsia" w:ascii="宋体" w:hAnsi="宋体" w:eastAsia="宋体" w:cs="宋体"/>
          <w:color w:val="auto"/>
          <w:szCs w:val="21"/>
          <w:highlight w:val="none"/>
        </w:rPr>
        <w:t xml:space="preserve">水平予以扣除。</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3</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施工场地与公共道路的通道开通时间和要求：已开通。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工程地质和地下管线资料的提供时间：</w:t>
      </w:r>
      <w:r>
        <w:rPr>
          <w:rFonts w:hint="eastAsia" w:ascii="宋体" w:hAnsi="宋体" w:eastAsia="宋体" w:cs="宋体"/>
          <w:color w:val="auto"/>
          <w:szCs w:val="21"/>
          <w:highlight w:val="none"/>
          <w:u w:val="single"/>
        </w:rPr>
        <w:t xml:space="preserve"> / </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5</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图纸会审和设计交底时间：</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（6）协调处理施工场地周围地下管线和邻近建筑物、构筑物和环境工程、道路等设施的保护工作：</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（7）双方约定发包人应做的其他工作：</w:t>
      </w:r>
      <w:r>
        <w:rPr>
          <w:rFonts w:hint="eastAsia" w:ascii="宋体" w:hAnsi="宋体" w:eastAsia="宋体" w:cs="宋体"/>
          <w:color w:val="auto"/>
          <w:spacing w:val="-6"/>
          <w:szCs w:val="21"/>
          <w:highlight w:val="none"/>
          <w:u w:val="singl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 其他义务</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pacing w:val="-6"/>
          <w:szCs w:val="21"/>
          <w:highlight w:val="none"/>
        </w:rPr>
        <w:t xml:space="preserve">发包人委托承包人办理的工作:/</w:t>
      </w:r>
      <w:r>
        <w:rPr>
          <w:rFonts w:hint="eastAsia" w:ascii="宋体" w:hAnsi="宋体" w:eastAsia="宋体" w:cs="宋体"/>
          <w:color w:val="auto"/>
          <w:spacing w:val="-6"/>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4" w:name="_Toc29213"/>
      <w:r/>
      <w:bookmarkStart w:id="135" w:name="_Toc992"/>
      <w:r>
        <w:rPr>
          <w:rFonts w:hint="eastAsia" w:ascii="宋体" w:hAnsi="宋体" w:eastAsia="宋体" w:cs="宋体"/>
          <w:b/>
          <w:bCs w:val="0"/>
          <w:color w:val="auto"/>
          <w:sz w:val="21"/>
          <w:szCs w:val="21"/>
          <w:highlight w:val="none"/>
          <w:lang w:eastAsia="zh-CN"/>
        </w:rPr>
        <w:t xml:space="preserve">3 监理</w:t>
      </w:r>
      <w:bookmarkEnd w:id="134"/>
      <w:r/>
      <w:bookmarkEnd w:id="135"/>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 监理人的职责和权力</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发包人委托的职权 ：</w:t>
      </w:r>
      <w:r>
        <w:rPr>
          <w:rFonts w:hint="eastAsia" w:ascii="宋体" w:hAnsi="宋体" w:eastAsia="宋体" w:cs="宋体"/>
          <w:color w:val="auto"/>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eastAsia="宋体" w:cs="宋体"/>
          <w:color w:val="auto"/>
          <w:szCs w:val="21"/>
          <w:highlight w:val="none"/>
        </w:rPr>
        <w:t xml:space="preserve">。</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需要取得发包人批准才能行使的职权：</w:t>
      </w:r>
      <w:r>
        <w:rPr>
          <w:rFonts w:hint="eastAsia" w:ascii="宋体" w:hAnsi="宋体" w:eastAsia="宋体" w:cs="宋体"/>
          <w:color w:val="auto"/>
          <w:szCs w:val="21"/>
          <w:highlight w:val="none"/>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 监理人员</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监理单位委派的总监理工程师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职务：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6" w:name="_Toc4337"/>
      <w:r/>
      <w:bookmarkStart w:id="137" w:name="_Toc38"/>
      <w:r>
        <w:rPr>
          <w:rFonts w:hint="eastAsia" w:ascii="宋体" w:hAnsi="宋体" w:eastAsia="宋体" w:cs="宋体"/>
          <w:b/>
          <w:bCs w:val="0"/>
          <w:color w:val="auto"/>
          <w:sz w:val="21"/>
          <w:szCs w:val="21"/>
          <w:highlight w:val="none"/>
          <w:lang w:eastAsia="zh-CN"/>
        </w:rPr>
        <w:t xml:space="preserve">4 承包人</w:t>
      </w:r>
      <w:bookmarkEnd w:id="136"/>
      <w:r/>
      <w:bookmarkEnd w:id="13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4.1 承包人的一般义务</w:t>
      </w:r>
      <w:r/>
    </w:p>
    <w:p>
      <w:pPr>
        <w:ind w:firstLine="420"/>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承包人除完成合同通用条款规定的任务和履行合同约定的义务外，</w:t>
      </w:r>
      <w:r>
        <w:rPr>
          <w:rFonts w:hint="eastAsia" w:ascii="宋体" w:hAnsi="宋体" w:eastAsia="宋体" w:cs="宋体"/>
          <w:color w:val="auto"/>
          <w:spacing w:val="-6"/>
          <w:szCs w:val="21"/>
          <w:highlight w:val="none"/>
        </w:rPr>
        <w:t xml:space="preserve">承包人还应按约定时间和要求，完成以下工作：</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1</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应提供计划、报表的名称及完成时间：</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2</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承担施工安全保卫工作及非夜间施工照明的责任和要求：</w:t>
      </w:r>
      <w:r>
        <w:rPr>
          <w:rFonts w:hint="eastAsia" w:ascii="宋体" w:hAnsi="宋体" w:eastAsia="宋体" w:cs="宋体"/>
          <w:color w:val="auto"/>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3</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需承包人办理的有关施工场地交通、环卫和施工噪音管理等手续：</w:t>
      </w:r>
      <w:r>
        <w:rPr>
          <w:rFonts w:hint="eastAsia" w:ascii="宋体" w:hAnsi="宋体" w:eastAsia="宋体" w:cs="宋体"/>
          <w:color w:val="auto"/>
          <w:szCs w:val="21"/>
          <w:highlight w:val="none"/>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已完成工程成品保护的要求：</w:t>
      </w:r>
      <w:r>
        <w:rPr>
          <w:rFonts w:hint="eastAsia" w:ascii="宋体" w:hAnsi="宋体" w:eastAsia="宋体" w:cs="宋体"/>
          <w:color w:val="auto"/>
          <w:spacing w:val="-6"/>
          <w:szCs w:val="21"/>
          <w:highlight w:val="none"/>
          <w:u w:val="single"/>
        </w:rPr>
        <w:t xml:space="preserve">在工程移交之前，由承包人承担对已完工程成品保护。</w:t>
      </w:r>
      <w:r>
        <w:rPr>
          <w:rFonts w:hint="eastAsia" w:ascii="宋体" w:hAnsi="宋体" w:eastAsia="宋体" w:cs="宋体"/>
          <w:color w:val="auto"/>
          <w:szCs w:val="21"/>
          <w:highlight w:val="none"/>
          <w:u w:val="single"/>
        </w:rPr>
        <w:t xml:space="preserve">保护期间发生的损坏承包人自费予以修理。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（5）施工场地周围地下管线和邻近建筑物、构筑物（含文物保护建筑）、古树名木环境工程设施的保护要求：</w:t>
      </w:r>
      <w:r>
        <w:rPr>
          <w:rFonts w:hint="eastAsia" w:ascii="宋体" w:hAnsi="宋体" w:eastAsia="宋体" w:cs="宋体"/>
          <w:color w:val="auto"/>
          <w:szCs w:val="21"/>
          <w:highlight w:val="none"/>
          <w:u w:val="single"/>
        </w:rPr>
        <w:t xml:space="preserve">承包人须做好各项保护措施</w:t>
      </w:r>
      <w:r>
        <w:rPr>
          <w:rFonts w:hint="eastAsia" w:ascii="宋体" w:hAnsi="宋体" w:eastAsia="宋体" w:cs="宋体"/>
          <w:color w:val="auto"/>
          <w:spacing w:val="-6"/>
          <w:szCs w:val="21"/>
          <w:highlight w:val="none"/>
          <w:u w:val="single"/>
        </w:rPr>
        <w:t xml:space="preserve">，费用包含在响应报价内。</w:t>
      </w:r>
      <w:r>
        <w:rPr>
          <w:rFonts w:hint="eastAsia" w:ascii="宋体" w:hAnsi="宋体" w:eastAsia="宋体" w:cs="宋体"/>
          <w:color w:val="auto"/>
          <w:szCs w:val="21"/>
          <w:highlight w:val="none"/>
          <w:u w:val="single"/>
        </w:rPr>
        <w:t xml:space="preserve">造成损坏的，由承包人负责赔偿，并承担修复费用。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（6）施工场地清洁卫生的要求：</w:t>
      </w:r>
      <w:r>
        <w:rPr>
          <w:rFonts w:hint="eastAsia" w:ascii="宋体" w:hAnsi="宋体" w:eastAsia="宋体" w:cs="宋体"/>
          <w:color w:val="auto"/>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另须符合发包人和监理工程师以及市文明工地场地现场的要求提出的一切文明施工、环境</w:t>
      </w:r>
      <w:r>
        <w:rPr>
          <w:rFonts w:hint="eastAsia" w:ascii="宋体" w:hAnsi="宋体" w:eastAsia="宋体" w:cs="宋体"/>
          <w:color w:val="auto"/>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（7）双方约定承包人应做的其他工作：</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b、承包人使用施工范围场外道路的，应按发包人规定线路通行，做到不影响学校正常教学、实验秩序，不影响周围居民。杜绝责任内工地使用“无牌无证”、敞篷渣土车。</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e、新建道路、管线工程施工堆土要按规定要求进行覆盖并及时清运。</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h、承包人应当提交国家或地方规定必须提供的其他资料。承包人须遵守校园管理的相关规定。</w:t>
      </w:r>
      <w:r/>
    </w:p>
    <w:p>
      <w:pPr>
        <w:pStyle w:val="1048"/>
        <w:ind w:left="0" w:right="0" w:firstLine="420"/>
        <w:spacing w:after="0"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4.2承包人项目经理：</w:t>
      </w:r>
      <w:r>
        <w:rPr>
          <w:rFonts w:hint="eastAsia" w:ascii="宋体" w:hAnsi="宋体" w:cs="宋体"/>
          <w:color w:val="auto"/>
          <w:szCs w:val="21"/>
          <w:highlight w:val="none"/>
        </w:rPr>
        <w:t xml:space="preserve"> 姓名：</w:t>
      </w:r>
      <w:r>
        <w:rPr>
          <w:rFonts w:hint="eastAsia" w:ascii="宋体" w:hAnsi="宋体" w:cs="宋体"/>
          <w:color w:val="auto"/>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8" w:name="_Toc23232"/>
      <w:r/>
      <w:bookmarkStart w:id="139" w:name="_Toc671"/>
      <w:r/>
      <w:bookmarkStart w:id="140" w:name="_Toc2768"/>
      <w:r/>
      <w:bookmarkStart w:id="141" w:name="_Toc28027"/>
      <w:r/>
      <w:bookmarkStart w:id="142" w:name="_Toc20710"/>
      <w:r>
        <w:rPr>
          <w:rFonts w:hint="eastAsia" w:ascii="宋体" w:hAnsi="宋体" w:eastAsia="宋体" w:cs="宋体"/>
          <w:b/>
          <w:bCs w:val="0"/>
          <w:color w:val="auto"/>
          <w:sz w:val="21"/>
          <w:szCs w:val="21"/>
          <w:highlight w:val="none"/>
          <w:lang w:eastAsia="zh-CN"/>
        </w:rPr>
        <w:t xml:space="preserve">5 材料和工程设备</w:t>
      </w:r>
      <w:bookmarkEnd w:id="138"/>
      <w:r/>
      <w:bookmarkEnd w:id="139"/>
      <w:r/>
      <w:bookmarkEnd w:id="140"/>
      <w:r/>
      <w:bookmarkEnd w:id="141"/>
      <w:r/>
      <w:bookmarkEnd w:id="142"/>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5.1 承包人提供的材料和工程设备</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w:t>
      </w:r>
      <w:r>
        <w:rPr>
          <w:rFonts w:hint="eastAsia" w:ascii="宋体" w:hAnsi="宋体" w:eastAsia="宋体" w:cs="宋体"/>
          <w:color w:val="auto"/>
          <w:spacing w:val="2"/>
          <w:szCs w:val="21"/>
          <w:highlight w:val="none"/>
          <w:u w:val="single"/>
        </w:rPr>
        <w:t xml:space="preserve">承包人采购材料的性能、规格、质量应符合</w:t>
      </w:r>
      <w:r>
        <w:rPr>
          <w:rFonts w:hint="eastAsia" w:ascii="宋体" w:hAnsi="宋体" w:eastAsia="宋体" w:cs="宋体"/>
          <w:color w:val="auto"/>
          <w:szCs w:val="21"/>
          <w:highlight w:val="none"/>
          <w:u w:val="single"/>
        </w:rPr>
        <w:t xml:space="preserve">国家规范和</w:t>
      </w:r>
      <w:r>
        <w:rPr>
          <w:rFonts w:hint="eastAsia" w:ascii="宋体" w:hAnsi="宋体" w:eastAsia="宋体" w:cs="宋体"/>
          <w:color w:val="auto"/>
          <w:spacing w:val="2"/>
          <w:szCs w:val="21"/>
          <w:highlight w:val="none"/>
          <w:u w:val="single"/>
        </w:rPr>
        <w:t xml:space="preserve">设计要求，且不能低于发包人所提供的材料的性能、规格、质量、颜色要求的标准，</w:t>
      </w:r>
      <w:r>
        <w:rPr>
          <w:rFonts w:hint="eastAsia" w:ascii="宋体" w:hAnsi="宋体" w:eastAsia="宋体" w:cs="宋体"/>
          <w:color w:val="auto"/>
          <w:szCs w:val="21"/>
          <w:highlight w:val="none"/>
          <w:u w:val="single"/>
        </w:rPr>
        <w:t xml:space="preserve">并按规定向发包人或监理工程师提供产品合格证、产品质量检验资料</w:t>
      </w:r>
      <w:r>
        <w:rPr>
          <w:rFonts w:hint="eastAsia" w:ascii="宋体" w:hAnsi="宋体" w:eastAsia="宋体" w:cs="宋体"/>
          <w:color w:val="auto"/>
          <w:spacing w:val="2"/>
          <w:szCs w:val="21"/>
          <w:highlight w:val="none"/>
          <w:u w:val="single"/>
        </w:rPr>
        <w:t xml:space="preserve">。</w:t>
      </w:r>
      <w:r>
        <w:rPr>
          <w:rFonts w:hint="eastAsia" w:ascii="宋体" w:hAnsi="宋体" w:eastAsia="宋体" w:cs="宋体"/>
          <w:color w:val="auto"/>
          <w:szCs w:val="21"/>
          <w:highlight w:val="none"/>
          <w:u w:val="single"/>
        </w:rPr>
        <w:t xml:space="preserve">承包人采购的材料设备在使用前，承包人应按工程师的要求进行检验或试验，不合格的不得使用，检验或试验费用由承包人承担。</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（4）承包人需要使用代用材料时，应经发包人书面认可后才能使用。</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ind w:firstLine="42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（6）</w:t>
      </w:r>
      <w:r>
        <w:rPr>
          <w:rFonts w:hint="eastAsia" w:ascii="宋体" w:hAnsi="宋体" w:eastAsia="宋体" w:cs="宋体"/>
          <w:color w:val="auto"/>
          <w:szCs w:val="21"/>
          <w:highlight w:val="none"/>
          <w:u w:val="single"/>
        </w:rPr>
        <w:t xml:space="preserve">承包人</w:t>
      </w:r>
      <w:r>
        <w:rPr>
          <w:rFonts w:hint="eastAsia" w:ascii="宋体" w:hAnsi="宋体" w:eastAsia="宋体" w:cs="宋体"/>
          <w:color w:val="auto"/>
          <w:spacing w:val="2"/>
          <w:szCs w:val="21"/>
          <w:highlight w:val="none"/>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新建设，由此产生的经济损失和成本由承包人全部承担。</w:t>
      </w:r>
      <w:r/>
    </w:p>
    <w:p>
      <w:pPr>
        <w:ind w:firstLine="30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发包人提供的材料和工程设备：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3" w:name="_Toc14326"/>
      <w:r/>
      <w:bookmarkStart w:id="144" w:name="_Toc13716"/>
      <w:r/>
      <w:bookmarkStart w:id="145" w:name="_Toc22090"/>
      <w:r/>
      <w:bookmarkStart w:id="146" w:name="_Toc8195"/>
      <w:r/>
      <w:bookmarkStart w:id="147" w:name="_Toc23612"/>
      <w:r>
        <w:rPr>
          <w:rFonts w:hint="eastAsia" w:ascii="宋体" w:hAnsi="宋体" w:eastAsia="宋体" w:cs="宋体"/>
          <w:b/>
          <w:bCs w:val="0"/>
          <w:color w:val="auto"/>
          <w:sz w:val="21"/>
          <w:szCs w:val="21"/>
          <w:highlight w:val="none"/>
          <w:lang w:eastAsia="zh-CN"/>
        </w:rPr>
        <w:t xml:space="preserve">6交通运输</w:t>
      </w:r>
      <w:bookmarkEnd w:id="143"/>
      <w:r/>
      <w:bookmarkEnd w:id="144"/>
      <w:r/>
      <w:bookmarkEnd w:id="145"/>
      <w:r/>
      <w:bookmarkEnd w:id="146"/>
      <w:r/>
      <w:bookmarkEnd w:id="14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按相应通用条款执行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8" w:name="_Toc5766"/>
      <w:r/>
      <w:bookmarkStart w:id="149" w:name="_Toc32244"/>
      <w:r/>
      <w:bookmarkStart w:id="150" w:name="_Toc22171"/>
      <w:r/>
      <w:bookmarkStart w:id="151" w:name="_Toc18120"/>
      <w:r/>
      <w:bookmarkStart w:id="152" w:name="_Toc12495"/>
      <w:r>
        <w:rPr>
          <w:rFonts w:hint="eastAsia" w:ascii="宋体" w:hAnsi="宋体" w:eastAsia="宋体" w:cs="宋体"/>
          <w:b/>
          <w:bCs w:val="0"/>
          <w:color w:val="auto"/>
          <w:sz w:val="21"/>
          <w:szCs w:val="21"/>
          <w:highlight w:val="none"/>
          <w:lang w:eastAsia="zh-CN"/>
        </w:rPr>
        <w:t xml:space="preserve">7 测量放线</w:t>
      </w:r>
      <w:bookmarkEnd w:id="148"/>
      <w:r/>
      <w:bookmarkEnd w:id="149"/>
      <w:r/>
      <w:bookmarkEnd w:id="150"/>
      <w:r/>
      <w:bookmarkEnd w:id="151"/>
      <w:r/>
      <w:bookmarkEnd w:id="15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7.1 施工控制网</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b/>
          <w:color w:val="auto"/>
          <w:szCs w:val="21"/>
          <w:highlight w:val="none"/>
        </w:rPr>
        <w:t xml:space="preserve">7.1.1 </w:t>
      </w:r>
      <w:r>
        <w:rPr>
          <w:rFonts w:hint="eastAsia" w:ascii="宋体" w:hAnsi="宋体" w:eastAsia="宋体" w:cs="宋体"/>
          <w:color w:val="auto"/>
          <w:szCs w:val="21"/>
          <w:highlight w:val="none"/>
        </w:rPr>
        <w:t xml:space="preserve">监理人向承包人提供测量基准点、基准线和水准点及其书面资料的时间约定：</w:t>
      </w:r>
      <w:r>
        <w:rPr>
          <w:rFonts w:hint="eastAsia" w:ascii="宋体" w:hAnsi="宋体" w:eastAsia="宋体" w:cs="宋体"/>
          <w:color w:val="auto"/>
          <w:spacing w:val="-6"/>
          <w:szCs w:val="21"/>
          <w:highlight w:val="none"/>
          <w:u w:val="single"/>
        </w:rPr>
        <w:t xml:space="preserve">  开工前提供水准点与坐标控制点。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承包人向监理人报送施工控制网的时间约定：</w:t>
      </w:r>
      <w:r>
        <w:rPr>
          <w:rFonts w:hint="eastAsia" w:ascii="宋体" w:hAnsi="宋体" w:eastAsia="宋体" w:cs="宋体"/>
          <w:color w:val="auto"/>
          <w:szCs w:val="21"/>
          <w:highlight w:val="none"/>
          <w:u w:val="single"/>
        </w:rPr>
        <w:t xml:space="preserve">开工后十天。</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3" w:name="_Toc15456"/>
      <w:r/>
      <w:bookmarkStart w:id="154" w:name="_Toc22774"/>
      <w:r/>
      <w:bookmarkStart w:id="155" w:name="_Toc28035"/>
      <w:r/>
      <w:bookmarkStart w:id="156" w:name="_Toc7796"/>
      <w:r/>
      <w:bookmarkStart w:id="157" w:name="_Toc21219"/>
      <w:r>
        <w:rPr>
          <w:rFonts w:hint="eastAsia" w:ascii="宋体" w:hAnsi="宋体" w:eastAsia="宋体" w:cs="宋体"/>
          <w:b/>
          <w:bCs w:val="0"/>
          <w:color w:val="auto"/>
          <w:sz w:val="21"/>
          <w:szCs w:val="21"/>
          <w:highlight w:val="none"/>
          <w:lang w:eastAsia="zh-CN"/>
        </w:rPr>
        <w:t xml:space="preserve">8 施工安全、治安保卫和环境保护</w:t>
      </w:r>
      <w:bookmarkEnd w:id="153"/>
      <w:r/>
      <w:bookmarkEnd w:id="154"/>
      <w:r/>
      <w:bookmarkEnd w:id="155"/>
      <w:r/>
      <w:bookmarkEnd w:id="156"/>
      <w:r/>
      <w:bookmarkEnd w:id="15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8．1 发包人的施工安全责任</w:t>
      </w:r>
      <w:r/>
    </w:p>
    <w:p>
      <w:pPr>
        <w:ind w:firstLine="309"/>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8.1.1 发包人应履行的安全职责：</w:t>
      </w:r>
      <w:r>
        <w:rPr>
          <w:rFonts w:hint="eastAsia" w:ascii="宋体" w:hAnsi="宋体" w:eastAsia="宋体" w:cs="宋体"/>
          <w:color w:val="auto"/>
          <w:szCs w:val="21"/>
          <w:highlight w:val="none"/>
          <w:u w:val="singl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8.2 承包人的施工安全责任</w:t>
      </w:r>
      <w:r/>
    </w:p>
    <w:p>
      <w:pPr>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8.2.1 承包人应履行的安全职责</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按国家、省、市关于安全生产的规定执行。 </w:t>
      </w:r>
      <w:r>
        <w:rPr>
          <w:rFonts w:hint="eastAsia" w:ascii="宋体" w:hAnsi="宋体" w:eastAsia="宋体" w:cs="宋体"/>
          <w:b/>
          <w:color w:val="auto"/>
          <w:szCs w:val="21"/>
          <w:highlight w:val="none"/>
          <w:u w:val="single"/>
        </w:rPr>
        <w:t xml:space="preserve">施工安全由承包人全权负责。</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承包人编制的施工安全措施计划报送监理人的时间：</w:t>
      </w:r>
      <w:r>
        <w:rPr>
          <w:rFonts w:hint="eastAsia" w:ascii="宋体" w:hAnsi="宋体" w:eastAsia="宋体" w:cs="宋体"/>
          <w:color w:val="auto"/>
          <w:szCs w:val="21"/>
          <w:highlight w:val="none"/>
          <w:u w:val="single"/>
        </w:rPr>
        <w:t xml:space="preserve"> 开工后十天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8" w:name="_Toc962"/>
      <w:r/>
      <w:bookmarkStart w:id="159" w:name="_Toc195"/>
      <w:r/>
      <w:bookmarkStart w:id="160" w:name="_Toc30268"/>
      <w:r/>
      <w:bookmarkStart w:id="161" w:name="_Toc27439"/>
      <w:r/>
      <w:bookmarkStart w:id="162" w:name="_Toc22978"/>
      <w:r>
        <w:rPr>
          <w:rFonts w:hint="eastAsia" w:ascii="宋体" w:hAnsi="宋体" w:eastAsia="宋体" w:cs="宋体"/>
          <w:b/>
          <w:bCs w:val="0"/>
          <w:color w:val="auto"/>
          <w:sz w:val="21"/>
          <w:szCs w:val="21"/>
          <w:highlight w:val="none"/>
          <w:lang w:eastAsia="zh-CN"/>
        </w:rPr>
        <w:t xml:space="preserve">9进度计划</w:t>
      </w:r>
      <w:bookmarkEnd w:id="158"/>
      <w:r/>
      <w:bookmarkEnd w:id="159"/>
      <w:r/>
      <w:bookmarkEnd w:id="160"/>
      <w:r/>
      <w:bookmarkEnd w:id="161"/>
      <w:r/>
      <w:bookmarkEnd w:id="16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9.1 合同进度计划</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承包人编制详细施工进度计划和施工方案的内容、编制时间，报送监理人的时间约定：</w:t>
      </w:r>
      <w:r>
        <w:rPr>
          <w:rFonts w:hint="eastAsia" w:ascii="宋体" w:hAnsi="宋体" w:eastAsia="宋体" w:cs="宋体"/>
          <w:color w:val="auto"/>
          <w:spacing w:val="-6"/>
          <w:szCs w:val="21"/>
          <w:highlight w:val="none"/>
          <w:u w:val="single"/>
        </w:rPr>
        <w:t xml:space="preserve">技术交底后五天内应将施工组织设计和进度计划交工程师审查。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监理人批复或提出修改意见的时间约定：</w:t>
      </w:r>
      <w:r>
        <w:rPr>
          <w:rFonts w:hint="eastAsia" w:ascii="宋体" w:hAnsi="宋体" w:eastAsia="宋体" w:cs="宋体"/>
          <w:color w:val="auto"/>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3" w:name="_Toc14285"/>
      <w:r/>
      <w:bookmarkStart w:id="164" w:name="_Toc5456"/>
      <w:r/>
      <w:bookmarkStart w:id="165" w:name="_Toc23433"/>
      <w:r/>
      <w:bookmarkStart w:id="166" w:name="_Toc20717"/>
      <w:r/>
      <w:bookmarkStart w:id="167" w:name="_Toc24471"/>
      <w:r>
        <w:rPr>
          <w:rFonts w:hint="eastAsia" w:ascii="宋体" w:hAnsi="宋体" w:eastAsia="宋体" w:cs="宋体"/>
          <w:b/>
          <w:bCs w:val="0"/>
          <w:color w:val="auto"/>
          <w:sz w:val="21"/>
          <w:szCs w:val="21"/>
          <w:highlight w:val="none"/>
          <w:lang w:eastAsia="zh-CN"/>
        </w:rPr>
        <w:t xml:space="preserve">10 开工和竣工</w:t>
      </w:r>
      <w:bookmarkEnd w:id="163"/>
      <w:r/>
      <w:bookmarkEnd w:id="164"/>
      <w:r/>
      <w:bookmarkEnd w:id="165"/>
      <w:r/>
      <w:bookmarkEnd w:id="166"/>
      <w:r/>
      <w:bookmarkEnd w:id="16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10.1 工期延误</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因征地拆迁或发包人原因造成停工，导致工期延误，承包人应及时向发包人提出，商讨应对办法，双方按应对办法协商解决。</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10.2异常恶劣的气候条件</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异常恶劣气候条件是指：</w:t>
      </w:r>
      <w:r>
        <w:rPr>
          <w:rFonts w:hint="eastAsia" w:ascii="宋体" w:hAnsi="宋体" w:eastAsia="宋体" w:cs="宋体"/>
          <w:color w:val="auto"/>
          <w:szCs w:val="21"/>
          <w:highlight w:val="none"/>
          <w:u w:val="single"/>
        </w:rPr>
        <w:t xml:space="preserve">雷击、特大洪水灾害。异常气候条件发生，经发包人及监理书面同意后，承包人可以得到工期的顺延，但不得提出任何费用补偿要求，应把相关风险考虑到响应报价中。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10.3承包人的工期延误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由于承包人违约造成工期延误时，承包人应支付逾期竣工违约金的计算方法：</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本工程按合同工期推迟一天交付使用，每天按工程总造价5‰支付违约金，最多不超过总造价20%。</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双方约定工期顺延的其他情况：不可抗力，以及因发包人原因造成的，经发包人及监理工程师批准的，工期顺延，发包人无需给予承包人任何补偿或赔偿。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8" w:name="_Toc6681"/>
      <w:r/>
      <w:bookmarkStart w:id="169" w:name="_Toc29753"/>
      <w:r/>
      <w:bookmarkStart w:id="170" w:name="_Toc31705"/>
      <w:r/>
      <w:bookmarkStart w:id="171" w:name="_Toc31395"/>
      <w:r/>
      <w:bookmarkStart w:id="172" w:name="_Toc24430"/>
      <w:r>
        <w:rPr>
          <w:rFonts w:hint="eastAsia" w:ascii="宋体" w:hAnsi="宋体" w:eastAsia="宋体" w:cs="宋体"/>
          <w:b/>
          <w:bCs w:val="0"/>
          <w:color w:val="auto"/>
          <w:sz w:val="21"/>
          <w:szCs w:val="21"/>
          <w:highlight w:val="none"/>
          <w:lang w:eastAsia="zh-CN"/>
        </w:rPr>
        <w:t xml:space="preserve">11 暂停施工</w:t>
      </w:r>
      <w:bookmarkEnd w:id="168"/>
      <w:r/>
      <w:bookmarkEnd w:id="169"/>
      <w:r/>
      <w:bookmarkEnd w:id="170"/>
      <w:r/>
      <w:bookmarkEnd w:id="171"/>
      <w:r/>
      <w:bookmarkEnd w:id="17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11.1承包人暂停施工的责任</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按合同通用条款执行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3" w:name="_Toc11121"/>
      <w:r/>
      <w:bookmarkStart w:id="174" w:name="_Toc15469"/>
      <w:r/>
      <w:bookmarkStart w:id="175" w:name="_Toc18974"/>
      <w:r/>
      <w:bookmarkStart w:id="176" w:name="_Toc6290"/>
      <w:r/>
      <w:bookmarkStart w:id="177" w:name="_Toc20403"/>
      <w:r>
        <w:rPr>
          <w:rFonts w:hint="eastAsia" w:ascii="宋体" w:hAnsi="宋体" w:eastAsia="宋体" w:cs="宋体"/>
          <w:b/>
          <w:bCs w:val="0"/>
          <w:color w:val="auto"/>
          <w:sz w:val="21"/>
          <w:szCs w:val="21"/>
          <w:highlight w:val="none"/>
          <w:lang w:eastAsia="zh-CN"/>
        </w:rPr>
        <w:t xml:space="preserve">12 工程质量</w:t>
      </w:r>
      <w:bookmarkEnd w:id="173"/>
      <w:r/>
      <w:bookmarkEnd w:id="174"/>
      <w:r/>
      <w:bookmarkEnd w:id="175"/>
      <w:r/>
      <w:bookmarkEnd w:id="176"/>
      <w:r/>
      <w:bookmarkEnd w:id="17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12.1 工程质量要求</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12.1.1 工程质量要求：</w:t>
      </w:r>
      <w:r>
        <w:rPr>
          <w:rFonts w:hint="eastAsia" w:ascii="宋体" w:hAnsi="宋体" w:eastAsia="宋体" w:cs="宋体"/>
          <w:color w:val="auto"/>
          <w:szCs w:val="21"/>
          <w:highlight w:val="none"/>
          <w:u w:val="single"/>
        </w:rPr>
        <w:t xml:space="preserve">工程质量必须达到国家最新工程质量标准的规定，满足采购文件的要求，且通过发包人一次性验收合格。</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12.2 承包人的质量管理</w:t>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12.2.1 承包人向监理人报送工程质量保证措施文件的时间约定</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开工前一周。</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8" w:name="_Toc13466"/>
      <w:r/>
      <w:bookmarkStart w:id="179" w:name="_Toc8629"/>
      <w:r/>
      <w:bookmarkStart w:id="180" w:name="_Toc7646"/>
      <w:r/>
      <w:bookmarkStart w:id="181" w:name="_Toc12704"/>
      <w:r/>
      <w:bookmarkStart w:id="182" w:name="_Toc29597"/>
      <w:r>
        <w:rPr>
          <w:rFonts w:hint="eastAsia" w:ascii="宋体" w:hAnsi="宋体" w:eastAsia="宋体" w:cs="宋体"/>
          <w:b/>
          <w:bCs w:val="0"/>
          <w:color w:val="auto"/>
          <w:sz w:val="21"/>
          <w:szCs w:val="21"/>
          <w:highlight w:val="none"/>
          <w:lang w:eastAsia="zh-CN"/>
        </w:rPr>
        <w:t xml:space="preserve">13 工程质量检测</w:t>
      </w:r>
      <w:bookmarkEnd w:id="178"/>
      <w:r/>
      <w:bookmarkEnd w:id="179"/>
      <w:r/>
      <w:bookmarkEnd w:id="180"/>
      <w:r/>
      <w:bookmarkEnd w:id="181"/>
      <w:r/>
      <w:bookmarkEnd w:id="18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rPr>
          <w:rFonts w:hint="eastAsia" w:ascii="宋体" w:hAnsi="宋体" w:eastAsia="宋体" w:cs="宋体"/>
          <w:color w:val="auto"/>
          <w:spacing w:val="8"/>
          <w:szCs w:val="21"/>
          <w:highlight w:val="none"/>
        </w:rPr>
        <w:t xml:space="preserve">双方约定中间验收部位：</w:t>
      </w:r>
      <w:r>
        <w:rPr>
          <w:rFonts w:hint="eastAsia" w:ascii="宋体" w:hAnsi="宋体" w:eastAsia="宋体" w:cs="宋体"/>
          <w:color w:val="auto"/>
          <w:szCs w:val="21"/>
          <w:highlight w:val="none"/>
          <w:u w:val="single"/>
        </w:rPr>
        <w:t xml:space="preserve">发包人有权要求对本工程任何部位进行中间验收。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13.2 工程质量检测费用</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工程质量检测费用的约定：</w:t>
      </w:r>
      <w:r>
        <w:rPr>
          <w:rFonts w:hint="eastAsia" w:ascii="宋体" w:hAnsi="宋体" w:eastAsia="宋体" w:cs="宋体"/>
          <w:color w:val="auto"/>
          <w:szCs w:val="21"/>
          <w:highlight w:val="none"/>
          <w:u w:val="single"/>
        </w:rPr>
        <w:t xml:space="preserve">除发包人另行委托检测项目外，其余均由承包人承担工程质量检测费。</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3" w:name="_Toc1495"/>
      <w:r/>
      <w:bookmarkStart w:id="184" w:name="_Toc15908"/>
      <w:r/>
      <w:bookmarkStart w:id="185" w:name="_Toc16173"/>
      <w:r/>
      <w:bookmarkStart w:id="186" w:name="_Toc32196"/>
      <w:r/>
      <w:bookmarkStart w:id="187" w:name="_Toc653"/>
      <w:r>
        <w:rPr>
          <w:rFonts w:hint="eastAsia" w:ascii="宋体" w:hAnsi="宋体" w:eastAsia="宋体" w:cs="宋体"/>
          <w:b/>
          <w:bCs w:val="0"/>
          <w:color w:val="auto"/>
          <w:sz w:val="21"/>
          <w:szCs w:val="21"/>
          <w:highlight w:val="none"/>
          <w:lang w:eastAsia="zh-CN"/>
        </w:rPr>
        <w:t xml:space="preserve">14 工程变更</w:t>
      </w:r>
      <w:bookmarkEnd w:id="183"/>
      <w:r/>
      <w:bookmarkEnd w:id="184"/>
      <w:r/>
      <w:bookmarkEnd w:id="185"/>
      <w:r/>
      <w:bookmarkEnd w:id="186"/>
      <w:r/>
      <w:bookmarkEnd w:id="18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Cs w:val="21"/>
          <w:highlight w:val="none"/>
        </w:rPr>
        <w:t xml:space="preserve">14.1</w:t>
      </w:r>
      <w:r>
        <w:rPr>
          <w:rFonts w:hint="eastAsia" w:ascii="宋体" w:hAnsi="宋体" w:eastAsia="宋体" w:cs="宋体"/>
          <w:b/>
          <w:bCs/>
          <w:color w:val="auto"/>
          <w:spacing w:val="-6"/>
          <w:szCs w:val="21"/>
          <w:highlight w:val="none"/>
        </w:rPr>
        <w:t xml:space="preserve"> 工程变更和签证</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2、所有签证须经承包人项目经理、监理代表（若此项目有监理方）、发包人现场代表共同签字，并经发包人盖章认可后方可生效。工程变更引起造价变化的，需附带工程预算变化明细，报发包人和审计部门审核，根据最终审核意见在结算中予以计取。</w:t>
      </w:r>
      <w:r/>
    </w:p>
    <w:p>
      <w:pPr>
        <w:ind w:firstLine="428"/>
        <w:jc w:val="both"/>
        <w:spacing w:line="360" w:lineRule="auto"/>
        <w:widowControl w:val="off"/>
        <w:rPr>
          <w:rFonts w:hint="eastAsia" w:ascii="宋体" w:hAnsi="宋体" w:eastAsia="宋体" w:cs="宋体"/>
          <w:color w:val="auto"/>
          <w:spacing w:val="2"/>
          <w:sz w:val="21"/>
          <w:szCs w:val="21"/>
          <w:highlight w:val="none"/>
          <w:u w:val="single"/>
          <w:lang w:eastAsia="zh-CN"/>
        </w:rPr>
      </w:pPr>
      <w:r>
        <w:rPr>
          <w:rFonts w:hint="eastAsia" w:ascii="宋体" w:hAnsi="宋体" w:eastAsia="宋体" w:cs="宋体"/>
          <w:color w:val="auto"/>
          <w:spacing w:val="2"/>
          <w:sz w:val="21"/>
          <w:szCs w:val="21"/>
          <w:highlight w:val="none"/>
          <w:u w:val="single"/>
          <w:lang w:eastAsia="zh-CN"/>
        </w:rPr>
        <w:t xml:space="preserve">3、由于工程变更使得工程量增减的，按照合同专用条款约定的工程变更计价。</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8" w:name="_Toc21517"/>
      <w:r/>
      <w:bookmarkStart w:id="189" w:name="_Toc9391"/>
      <w:r/>
      <w:bookmarkStart w:id="190" w:name="_Toc29032"/>
      <w:r/>
      <w:bookmarkStart w:id="191" w:name="_Toc2888"/>
      <w:r/>
      <w:bookmarkStart w:id="192" w:name="_Toc30655"/>
      <w:r>
        <w:rPr>
          <w:rFonts w:hint="eastAsia" w:ascii="宋体" w:hAnsi="宋体" w:eastAsia="宋体" w:cs="宋体"/>
          <w:b/>
          <w:bCs w:val="0"/>
          <w:color w:val="auto"/>
          <w:sz w:val="21"/>
          <w:szCs w:val="21"/>
          <w:highlight w:val="none"/>
          <w:lang w:eastAsia="zh-CN"/>
        </w:rPr>
        <w:t xml:space="preserve">15 价差调整</w:t>
      </w:r>
      <w:bookmarkEnd w:id="188"/>
      <w:r/>
      <w:bookmarkEnd w:id="189"/>
      <w:r/>
      <w:bookmarkEnd w:id="190"/>
      <w:r/>
      <w:bookmarkEnd w:id="191"/>
      <w:r/>
      <w:bookmarkEnd w:id="192"/>
      <w:r/>
      <w:r/>
    </w:p>
    <w:p>
      <w:pPr>
        <w:ind w:firstLine="41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15.1物价波动引起的价差调整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不予调整</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3" w:name="_Toc29796"/>
      <w:r/>
      <w:bookmarkStart w:id="194" w:name="_Toc667"/>
      <w:r/>
      <w:bookmarkStart w:id="195" w:name="_Toc1685"/>
      <w:r/>
      <w:bookmarkStart w:id="196" w:name="_Toc30920"/>
      <w:r/>
      <w:bookmarkStart w:id="197" w:name="_Toc26309"/>
      <w:r>
        <w:rPr>
          <w:rFonts w:hint="eastAsia" w:ascii="宋体" w:hAnsi="宋体" w:eastAsia="宋体" w:cs="宋体"/>
          <w:b/>
          <w:bCs w:val="0"/>
          <w:color w:val="auto"/>
          <w:sz w:val="21"/>
          <w:szCs w:val="21"/>
          <w:highlight w:val="none"/>
          <w:lang w:eastAsia="zh-CN"/>
        </w:rPr>
        <w:t xml:space="preserve">16 计价、计量与支付</w:t>
      </w:r>
      <w:bookmarkEnd w:id="193"/>
      <w:r/>
      <w:bookmarkEnd w:id="194"/>
      <w:r/>
      <w:bookmarkEnd w:id="195"/>
      <w:r/>
      <w:bookmarkEnd w:id="196"/>
      <w:r/>
      <w:bookmarkEnd w:id="197"/>
      <w:r/>
      <w:r/>
    </w:p>
    <w:p>
      <w:pPr>
        <w:ind w:firstLine="10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16.1计价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16.1.1本工程采用计价方式的约定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本次采购内容采用总承包方式，固定单价合同。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响应报价应是采购文件所确定的采购范围内的全部工作内容的价格体现。其应包括但不限于施工机械、劳务、材料、设备、随设备提供的备</w:t>
      </w:r>
      <w:r>
        <w:rPr>
          <w:rFonts w:hint="eastAsia" w:ascii="宋体" w:hAnsi="宋体" w:eastAsia="宋体" w:cs="宋体"/>
          <w:color w:val="auto"/>
          <w:szCs w:val="21"/>
          <w:highlight w:val="none"/>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合同价款中包括的风险范围：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B、措施项目费。措施项目费是指为完成工程项目施工所必须发生的施工准备和施工过程中技术、生活、安全、环境保护等方面的非工程实体项目费用，由</w:t>
      </w:r>
      <w:r>
        <w:rPr>
          <w:rFonts w:hint="eastAsia" w:ascii="宋体" w:hAnsi="宋体" w:cs="宋体"/>
          <w:color w:val="auto"/>
          <w:szCs w:val="21"/>
          <w:highlight w:val="none"/>
          <w:lang w:val="en-US" w:eastAsia="zh-CN"/>
        </w:rPr>
        <w:t xml:space="preserve">通用</w:t>
      </w:r>
      <w:r>
        <w:rPr>
          <w:rFonts w:hint="eastAsia" w:ascii="宋体" w:hAnsi="宋体" w:eastAsia="宋体" w:cs="宋体"/>
          <w:color w:val="auto"/>
          <w:szCs w:val="21"/>
          <w:highlight w:val="none"/>
        </w:rPr>
        <w:t xml:space="preserve">措施项目和</w:t>
      </w:r>
      <w:r>
        <w:rPr>
          <w:rFonts w:hint="eastAsia" w:ascii="宋体" w:hAnsi="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措施项目组成。措施项目费用以包干形式计入，无论在合同价中是否单独列出均认为已含在合同价中，结算时与分部分项工程量变化、设计变更、现场签证等无关，不再调整，响应单位务必充分考虑此项风险。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（1）措施项目包括不限于安全</w:t>
      </w:r>
      <w:r>
        <w:rPr>
          <w:rFonts w:hint="eastAsia" w:ascii="宋体" w:hAnsi="宋体" w:cs="宋体"/>
          <w:color w:val="auto"/>
          <w:szCs w:val="21"/>
          <w:highlight w:val="none"/>
          <w:lang w:val="en-US" w:eastAsia="zh-CN"/>
        </w:rPr>
        <w:t xml:space="preserve">生产，</w:t>
      </w:r>
      <w:r>
        <w:rPr>
          <w:rFonts w:hint="eastAsia" w:ascii="宋体" w:hAnsi="宋体" w:eastAsia="宋体" w:cs="宋体"/>
          <w:color w:val="auto"/>
          <w:szCs w:val="21"/>
          <w:highlight w:val="none"/>
        </w:rPr>
        <w:t xml:space="preserve">文明施工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环境保护，临时设施，</w:t>
      </w:r>
      <w:r>
        <w:rPr>
          <w:rFonts w:hint="eastAsia" w:ascii="宋体" w:hAnsi="宋体" w:eastAsia="宋体" w:cs="宋体"/>
          <w:color w:val="auto"/>
          <w:szCs w:val="21"/>
          <w:highlight w:val="none"/>
        </w:rPr>
        <w:t xml:space="preserve">冬雨季施工增加费，夜间施工增加费，特殊地区施工增加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二次搬运费，</w:t>
      </w:r>
      <w:r>
        <w:rPr>
          <w:rFonts w:hint="eastAsia" w:ascii="宋体" w:hAnsi="宋体" w:cs="宋体"/>
          <w:color w:val="auto"/>
          <w:szCs w:val="21"/>
          <w:highlight w:val="none"/>
          <w:lang w:val="en-US" w:eastAsia="zh-CN"/>
        </w:rPr>
        <w:t xml:space="preserve">已完工程及设备保护，既有建(构)筑物、设施保护，按质论价，建筑工人实名制，特殊施工降效，协管，脚手架，垂直运输，其他大型机械进出场及安拆，施工排水，施工降水</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高（中）考、节假日、市内重大活动期间、省市各级领导对工地现场进行视察等引起的工效降低，各级政府相关管理部门对施工现场进行的有关建筑工程安全防护、文明施工的各种检查而发生的费用等等。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承包服务费及施工配合费。响应单位响应报价中应包含与本工程业主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（3）除上述措施项目费和</w:t>
      </w:r>
      <w:r>
        <w:rPr>
          <w:rFonts w:hint="eastAsia" w:ascii="宋体" w:hAnsi="宋体" w:cs="宋体"/>
          <w:color w:val="auto"/>
          <w:szCs w:val="21"/>
          <w:highlight w:val="none"/>
          <w:lang w:val="en-US" w:eastAsia="zh-CN"/>
        </w:rPr>
        <w:t xml:space="preserve">总承包服务</w:t>
      </w:r>
      <w:r>
        <w:rPr>
          <w:rFonts w:hint="eastAsia" w:ascii="宋体" w:hAnsi="宋体" w:eastAsia="宋体" w:cs="宋体"/>
          <w:color w:val="auto"/>
          <w:szCs w:val="21"/>
          <w:highlight w:val="none"/>
        </w:rPr>
        <w:t xml:space="preserve">费以外，合同价中还包括采购文件、工程量清单和合同条款中包括的其他所有费用等及响应单位考虑全面施工本项目时应增加的潜在其它措施费及风险费用等。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2、风险范围以外合同价格的调整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（1）调整范围①经发包人确认的设计变更；②发包人和监理方均认可经审核后的签证；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（2）调整方法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①新增的工程量清单项目的项目特征与响应报价中项目相同的，按响应报价的综合单价计算。</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业主确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③响应报价中没有综合单价的新增的工程量清单项目，新增综合单价按</w:t>
      </w:r>
      <w:r>
        <w:rPr>
          <w:rFonts w:hint="eastAsia" w:ascii="宋体" w:hAnsi="宋体" w:eastAsia="宋体" w:cs="宋体"/>
          <w:color w:val="auto"/>
          <w:szCs w:val="21"/>
          <w:highlight w:val="none"/>
          <w:lang w:eastAsia="zh-CN"/>
        </w:rPr>
        <w:t xml:space="preserve">建设工程工程量清单计价标准（GB_T50500-2024）</w:t>
      </w:r>
      <w:r>
        <w:rPr>
          <w:rFonts w:hint="eastAsia" w:ascii="宋体" w:hAnsi="宋体" w:eastAsia="宋体" w:cs="宋体"/>
          <w:color w:val="auto"/>
          <w:szCs w:val="21"/>
          <w:highlight w:val="none"/>
        </w:rPr>
        <w:t xml:space="preserve">、《江苏省建筑与装饰工程消耗量》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《江苏省市政工程消耗量》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《江苏省通用安装工程消耗量》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《江苏省建设工程费用参考》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《江苏建设工程施工机具台班费用参考表》及</w:t>
      </w:r>
      <w:r>
        <w:rPr>
          <w:rFonts w:hint="eastAsia" w:ascii="宋体" w:hAnsi="宋体" w:cs="宋体"/>
          <w:color w:val="auto"/>
          <w:szCs w:val="21"/>
          <w:highlight w:val="none"/>
          <w:lang w:val="en-US" w:eastAsia="zh-CN"/>
        </w:rPr>
        <w:t xml:space="preserve">2009版</w:t>
      </w:r>
      <w:r>
        <w:rPr>
          <w:rFonts w:hint="eastAsia" w:ascii="宋体" w:hAnsi="宋体" w:eastAsia="宋体" w:cs="宋体"/>
          <w:color w:val="auto"/>
          <w:szCs w:val="21"/>
          <w:highlight w:val="none"/>
        </w:rPr>
        <w:t xml:space="preserve">《江苏省房屋修缮工程计价</w:t>
      </w:r>
      <w:r>
        <w:rPr>
          <w:rFonts w:hint="eastAsia" w:ascii="宋体" w:hAnsi="宋体" w:cs="宋体"/>
          <w:color w:val="auto"/>
          <w:szCs w:val="21"/>
          <w:highlight w:val="none"/>
          <w:lang w:val="en-US" w:eastAsia="zh-CN"/>
        </w:rPr>
        <w:t xml:space="preserve">表</w:t>
      </w:r>
      <w:r>
        <w:rPr>
          <w:rFonts w:hint="eastAsia" w:ascii="宋体" w:hAnsi="宋体" w:eastAsia="宋体" w:cs="宋体"/>
          <w:color w:val="auto"/>
          <w:szCs w:val="21"/>
          <w:highlight w:val="none"/>
        </w:rPr>
        <w:t xml:space="preserve">》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确定。</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8" w:name="_Toc21795"/>
      <w:r/>
      <w:bookmarkStart w:id="199" w:name="_Toc7269"/>
      <w:r/>
      <w:bookmarkStart w:id="200" w:name="_Toc19203"/>
      <w:r/>
      <w:bookmarkStart w:id="201" w:name="_Toc18648"/>
      <w:r/>
      <w:bookmarkStart w:id="202" w:name="_Toc21161"/>
      <w:r>
        <w:rPr>
          <w:rFonts w:hint="eastAsia" w:ascii="宋体" w:hAnsi="宋体" w:eastAsia="宋体" w:cs="宋体"/>
          <w:b/>
          <w:bCs w:val="0"/>
          <w:color w:val="auto"/>
          <w:sz w:val="21"/>
          <w:szCs w:val="21"/>
          <w:highlight w:val="none"/>
          <w:lang w:eastAsia="zh-CN"/>
        </w:rPr>
        <w:t xml:space="preserve">17预付款</w:t>
      </w:r>
      <w:bookmarkEnd w:id="198"/>
      <w:r/>
      <w:bookmarkEnd w:id="199"/>
      <w:r/>
      <w:bookmarkEnd w:id="200"/>
      <w:r/>
      <w:bookmarkEnd w:id="201"/>
      <w:r/>
      <w:bookmarkEnd w:id="202"/>
      <w:r/>
      <w:r/>
    </w:p>
    <w:p>
      <w:pPr>
        <w:ind w:firstLine="48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7.1 工程进度付款</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17.1.1 付款周期</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关于付款周期的约定：</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5"/>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ind w:firstLine="525"/>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发包人有权根据工程进度的要求调整工程付款的时间和比例，承包人不得因此而提出异议。</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所有工程支付款必须由监理签字确认有效工作量，签发付款单后，发包人才予办理工程款支付的手续；所有合同外增加的工作内容和工程变更调整的价款，一律不得作为进度款支付的计算基数，待竣工结算审核后与工程款同期结算。</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发包人支付工程预付款、工程进度款的同时，承包人必须提供相应的完税凭证。</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承包人应对合同中明确的付款账号作为本项目的专款专用账号，并对此进行承诺。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3" w:name="_Toc11137"/>
      <w:r/>
      <w:bookmarkStart w:id="204" w:name="_Toc2195"/>
      <w:r/>
      <w:bookmarkStart w:id="205" w:name="_Toc6521"/>
      <w:r/>
      <w:bookmarkStart w:id="206" w:name="_Toc15323"/>
      <w:r/>
      <w:bookmarkStart w:id="207" w:name="_Toc18348"/>
      <w:r>
        <w:rPr>
          <w:rFonts w:hint="eastAsia" w:ascii="宋体" w:hAnsi="宋体" w:eastAsia="宋体" w:cs="宋体"/>
          <w:b/>
          <w:bCs w:val="0"/>
          <w:color w:val="auto"/>
          <w:sz w:val="21"/>
          <w:szCs w:val="21"/>
          <w:highlight w:val="none"/>
          <w:lang w:eastAsia="zh-CN"/>
        </w:rPr>
        <w:t xml:space="preserve">18 竣工验收与结算</w:t>
      </w:r>
      <w:bookmarkEnd w:id="203"/>
      <w:r/>
      <w:bookmarkEnd w:id="204"/>
      <w:r/>
      <w:bookmarkEnd w:id="205"/>
      <w:r/>
      <w:bookmarkEnd w:id="206"/>
      <w:r/>
      <w:bookmarkEnd w:id="20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18.1 竣工验收</w:t>
      </w:r>
      <w:r/>
    </w:p>
    <w:p>
      <w:pPr>
        <w:ind w:firstLine="412"/>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2"/>
          <w:szCs w:val="21"/>
          <w:highlight w:val="none"/>
        </w:rPr>
        <w:t xml:space="preserve">18.1.1</w:t>
      </w:r>
      <w:r>
        <w:rPr>
          <w:rFonts w:hint="eastAsia" w:ascii="宋体" w:hAnsi="宋体" w:eastAsia="宋体" w:cs="宋体"/>
          <w:color w:val="auto"/>
          <w:spacing w:val="-6"/>
          <w:szCs w:val="21"/>
          <w:highlight w:val="none"/>
        </w:rPr>
        <w:t xml:space="preserve">项目验收时，承包人需提供结算送审价与合同价对比分析的结果，明确变化金额和原因，否则发包人不予通过验收，也不接收结算资料和支付竣工进度款。</w:t>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18.2 竣工结算</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18.2.1竣工结算必须在竣工资料通过发包人组织的验收或建设行政主管部门备案并移交工程后方可进行。</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18.2.2 竣工验收备案后，承包人应按发包人现行有关工程结算审核规定办理竣工结算。在发包人按程序相关审计部门评审后，相关审计部门最终评审结论作为双方结算工程款的有效依据。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18.2.3承包人竣工结算书必须按发包人监察审计部的要求进行编制，同时必须提供工程量计算底稿、完整的变更签证等相关的结算资料。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18.2.4</w:t>
      </w:r>
      <w:r>
        <w:rPr>
          <w:rFonts w:hint="eastAsia" w:ascii="宋体" w:hAnsi="宋体" w:eastAsia="宋体" w:cs="宋体"/>
          <w:color w:val="auto"/>
          <w:spacing w:val="-6"/>
          <w:szCs w:val="21"/>
          <w:highlight w:val="none"/>
        </w:rPr>
        <w:t xml:space="preserve">工程结算资料送发包方审核时，如发现签证资料签证人签字不全，此签证单不得返回补签，按作废处理。</w:t>
      </w:r>
      <w:r>
        <w:rPr>
          <w:rFonts w:hint="eastAsia" w:ascii="宋体" w:hAnsi="宋体" w:eastAsia="宋体" w:cs="宋体"/>
          <w:color w:val="auto"/>
          <w:szCs w:val="21"/>
          <w:highlight w:val="none"/>
        </w:rPr>
        <w:t xml:space="preserve">承包人送审的结算书中若有遗漏项目均作为让利给发包人，不作增加调整。</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18.2.5 工程结算方式</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（1）响应单价内已包含</w:t>
      </w:r>
      <w:r>
        <w:rPr>
          <w:rFonts w:hint="eastAsia" w:ascii="宋体" w:hAnsi="宋体" w:cs="宋体"/>
          <w:color w:val="auto"/>
          <w:spacing w:val="-6"/>
          <w:sz w:val="21"/>
          <w:szCs w:val="21"/>
          <w:highlight w:val="none"/>
          <w:lang w:val="en-US" w:eastAsia="zh-CN"/>
        </w:rPr>
        <w:t xml:space="preserve">措施项目（通用措施项目和专业措施项目）</w:t>
      </w:r>
      <w:r>
        <w:rPr>
          <w:rFonts w:hint="eastAsia" w:ascii="宋体" w:hAnsi="宋体" w:eastAsia="宋体" w:cs="宋体"/>
          <w:color w:val="auto"/>
          <w:spacing w:val="-6"/>
          <w:sz w:val="21"/>
          <w:szCs w:val="21"/>
          <w:highlight w:val="none"/>
          <w:lang w:eastAsia="zh-CN"/>
        </w:rPr>
        <w:t xml:space="preserve">等相关费用。如根据政府造价文件规定需计入工程总造价但实际上由发包人代缴的费用，发包人在结算时扣除。</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（2）因物价波动引起的价差变化按合同专用条款第15条调整。</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（3）</w:t>
      </w:r>
      <w:r>
        <w:rPr>
          <w:rFonts w:hint="eastAsia" w:ascii="宋体" w:hAnsi="宋体" w:eastAsia="宋体" w:cs="宋体"/>
          <w:color w:val="auto"/>
          <w:szCs w:val="21"/>
          <w:highlight w:val="none"/>
        </w:rPr>
        <w:t xml:space="preserve">变更工程价款按本合同专用条款第16条执行。</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18.2.6因发包人原因造成结算延误的，发包人不对承包人做任何补偿以及支付任何费用、赔偿。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8" w:name="_Toc19340"/>
      <w:r/>
      <w:bookmarkStart w:id="209" w:name="_Toc7530"/>
      <w:r/>
      <w:bookmarkStart w:id="210" w:name="_Toc23943"/>
      <w:r/>
      <w:bookmarkStart w:id="211" w:name="_Toc719"/>
      <w:r/>
      <w:bookmarkStart w:id="212" w:name="_Toc16581"/>
      <w:r>
        <w:rPr>
          <w:rFonts w:hint="eastAsia" w:ascii="宋体" w:hAnsi="宋体" w:eastAsia="宋体" w:cs="宋体"/>
          <w:b/>
          <w:bCs w:val="0"/>
          <w:color w:val="auto"/>
          <w:sz w:val="21"/>
          <w:szCs w:val="21"/>
          <w:highlight w:val="none"/>
          <w:lang w:eastAsia="zh-CN"/>
        </w:rPr>
        <w:t xml:space="preserve">19保险和担保</w:t>
      </w:r>
      <w:bookmarkEnd w:id="208"/>
      <w:r/>
      <w:bookmarkEnd w:id="209"/>
      <w:r/>
      <w:bookmarkEnd w:id="210"/>
      <w:r/>
      <w:bookmarkEnd w:id="211"/>
      <w:r/>
      <w:bookmarkEnd w:id="212"/>
      <w:r/>
      <w:r/>
    </w:p>
    <w:p>
      <w:pPr>
        <w:ind w:firstLine="396"/>
        <w:spacing w:line="360" w:lineRule="auto"/>
        <w:tabs>
          <w:tab w:val="left" w:pos="1440" w:leader="none"/>
        </w:tabs>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 xml:space="preserve">19.1 无需履约保证金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3" w:name="_Toc19707"/>
      <w:r/>
      <w:bookmarkStart w:id="214" w:name="_Toc9582"/>
      <w:r/>
      <w:bookmarkStart w:id="215" w:name="_Toc24944"/>
      <w:r/>
      <w:bookmarkStart w:id="216" w:name="_Toc30577"/>
      <w:r/>
      <w:bookmarkStart w:id="217" w:name="_Toc1275"/>
      <w:r>
        <w:rPr>
          <w:rFonts w:hint="eastAsia" w:ascii="宋体" w:hAnsi="宋体" w:eastAsia="宋体" w:cs="宋体"/>
          <w:b/>
          <w:bCs w:val="0"/>
          <w:color w:val="auto"/>
          <w:sz w:val="21"/>
          <w:szCs w:val="21"/>
          <w:highlight w:val="none"/>
          <w:lang w:eastAsia="zh-CN"/>
        </w:rPr>
        <w:t xml:space="preserve">20不可抗力</w:t>
      </w:r>
      <w:bookmarkEnd w:id="213"/>
      <w:r/>
      <w:bookmarkEnd w:id="214"/>
      <w:r/>
      <w:bookmarkEnd w:id="215"/>
      <w:r/>
      <w:bookmarkEnd w:id="216"/>
      <w:r/>
      <w:bookmarkEnd w:id="21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20.1不可抗力的确认</w:t>
      </w:r>
      <w:r/>
    </w:p>
    <w:p>
      <w:pPr>
        <w:ind w:firstLine="412"/>
        <w:spacing w:line="360" w:lineRule="auto"/>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20.1.1 不可抗力是指：</w:t>
      </w:r>
      <w:r>
        <w:rPr>
          <w:rFonts w:hint="eastAsia" w:ascii="宋体" w:hAnsi="宋体" w:eastAsia="宋体" w:cs="宋体"/>
          <w:color w:val="auto"/>
          <w:spacing w:val="-6"/>
          <w:szCs w:val="21"/>
          <w:highlight w:val="none"/>
        </w:rPr>
        <w:t xml:space="preserve">战争、地震、雷击、特大洪水灾害。</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8" w:name="_Toc29096"/>
      <w:r/>
      <w:bookmarkStart w:id="219" w:name="_Toc9133"/>
      <w:r/>
      <w:bookmarkStart w:id="220" w:name="_Toc6623"/>
      <w:r/>
      <w:bookmarkStart w:id="221" w:name="_Toc12698"/>
      <w:r/>
      <w:bookmarkStart w:id="222" w:name="_Toc21884"/>
      <w:r>
        <w:rPr>
          <w:rFonts w:hint="eastAsia" w:ascii="宋体" w:hAnsi="宋体" w:eastAsia="宋体" w:cs="宋体"/>
          <w:b/>
          <w:bCs w:val="0"/>
          <w:color w:val="auto"/>
          <w:sz w:val="21"/>
          <w:szCs w:val="21"/>
          <w:highlight w:val="none"/>
          <w:lang w:eastAsia="zh-CN"/>
        </w:rPr>
        <w:t xml:space="preserve">21 违约</w:t>
      </w:r>
      <w:bookmarkEnd w:id="218"/>
      <w:r/>
      <w:bookmarkEnd w:id="219"/>
      <w:r/>
      <w:bookmarkEnd w:id="220"/>
      <w:r/>
      <w:bookmarkEnd w:id="221"/>
      <w:r/>
      <w:bookmarkEnd w:id="222"/>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21.1本合同中关于双方违约的具体责任如下：</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本工程按合同工期推迟一天交付使用，承包人每天按工程总造价 5‰支付违约金，最多不超过总造价20%。</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2、双方约定的承包人其他违约责任：</w:t>
      </w:r>
      <w:r>
        <w:rPr>
          <w:rFonts w:hint="eastAsia" w:ascii="宋体" w:hAnsi="宋体" w:eastAsia="宋体" w:cs="宋体"/>
          <w:color w:val="auto"/>
          <w:spacing w:val="-6"/>
          <w:szCs w:val="21"/>
          <w:highlight w:val="none"/>
          <w:u w:val="single"/>
        </w:rPr>
        <w:t xml:space="preserve">因承包人不及时提供结算资料或没能提供合格竣工备案资料，发包人有权不予支付余下的工程款项。</w:t>
      </w:r>
      <w:r/>
    </w:p>
    <w:p>
      <w:pPr>
        <w:ind w:firstLine="396"/>
        <w:spacing w:line="360" w:lineRule="auto"/>
        <w:tabs>
          <w:tab w:val="left" w:pos="1440" w:leader="none"/>
        </w:tabs>
        <w:rPr>
          <w:rFonts w:hint="eastAsia" w:ascii="宋体" w:hAnsi="宋体" w:eastAsia="宋体" w:cs="宋体"/>
          <w:bCs/>
          <w:color w:val="auto"/>
          <w:spacing w:val="-6"/>
          <w:szCs w:val="21"/>
          <w:highlight w:val="none"/>
          <w:u w:val="single"/>
        </w:rPr>
      </w:pPr>
      <w:r>
        <w:rPr>
          <w:rFonts w:hint="eastAsia" w:ascii="宋体" w:hAnsi="宋体" w:eastAsia="宋体" w:cs="宋体"/>
          <w:color w:val="auto"/>
          <w:spacing w:val="-6"/>
          <w:szCs w:val="21"/>
          <w:highlight w:val="none"/>
        </w:rPr>
        <w:t xml:space="preserve">3、</w:t>
      </w:r>
      <w:r>
        <w:rPr>
          <w:rFonts w:hint="eastAsia" w:ascii="宋体" w:hAnsi="宋体" w:eastAsia="宋体" w:cs="宋体"/>
          <w:bCs/>
          <w:color w:val="auto"/>
          <w:spacing w:val="-6"/>
          <w:szCs w:val="21"/>
          <w:highlight w:val="none"/>
        </w:rPr>
        <w:t xml:space="preserve">如</w:t>
      </w:r>
      <w:r>
        <w:rPr>
          <w:rFonts w:hint="eastAsia" w:ascii="宋体" w:hAnsi="宋体" w:eastAsia="宋体" w:cs="宋体"/>
          <w:bCs/>
          <w:color w:val="auto"/>
          <w:spacing w:val="-6"/>
          <w:szCs w:val="21"/>
          <w:highlight w:val="none"/>
          <w:u w:val="single"/>
        </w:rPr>
        <w:t xml:space="preserve">果承包方按要求送达了完整的结算资料，发包方初审应按</w:t>
      </w:r>
      <w:r>
        <w:rPr>
          <w:rFonts w:hint="eastAsia" w:ascii="宋体" w:hAnsi="宋体" w:eastAsia="宋体" w:cs="宋体"/>
          <w:color w:val="auto"/>
          <w:szCs w:val="21"/>
          <w:highlight w:val="none"/>
          <w:u w:val="single"/>
        </w:rPr>
        <w:t xml:space="preserve">《工程审计工作暂行办法》</w:t>
      </w:r>
      <w:r>
        <w:rPr>
          <w:rFonts w:hint="eastAsia" w:ascii="宋体" w:hAnsi="宋体" w:eastAsia="宋体" w:cs="宋体"/>
          <w:bCs/>
          <w:color w:val="auto"/>
          <w:spacing w:val="-6"/>
          <w:szCs w:val="21"/>
          <w:highlight w:val="none"/>
          <w:u w:val="single"/>
        </w:rPr>
        <w:t xml:space="preserve">有关规定完成，由发包方造成的结算延误，发包方应视情况予以支付工程款。</w:t>
      </w:r>
      <w:r/>
    </w:p>
    <w:p>
      <w:pPr>
        <w:ind w:firstLine="396"/>
        <w:spacing w:line="360" w:lineRule="auto"/>
        <w:tabs>
          <w:tab w:val="left" w:pos="1440" w:leader="none"/>
        </w:tabs>
        <w:rPr>
          <w:rFonts w:hint="eastAsia" w:ascii="宋体" w:hAnsi="宋体" w:eastAsia="宋体" w:cs="宋体"/>
          <w:bCs/>
          <w:color w:val="auto"/>
          <w:spacing w:val="-6"/>
          <w:szCs w:val="21"/>
          <w:highlight w:val="none"/>
        </w:rPr>
      </w:pPr>
      <w:r>
        <w:rPr>
          <w:rFonts w:hint="eastAsia" w:ascii="宋体" w:hAnsi="宋体" w:eastAsia="宋体" w:cs="宋体"/>
          <w:color w:val="auto"/>
          <w:spacing w:val="-6"/>
          <w:szCs w:val="21"/>
          <w:highlight w:val="none"/>
        </w:rPr>
        <w:t xml:space="preserve">4、</w:t>
      </w:r>
      <w:r>
        <w:rPr>
          <w:rFonts w:hint="eastAsia" w:ascii="宋体" w:hAnsi="宋体" w:eastAsia="宋体" w:cs="宋体"/>
          <w:bCs/>
          <w:color w:val="auto"/>
          <w:spacing w:val="-6"/>
          <w:szCs w:val="21"/>
          <w:highlight w:val="none"/>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left="0"/>
        <w:jc w:val="both"/>
        <w:spacing w:line="360" w:lineRule="auto"/>
        <w:widowControl w:val="off"/>
        <w:rPr>
          <w:rFonts w:hint="eastAsia" w:ascii="宋体" w:hAnsi="宋体" w:eastAsia="宋体" w:cs="宋体"/>
          <w:b/>
          <w:color w:val="auto"/>
          <w:position w:val="-10"/>
          <w:sz w:val="24"/>
          <w:szCs w:val="21"/>
          <w:highlight w:val="none"/>
          <w:lang w:eastAsia="zh-CN"/>
        </w:rPr>
      </w:pPr>
      <w:r>
        <w:rPr>
          <w:rFonts w:hint="eastAsia" w:ascii="宋体" w:hAnsi="宋体" w:eastAsia="宋体" w:cs="宋体"/>
          <w:b/>
          <w:color w:val="auto"/>
          <w:position w:val="-10"/>
          <w:sz w:val="24"/>
          <w:szCs w:val="21"/>
          <w:highlight w:val="none"/>
          <w:lang w:eastAsia="zh-CN"/>
        </w:rPr>
        <w:t xml:space="preserve">21.2双方约定的承包人其他违约责任：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3" w:name="_Toc5673"/>
      <w:r/>
      <w:bookmarkStart w:id="224" w:name="_Toc32526"/>
      <w:r>
        <w:rPr>
          <w:rFonts w:hint="eastAsia" w:ascii="宋体" w:hAnsi="宋体" w:eastAsia="宋体" w:cs="宋体"/>
          <w:b/>
          <w:bCs w:val="0"/>
          <w:color w:val="auto"/>
          <w:sz w:val="21"/>
          <w:szCs w:val="21"/>
          <w:highlight w:val="none"/>
          <w:lang w:eastAsia="zh-CN"/>
        </w:rPr>
        <w:t xml:space="preserve">22.工程分包</w:t>
      </w:r>
      <w:bookmarkEnd w:id="223"/>
      <w:r/>
      <w:bookmarkEnd w:id="224"/>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分包施工单位为：由承包人及发包人共同确定，资质等级符合要求。</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5" w:name="_Toc16811"/>
      <w:r/>
      <w:bookmarkStart w:id="226" w:name="_Toc10670"/>
      <w:r/>
      <w:bookmarkStart w:id="227" w:name="_Toc13388"/>
      <w:r/>
      <w:bookmarkStart w:id="228" w:name="_Toc18781"/>
      <w:r/>
      <w:bookmarkStart w:id="229" w:name="_Toc15659"/>
      <w:r>
        <w:rPr>
          <w:rFonts w:hint="eastAsia" w:ascii="宋体" w:hAnsi="宋体" w:eastAsia="宋体" w:cs="宋体"/>
          <w:b/>
          <w:bCs w:val="0"/>
          <w:color w:val="auto"/>
          <w:sz w:val="21"/>
          <w:szCs w:val="21"/>
          <w:highlight w:val="none"/>
          <w:lang w:eastAsia="zh-CN"/>
        </w:rPr>
        <w:t xml:space="preserve">23 争议</w:t>
      </w:r>
      <w:bookmarkEnd w:id="225"/>
      <w:r/>
      <w:bookmarkEnd w:id="226"/>
      <w:r/>
      <w:bookmarkEnd w:id="227"/>
      <w:r/>
      <w:bookmarkEnd w:id="228"/>
      <w:r/>
      <w:bookmarkEnd w:id="2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23.1争议的解决方式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双方约定，在履行合同过程中产生争议时，依法向工程所在地人民法院提起诉讼。</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0" w:name="_Toc14835"/>
      <w:r/>
      <w:bookmarkStart w:id="231" w:name="_Toc28047"/>
      <w:r/>
      <w:bookmarkStart w:id="232" w:name="_Toc26159"/>
      <w:r/>
      <w:bookmarkStart w:id="233" w:name="_Toc13898"/>
      <w:r/>
      <w:bookmarkStart w:id="234" w:name="_Toc18207"/>
      <w:r>
        <w:rPr>
          <w:rFonts w:hint="eastAsia" w:ascii="宋体" w:hAnsi="宋体" w:eastAsia="宋体" w:cs="宋体"/>
          <w:b/>
          <w:bCs w:val="0"/>
          <w:color w:val="auto"/>
          <w:sz w:val="21"/>
          <w:szCs w:val="21"/>
          <w:highlight w:val="none"/>
          <w:lang w:eastAsia="zh-CN"/>
        </w:rPr>
        <w:t xml:space="preserve">24 补充条款</w:t>
      </w:r>
      <w:bookmarkEnd w:id="230"/>
      <w:r/>
      <w:bookmarkEnd w:id="231"/>
      <w:r/>
      <w:bookmarkEnd w:id="232"/>
      <w:r/>
      <w:bookmarkEnd w:id="233"/>
      <w:r/>
      <w:bookmarkEnd w:id="234"/>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承包人须使用有牌照、手续齐全的运输车辆，如因承包人擅自使用黑头车所造成的一切后果由承包人自负。</w:t>
      </w:r>
      <w:r/>
    </w:p>
    <w:p>
      <w:pPr>
        <w:ind w:firstLine="396"/>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2）承包人保证不拖欠民工工资。</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4）本工程要求项目经理本人每周5天，每天8小时在驻守现场，且在工程项目未竣工交付使用前不得更换项目经理。若未经发包人同意承包人私自更换项目经理，承包人承担5%的违约金。项目经理驻守现场每少一天扣承包人工程款2000元；连续10天不在现场的，发包人有权解除合同，并追究承包人不能履约的违约责任。如承包人建造师无法履行合同，则发包方有权进行停工处理，直至解除合同。进场施工人员必须有相应上岗证。</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5）本</w:t>
      </w:r>
      <w:r>
        <w:rPr>
          <w:rFonts w:hint="eastAsia" w:ascii="宋体" w:hAnsi="宋体" w:eastAsia="宋体" w:cs="宋体"/>
          <w:color w:val="auto"/>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8)工程所需水、电全部费用均由承包人承担，配电箱、电表、水表由承包人自备。</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w:t>
      </w:r>
      <w:r>
        <w:rPr>
          <w:rFonts w:hint="eastAsia" w:ascii="宋体" w:hAnsi="宋体" w:cs="宋体"/>
          <w:color w:val="auto"/>
          <w:spacing w:val="-6"/>
          <w:szCs w:val="21"/>
          <w:highlight w:val="none"/>
          <w:u w:val="single"/>
          <w:lang w:val="en-US" w:eastAsia="zh-CN"/>
        </w:rPr>
        <w:t xml:space="preserve">市场价</w:t>
      </w:r>
      <w:r>
        <w:rPr>
          <w:rFonts w:hint="eastAsia" w:ascii="宋体" w:hAnsi="宋体" w:eastAsia="宋体" w:cs="宋体"/>
          <w:color w:val="auto"/>
          <w:spacing w:val="-6"/>
          <w:szCs w:val="21"/>
          <w:highlight w:val="none"/>
          <w:u w:val="single"/>
        </w:rPr>
        <w:t xml:space="preserve">内水电费计算扣回；</w:t>
      </w:r>
      <w:r>
        <w:rPr>
          <w:rFonts w:hint="eastAsia" w:ascii="宋体" w:hAnsi="宋体" w:cs="宋体"/>
          <w:color w:val="auto"/>
          <w:spacing w:val="-6"/>
          <w:szCs w:val="21"/>
          <w:highlight w:val="none"/>
          <w:u w:val="single"/>
          <w:lang w:val="en-US" w:eastAsia="zh-CN"/>
        </w:rPr>
        <w:t xml:space="preserve">消耗量</w:t>
      </w:r>
      <w:r>
        <w:rPr>
          <w:rFonts w:hint="eastAsia" w:ascii="宋体" w:hAnsi="宋体" w:eastAsia="宋体" w:cs="宋体"/>
          <w:color w:val="auto"/>
          <w:spacing w:val="-6"/>
          <w:szCs w:val="21"/>
          <w:highlight w:val="none"/>
          <w:u w:val="single"/>
        </w:rPr>
        <w:t xml:space="preserve">内无法明确水电含量时，按照审定价的3‰扣回。</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9_)双方就下列标准承担审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机构的审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核减率超过5%的，其审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费用全部由承包人承担，并由发包人从承包人工程款中扣除（下同）；审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核减率在5%及其以下的，其审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费用由发包人承担。承包人提供的所有资料需满足工程备案要求。</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10）在履行合同过程中，承包人应遵守国家或地方的法律、法规、法令，或任何对工程有管理权的部门的规章，并按要求支付有关费用。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spacing w:line="360" w:lineRule="auto"/>
        <w:tabs>
          <w:tab w:val="left" w:pos="1440" w:leader="none"/>
        </w:tabs>
        <w:rPr>
          <w:rFonts w:hint="eastAsia" w:ascii="宋体" w:hAnsi="宋体" w:eastAsia="宋体" w:cs="宋体"/>
          <w:b/>
          <w:color w:val="auto"/>
          <w:spacing w:val="-6"/>
          <w:szCs w:val="21"/>
          <w:highlight w:val="none"/>
          <w:u w:val="single"/>
        </w:rPr>
      </w:pPr>
      <w:r>
        <w:rPr>
          <w:rFonts w:hint="eastAsia" w:ascii="宋体" w:hAnsi="宋体" w:eastAsia="宋体" w:cs="宋体"/>
          <w:color w:val="auto"/>
          <w:spacing w:val="-6"/>
          <w:szCs w:val="21"/>
          <w:highlight w:val="none"/>
        </w:rPr>
        <w:t xml:space="preserve">14）</w:t>
      </w:r>
      <w:r>
        <w:rPr>
          <w:rFonts w:hint="eastAsia" w:ascii="宋体" w:hAnsi="宋体" w:eastAsia="宋体" w:cs="宋体"/>
          <w:color w:val="auto"/>
          <w:spacing w:val="-6"/>
          <w:szCs w:val="21"/>
          <w:highlight w:val="none"/>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eastAsia="宋体" w:cs="宋体"/>
          <w:color w:val="auto"/>
          <w:szCs w:val="21"/>
          <w:highlight w:val="none"/>
          <w:u w:val="single"/>
        </w:rPr>
        <w:t xml:space="preserve">施工前和施工后工程量测量数据请发包人（或者现场监理）签字确认，结算时提供工程量计算明细并附带经发包人确认的原始测量记录，工程量按实调整。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15）合同款包含为保证施工期间工作人员、财产安全所采取的一切必要措施的费用。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16）由于施工带来的投诉、行政处罚、罚款等责任及后果均由承包人全权负责。</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17）通用条款与专用条款不一致时，以专用条款为准。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18）本次采购范围为暂定，响应单位成交后，发包人根据工程实际情况有权对工程量清单进行调整，承包人对此不得提出任何异议和费用索赔要求。</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u w:val="single"/>
        </w:rPr>
        <w:t xml:space="preserve">19）</w:t>
      </w:r>
      <w:r>
        <w:rPr>
          <w:rFonts w:hint="eastAsia" w:ascii="宋体" w:hAnsi="宋体" w:eastAsia="宋体" w:cs="宋体"/>
          <w:color w:val="auto"/>
          <w:szCs w:val="21"/>
          <w:highlight w:val="none"/>
        </w:rPr>
        <w:t xml:space="preserve">本项目涉及的楼宇施工单位必须保证项目相关师生员工的人身及财产的安全，包括但不限于以下方面响应单位已于投标时给予充分考虑：</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要充分考虑实际情况，合理调配施工人员和进度，确保按时完工。施工区域和时间由发包人现场管理人员和监理确定，施工方必须无条件服从。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（2）投标时应充分考虑工程施工时对周边绿化、设备、建筑、居民等的保护，保护费用应包含在报价中。</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w:t>
      </w:r>
      <w:r>
        <w:rPr>
          <w:rFonts w:hint="eastAsia" w:ascii="宋体" w:hAnsi="宋体" w:eastAsia="宋体" w:cs="宋体"/>
          <w:color w:val="auto"/>
          <w:spacing w:val="-6"/>
          <w:szCs w:val="21"/>
          <w:highlight w:val="none"/>
          <w:u w:val="single"/>
        </w:rPr>
        <w:t xml:space="preserve">已充分了解现场实际情况后进行报价，</w:t>
      </w:r>
      <w:r>
        <w:rPr>
          <w:rFonts w:hint="eastAsia" w:ascii="宋体" w:hAnsi="宋体" w:eastAsia="宋体" w:cs="宋体"/>
          <w:color w:val="auto"/>
          <w:szCs w:val="21"/>
          <w:highlight w:val="none"/>
          <w:u w:val="single"/>
        </w:rPr>
        <w:t xml:space="preserve">拆除费、措施费（垂直运输、吊篮等）、施工护栏、临时设施费含在报价内，结算时不调整。工程量清单中计量单位为项的项目，一次性报价，结算时不调整。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（9）工程暂列金额详见工程量清单，使用权和所有权归发包人。暂列金额是</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rPr>
        <w:t xml:space="preserve">暂定并用于支付合同履行中可能发生但暂时不能确定的项目的费用，所有权属于工程建设资金，仅用于本工程变更、索赔、零星增项；未使用完的暂列金额结算时直接扣除，归发包人。</w:t>
      </w:r>
      <w:r/>
    </w:p>
    <w:p>
      <w:pPr>
        <w:ind w:firstLine="376"/>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20）</w:t>
      </w:r>
      <w:r>
        <w:rPr>
          <w:rFonts w:hint="eastAsia" w:ascii="宋体" w:hAnsi="宋体" w:cs="宋体"/>
          <w:color w:val="auto"/>
          <w:spacing w:val="0"/>
          <w:szCs w:val="21"/>
          <w:highlight w:val="none"/>
          <w:u w:val="single"/>
          <w:lang w:val="en-US" w:eastAsia="zh-CN"/>
        </w:rPr>
        <w:t xml:space="preserve">本项目位于</w:t>
      </w:r>
      <w:r>
        <w:rPr>
          <w:rFonts w:hint="eastAsia" w:ascii="宋体" w:hAnsi="宋体" w:cs="宋体"/>
          <w:color w:val="auto"/>
          <w:sz w:val="21"/>
          <w:szCs w:val="21"/>
          <w:highlight w:val="none"/>
          <w:u w:val="single"/>
          <w:lang w:val="en-US" w:eastAsia="zh-CN"/>
        </w:rPr>
        <w:t xml:space="preserve">南京体育学院灵谷寺校区内</w:t>
      </w:r>
      <w:r>
        <w:rPr>
          <w:rFonts w:hint="eastAsia" w:ascii="宋体" w:hAnsi="宋体" w:eastAsia="宋体" w:cs="宋体"/>
          <w:color w:val="auto"/>
          <w:spacing w:val="-6"/>
          <w:szCs w:val="21"/>
          <w:highlight w:val="none"/>
          <w:u w:val="single"/>
          <w:lang w:val="zh-CN"/>
        </w:rPr>
        <w:t xml:space="preserve">,该区域内</w:t>
      </w:r>
      <w:r>
        <w:rPr>
          <w:rFonts w:hint="eastAsia" w:ascii="宋体" w:hAnsi="宋体" w:cs="宋体"/>
          <w:color w:val="auto"/>
          <w:spacing w:val="-6"/>
          <w:szCs w:val="21"/>
          <w:highlight w:val="none"/>
          <w:u w:val="single"/>
          <w:lang w:val="en-US" w:eastAsia="zh-CN"/>
        </w:rPr>
        <w:t xml:space="preserve">可能有</w:t>
      </w:r>
      <w:r>
        <w:rPr>
          <w:rFonts w:hint="eastAsia" w:ascii="宋体" w:hAnsi="宋体" w:eastAsia="宋体" w:cs="宋体"/>
          <w:color w:val="auto"/>
          <w:spacing w:val="-6"/>
          <w:szCs w:val="21"/>
          <w:highlight w:val="none"/>
          <w:u w:val="single"/>
          <w:lang w:val="zh-CN"/>
        </w:rPr>
        <w:t xml:space="preserve">车辆通行禁区,</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pacing w:val="-6"/>
          <w:szCs w:val="21"/>
          <w:highlight w:val="none"/>
          <w:u w:val="single"/>
          <w:lang w:val="zh-CN"/>
        </w:rPr>
        <w:t xml:space="preserve">须充分考虑因车辆在禁区内通行所产生的相关费用,结算不得另行增加相关费</w:t>
      </w:r>
      <w:r>
        <w:rPr>
          <w:rFonts w:hint="eastAsia" w:ascii="宋体" w:hAnsi="宋体" w:eastAsia="宋体" w:cs="宋体"/>
          <w:color w:val="auto"/>
          <w:spacing w:val="-6"/>
          <w:szCs w:val="21"/>
          <w:highlight w:val="none"/>
          <w:u w:val="single"/>
        </w:rPr>
        <w:t xml:space="preserve">用。</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5" w:name="_Toc9560"/>
      <w:r/>
      <w:bookmarkStart w:id="236" w:name="_Toc1208"/>
      <w:r/>
      <w:bookmarkStart w:id="237" w:name="_Toc10806"/>
      <w:r/>
      <w:bookmarkStart w:id="238" w:name="_Toc23541"/>
      <w:r/>
      <w:bookmarkStart w:id="239" w:name="_Toc27584"/>
      <w:r>
        <w:rPr>
          <w:rFonts w:hint="eastAsia" w:ascii="宋体" w:hAnsi="宋体" w:eastAsia="宋体" w:cs="宋体"/>
          <w:b/>
          <w:bCs w:val="0"/>
          <w:color w:val="auto"/>
          <w:sz w:val="21"/>
          <w:szCs w:val="21"/>
          <w:highlight w:val="none"/>
          <w:lang w:eastAsia="zh-CN"/>
        </w:rPr>
        <w:t xml:space="preserve">25 工程建设农民工资保障金支付及扣回</w:t>
      </w:r>
      <w:bookmarkEnd w:id="235"/>
      <w:r/>
      <w:bookmarkEnd w:id="236"/>
      <w:r/>
      <w:bookmarkEnd w:id="237"/>
      <w:r/>
      <w:bookmarkEnd w:id="238"/>
      <w:r/>
      <w:bookmarkEnd w:id="239"/>
      <w:r/>
      <w:r/>
    </w:p>
    <w:p>
      <w:pPr>
        <w:ind w:firstLine="396"/>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24．1承包人根据江苏省、南京市劳动保障部门颁发的文件精神，保证此款项全部用于支付农民工工资。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40" w:name="_Toc6428"/>
      <w:r/>
      <w:bookmarkStart w:id="241" w:name="_Toc26906"/>
      <w:r/>
      <w:bookmarkStart w:id="242" w:name="_Toc16721"/>
      <w:r/>
      <w:bookmarkStart w:id="243" w:name="_Toc18941"/>
      <w:r/>
      <w:bookmarkStart w:id="244" w:name="_Toc907"/>
      <w:r>
        <w:rPr>
          <w:rFonts w:hint="eastAsia" w:ascii="宋体" w:hAnsi="宋体" w:eastAsia="宋体" w:cs="宋体"/>
          <w:b/>
          <w:bCs w:val="0"/>
          <w:color w:val="auto"/>
          <w:sz w:val="21"/>
          <w:szCs w:val="21"/>
          <w:highlight w:val="none"/>
          <w:lang w:eastAsia="zh-CN"/>
        </w:rPr>
        <w:t xml:space="preserve">26 安全防护、文明施工措施费支付计划</w:t>
      </w:r>
      <w:bookmarkEnd w:id="240"/>
      <w:r/>
      <w:bookmarkEnd w:id="241"/>
      <w:r/>
      <w:bookmarkEnd w:id="242"/>
      <w:r/>
      <w:bookmarkEnd w:id="243"/>
      <w:r/>
      <w:bookmarkEnd w:id="2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承包人在工程正式开工前完成如下正式工作：</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安全警示标志牌；</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施工现场围挡（采用封闭围挡，高度不低于1.8米，材料采用彩色定型钢板、砖、混凝土砌块等墙体）；</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3、五牌一图；</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4、施工现场办公、生活临时设施；</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5、施工现场临时用电及给排水。</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5" w:name="_Toc6386"/>
      <w:r/>
      <w:bookmarkStart w:id="246" w:name="_Toc21534"/>
      <w:r>
        <w:rPr>
          <w:rFonts w:hint="eastAsia" w:ascii="Times New Roman" w:hAnsi="Times New Roman" w:eastAsia="宋体" w:cs="Times New Roman"/>
          <w:b/>
          <w:bCs/>
          <w:color w:val="auto"/>
          <w:sz w:val="32"/>
          <w:szCs w:val="32"/>
          <w:highlight w:val="none"/>
          <w:lang w:eastAsia="zh-CN"/>
        </w:rPr>
        <w:t xml:space="preserve">附件1：</w:t>
      </w:r>
      <w:bookmarkEnd w:id="245"/>
      <w:r/>
      <w:bookmarkEnd w:id="246"/>
      <w:r/>
      <w:r/>
    </w:p>
    <w:p>
      <w:pPr>
        <w:ind w:firstLine="435"/>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 程 质 量 保 修 书</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发包人(全称)：</w:t>
      </w:r>
      <w:r>
        <w:rPr>
          <w:rFonts w:hint="eastAsia" w:ascii="微软雅黑" w:hAnsi="微软雅黑" w:eastAsia="宋体" w:cs="微软雅黑"/>
          <w:color w:val="auto"/>
          <w:szCs w:val="21"/>
          <w:highlight w:val="none"/>
          <w:u w:val="single"/>
        </w:rPr>
        <w:t xml:space="preserve"> 南京体育学院 </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承包人(全称)：_______________</w:t>
      </w:r>
      <w:r/>
    </w:p>
    <w:p>
      <w:pPr>
        <w:ind w:firstLine="560"/>
        <w:jc w:val="left"/>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为保证</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一、工程质量保修范围和内容</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质量保修范围根据国家有关规定进行，具体质量保修内容双方约定如下：本项目招标范围。</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二、质量保修期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质量保修期从工程经过发包人或发包人上级项目管理部门或工程质量管理部门验收合格后之日算起。分单项竣工验收的工程，按单项工程分别计算质量保修期。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双方根据国家有关规定，结合具体工程约定质量保修期如下：</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（一）基础设施工程、房屋建筑的地基基础工程和主体结构工程，为设计文件规定的该工程的合理使用年限；</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（二）屋面防水工程、有防水要求的卫生间、房间和外墙面的防渗漏，为</w:t>
      </w:r>
      <w:r>
        <w:rPr>
          <w:rFonts w:ascii="微软雅黑" w:hAnsi="微软雅黑" w:eastAsia="宋体" w:cs="微软雅黑"/>
          <w:color w:val="auto"/>
          <w:szCs w:val="21"/>
          <w:highlight w:val="none"/>
          <w:u w:val="single"/>
        </w:rPr>
        <w:t xml:space="preserve">5</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（三）供热与供冷系统，为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个采暖期、供冷期；</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（四）电气管线、给排水管道、设备安装和装修工程，为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bookmarkStart w:id="247" w:name="_Toc31984"/>
      <w:r/>
      <w:bookmarkStart w:id="248" w:name="_Toc18680"/>
      <w:r>
        <w:rPr>
          <w:rFonts w:hint="eastAsia" w:ascii="微软雅黑" w:hAnsi="微软雅黑" w:eastAsia="宋体" w:cs="微软雅黑"/>
          <w:color w:val="auto"/>
          <w:szCs w:val="21"/>
          <w:highlight w:val="none"/>
        </w:rPr>
        <w:t xml:space="preserve">（五）其他约定：本工程质量保修期从工程经过发包人或发包人上级项目管理部门或工程质量管理部门验收合格交付使用之日算起，截止时间以投标书为准并不得低于法定期限。</w:t>
      </w:r>
      <w:bookmarkEnd w:id="247"/>
      <w:r/>
      <w:bookmarkEnd w:id="248"/>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三、质量保修责任</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1.属于保修范围和内容的项目，承包人应在接到修理通知之日后</w:t>
      </w:r>
      <w:r>
        <w:rPr>
          <w:rFonts w:hint="eastAsia" w:ascii="微软雅黑" w:hAnsi="微软雅黑" w:cs="微软雅黑"/>
          <w:color w:val="auto"/>
          <w:szCs w:val="21"/>
          <w:highlight w:val="none"/>
          <w:lang w:val="en-US" w:eastAsia="zh-CN"/>
        </w:rPr>
        <w:t xml:space="preserve">30分钟内响应，24小时内派人到场检修，3日</w:t>
      </w:r>
      <w:r>
        <w:rPr>
          <w:rFonts w:hint="eastAsia" w:ascii="微软雅黑" w:hAnsi="微软雅黑" w:eastAsia="宋体" w:cs="微软雅黑"/>
          <w:color w:val="auto"/>
          <w:szCs w:val="21"/>
          <w:highlight w:val="none"/>
        </w:rPr>
        <w:t xml:space="preserve">内修理</w:t>
      </w:r>
      <w:r>
        <w:rPr>
          <w:rFonts w:hint="eastAsia" w:ascii="微软雅黑" w:hAnsi="微软雅黑" w:cs="微软雅黑"/>
          <w:color w:val="auto"/>
          <w:szCs w:val="21"/>
          <w:highlight w:val="none"/>
          <w:lang w:val="en-US" w:eastAsia="zh-CN"/>
        </w:rPr>
        <w:t xml:space="preserve">完毕</w:t>
      </w:r>
      <w:r>
        <w:rPr>
          <w:rFonts w:hint="eastAsia" w:ascii="微软雅黑" w:hAnsi="微软雅黑" w:eastAsia="宋体" w:cs="微软雅黑"/>
          <w:color w:val="auto"/>
          <w:szCs w:val="21"/>
          <w:highlight w:val="none"/>
        </w:rPr>
        <w:t xml:space="preserve">。承包人不在约定期限内，派人修理，发包人可委托其他人员修理，保修费用从质量保修金内扣除。</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四、质量保修金的支付</w:t>
      </w:r>
      <w:r/>
    </w:p>
    <w:p>
      <w:pPr>
        <w:ind w:firstLine="56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本工程约定的工程质量保修金为最终结算审核总价的 </w:t>
      </w:r>
      <w:r>
        <w:rPr>
          <w:rFonts w:hint="eastAsia" w:ascii="微软雅黑" w:hAnsi="微软雅黑" w:eastAsia="宋体" w:cs="微软雅黑"/>
          <w:b/>
          <w:color w:val="auto"/>
          <w:szCs w:val="21"/>
          <w:highlight w:val="none"/>
          <w:u w:val="single"/>
        </w:rPr>
        <w:t xml:space="preserve"> 3 ％</w:t>
      </w:r>
      <w:r>
        <w:rPr>
          <w:rFonts w:hint="eastAsia" w:ascii="微软雅黑" w:hAnsi="微软雅黑" w:eastAsia="宋体" w:cs="微软雅黑"/>
          <w:b/>
          <w:color w:val="auto"/>
          <w:szCs w:val="21"/>
          <w:highlight w:val="none"/>
        </w:rPr>
        <w:t xml:space="preserve"> 。</w:t>
      </w:r>
      <w:r/>
    </w:p>
    <w:p>
      <w:pPr>
        <w:ind w:firstLine="52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本工程双方约定承包人向发包人支付工程质量保修金金额为</w:t>
      </w:r>
      <w:r>
        <w:rPr>
          <w:rFonts w:hint="eastAsia" w:ascii="微软雅黑" w:hAnsi="微软雅黑" w:eastAsia="宋体" w:cs="微软雅黑"/>
          <w:color w:val="auto"/>
          <w:szCs w:val="21"/>
          <w:highlight w:val="none"/>
          <w:u w:val="single"/>
        </w:rPr>
        <w:t xml:space="preserve">     /       </w:t>
      </w:r>
      <w:r>
        <w:rPr>
          <w:rFonts w:hint="eastAsia" w:ascii="微软雅黑" w:hAnsi="微软雅黑" w:eastAsia="宋体" w:cs="微软雅黑"/>
          <w:color w:val="auto"/>
          <w:szCs w:val="21"/>
          <w:highlight w:val="none"/>
        </w:rPr>
        <w:t xml:space="preserve">（大写）。质量保修金银行利率为</w:t>
      </w:r>
      <w:r>
        <w:rPr>
          <w:rFonts w:hint="eastAsia" w:ascii="微软雅黑" w:hAnsi="微软雅黑" w:eastAsia="宋体" w:cs="微软雅黑"/>
          <w:color w:val="auto"/>
          <w:szCs w:val="21"/>
          <w:highlight w:val="none"/>
          <w:u w:val="single"/>
        </w:rPr>
        <w:t xml:space="preserve">       零         </w:t>
      </w:r>
      <w:r>
        <w:rPr>
          <w:rFonts w:hint="eastAsia" w:ascii="微软雅黑" w:hAnsi="微软雅黑" w:eastAsia="宋体" w:cs="微软雅黑"/>
          <w:color w:val="auto"/>
          <w:szCs w:val="21"/>
          <w:highlight w:val="none"/>
        </w:rPr>
        <w:t xml:space="preserve"> 。</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五、质量保修金的返还</w:t>
      </w:r>
      <w:r/>
    </w:p>
    <w:p>
      <w:pPr>
        <w:ind w:firstLine="560"/>
        <w:spacing w:line="440" w:lineRule="exact"/>
        <w:rPr>
          <w:rFonts w:hint="eastAsia" w:ascii="微软雅黑" w:hAnsi="微软雅黑" w:eastAsia="宋体" w:cs="微软雅黑"/>
          <w:color w:val="auto"/>
          <w:szCs w:val="21"/>
          <w:highlight w:val="none"/>
        </w:rPr>
      </w:pPr>
      <w:r>
        <w:rPr>
          <w:rFonts w:hint="eastAsia" w:ascii="宋体" w:hAnsi="宋体" w:eastAsia="宋体" w:cs="宋体"/>
          <w:color w:val="auto"/>
          <w:szCs w:val="21"/>
          <w:highlight w:val="none"/>
        </w:rPr>
        <w:t xml:space="preserve">结算审核总价的3%作为工程质量保证金，缺陷责任期（为期2年）期满后经承包人申请，发包人审核通过后，无息退还</w:t>
      </w:r>
      <w:r>
        <w:rPr>
          <w:rFonts w:hint="eastAsia" w:ascii="微软雅黑" w:hAnsi="微软雅黑" w:eastAsia="宋体" w:cs="微软雅黑"/>
          <w:color w:val="auto"/>
          <w:szCs w:val="21"/>
          <w:highlight w:val="none"/>
        </w:rPr>
        <w:t xml:space="preserve">。</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六、其他</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双方约定的其他工程质量保修事项：</w:t>
      </w:r>
      <w:r>
        <w:rPr>
          <w:rFonts w:hint="eastAsia" w:ascii="微软雅黑" w:hAnsi="微软雅黑" w:eastAsia="宋体" w:cs="微软雅黑"/>
          <w:color w:val="auto"/>
          <w:szCs w:val="21"/>
          <w:highlight w:val="none"/>
          <w:u w:val="single"/>
        </w:rPr>
        <w:t xml:space="preserve">见承包人响应文件</w:t>
      </w:r>
      <w:r>
        <w:rPr>
          <w:rFonts w:hint="eastAsia" w:ascii="微软雅黑" w:hAnsi="微软雅黑" w:eastAsia="宋体" w:cs="微软雅黑"/>
          <w:color w:val="auto"/>
          <w:szCs w:val="21"/>
          <w:highlight w:val="none"/>
        </w:rPr>
        <w:t xml:space="preserve">。</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本工程质量保修书作为施工合同附件，由施工合同发包人承包人双方共同签署。</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发  包  人(盖章)：                      承  包  人(盖章)：</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法定代表人或授权代表(签字)：              法定代表人或授权代表(签字)：</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both"/>
        <w:keepLines/>
        <w:keepNext/>
        <w:spacing w:before="260" w:after="260" w:line="416" w:lineRule="auto"/>
        <w:widowControl w:val="off"/>
        <w:rPr>
          <w:rFonts w:hint="eastAsia" w:ascii="微软雅黑" w:hAnsi="微软雅黑" w:eastAsia="宋体" w:cs="微软雅黑"/>
          <w:b/>
          <w:bCs/>
          <w:color w:val="auto"/>
          <w:sz w:val="32"/>
          <w:szCs w:val="21"/>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9" w:name="_Toc29305"/>
      <w:r/>
      <w:bookmarkStart w:id="250" w:name="_Toc20062"/>
      <w:r>
        <w:rPr>
          <w:rFonts w:hint="eastAsia" w:ascii="微软雅黑" w:hAnsi="微软雅黑" w:eastAsia="宋体" w:cs="微软雅黑"/>
          <w:b/>
          <w:bCs/>
          <w:color w:val="auto"/>
          <w:sz w:val="32"/>
          <w:szCs w:val="21"/>
          <w:highlight w:val="none"/>
          <w:lang w:eastAsia="zh-CN"/>
        </w:rPr>
        <w:t xml:space="preserve">附件2</w:t>
      </w:r>
      <w:bookmarkEnd w:id="249"/>
      <w:r/>
      <w:bookmarkEnd w:id="250"/>
      <w:r/>
      <w:r/>
    </w:p>
    <w:p>
      <w:pPr>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建设工程承发包安全管理协议</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发包单位：</w:t>
      </w:r>
      <w:r>
        <w:rPr>
          <w:rFonts w:hint="eastAsia" w:ascii="微软雅黑" w:hAnsi="微软雅黑" w:eastAsia="宋体" w:cs="微软雅黑"/>
          <w:color w:val="auto"/>
          <w:szCs w:val="21"/>
          <w:highlight w:val="none"/>
          <w:u w:val="single"/>
        </w:rPr>
        <w:t xml:space="preserve">南京体育学院（以下简称甲方）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承包单位：</w:t>
      </w:r>
      <w:r>
        <w:rPr>
          <w:rFonts w:hint="eastAsia" w:ascii="微软雅黑" w:hAnsi="微软雅黑" w:eastAsia="宋体" w:cs="微软雅黑"/>
          <w:color w:val="auto"/>
          <w:szCs w:val="21"/>
          <w:highlight w:val="none"/>
          <w:u w:val="single"/>
        </w:rPr>
        <w:t xml:space="preserve">                       （以下简称乙方）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一、承包施工项目：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工程项目名称：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工程地址</w:t>
      </w:r>
      <w:r>
        <w:rPr>
          <w:rFonts w:hint="eastAsia" w:ascii="微软雅黑" w:hAnsi="微软雅黑" w:eastAsia="宋体" w:cs="微软雅黑"/>
          <w:color w:val="auto"/>
          <w:szCs w:val="21"/>
          <w:highlight w:val="none"/>
          <w:u w:val="single"/>
        </w:rPr>
        <w:t xml:space="preserve">：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承包范围：</w:t>
      </w:r>
      <w:r>
        <w:rPr>
          <w:rFonts w:hint="eastAsia" w:ascii="微软雅黑" w:hAnsi="微软雅黑" w:eastAsia="宋体" w:cs="微软雅黑"/>
          <w:color w:val="auto"/>
          <w:szCs w:val="21"/>
          <w:highlight w:val="none"/>
          <w:u w:val="single"/>
        </w:rPr>
        <w:t xml:space="preserve">采购文件（具体以工程量清单和采购人要求为准）</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二、工程项目施工期限： </w:t>
      </w:r>
      <w:r>
        <w:rPr>
          <w:rFonts w:hint="eastAsia" w:ascii="微软雅黑" w:hAnsi="微软雅黑" w:eastAsia="宋体" w:cs="微软雅黑"/>
          <w:color w:val="auto"/>
          <w:szCs w:val="21"/>
          <w:highlight w:val="none"/>
        </w:rPr>
        <w:t xml:space="preserve">共</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个日历日（具体开工时间以甲方通知为准）</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三、协议内容：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1.甲乙双方必须认真贯彻国家、江苏省和上级劳动保护、安全生产主管部门颁发的有关安全生产、消防工作的方针、政策、严格执行有关劳动保护法规、条例、规定。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3.乙方在施工前要认真勘察现场：乙方进场后首先必须做好施工现场围护，防止闲杂人员进入施工现场，发生安全事故。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7.根据工程项目内容、特点，甲乙双方应做好安全技术交底，并有交底的书面材料，交底材料一式两份，由甲乙双方签字后各执一份。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8.施工期间，乙方指派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同志负责本工程项目的有关安全、防火工作；甲方指派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同志负责联系、检查督促乙方执行有关安全、防火规定。甲乙双方应经常联系，相互协助检查和处理工程施工有关的安全、防火工作，共同预防事故发生。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10.在生产操作过程中的乙方员工防护用品，由乙方自理，乙方都应督促施工现场人员自觉穿戴好防护用品。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19．本协议经双方签字、盖章有效。作为合同正本的附件一式</w:t>
      </w:r>
      <w:r>
        <w:rPr>
          <w:rFonts w:hint="eastAsia" w:ascii="微软雅黑" w:hAnsi="微软雅黑" w:cs="微软雅黑"/>
          <w:color w:val="auto"/>
          <w:szCs w:val="21"/>
          <w:highlight w:val="none"/>
          <w:lang w:val="en-US" w:eastAsia="zh-CN"/>
        </w:rPr>
        <w:t xml:space="preserve">陆</w:t>
      </w:r>
      <w:r>
        <w:rPr>
          <w:rFonts w:hint="eastAsia" w:ascii="微软雅黑" w:hAnsi="微软雅黑" w:eastAsia="宋体" w:cs="微软雅黑"/>
          <w:color w:val="auto"/>
          <w:szCs w:val="21"/>
          <w:highlight w:val="none"/>
        </w:rPr>
        <w:t xml:space="preserve">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20．本协议同工程合同正本同日生效，甲、乙双方必须严格执行，由于违反本协议而造成伤亡事故，由违约方承担一切经济损失。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年    月     日                              年    月    日</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51" w:name="_Toc25176"/>
      <w:r/>
      <w:bookmarkStart w:id="252" w:name="_Toc24287"/>
      <w:r>
        <w:rPr>
          <w:rFonts w:hint="eastAsia" w:ascii="Times New Roman" w:hAnsi="Times New Roman" w:eastAsia="宋体" w:cs="Times New Roman"/>
          <w:b/>
          <w:bCs/>
          <w:color w:val="auto"/>
          <w:sz w:val="32"/>
          <w:szCs w:val="32"/>
          <w:highlight w:val="none"/>
          <w:lang w:eastAsia="zh-CN"/>
        </w:rPr>
        <w:t xml:space="preserve">附件3：</w:t>
      </w:r>
      <w:bookmarkEnd w:id="251"/>
      <w:r/>
      <w:bookmarkEnd w:id="252"/>
      <w:r/>
      <w:r/>
    </w:p>
    <w:p>
      <w:pPr>
        <w:jc w:val="center"/>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廉洁合作协议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甲方：南京体育学院</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为加强甲乙双方廉政建设，规范采购、采购、协议签订、协议履行等过程管理，保证双方工作人员公正廉洁，甲乙双方特订立如下协议：</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第一条甲乙双方共同履行的职责</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严格遵守党和国家有关法律法规和有关党风廉政规定。</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双方的业务活动坚持公平、公正、诚信的原则，不应损害国家和企业利益。</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发现对方在业务活动中有违反廉政规定的行为，有及时提醒对方纠正的权利和义务。</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发现对方严重违反本协议条款及其他违反党风廉政规定的行为，有向其单位有关部门举报并要求告知处理结果的权利。</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本协议由双方经济合同谈判部门签订，双方单位的纪检监察部门负责监督落实情况。</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第二条甲方行为准则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（二）甲方工作人员不得参加乙方安排的可能影响公正执行公务的高消费宴请和娱乐活动。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（三）甲方的工作人员不得要求或者接受乙方为其进行住房装修，不得要求和接受由乙方出资为自己及其配偶、子女私自出国出境、旅游进行的安排等。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（四）甲方及工作人员不得从事违反党风廉政规定的其它活动。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（二）乙方不得以任何理由安排甲方工作人员参加影响公正执行公务的高消费宴请及娱乐活动。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（三）乙方及其工作人员不得为甲方人员进行住房装修，不得出资为甲方人员及其配偶、子女私自出国出境、旅游进行安排等。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（四）乙方发现甲方及其工作人员有违反本协议内容或违反党风廉政规定的行为应及时向甲方相关部门反映或举报。</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（六）乙方及时答复甲方征求意见函</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（二）乙方及其工作人员违反本协议行为准则，涉嫌犯罪的，移交司法机关追究刑事责任；给甲方单位造成经济损失的，应予以赔偿。</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第五条联系方式</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乙方及其工作人员发现甲方及其工作人员违反廉洁合作协议，应向甲方廉政举报中心反映情况。</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校党政办督查科电话：025-84755</w:t>
      </w:r>
      <w:r>
        <w:rPr>
          <w:rFonts w:hint="eastAsia" w:ascii="宋体" w:hAnsi="宋体" w:eastAsia="宋体" w:cs="宋体"/>
          <w:color w:val="auto"/>
          <w:szCs w:val="21"/>
          <w:highlight w:val="none"/>
          <w:lang w:val="en-US" w:eastAsia="zh-CN"/>
        </w:rPr>
        <w:t xml:space="preserve">111</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甲方及其工作人员发现乙方及其工作人员违反廉洁合作协议，应向乙方有关部门反映情况。</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乙方有关部门电话：</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firstLine="63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ind w:firstLine="630"/>
        <w:spacing w:line="440" w:lineRule="exact"/>
        <w:rPr>
          <w:rFonts w:hint="eastAsia" w:ascii="宋体" w:hAnsi="宋体" w:eastAsia="宋体" w:cs="宋体"/>
          <w:color w:val="auto"/>
          <w:highlight w:val="none"/>
        </w:rPr>
      </w:pPr>
      <w:r>
        <w:rPr>
          <w:rFonts w:hint="eastAsia" w:ascii="微软雅黑" w:hAnsi="微软雅黑" w:eastAsia="宋体" w:cs="微软雅黑"/>
          <w:color w:val="auto"/>
          <w:szCs w:val="21"/>
          <w:highlight w:val="none"/>
        </w:rPr>
        <w:t xml:space="preserve">    年    月     日                            年    月     日</w:t>
      </w:r>
      <w:bookmarkEnd w:id="107"/>
      <w:r/>
      <w:bookmarkEnd w:id="108"/>
      <w:r/>
      <w:r/>
    </w:p>
    <w:p>
      <w:pPr>
        <w:ind w:firstLine="420"/>
        <w:jc w:val="right"/>
        <w:spacing w:before="27"/>
        <w:tabs>
          <w:tab w:val="left" w:pos="5280" w:leader="none"/>
        </w:tabs>
        <w:rPr>
          <w:color w:val="auto"/>
          <w:highlight w:val="none"/>
        </w:rPr>
      </w:pPr>
      <w:r>
        <w:rPr>
          <w:color w:val="auto"/>
          <w:highlight w:val="none"/>
        </w:rPr>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pStyle w:val="994"/>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color w:val="auto"/>
          <w:highlight w:val="none"/>
          <w:lang w:val="zh-CN"/>
        </w:rPr>
      </w:r>
      <w:r/>
    </w:p>
    <w:p>
      <w:pPr>
        <w:pStyle w:val="947"/>
        <w:jc w:val="center"/>
        <w:rPr>
          <w:rFonts w:hint="eastAsia" w:ascii="Microsoft New Tai Lue" w:hAnsi="Microsoft New Tai Lue" w:eastAsia="宋体" w:cs="Microsoft New Tai Lue"/>
          <w:b/>
          <w:bCs/>
          <w:color w:val="auto"/>
          <w:sz w:val="32"/>
          <w:szCs w:val="32"/>
          <w:highlight w:val="none"/>
          <w:lang w:val="en-US" w:eastAsia="zh-CN" w:bidi="ar-SA"/>
        </w:rPr>
      </w:pPr>
      <w:r/>
      <w:bookmarkStart w:id="253" w:name="_Toc91836565"/>
      <w:r/>
      <w:bookmarkStart w:id="254" w:name="_Toc107246273"/>
      <w:r/>
      <w:bookmarkStart w:id="255" w:name="_Toc7207"/>
      <w:r>
        <w:rPr>
          <w:rFonts w:ascii="Microsoft New Tai Lue" w:hAnsi="Microsoft New Tai Lue" w:eastAsia="宋体" w:cs="Microsoft New Tai Lue"/>
          <w:b/>
          <w:bCs/>
          <w:color w:val="auto"/>
          <w:sz w:val="32"/>
          <w:szCs w:val="32"/>
          <w:highlight w:val="none"/>
          <w:lang w:val="en-US" w:eastAsia="zh-CN" w:bidi="ar-SA"/>
        </w:rPr>
        <w:t xml:space="preserve">第六章 </w:t>
      </w:r>
      <w:bookmarkEnd w:id="253"/>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254"/>
      <w:r/>
      <w:bookmarkEnd w:id="25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2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256"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南京体育学院综合体操馆新风除尘系统项目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76"/>
        <w:jc w:val="center"/>
        <w:rPr>
          <w:rFonts w:ascii="Microsoft New Tai Lue" w:hAnsi="Microsoft New Tai Lue" w:cs="Microsoft New Tai Lue"/>
          <w:b/>
          <w:color w:val="auto"/>
          <w:sz w:val="84"/>
          <w:szCs w:val="84"/>
          <w:highlight w:val="none"/>
        </w:rPr>
      </w:pPr>
      <w:r/>
      <w:bookmarkStart w:id="257"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257"/>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7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7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2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258" w:name="_Toc104560893"/>
      <w:r/>
      <w:r/>
    </w:p>
    <w:p>
      <w:pPr>
        <w:rPr>
          <w:rFonts w:hint="eastAsia"/>
          <w:color w:val="auto"/>
          <w:highlight w:val="none"/>
        </w:rPr>
      </w:pPr>
      <w:r>
        <w:rPr>
          <w:rFonts w:hint="eastAsia"/>
          <w:color w:val="auto"/>
          <w:highlight w:val="none"/>
        </w:rPr>
      </w:r>
      <w:r/>
    </w:p>
    <w:p>
      <w:pPr>
        <w:pStyle w:val="995"/>
        <w:spacing w:before="0" w:line="280" w:lineRule="exact"/>
        <w:rPr>
          <w:rFonts w:ascii="Microsoft New Tai Lue" w:hAnsi="Microsoft New Tai Lue" w:cs="Microsoft New Tai Lue"/>
          <w:color w:val="auto"/>
          <w:sz w:val="28"/>
          <w:szCs w:val="24"/>
          <w:highlight w:val="none"/>
        </w:rPr>
      </w:pPr>
      <w:r/>
      <w:bookmarkStart w:id="259" w:name="_Toc107246275"/>
      <w:r>
        <w:rPr>
          <w:rFonts w:hint="eastAsia" w:ascii="Microsoft New Tai Lue" w:hAnsi="Microsoft New Tai Lue" w:cs="Microsoft New Tai Lue"/>
          <w:b w:val="0"/>
          <w:color w:val="auto"/>
          <w:sz w:val="24"/>
          <w:highlight w:val="none"/>
        </w:rPr>
        <w:br w:type="page" w:clear="all"/>
      </w:r>
      <w:bookmarkStart w:id="260" w:name="_Toc21649"/>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258"/>
      <w:r/>
      <w:bookmarkEnd w:id="259"/>
      <w:r/>
      <w:bookmarkEnd w:id="260"/>
      <w:r/>
      <w:r/>
    </w:p>
    <w:p>
      <w:pPr>
        <w:ind w:firstLine="420"/>
        <w:spacing w:before="156" w:line="360" w:lineRule="exact"/>
        <w:rPr>
          <w:color w:val="auto"/>
          <w:szCs w:val="21"/>
          <w:highlight w:val="none"/>
        </w:rPr>
      </w:pPr>
      <w:r/>
      <w:bookmarkStart w:id="261" w:name="_Toc103848580"/>
      <w:r/>
      <w:bookmarkStart w:id="262"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5"/>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63" w:name="_Toc103848583"/>
      <w:r/>
      <w:bookmarkStart w:id="264" w:name="_Toc104560898"/>
      <w:r/>
      <w:bookmarkStart w:id="265" w:name="_Toc107246276"/>
      <w:r/>
      <w:bookmarkStart w:id="266" w:name="_Toc13183"/>
      <w:r>
        <w:rPr>
          <w:rFonts w:ascii="Microsoft New Tai Lue" w:hAnsi="Microsoft New Tai Lue" w:cs="Microsoft New Tai Lue"/>
          <w:bCs w:val="0"/>
          <w:color w:val="auto"/>
          <w:sz w:val="24"/>
          <w:szCs w:val="24"/>
          <w:highlight w:val="none"/>
        </w:rPr>
        <w:t xml:space="preserve">（2）</w:t>
      </w:r>
      <w:bookmarkEnd w:id="263"/>
      <w:r/>
      <w:bookmarkEnd w:id="264"/>
      <w:r>
        <w:rPr>
          <w:rFonts w:hint="eastAsia" w:ascii="Microsoft New Tai Lue" w:hAnsi="Microsoft New Tai Lue" w:cs="Microsoft New Tai Lue"/>
          <w:bCs w:val="0"/>
          <w:color w:val="auto"/>
          <w:sz w:val="24"/>
          <w:szCs w:val="24"/>
          <w:highlight w:val="none"/>
        </w:rPr>
        <w:t xml:space="preserve">法定代表人（单位负责人）身份证明</w:t>
      </w:r>
      <w:bookmarkEnd w:id="265"/>
      <w:r/>
      <w:bookmarkEnd w:id="266"/>
      <w:r/>
      <w:r/>
    </w:p>
    <w:p>
      <w:pPr>
        <w:pStyle w:val="97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7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71"/>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7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71"/>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71"/>
        <w:ind w:firstLine="420"/>
        <w:spacing w:before="170"/>
        <w:rPr>
          <w:color w:val="auto"/>
          <w:highlight w:val="none"/>
        </w:rPr>
      </w:pPr>
      <w:r>
        <w:rPr>
          <w:color w:val="auto"/>
          <w:highlight w:val="none"/>
        </w:rPr>
        <w:t xml:space="preserve">特此证明。</w:t>
      </w:r>
      <w:r/>
    </w:p>
    <w:p>
      <w:pPr>
        <w:pStyle w:val="971"/>
        <w:ind w:left="1260"/>
        <w:rPr>
          <w:color w:val="auto"/>
          <w:sz w:val="20"/>
          <w:highlight w:val="none"/>
        </w:rPr>
      </w:pPr>
      <w:r>
        <w:rPr>
          <w:color w:val="auto"/>
          <w:sz w:val="20"/>
          <w:highlight w:val="none"/>
        </w:rPr>
      </w:r>
      <w:r/>
    </w:p>
    <w:p>
      <w:pPr>
        <w:pStyle w:val="971"/>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71"/>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r>
    </w:tbl>
    <w:p>
      <w:pPr>
        <w:pStyle w:val="971"/>
        <w:ind w:left="1260"/>
        <w:rPr>
          <w:color w:val="auto"/>
          <w:sz w:val="20"/>
          <w:highlight w:val="none"/>
        </w:rPr>
      </w:pPr>
      <w:r>
        <w:rPr>
          <w:color w:val="auto"/>
          <w:sz w:val="20"/>
          <w:highlight w:val="none"/>
        </w:rPr>
      </w:r>
      <w:r/>
    </w:p>
    <w:tbl>
      <w:tblPr>
        <w:tblStyle w:val="771"/>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1"/>
              <w:jc w:val="center"/>
              <w:rPr>
                <w:color w:val="auto"/>
                <w:sz w:val="20"/>
                <w:highlight w:val="none"/>
              </w:rPr>
            </w:pPr>
            <w:r>
              <w:rPr>
                <w:i/>
                <w:color w:val="auto"/>
                <w:sz w:val="24"/>
                <w:highlight w:val="none"/>
              </w:rPr>
              <w:t xml:space="preserve">身份证反面</w:t>
            </w:r>
            <w:r/>
          </w:p>
        </w:tc>
      </w:tr>
    </w:tbl>
    <w:p>
      <w:pPr>
        <w:pStyle w:val="971"/>
        <w:rPr>
          <w:rFonts w:hint="eastAsia"/>
          <w:color w:val="auto"/>
          <w:sz w:val="20"/>
          <w:highlight w:val="none"/>
        </w:rPr>
      </w:pPr>
      <w:r>
        <w:rPr>
          <w:rFonts w:hint="eastAsia"/>
          <w:color w:val="auto"/>
          <w:sz w:val="20"/>
          <w:highlight w:val="none"/>
        </w:rPr>
      </w:r>
      <w:r/>
    </w:p>
    <w:p>
      <w:pPr>
        <w:pStyle w:val="971"/>
        <w:rPr>
          <w:rFonts w:hint="eastAsia"/>
          <w:color w:val="auto"/>
          <w:sz w:val="20"/>
          <w:highlight w:val="none"/>
        </w:rPr>
      </w:pPr>
      <w:r>
        <w:rPr>
          <w:rFonts w:hint="eastAsia"/>
          <w:color w:val="auto"/>
          <w:sz w:val="20"/>
          <w:highlight w:val="none"/>
        </w:rPr>
      </w:r>
      <w:r/>
    </w:p>
    <w:p>
      <w:pPr>
        <w:pStyle w:val="971"/>
        <w:ind w:left="1260"/>
        <w:rPr>
          <w:color w:val="auto"/>
          <w:sz w:val="20"/>
          <w:highlight w:val="none"/>
        </w:rPr>
      </w:pPr>
      <w:r>
        <w:rPr>
          <w:color w:val="auto"/>
          <w:sz w:val="20"/>
          <w:highlight w:val="none"/>
        </w:rPr>
      </w:r>
      <w:r/>
    </w:p>
    <w:p>
      <w:pPr>
        <w:pStyle w:val="971"/>
        <w:ind w:left="1260"/>
        <w:spacing w:before="1"/>
        <w:rPr>
          <w:color w:val="auto"/>
          <w:sz w:val="22"/>
          <w:highlight w:val="none"/>
        </w:rPr>
      </w:pPr>
      <w:r>
        <w:rPr>
          <w:color w:val="auto"/>
          <w:sz w:val="22"/>
          <w:highlight w:val="none"/>
        </w:rPr>
      </w:r>
      <w:r/>
    </w:p>
    <w:p>
      <w:pPr>
        <w:pStyle w:val="971"/>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5"/>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67" w:name="_Toc103848584"/>
      <w:r/>
      <w:bookmarkStart w:id="268" w:name="_Toc104560899"/>
      <w:r/>
      <w:bookmarkStart w:id="269" w:name="_Toc107246277"/>
      <w:r/>
      <w:bookmarkStart w:id="270" w:name="_Toc13156"/>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67"/>
      <w:r/>
      <w:bookmarkEnd w:id="268"/>
      <w:r/>
      <w:bookmarkEnd w:id="269"/>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270"/>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9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9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92"/>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92"/>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9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9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271" w:name="_Toc107246279"/>
      <w:r/>
      <w:bookmarkStart w:id="272" w:name="_Toc104560895"/>
      <w:r/>
      <w:r/>
    </w:p>
    <w:p>
      <w:pPr>
        <w:rPr>
          <w:rFonts w:ascii="Microsoft New Tai Lue" w:hAnsi="Microsoft New Tai Lue" w:cs="Microsoft New Tai Lue"/>
          <w:bCs w:val="0"/>
          <w:color w:val="auto"/>
          <w:sz w:val="24"/>
          <w:szCs w:val="24"/>
          <w:highlight w:val="none"/>
        </w:rPr>
      </w:pPr>
      <w:r/>
      <w:bookmarkStart w:id="273" w:name="_Toc104560900"/>
      <w:r/>
      <w:bookmarkStart w:id="274" w:name="_Toc107246278"/>
      <w:r/>
      <w:bookmarkStart w:id="275" w:name="_Toc103848585"/>
      <w:r>
        <w:rPr>
          <w:rFonts w:ascii="Microsoft New Tai Lue" w:hAnsi="Microsoft New Tai Lue" w:cs="Microsoft New Tai Lue"/>
          <w:bCs w:val="0"/>
          <w:color w:val="auto"/>
          <w:sz w:val="24"/>
          <w:szCs w:val="24"/>
          <w:highlight w:val="none"/>
        </w:rPr>
        <w:br w:type="page" w:clear="all"/>
      </w:r>
      <w:r/>
    </w:p>
    <w:p>
      <w:pPr>
        <w:pStyle w:val="995"/>
        <w:spacing w:before="0"/>
        <w:rPr>
          <w:rFonts w:ascii="Times New Roman" w:hAnsi="Times New Roman"/>
          <w:bCs w:val="0"/>
          <w:color w:val="auto"/>
          <w:sz w:val="21"/>
          <w:szCs w:val="24"/>
          <w:highlight w:val="none"/>
        </w:rPr>
      </w:pPr>
      <w:r/>
      <w:bookmarkStart w:id="276" w:name="_Toc32283"/>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273"/>
      <w:r/>
      <w:bookmarkEnd w:id="274"/>
      <w:r/>
      <w:bookmarkEnd w:id="275"/>
      <w:r/>
      <w:bookmarkEnd w:id="27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9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9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92"/>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9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92"/>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73"/>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95"/>
        <w:rPr>
          <w:rFonts w:ascii="Microsoft New Tai Lue" w:hAnsi="Microsoft New Tai Lue" w:cs="Microsoft New Tai Lue"/>
          <w:color w:val="auto"/>
          <w:sz w:val="28"/>
          <w:szCs w:val="24"/>
          <w:highlight w:val="none"/>
        </w:rPr>
      </w:pPr>
      <w:r/>
      <w:bookmarkStart w:id="277" w:name="_Toc7535"/>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261"/>
      <w:r/>
      <w:bookmarkEnd w:id="271"/>
      <w:r/>
      <w:bookmarkEnd w:id="272"/>
      <w:r/>
      <w:bookmarkEnd w:id="277"/>
      <w:r/>
      <w:r/>
    </w:p>
    <w:p>
      <w:pPr>
        <w:ind w:left="-120" w:firstLine="210"/>
        <w:spacing w:line="360" w:lineRule="auto"/>
        <w:rPr>
          <w:rFonts w:ascii="Microsoft New Tai Lue" w:hAnsi="Microsoft New Tai Lue" w:cs="Microsoft New Tai Lue"/>
          <w:color w:val="auto"/>
          <w:szCs w:val="21"/>
          <w:highlight w:val="none"/>
        </w:rPr>
      </w:pPr>
      <w:r/>
      <w:bookmarkStart w:id="278"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71"/>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工期</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日历天</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响应招标文件要求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免费质保期</w:t>
            </w:r>
            <w:r/>
          </w:p>
        </w:tc>
        <w:tc>
          <w:tcPr>
            <w:tcW w:w="6347" w:type="dxa"/>
            <w:vAlign w:val="center"/>
            <w:textDirection w:val="lrTb"/>
            <w:noWrap w:val="false"/>
          </w:tcPr>
          <w:p>
            <w:pPr>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工程质保期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highlight w:val="none"/>
              </w:rPr>
              <w:t xml:space="preserve">防水</w:t>
            </w:r>
            <w:r>
              <w:rPr>
                <w:rFonts w:hint="eastAsia" w:ascii="宋体" w:hAnsi="宋体" w:cs="宋体"/>
                <w:bCs/>
                <w:color w:val="auto"/>
                <w:highlight w:val="none"/>
                <w:lang w:val="en-US" w:eastAsia="zh-CN"/>
              </w:rPr>
              <w:t xml:space="preserve">工程</w:t>
            </w:r>
            <w:r>
              <w:rPr>
                <w:rFonts w:hint="eastAsia" w:ascii="宋体" w:hAnsi="宋体" w:cs="宋体"/>
                <w:bCs/>
                <w:color w:val="auto"/>
                <w:highlight w:val="none"/>
              </w:rPr>
              <w:t xml:space="preserve">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39"/>
        <w:ind w:firstLine="426"/>
        <w:jc w:val="center"/>
        <w:spacing w:before="0"/>
        <w:rPr>
          <w:rFonts w:hint="eastAsia" w:ascii="宋体" w:hAnsi="宋体" w:eastAsia="宋体" w:cs="宋体"/>
          <w:color w:val="auto"/>
          <w:sz w:val="24"/>
          <w:szCs w:val="24"/>
          <w:highlight w:val="none"/>
          <w:lang w:eastAsia="zh-CN"/>
        </w:rPr>
      </w:pPr>
      <w:r>
        <w:rPr>
          <w:color w:val="auto"/>
          <w:highlight w:val="none"/>
        </w:rPr>
        <w:br w:type="page" w:clear="all"/>
      </w:r>
      <w:bookmarkStart w:id="279" w:name="_Toc2585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4-2</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分项报价</w:t>
      </w:r>
      <w:r>
        <w:rPr>
          <w:rFonts w:hint="eastAsia" w:ascii="宋体" w:hAnsi="宋体" w:cs="宋体"/>
          <w:bCs w:val="0"/>
          <w:color w:val="auto"/>
          <w:sz w:val="24"/>
          <w:szCs w:val="24"/>
          <w:highlight w:val="none"/>
        </w:rPr>
        <w:t xml:space="preserve">表</w:t>
      </w:r>
      <w:bookmarkEnd w:id="279"/>
      <w:r/>
      <w:r/>
    </w:p>
    <w:p>
      <w:pPr>
        <w:ind w:left="-120" w:firstLine="420"/>
        <w:spacing w:line="360" w:lineRule="auto"/>
        <w:rPr>
          <w:rFonts w:hint="eastAsia"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文件提供的附件清单，执行</w:t>
      </w:r>
      <w:r>
        <w:rPr>
          <w:rFonts w:hint="eastAsia" w:ascii="宋体" w:hAnsi="宋体" w:cs="宋体"/>
          <w:color w:val="auto"/>
          <w:szCs w:val="21"/>
          <w:highlight w:val="none"/>
          <w:lang w:eastAsia="zh-CN"/>
        </w:rPr>
        <w:t xml:space="preserve">建设工程工程量清单计价标准（GB_T50500-2024）</w:t>
      </w:r>
      <w:r>
        <w:rPr>
          <w:rFonts w:hint="eastAsia" w:ascii="宋体" w:hAnsi="宋体" w:cs="宋体"/>
          <w:color w:val="auto"/>
          <w:szCs w:val="21"/>
          <w:highlight w:val="none"/>
        </w:rPr>
        <w:t xml:space="preserve">，编制报价表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否则按无效投标处理。</w:t>
      </w:r>
      <w:r/>
    </w:p>
    <w:p>
      <w:pPr>
        <w:pStyle w:val="1041"/>
        <w:ind w:firstLine="373"/>
        <w:jc w:val="both"/>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★根据苏建价〔2026〕76号文发布的《江苏省建设工程费用参考》中的约定，本项目</w:t>
      </w:r>
      <w:r>
        <w:rPr>
          <w:rFonts w:hint="eastAsia" w:ascii="宋体" w:hAnsi="宋体" w:cs="宋体"/>
          <w:color w:val="auto"/>
          <w:szCs w:val="21"/>
          <w:highlight w:val="none"/>
          <w:lang w:val="en-US" w:eastAsia="zh-CN"/>
        </w:rPr>
        <w:t xml:space="preserve">涉及的</w:t>
      </w:r>
      <w:r>
        <w:rPr>
          <w:rFonts w:hint="eastAsia" w:ascii="宋体" w:hAnsi="宋体" w:cs="宋体"/>
          <w:color w:val="auto"/>
          <w:szCs w:val="21"/>
          <w:highlight w:val="none"/>
        </w:rPr>
        <w:t xml:space="preserve">安全生产措施费的费率下限值按下表执行，供应商可根据项目实际确定费率，但不得低于表中数值，否则响应无效。</w:t>
      </w:r>
      <w:bookmarkEnd w:id="278"/>
      <w:r/>
      <w:r/>
    </w:p>
    <w:p>
      <w:pPr>
        <w:pStyle w:val="1041"/>
        <w:ind w:firstLine="373"/>
        <w:jc w:val="both"/>
        <w:spacing w:line="360" w:lineRule="exact"/>
        <w:rPr>
          <w:rFonts w:hint="eastAsia"/>
          <w:color w:val="auto"/>
          <w:highlight w:val="none"/>
          <w:lang w:val="en-US" w:eastAsia="zh-CN"/>
        </w:rPr>
      </w:pPr>
      <w:r>
        <w:rPr>
          <w:rFonts w:hint="eastAsia" w:ascii="宋体" w:hAnsi="宋体" w:cs="宋体"/>
          <w:color w:val="auto"/>
          <w:szCs w:val="21"/>
          <w:highlight w:val="none"/>
          <w:lang w:val="en-US" w:eastAsia="zh-CN"/>
        </w:rPr>
        <w:t xml:space="preserve">本项目单位工程“</w:t>
      </w:r>
      <w:r>
        <w:rPr>
          <w:rFonts w:hint="eastAsia" w:ascii="宋体" w:hAnsi="宋体" w:eastAsia="宋体" w:cs="宋体"/>
          <w:color w:val="auto"/>
          <w:sz w:val="21"/>
          <w:szCs w:val="21"/>
          <w:highlight w:val="none"/>
          <w:u w:val="none"/>
          <w:lang w:val="en-US" w:eastAsia="zh-CN"/>
        </w:rPr>
        <w:t xml:space="preserve">新风除尘安装</w:t>
      </w:r>
      <w:r>
        <w:rPr>
          <w:rFonts w:hint="eastAsia" w:ascii="宋体" w:hAnsi="宋体" w:cs="宋体"/>
          <w:color w:val="auto"/>
          <w:szCs w:val="21"/>
          <w:highlight w:val="none"/>
          <w:lang w:val="en-US" w:eastAsia="zh-CN"/>
        </w:rPr>
        <w:t xml:space="preserve">”按</w:t>
      </w:r>
      <w:r>
        <w:rPr>
          <w:rFonts w:hint="eastAsia"/>
          <w:color w:val="auto"/>
          <w:highlight w:val="none"/>
        </w:rPr>
        <w:t xml:space="preserve">通用安装工程</w:t>
      </w:r>
      <w:r>
        <w:rPr>
          <w:rFonts w:hint="eastAsia"/>
          <w:color w:val="auto"/>
          <w:highlight w:val="none"/>
          <w:lang w:val="en-US" w:eastAsia="zh-CN"/>
        </w:rPr>
        <w:t xml:space="preserve">；</w:t>
      </w:r>
      <w:r/>
    </w:p>
    <w:p>
      <w:pPr>
        <w:pStyle w:val="1041"/>
        <w:ind w:firstLine="373"/>
        <w:jc w:val="both"/>
        <w:spacing w:line="360" w:lineRule="exact"/>
        <w:rPr>
          <w:rFonts w:hint="eastAsia" w:eastAsia="宋体"/>
          <w:color w:val="auto"/>
          <w:highlight w:val="none"/>
          <w:lang w:val="en-US" w:eastAsia="zh-CN"/>
        </w:rPr>
      </w:pPr>
      <w:r>
        <w:rPr>
          <w:rFonts w:hint="eastAsia" w:ascii="宋体" w:hAnsi="宋体" w:cs="宋体"/>
          <w:color w:val="auto"/>
          <w:szCs w:val="21"/>
          <w:highlight w:val="none"/>
          <w:lang w:val="en-US" w:eastAsia="zh-CN"/>
        </w:rPr>
        <w:t xml:space="preserve">单位工程</w:t>
      </w:r>
      <w:r>
        <w:rPr>
          <w:rFonts w:hint="eastAsia" w:ascii="宋体" w:hAnsi="宋体" w:eastAsia="宋体" w:cs="宋体"/>
          <w:color w:val="auto"/>
          <w:sz w:val="21"/>
          <w:szCs w:val="21"/>
          <w:highlight w:val="none"/>
          <w:u w:val="none"/>
          <w:lang w:val="en-US" w:eastAsia="zh-CN"/>
        </w:rPr>
        <w:t xml:space="preserve">“装饰配套改造”按</w:t>
      </w:r>
      <w:r>
        <w:rPr>
          <w:rFonts w:hint="eastAsia"/>
          <w:color w:val="auto"/>
          <w:highlight w:val="none"/>
        </w:rPr>
        <w:t xml:space="preserve">房屋建筑与装饰工程</w:t>
      </w:r>
      <w:r>
        <w:rPr>
          <w:rFonts w:hint="eastAsia"/>
          <w:color w:val="auto"/>
          <w:highlight w:val="none"/>
          <w:lang w:eastAsia="zh-CN"/>
        </w:rPr>
        <w:t xml:space="preserve">。</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301"/>
        <w:gridCol w:w="4183"/>
      </w:tblGrid>
      <w:tr>
        <w:trPr>
          <w:jc w:val="center"/>
        </w:trPr>
        <w:tc>
          <w:tcPr>
            <w:tcW w:w="857" w:type="dxa"/>
            <w:vAlign w:val="center"/>
            <w:vMerge w:val="restart"/>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序号</w:t>
            </w:r>
            <w:r/>
          </w:p>
        </w:tc>
        <w:tc>
          <w:tcPr>
            <w:tcW w:w="3301" w:type="dxa"/>
            <w:vAlign w:val="center"/>
            <w:vMerge w:val="restart"/>
            <w:textDirection w:val="lrTb"/>
            <w:noWrap w:val="false"/>
          </w:tcPr>
          <w:p>
            <w:pPr>
              <w:pStyle w:val="1041"/>
              <w:jc w:val="center"/>
              <w:spacing w:line="360" w:lineRule="exact"/>
              <w:rPr>
                <w:rFonts w:hint="default"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工程名称</w:t>
            </w:r>
            <w:r/>
          </w:p>
        </w:tc>
        <w:tc>
          <w:tcPr>
            <w:tcW w:w="4183" w:type="dxa"/>
            <w:vAlign w:val="center"/>
            <w:textDirection w:val="lrTb"/>
            <w:noWrap w:val="false"/>
          </w:tcPr>
          <w:p>
            <w:pPr>
              <w:pStyle w:val="1041"/>
              <w:jc w:val="center"/>
              <w:spacing w:line="360" w:lineRule="exact"/>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费率（下限值）（%）</w:t>
            </w:r>
            <w:r/>
          </w:p>
        </w:tc>
      </w:tr>
      <w:tr>
        <w:trPr>
          <w:jc w:val="center"/>
        </w:trPr>
        <w:tc>
          <w:tcPr>
            <w:tcW w:w="857" w:type="dxa"/>
            <w:vAlign w:val="center"/>
            <w:vMerge w:val="continue"/>
            <w:textDirection w:val="lrTb"/>
            <w:noWrap w:val="false"/>
          </w:tcPr>
          <w:p>
            <w:pPr>
              <w:pStyle w:val="1041"/>
              <w:jc w:val="center"/>
              <w:spacing w:line="360" w:lineRule="exact"/>
              <w:rPr>
                <w:rFonts w:hint="eastAsia"/>
                <w:color w:val="auto"/>
                <w:highlight w:val="none"/>
              </w:rPr>
            </w:pPr>
            <w:r>
              <w:rPr>
                <w:rFonts w:hint="eastAsia"/>
                <w:color w:val="auto"/>
                <w:highlight w:val="none"/>
              </w:rPr>
            </w:r>
            <w:r/>
          </w:p>
        </w:tc>
        <w:tc>
          <w:tcPr>
            <w:tcW w:w="3301" w:type="dxa"/>
            <w:vAlign w:val="center"/>
            <w:vMerge w:val="continue"/>
            <w:textDirection w:val="lrTb"/>
            <w:noWrap w:val="false"/>
          </w:tcPr>
          <w:p>
            <w:pPr>
              <w:pStyle w:val="1041"/>
              <w:jc w:val="center"/>
              <w:spacing w:line="360" w:lineRule="exact"/>
              <w:rPr>
                <w:rFonts w:hint="eastAsia"/>
                <w:color w:val="auto"/>
                <w:highlight w:val="none"/>
                <w:lang w:val="en-US" w:eastAsia="zh-CN"/>
              </w:rPr>
            </w:pPr>
            <w:r>
              <w:rPr>
                <w:rFonts w:hint="eastAsia"/>
                <w:color w:val="auto"/>
                <w:highlight w:val="none"/>
                <w:lang w:val="en-US" w:eastAsia="zh-CN"/>
              </w:rPr>
            </w:r>
            <w:r/>
          </w:p>
        </w:tc>
        <w:tc>
          <w:tcPr>
            <w:tcW w:w="4183" w:type="dxa"/>
            <w:vAlign w:val="center"/>
            <w:textDirection w:val="lrTb"/>
            <w:noWrap w:val="false"/>
          </w:tcPr>
          <w:p>
            <w:pPr>
              <w:pStyle w:val="1041"/>
              <w:jc w:val="center"/>
              <w:spacing w:line="360" w:lineRule="exact"/>
              <w:rPr>
                <w:rFonts w:hint="eastAsia" w:eastAsia="宋体"/>
                <w:color w:val="auto"/>
                <w:highlight w:val="none"/>
                <w:lang w:val="en-US" w:eastAsia="zh-CN"/>
              </w:rPr>
            </w:pPr>
            <w:r>
              <w:rPr>
                <w:rFonts w:hint="eastAsia"/>
                <w:color w:val="auto"/>
                <w:highlight w:val="none"/>
                <w:lang w:val="en-US" w:eastAsia="zh-CN"/>
              </w:rPr>
              <w:t xml:space="preserve">一</w:t>
            </w:r>
            <w:r>
              <w:rPr>
                <w:rFonts w:hint="eastAsia"/>
                <w:color w:val="auto"/>
                <w:highlight w:val="none"/>
              </w:rPr>
              <w:t xml:space="preserve">般计税</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1</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房屋建筑与装饰工程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通用安装工程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市政工程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1.9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4</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仿古建筑工程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5</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园林绿化工程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0.9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6</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房屋修缮工程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7</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城市轨道交通工程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bl>
    <w:p>
      <w:pPr>
        <w:pStyle w:val="1041"/>
        <w:ind w:firstLine="373"/>
        <w:jc w:val="both"/>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41"/>
        <w:ind w:firstLine="373"/>
        <w:jc w:val="both"/>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pStyle w:val="995"/>
        <w:spacing w:before="0"/>
        <w:rPr>
          <w:rFonts w:ascii="Microsoft New Tai Lue" w:hAnsi="Microsoft New Tai Lue" w:cs="Microsoft New Tai Lue"/>
          <w:color w:val="auto"/>
          <w:sz w:val="24"/>
          <w:szCs w:val="24"/>
          <w:highlight w:val="none"/>
        </w:rPr>
      </w:pPr>
      <w:r/>
      <w:bookmarkStart w:id="280" w:name="_Toc103848586"/>
      <w:r/>
      <w:bookmarkStart w:id="281" w:name="_Toc104560901"/>
      <w:r/>
      <w:bookmarkStart w:id="282" w:name="_Toc107246281"/>
      <w:r/>
      <w:bookmarkStart w:id="283" w:name="_Toc102117319"/>
      <w:r>
        <w:rPr>
          <w:rFonts w:ascii="Microsoft New Tai Lue" w:hAnsi="Microsoft New Tai Lue" w:cs="Microsoft New Tai Lue"/>
          <w:bCs w:val="0"/>
          <w:color w:val="auto"/>
          <w:sz w:val="24"/>
          <w:szCs w:val="24"/>
          <w:highlight w:val="none"/>
        </w:rPr>
        <w:br w:type="page" w:clear="all"/>
      </w:r>
      <w:bookmarkEnd w:id="280"/>
      <w:r/>
      <w:bookmarkEnd w:id="281"/>
      <w:r/>
      <w:bookmarkEnd w:id="282"/>
      <w:r/>
      <w:bookmarkStart w:id="284" w:name="_Toc25510"/>
      <w:r/>
      <w:bookmarkStart w:id="285" w:name="_Toc104560902"/>
      <w:r/>
      <w:bookmarkStart w:id="286" w:name="_Toc103848587"/>
      <w:r>
        <w:rPr>
          <w:rFonts w:ascii="Microsoft New Tai Lue" w:hAnsi="Microsoft New Tai Lue" w:cs="Microsoft New Tai Lue"/>
          <w:bCs w:val="0"/>
          <w:color w:val="auto"/>
          <w:sz w:val="24"/>
          <w:szCs w:val="24"/>
          <w:highlight w:val="none"/>
        </w:rPr>
        <w:t xml:space="preserve">（5）商务条款偏离表</w:t>
      </w:r>
      <w:bookmarkEnd w:id="284"/>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9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5"/>
        <w:spacing w:line="240" w:lineRule="atLeast"/>
        <w:rPr>
          <w:rFonts w:ascii="Microsoft New Tai Lue" w:hAnsi="Microsoft New Tai Lue" w:cs="Microsoft New Tai Lue"/>
          <w:color w:val="auto"/>
          <w:highlight w:val="none"/>
        </w:rPr>
      </w:pPr>
      <w:r/>
      <w:bookmarkStart w:id="287" w:name="_Toc107246282"/>
      <w:r>
        <w:rPr>
          <w:rFonts w:ascii="Microsoft New Tai Lue" w:hAnsi="Microsoft New Tai Lue" w:cs="Microsoft New Tai Lue"/>
          <w:bCs w:val="0"/>
          <w:color w:val="auto"/>
          <w:sz w:val="24"/>
          <w:szCs w:val="24"/>
          <w:highlight w:val="none"/>
        </w:rPr>
        <w:br w:type="page" w:clear="all"/>
      </w:r>
      <w:bookmarkStart w:id="288" w:name="_Toc14939"/>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285"/>
      <w:r/>
      <w:bookmarkEnd w:id="286"/>
      <w:r/>
      <w:bookmarkEnd w:id="287"/>
      <w:r/>
      <w:bookmarkEnd w:id="288"/>
      <w:r/>
      <w:r/>
    </w:p>
    <w:p>
      <w:pPr>
        <w:pStyle w:val="995"/>
        <w:spacing w:line="240" w:lineRule="atLeast"/>
        <w:rPr>
          <w:rFonts w:ascii="Microsoft New Tai Lue" w:hAnsi="Microsoft New Tai Lue" w:cs="Microsoft New Tai Lue"/>
          <w:bCs w:val="0"/>
          <w:color w:val="auto"/>
          <w:sz w:val="24"/>
          <w:szCs w:val="24"/>
          <w:highlight w:val="none"/>
        </w:rPr>
      </w:pPr>
      <w:r/>
      <w:bookmarkStart w:id="289" w:name="_Toc4556"/>
      <w:r/>
      <w:bookmarkStart w:id="290" w:name="_Toc107246283"/>
      <w:r/>
      <w:bookmarkStart w:id="291" w:name="_Toc104560903"/>
      <w:r/>
      <w:bookmarkStart w:id="292" w:name="_Toc103848588"/>
      <w:r>
        <w:rPr>
          <w:rFonts w:ascii="Microsoft New Tai Lue" w:hAnsi="Microsoft New Tai Lue" w:cs="Microsoft New Tai Lue"/>
          <w:bCs w:val="0"/>
          <w:color w:val="auto"/>
          <w:sz w:val="24"/>
          <w:szCs w:val="24"/>
          <w:highlight w:val="none"/>
        </w:rPr>
        <w:t xml:space="preserve">（6-1-1）营业执照复印件</w:t>
      </w:r>
      <w:bookmarkEnd w:id="283"/>
      <w:r>
        <w:rPr>
          <w:rFonts w:ascii="Microsoft New Tai Lue" w:hAnsi="Microsoft New Tai Lue" w:cs="Microsoft New Tai Lue"/>
          <w:bCs w:val="0"/>
          <w:color w:val="auto"/>
          <w:sz w:val="24"/>
          <w:szCs w:val="24"/>
          <w:highlight w:val="none"/>
        </w:rPr>
        <w:t xml:space="preserve">或自然人的身份证明复印件</w:t>
      </w:r>
      <w:bookmarkEnd w:id="289"/>
      <w:r/>
      <w:bookmarkEnd w:id="290"/>
      <w:r/>
      <w:bookmarkEnd w:id="291"/>
      <w:r/>
      <w:bookmarkEnd w:id="292"/>
      <w:r/>
      <w:r/>
    </w:p>
    <w:p>
      <w:pPr>
        <w:spacing w:line="360" w:lineRule="auto"/>
        <w:rPr>
          <w:rFonts w:ascii="Microsoft New Tai Lue" w:hAnsi="Microsoft New Tai Lue" w:cs="Microsoft New Tai Lue"/>
          <w:b/>
          <w:bCs/>
          <w:color w:val="auto"/>
          <w:highlight w:val="none"/>
        </w:rPr>
      </w:pPr>
      <w:r/>
      <w:bookmarkStart w:id="293"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29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5"/>
        <w:spacing w:line="240" w:lineRule="atLeast"/>
        <w:rPr>
          <w:rFonts w:ascii="Microsoft New Tai Lue" w:hAnsi="Microsoft New Tai Lue" w:eastAsia="黑体" w:cs="Microsoft New Tai Lue"/>
          <w:b w:val="0"/>
          <w:color w:val="auto"/>
          <w:highlight w:val="none"/>
        </w:rPr>
      </w:pPr>
      <w:r/>
      <w:bookmarkStart w:id="294" w:name="_Toc103848589"/>
      <w:r/>
      <w:bookmarkStart w:id="295" w:name="_Toc102117320"/>
      <w:r>
        <w:rPr>
          <w:rFonts w:ascii="Microsoft New Tai Lue" w:hAnsi="Microsoft New Tai Lue" w:cs="Microsoft New Tai Lue"/>
          <w:bCs w:val="0"/>
          <w:color w:val="auto"/>
          <w:sz w:val="24"/>
          <w:szCs w:val="24"/>
          <w:highlight w:val="none"/>
        </w:rPr>
        <w:br w:type="page" w:clear="all"/>
      </w:r>
      <w:bookmarkStart w:id="296" w:name="_Toc104560904"/>
      <w:r/>
      <w:bookmarkStart w:id="297" w:name="_Toc107246284"/>
      <w:r/>
      <w:bookmarkStart w:id="298" w:name="_Toc7164"/>
      <w:r>
        <w:rPr>
          <w:rFonts w:ascii="Microsoft New Tai Lue" w:hAnsi="Microsoft New Tai Lue" w:cs="Microsoft New Tai Lue"/>
          <w:bCs w:val="0"/>
          <w:color w:val="auto"/>
          <w:sz w:val="24"/>
          <w:szCs w:val="24"/>
          <w:highlight w:val="none"/>
        </w:rPr>
        <w:t xml:space="preserve">（6-1-2）工商变更登记文件（如需）</w:t>
      </w:r>
      <w:bookmarkEnd w:id="294"/>
      <w:r/>
      <w:bookmarkEnd w:id="295"/>
      <w:r/>
      <w:bookmarkEnd w:id="296"/>
      <w:r/>
      <w:bookmarkEnd w:id="297"/>
      <w:r/>
      <w:bookmarkEnd w:id="29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9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299" w:name="_Toc8789"/>
      <w:r/>
      <w:bookmarkStart w:id="300" w:name="_Toc107246285"/>
      <w:r/>
      <w:bookmarkStart w:id="301" w:name="_Toc104560905"/>
      <w:r/>
      <w:bookmarkStart w:id="302" w:name="_Toc102117321"/>
      <w:r/>
      <w:bookmarkStart w:id="303" w:name="_Toc103848590"/>
      <w:r>
        <w:rPr>
          <w:rFonts w:ascii="Microsoft New Tai Lue" w:hAnsi="Microsoft New Tai Lue" w:cs="Microsoft New Tai Lue"/>
          <w:bCs w:val="0"/>
          <w:color w:val="auto"/>
          <w:sz w:val="24"/>
          <w:szCs w:val="24"/>
          <w:highlight w:val="none"/>
        </w:rPr>
        <w:t xml:space="preserve">（6-2）财务报表</w:t>
      </w:r>
      <w:bookmarkEnd w:id="299"/>
      <w:r/>
      <w:bookmarkEnd w:id="300"/>
      <w:r/>
      <w:bookmarkEnd w:id="301"/>
      <w:r/>
      <w:bookmarkEnd w:id="302"/>
      <w:r/>
      <w:bookmarkEnd w:id="30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jc w:val="left"/>
        <w:spacing w:line="240" w:lineRule="atLeast"/>
        <w:rPr>
          <w:rFonts w:ascii="Microsoft New Tai Lue" w:hAnsi="Microsoft New Tai Lue" w:cs="Microsoft New Tai Lue"/>
          <w:bCs w:val="0"/>
          <w:color w:val="auto"/>
          <w:sz w:val="24"/>
          <w:szCs w:val="24"/>
          <w:highlight w:val="none"/>
        </w:rPr>
      </w:pPr>
      <w:r/>
      <w:bookmarkStart w:id="304" w:name="_Toc102117322"/>
      <w:r/>
      <w:bookmarkStart w:id="305" w:name="_Toc103848593"/>
      <w:r/>
      <w:bookmarkStart w:id="306" w:name="_Toc104560908"/>
      <w:r>
        <w:rPr>
          <w:rFonts w:ascii="Microsoft New Tai Lue" w:hAnsi="Microsoft New Tai Lue" w:cs="Microsoft New Tai Lue"/>
          <w:bCs w:val="0"/>
          <w:color w:val="auto"/>
          <w:sz w:val="24"/>
          <w:szCs w:val="24"/>
          <w:highlight w:val="none"/>
        </w:rPr>
        <w:br w:type="page" w:clear="all"/>
      </w:r>
      <w:bookmarkStart w:id="307" w:name="_Toc107246286"/>
      <w:r/>
      <w:bookmarkStart w:id="308" w:name="_Toc23875"/>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304"/>
      <w:r/>
      <w:bookmarkEnd w:id="305"/>
      <w:r/>
      <w:bookmarkEnd w:id="306"/>
      <w:r/>
      <w:bookmarkEnd w:id="307"/>
      <w:r/>
      <w:bookmarkEnd w:id="30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73"/>
        <w:ind w:left="1260"/>
        <w:rPr>
          <w:color w:val="auto"/>
          <w:highlight w:val="none"/>
        </w:rPr>
      </w:pPr>
      <w:r>
        <w:rPr>
          <w:color w:val="auto"/>
          <w:highlight w:val="none"/>
        </w:rPr>
      </w:r>
      <w:r/>
    </w:p>
    <w:p>
      <w:pPr>
        <w:rPr>
          <w:color w:val="auto"/>
          <w:highlight w:val="none"/>
        </w:rPr>
      </w:pPr>
      <w:r>
        <w:rPr>
          <w:color w:val="auto"/>
          <w:highlight w:val="none"/>
        </w:rPr>
      </w:r>
      <w:r/>
    </w:p>
    <w:p>
      <w:pPr>
        <w:pStyle w:val="973"/>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spacing w:line="240" w:lineRule="atLeast"/>
        <w:rPr>
          <w:rFonts w:hint="eastAsia" w:ascii="Microsoft New Tai Lue" w:hAnsi="Microsoft New Tai Lue" w:eastAsia="黑体" w:cs="Microsoft New Tai Lue"/>
          <w:b w:val="0"/>
          <w:color w:val="auto"/>
          <w:highlight w:val="none"/>
        </w:rPr>
      </w:pPr>
      <w:r/>
      <w:bookmarkStart w:id="309" w:name="_Toc102117323"/>
      <w:r/>
      <w:bookmarkStart w:id="310" w:name="_Toc103848591"/>
      <w:r>
        <w:rPr>
          <w:rFonts w:ascii="Microsoft New Tai Lue" w:hAnsi="Microsoft New Tai Lue" w:cs="Microsoft New Tai Lue"/>
          <w:bCs w:val="0"/>
          <w:color w:val="auto"/>
          <w:sz w:val="24"/>
          <w:szCs w:val="24"/>
          <w:highlight w:val="none"/>
        </w:rPr>
        <w:br w:type="page" w:clear="all"/>
      </w:r>
      <w:bookmarkStart w:id="311" w:name="_Toc104560906"/>
      <w:r/>
      <w:bookmarkStart w:id="312" w:name="_Toc107246287"/>
      <w:r/>
      <w:bookmarkStart w:id="313" w:name="_Toc19580"/>
      <w:r>
        <w:rPr>
          <w:rFonts w:ascii="Microsoft New Tai Lue" w:hAnsi="Microsoft New Tai Lue" w:cs="Microsoft New Tai Lue"/>
          <w:bCs w:val="0"/>
          <w:color w:val="auto"/>
          <w:sz w:val="24"/>
          <w:szCs w:val="24"/>
          <w:highlight w:val="none"/>
        </w:rPr>
        <w:t xml:space="preserve">（6-4）依法缴纳税收的相关材料</w:t>
      </w:r>
      <w:bookmarkEnd w:id="309"/>
      <w:r/>
      <w:bookmarkEnd w:id="310"/>
      <w:r/>
      <w:bookmarkEnd w:id="311"/>
      <w:r/>
      <w:bookmarkEnd w:id="312"/>
      <w:r/>
      <w:bookmarkEnd w:id="313"/>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9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14" w:name="_Toc103848592"/>
      <w:r/>
      <w:bookmarkStart w:id="315" w:name="_Toc107246288"/>
      <w:r/>
      <w:bookmarkStart w:id="316" w:name="_Toc102117324"/>
      <w:r/>
      <w:bookmarkStart w:id="317" w:name="_Toc104560907"/>
      <w:r/>
      <w:bookmarkStart w:id="318" w:name="_Toc16631"/>
      <w:r>
        <w:rPr>
          <w:rFonts w:ascii="Microsoft New Tai Lue" w:hAnsi="Microsoft New Tai Lue" w:cs="Microsoft New Tai Lue"/>
          <w:bCs w:val="0"/>
          <w:color w:val="auto"/>
          <w:sz w:val="24"/>
          <w:szCs w:val="24"/>
          <w:highlight w:val="none"/>
        </w:rPr>
        <w:t xml:space="preserve">（6-5）依法缴纳社会保障资金的相关材料</w:t>
      </w:r>
      <w:bookmarkEnd w:id="314"/>
      <w:r/>
      <w:bookmarkEnd w:id="315"/>
      <w:r/>
      <w:bookmarkEnd w:id="316"/>
      <w:r/>
      <w:bookmarkEnd w:id="317"/>
      <w:r/>
      <w:bookmarkEnd w:id="318"/>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19" w:name="_Toc107246289"/>
      <w:r/>
      <w:bookmarkStart w:id="320" w:name="_Toc103848594"/>
      <w:r/>
      <w:bookmarkStart w:id="321" w:name="_Toc104560909"/>
      <w:r/>
      <w:bookmarkStart w:id="322" w:name="_Toc102117325"/>
      <w:r/>
      <w:bookmarkStart w:id="323" w:name="_Toc30337"/>
      <w:r>
        <w:rPr>
          <w:rFonts w:ascii="Microsoft New Tai Lue" w:hAnsi="Microsoft New Tai Lue" w:cs="Microsoft New Tai Lue"/>
          <w:bCs w:val="0"/>
          <w:color w:val="auto"/>
          <w:sz w:val="24"/>
          <w:szCs w:val="24"/>
          <w:highlight w:val="none"/>
        </w:rPr>
        <w:t xml:space="preserve">（6-6）没有重大违法记录的书面声明</w:t>
      </w:r>
      <w:bookmarkEnd w:id="319"/>
      <w:r/>
      <w:bookmarkEnd w:id="320"/>
      <w:r/>
      <w:bookmarkEnd w:id="321"/>
      <w:r/>
      <w:bookmarkEnd w:id="322"/>
      <w:r/>
      <w:bookmarkEnd w:id="32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95"/>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324" w:name="_Toc104560910"/>
      <w:r/>
      <w:bookmarkStart w:id="325" w:name="_Toc20646"/>
      <w:r/>
      <w:bookmarkStart w:id="326"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324"/>
      <w:r/>
      <w:bookmarkEnd w:id="325"/>
      <w:r/>
      <w:bookmarkEnd w:id="326"/>
      <w:r/>
      <w:r/>
    </w:p>
    <w:p>
      <w:pPr>
        <w:pStyle w:val="780"/>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80"/>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327" w:name="_Toc102117326"/>
      <w:r/>
      <w:bookmarkStart w:id="328"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29" w:name="_Toc107246291"/>
      <w:r/>
      <w:bookmarkStart w:id="330" w:name="_Toc30426"/>
      <w:r/>
      <w:bookmarkStart w:id="331" w:name="_Toc104560911"/>
      <w:r>
        <w:rPr>
          <w:rFonts w:ascii="Microsoft New Tai Lue" w:hAnsi="Microsoft New Tai Lue" w:cs="Microsoft New Tai Lue"/>
          <w:bCs w:val="0"/>
          <w:color w:val="auto"/>
          <w:sz w:val="24"/>
          <w:szCs w:val="24"/>
          <w:highlight w:val="none"/>
        </w:rPr>
        <w:t xml:space="preserve">（6-8）</w:t>
      </w:r>
      <w:bookmarkEnd w:id="327"/>
      <w:r>
        <w:rPr>
          <w:rFonts w:ascii="Microsoft New Tai Lue" w:hAnsi="Microsoft New Tai Lue" w:cs="Microsoft New Tai Lue"/>
          <w:bCs w:val="0"/>
          <w:color w:val="auto"/>
          <w:sz w:val="24"/>
          <w:szCs w:val="24"/>
          <w:highlight w:val="none"/>
        </w:rPr>
        <w:t xml:space="preserve">磋商文件要求的其它实质性资格资信证明文件</w:t>
      </w:r>
      <w:bookmarkEnd w:id="328"/>
      <w:r/>
      <w:bookmarkEnd w:id="329"/>
      <w:r/>
      <w:bookmarkEnd w:id="330"/>
      <w:r/>
      <w:bookmarkEnd w:id="331"/>
      <w:r/>
      <w:r/>
    </w:p>
    <w:p>
      <w:pPr>
        <w:pStyle w:val="973"/>
        <w:ind w:left="0"/>
        <w:rPr>
          <w:color w:val="auto"/>
          <w:highlight w:val="none"/>
        </w:rPr>
      </w:pPr>
      <w:r>
        <w:rPr>
          <w:color w:val="auto"/>
          <w:highlight w:val="none"/>
        </w:rPr>
      </w:r>
      <w:r/>
    </w:p>
    <w:p>
      <w:pPr>
        <w:pStyle w:val="995"/>
        <w:spacing w:before="0"/>
        <w:rPr>
          <w:rFonts w:ascii="Microsoft New Tai Lue" w:hAnsi="Microsoft New Tai Lue" w:cs="Microsoft New Tai Lue"/>
          <w:bCs w:val="0"/>
          <w:color w:val="auto"/>
          <w:sz w:val="24"/>
          <w:szCs w:val="24"/>
          <w:highlight w:val="none"/>
        </w:rPr>
      </w:pPr>
      <w:r/>
      <w:bookmarkStart w:id="332" w:name="_Toc103848600"/>
      <w:r/>
      <w:bookmarkStart w:id="333" w:name="_Toc104560917"/>
      <w:r/>
      <w:bookmarkStart w:id="334" w:name="_Toc107246300"/>
      <w:r>
        <w:rPr>
          <w:rFonts w:ascii="Microsoft New Tai Lue" w:hAnsi="Microsoft New Tai Lue" w:cs="Microsoft New Tai Lue"/>
          <w:color w:val="auto"/>
          <w:sz w:val="24"/>
          <w:highlight w:val="none"/>
        </w:rPr>
        <w:br w:type="page" w:clear="all"/>
      </w:r>
      <w:bookmarkStart w:id="335" w:name="_Toc107246301"/>
      <w:r/>
      <w:bookmarkStart w:id="336" w:name="_Toc103848601"/>
      <w:r/>
      <w:bookmarkStart w:id="337" w:name="_Toc104560918"/>
      <w:r/>
      <w:bookmarkStart w:id="338" w:name="_Toc1421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35"/>
      <w:r/>
      <w:bookmarkEnd w:id="336"/>
      <w:r/>
      <w:bookmarkEnd w:id="337"/>
      <w:r/>
      <w:bookmarkEnd w:id="338"/>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92"/>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92"/>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9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80"/>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39" w:name="_Toc1026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实施</w:t>
      </w:r>
      <w:r>
        <w:rPr>
          <w:rFonts w:ascii="Microsoft New Tai Lue" w:hAnsi="Microsoft New Tai Lue" w:cs="Microsoft New Tai Lue"/>
          <w:bCs w:val="0"/>
          <w:color w:val="auto"/>
          <w:sz w:val="24"/>
          <w:szCs w:val="24"/>
          <w:highlight w:val="none"/>
        </w:rPr>
        <w:t xml:space="preserve">方案</w:t>
      </w:r>
      <w:bookmarkEnd w:id="332"/>
      <w:r/>
      <w:bookmarkEnd w:id="333"/>
      <w:r/>
      <w:bookmarkEnd w:id="334"/>
      <w:r/>
      <w:bookmarkEnd w:id="339"/>
      <w:r/>
      <w:r/>
    </w:p>
    <w:p>
      <w:pPr>
        <w:rPr>
          <w:color w:val="auto"/>
          <w:highlight w:val="none"/>
        </w:rPr>
      </w:pPr>
      <w:r>
        <w:rPr>
          <w:color w:val="auto"/>
          <w:highlight w:val="none"/>
        </w:rPr>
        <w:t xml:space="preserve"> </w:t>
      </w:r>
      <w:r/>
    </w:p>
    <w:p>
      <w:pPr>
        <w:pStyle w:val="780"/>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0"/>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95"/>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340" w:name="_Toc6475"/>
      <w:r>
        <w:rPr>
          <w:rFonts w:hint="eastAsia" w:ascii="Microsoft New Tai Lue" w:hAnsi="Microsoft New Tai Lue" w:eastAsia="宋体" w:cs="Microsoft New Tai Lue"/>
          <w:bCs w:val="0"/>
          <w:color w:val="auto"/>
          <w:sz w:val="24"/>
          <w:szCs w:val="24"/>
          <w:highlight w:val="none"/>
          <w:lang w:val="en-US"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eastAsia="宋体" w:cs="Microsoft New Tai Lue"/>
          <w:bCs w:val="0"/>
          <w:color w:val="auto"/>
          <w:sz w:val="24"/>
          <w:szCs w:val="24"/>
          <w:highlight w:val="none"/>
          <w:lang w:val="en-US" w:eastAsia="zh-CN"/>
        </w:rPr>
        <w:t xml:space="preserve">）拟参与本项目人员一览表</w:t>
      </w:r>
      <w:bookmarkEnd w:id="340"/>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8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8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8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8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8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41" w:name="_Toc11490"/>
      <w:r/>
      <w:bookmarkStart w:id="342" w:name="_Toc104560921"/>
      <w:r/>
      <w:bookmarkStart w:id="343" w:name="_Toc107246304"/>
      <w:r/>
      <w:bookmarkStart w:id="344"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0</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341"/>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71"/>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262"/>
      <w:r/>
      <w:bookmarkEnd w:id="342"/>
      <w:r/>
      <w:bookmarkEnd w:id="343"/>
      <w:r/>
      <w:bookmarkEnd w:id="344"/>
      <w:r/>
      <w:r/>
    </w:p>
    <w:p>
      <w:pPr>
        <w:pStyle w:val="780"/>
        <w:ind w:firstLine="0"/>
        <w:rPr>
          <w:color w:val="auto"/>
          <w:highlight w:val="none"/>
        </w:rPr>
      </w:pPr>
      <w:r/>
      <w:bookmarkStart w:id="345" w:name="_Toc96347904"/>
      <w:r/>
      <w:r/>
    </w:p>
    <w:p>
      <w:pPr>
        <w:pStyle w:val="995"/>
        <w:spacing w:before="0"/>
        <w:rPr>
          <w:rFonts w:ascii="Microsoft New Tai Lue" w:hAnsi="Microsoft New Tai Lue" w:eastAsia="宋体" w:cs="Microsoft New Tai Lue"/>
          <w:bCs w:val="0"/>
          <w:color w:val="auto"/>
          <w:sz w:val="24"/>
          <w:szCs w:val="24"/>
          <w:highlight w:val="none"/>
        </w:rPr>
      </w:pPr>
      <w:r/>
      <w:bookmarkStart w:id="346" w:name="_Toc104560923"/>
      <w:r/>
      <w:bookmarkStart w:id="347" w:name="_Toc103848606"/>
      <w:r/>
      <w:bookmarkStart w:id="348" w:name="_Toc100905289"/>
      <w:r/>
      <w:bookmarkStart w:id="349" w:name="_Toc107246306"/>
      <w:r>
        <w:rPr>
          <w:rFonts w:ascii="Microsoft New Tai Lue" w:hAnsi="Microsoft New Tai Lue" w:cs="Microsoft New Tai Lue"/>
          <w:bCs w:val="0"/>
          <w:color w:val="auto"/>
          <w:sz w:val="24"/>
          <w:szCs w:val="24"/>
          <w:highlight w:val="none"/>
        </w:rPr>
        <w:br w:type="page" w:clear="all"/>
      </w:r>
      <w:bookmarkStart w:id="350" w:name="_Toc27843"/>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346"/>
      <w:r/>
      <w:bookmarkEnd w:id="347"/>
      <w:r/>
      <w:bookmarkEnd w:id="348"/>
      <w:r/>
      <w:bookmarkEnd w:id="349"/>
      <w:r/>
      <w:bookmarkEnd w:id="350"/>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101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采购活动，工程的施工单位全部为符合政策要求的中小企业。相关企业（含联合 体中的中小企业、签订分包意向协议的中小企业）的具体情 况如下：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rPr>
          <w:rFonts w:hint="eastAsia" w:ascii="宋体" w:hAnsi="宋体" w:cs="宋体"/>
          <w:color w:val="auto"/>
          <w:position w:val="-2"/>
          <w:szCs w:val="21"/>
          <w:highlight w:val="none"/>
          <w:u w:val="single"/>
        </w:rPr>
        <w:t xml:space="preserve">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left="214" w:firstLine="422"/>
        <w:spacing w:line="360" w:lineRule="auto"/>
        <w:rPr>
          <w:rFonts w:hint="eastAsia" w:ascii="宋体" w:hAnsi="宋体" w:eastAsia="宋体" w:cs="宋体"/>
          <w:color w:val="auto"/>
          <w:szCs w:val="21"/>
          <w:highlight w:val="none"/>
          <w:lang w:val="en-US" w:bidi="ar-SA"/>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color w:val="auto"/>
          <w:highlight w:val="none"/>
        </w:rPr>
      </w:pPr>
      <w:r>
        <w:rPr>
          <w:color w:val="auto"/>
          <w:highlight w:val="none"/>
        </w:rPr>
      </w:r>
      <w:r/>
    </w:p>
    <w:p>
      <w:pPr>
        <w:pStyle w:val="78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80"/>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80"/>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345"/>
      <w:r/>
      <w:r/>
    </w:p>
    <w:p>
      <w:pPr>
        <w:pStyle w:val="780"/>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95"/>
        <w:spacing w:before="0"/>
        <w:rPr>
          <w:rFonts w:ascii="Microsoft New Tai Lue" w:hAnsi="Microsoft New Tai Lue" w:cs="Microsoft New Tai Lue"/>
          <w:bCs w:val="0"/>
          <w:color w:val="auto"/>
          <w:sz w:val="24"/>
          <w:szCs w:val="24"/>
          <w:highlight w:val="none"/>
        </w:rPr>
      </w:pPr>
      <w:r/>
      <w:bookmarkStart w:id="351" w:name="_Toc100905295"/>
      <w:r/>
      <w:bookmarkStart w:id="352" w:name="_Toc103848607"/>
      <w:r/>
      <w:bookmarkStart w:id="353" w:name="_Toc104560924"/>
      <w:r/>
      <w:bookmarkStart w:id="354" w:name="_Toc107246307"/>
      <w:r>
        <w:rPr>
          <w:rFonts w:ascii="Microsoft New Tai Lue" w:hAnsi="Microsoft New Tai Lue" w:cs="Microsoft New Tai Lue"/>
          <w:bCs w:val="0"/>
          <w:color w:val="auto"/>
          <w:sz w:val="24"/>
          <w:szCs w:val="24"/>
          <w:highlight w:val="none"/>
        </w:rPr>
        <w:br w:type="page" w:clear="all"/>
      </w:r>
      <w:bookmarkStart w:id="355" w:name="_Toc2781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）供应商认为需提供的其他</w:t>
      </w:r>
      <w:bookmarkEnd w:id="351"/>
      <w:r>
        <w:rPr>
          <w:rFonts w:ascii="Microsoft New Tai Lue" w:hAnsi="Microsoft New Tai Lue" w:cs="Microsoft New Tai Lue"/>
          <w:bCs w:val="0"/>
          <w:color w:val="auto"/>
          <w:sz w:val="24"/>
          <w:szCs w:val="24"/>
          <w:highlight w:val="none"/>
        </w:rPr>
        <w:t xml:space="preserve">文件或证明材料</w:t>
      </w:r>
      <w:bookmarkEnd w:id="352"/>
      <w:r/>
      <w:bookmarkEnd w:id="353"/>
      <w:r/>
      <w:bookmarkEnd w:id="354"/>
      <w:r/>
      <w:bookmarkEnd w:id="355"/>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6" w:name="_Toc24628"/>
      <w:r/>
      <w:bookmarkStart w:id="357" w:name="_Toc107246308"/>
      <w:r/>
      <w:bookmarkStart w:id="358" w:name="_Toc103848608"/>
      <w:r/>
      <w:bookmarkStart w:id="359" w:name="_Toc10456092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）要求供应商提交的其他文件材料或证明材料</w:t>
      </w:r>
      <w:bookmarkEnd w:id="356"/>
      <w:r/>
      <w:bookmarkEnd w:id="357"/>
      <w:r/>
      <w:bookmarkEnd w:id="358"/>
      <w:r/>
      <w:bookmarkEnd w:id="359"/>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南京体育学院综合体操馆新风除尘系统项目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南京体育学院综合体操馆新风除尘系统项目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6"/>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0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8"/>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正文缩进11"/>
    <w:basedOn w:val="760"/>
    <w:uiPriority w:val="99"/>
    <w:qFormat/>
    <w:pPr>
      <w:ind w:firstLine="420"/>
    </w:pPr>
    <w:rPr>
      <w:szCs w:val="20"/>
    </w:r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qFormat/>
    <w:pPr>
      <w:jc w:val="left"/>
    </w:pPr>
  </w:style>
  <w:style w:type="paragraph" w:styleId="776">
    <w:name w:val="Body Text"/>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77">
    <w:name w:val="Body Text Indent"/>
    <w:next w:val="760"/>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Plain Text"/>
    <w:basedOn w:val="760"/>
    <w:link w:val="1022"/>
    <w:uiPriority w:val="0"/>
    <w:qFormat/>
    <w:pPr>
      <w:ind w:firstLine="200"/>
      <w:spacing w:line="360" w:lineRule="auto"/>
    </w:pPr>
    <w:rPr>
      <w:rFonts w:ascii="宋体" w:hAnsi="Courier New"/>
      <w:sz w:val="20"/>
      <w:szCs w:val="20"/>
    </w:rPr>
  </w:style>
  <w:style w:type="paragraph" w:styleId="781">
    <w:name w:val="toc 8"/>
    <w:basedOn w:val="760"/>
    <w:next w:val="760"/>
    <w:uiPriority w:val="39"/>
    <w:unhideWhenUsed/>
    <w:qFormat/>
    <w:pPr>
      <w:ind w:left="1984" w:right="0" w:firstLine="0"/>
      <w:spacing w:after="57"/>
    </w:pPr>
  </w:style>
  <w:style w:type="paragraph" w:styleId="782">
    <w:name w:val="endnote text"/>
    <w:basedOn w:val="760"/>
    <w:link w:val="945"/>
    <w:uiPriority w:val="99"/>
    <w:semiHidden/>
    <w:unhideWhenUsed/>
    <w:qFormat/>
    <w:pPr>
      <w:spacing w:after="0" w:line="240" w:lineRule="auto"/>
    </w:pPr>
    <w:rPr>
      <w:sz w:val="20"/>
    </w:rPr>
  </w:style>
  <w:style w:type="paragraph" w:styleId="783">
    <w:name w:val="Footer"/>
    <w:basedOn w:val="760"/>
    <w:link w:val="818"/>
    <w:uiPriority w:val="99"/>
    <w:unhideWhenUsed/>
    <w:qFormat/>
    <w:pPr>
      <w:spacing w:after="0" w:line="240" w:lineRule="auto"/>
      <w:tabs>
        <w:tab w:val="center" w:pos="7143" w:leader="none"/>
        <w:tab w:val="right" w:pos="14287" w:leader="none"/>
      </w:tabs>
    </w:pPr>
  </w:style>
  <w:style w:type="paragraph" w:styleId="784">
    <w:name w:val="Header"/>
    <w:basedOn w:val="760"/>
    <w:link w:val="816"/>
    <w:uiPriority w:val="99"/>
    <w:unhideWhenUsed/>
    <w:qFormat/>
    <w:pPr>
      <w:spacing w:after="0" w:line="240" w:lineRule="auto"/>
      <w:tabs>
        <w:tab w:val="center" w:pos="7143" w:leader="none"/>
        <w:tab w:val="right" w:pos="14287" w:leader="none"/>
      </w:tabs>
    </w:pPr>
  </w:style>
  <w:style w:type="paragraph" w:styleId="785">
    <w:name w:val="toc 1"/>
    <w:basedOn w:val="760"/>
    <w:next w:val="760"/>
    <w:uiPriority w:val="39"/>
    <w:unhideWhenUsed/>
    <w:qFormat/>
    <w:pPr>
      <w:ind w:left="0" w:right="0" w:firstLine="0"/>
      <w:spacing w:after="57"/>
    </w:pPr>
  </w:style>
  <w:style w:type="paragraph" w:styleId="786">
    <w:name w:val="toc 4"/>
    <w:basedOn w:val="760"/>
    <w:next w:val="760"/>
    <w:uiPriority w:val="39"/>
    <w:unhideWhenUsed/>
    <w:qFormat/>
    <w:pPr>
      <w:ind w:left="850" w:right="0" w:firstLine="0"/>
      <w:spacing w:after="57"/>
    </w:pPr>
  </w:style>
  <w:style w:type="paragraph" w:styleId="787">
    <w:name w:val="Subtitle"/>
    <w:basedOn w:val="760"/>
    <w:next w:val="760"/>
    <w:link w:val="811"/>
    <w:uiPriority w:val="11"/>
    <w:qFormat/>
    <w:pPr>
      <w:spacing w:before="200" w:after="200"/>
    </w:pPr>
    <w:rPr>
      <w:sz w:val="24"/>
      <w:szCs w:val="24"/>
    </w:rPr>
  </w:style>
  <w:style w:type="paragraph" w:styleId="788">
    <w:name w:val="footnote text"/>
    <w:basedOn w:val="760"/>
    <w:link w:val="944"/>
    <w:uiPriority w:val="99"/>
    <w:semiHidden/>
    <w:unhideWhenUsed/>
    <w:qFormat/>
    <w:pPr>
      <w:spacing w:after="40" w:line="240" w:lineRule="auto"/>
    </w:pPr>
    <w:rPr>
      <w:sz w:val="18"/>
    </w:rPr>
  </w:style>
  <w:style w:type="paragraph" w:styleId="789">
    <w:name w:val="toc 6"/>
    <w:basedOn w:val="760"/>
    <w:next w:val="760"/>
    <w:uiPriority w:val="39"/>
    <w:unhideWhenUsed/>
    <w:qFormat/>
    <w:pPr>
      <w:ind w:left="1417" w:right="0" w:firstLine="0"/>
      <w:spacing w:after="57"/>
    </w:pPr>
  </w:style>
  <w:style w:type="paragraph" w:styleId="790">
    <w:name w:val="table of figures"/>
    <w:basedOn w:val="760"/>
    <w:next w:val="760"/>
    <w:uiPriority w:val="99"/>
    <w:unhideWhenUsed/>
    <w:qFormat/>
    <w:pPr>
      <w:spacing w:after="0" w:afterAutospacing="0"/>
    </w:pPr>
  </w:style>
  <w:style w:type="paragraph" w:styleId="791">
    <w:name w:val="toc 2"/>
    <w:basedOn w:val="760"/>
    <w:next w:val="760"/>
    <w:uiPriority w:val="39"/>
    <w:unhideWhenUsed/>
    <w:qFormat/>
    <w:pPr>
      <w:ind w:left="283" w:right="0" w:firstLine="0"/>
      <w:spacing w:after="57"/>
    </w:pPr>
  </w:style>
  <w:style w:type="paragraph" w:styleId="792">
    <w:name w:val="toc 9"/>
    <w:basedOn w:val="760"/>
    <w:next w:val="760"/>
    <w:uiPriority w:val="39"/>
    <w:unhideWhenUsed/>
    <w:qFormat/>
    <w:pPr>
      <w:ind w:left="2268" w:right="0" w:firstLine="0"/>
      <w:spacing w:after="57"/>
    </w:pPr>
  </w:style>
  <w:style w:type="paragraph" w:styleId="793">
    <w:name w:val="Title"/>
    <w:basedOn w:val="760"/>
    <w:next w:val="760"/>
    <w:link w:val="810"/>
    <w:uiPriority w:val="10"/>
    <w:qFormat/>
    <w:pPr>
      <w:contextualSpacing/>
      <w:spacing w:before="300" w:after="200"/>
    </w:pPr>
    <w:rPr>
      <w:sz w:val="48"/>
      <w:szCs w:val="48"/>
    </w:rPr>
  </w:style>
  <w:style w:type="paragraph" w:styleId="794">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正文文本111"/>
    <w:basedOn w:val="760"/>
    <w:uiPriority w:val="1"/>
    <w:qFormat/>
    <w:pPr>
      <w:spacing w:after="120"/>
    </w:pPr>
  </w:style>
  <w:style w:type="character" w:styleId="800" w:customStyle="1">
    <w:name w:val="Heading 1 Char"/>
    <w:link w:val="761"/>
    <w:uiPriority w:val="9"/>
    <w:qFormat/>
    <w:rPr>
      <w:rFonts w:ascii="Arial" w:hAnsi="Arial" w:eastAsia="Arial" w:cs="Arial"/>
      <w:sz w:val="40"/>
      <w:szCs w:val="40"/>
    </w:rPr>
  </w:style>
  <w:style w:type="character" w:styleId="801" w:customStyle="1">
    <w:name w:val="Heading 2 Char"/>
    <w:link w:val="762"/>
    <w:uiPriority w:val="9"/>
    <w:qFormat/>
    <w:rPr>
      <w:rFonts w:ascii="Arial" w:hAnsi="Arial" w:eastAsia="Arial" w:cs="Arial"/>
      <w:sz w:val="34"/>
    </w:rPr>
  </w:style>
  <w:style w:type="character" w:styleId="802" w:customStyle="1">
    <w:name w:val="Heading 3 Char"/>
    <w:link w:val="763"/>
    <w:uiPriority w:val="9"/>
    <w:qFormat/>
    <w:rPr>
      <w:rFonts w:ascii="Arial" w:hAnsi="Arial" w:eastAsia="Arial" w:cs="Arial"/>
      <w:sz w:val="30"/>
      <w:szCs w:val="30"/>
    </w:rPr>
  </w:style>
  <w:style w:type="character" w:styleId="803" w:customStyle="1">
    <w:name w:val="Heading 4 Char"/>
    <w:link w:val="764"/>
    <w:uiPriority w:val="9"/>
    <w:qFormat/>
    <w:rPr>
      <w:rFonts w:ascii="Arial" w:hAnsi="Arial" w:eastAsia="Arial" w:cs="Arial"/>
      <w:b/>
      <w:bCs/>
      <w:sz w:val="26"/>
      <w:szCs w:val="26"/>
    </w:rPr>
  </w:style>
  <w:style w:type="character" w:styleId="804" w:customStyle="1">
    <w:name w:val="Heading 5 Char"/>
    <w:link w:val="765"/>
    <w:uiPriority w:val="9"/>
    <w:qFormat/>
    <w:rPr>
      <w:rFonts w:ascii="Arial" w:hAnsi="Arial" w:eastAsia="Arial" w:cs="Arial"/>
      <w:b/>
      <w:bCs/>
      <w:sz w:val="24"/>
      <w:szCs w:val="24"/>
    </w:rPr>
  </w:style>
  <w:style w:type="character" w:styleId="805" w:customStyle="1">
    <w:name w:val="Heading 6 Char"/>
    <w:link w:val="766"/>
    <w:uiPriority w:val="9"/>
    <w:qFormat/>
    <w:rPr>
      <w:rFonts w:ascii="Arial" w:hAnsi="Arial" w:eastAsia="Arial" w:cs="Arial"/>
      <w:b/>
      <w:bCs/>
      <w:sz w:val="22"/>
      <w:szCs w:val="22"/>
    </w:rPr>
  </w:style>
  <w:style w:type="character" w:styleId="806" w:customStyle="1">
    <w:name w:val="Heading 7 Char"/>
    <w:link w:val="767"/>
    <w:uiPriority w:val="9"/>
    <w:qFormat/>
    <w:rPr>
      <w:rFonts w:ascii="Arial" w:hAnsi="Arial" w:eastAsia="Arial" w:cs="Arial"/>
      <w:b/>
      <w:bCs/>
      <w:i/>
      <w:iCs/>
      <w:sz w:val="22"/>
      <w:szCs w:val="22"/>
    </w:rPr>
  </w:style>
  <w:style w:type="character" w:styleId="807" w:customStyle="1">
    <w:name w:val="Heading 8 Char"/>
    <w:link w:val="768"/>
    <w:uiPriority w:val="9"/>
    <w:qFormat/>
    <w:rPr>
      <w:rFonts w:ascii="Arial" w:hAnsi="Arial" w:eastAsia="Arial" w:cs="Arial"/>
      <w:i/>
      <w:iCs/>
      <w:sz w:val="22"/>
      <w:szCs w:val="22"/>
    </w:rPr>
  </w:style>
  <w:style w:type="character" w:styleId="808" w:customStyle="1">
    <w:name w:val="Heading 9 Char"/>
    <w:link w:val="769"/>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3"/>
    <w:uiPriority w:val="10"/>
    <w:qFormat/>
    <w:rPr>
      <w:sz w:val="48"/>
      <w:szCs w:val="48"/>
    </w:rPr>
  </w:style>
  <w:style w:type="character" w:styleId="811" w:customStyle="1">
    <w:name w:val="Subtitle Char"/>
    <w:link w:val="787"/>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4"/>
    <w:uiPriority w:val="99"/>
    <w:qFormat/>
  </w:style>
  <w:style w:type="character" w:styleId="817" w:customStyle="1">
    <w:name w:val="Footer Char"/>
    <w:link w:val="783"/>
    <w:uiPriority w:val="99"/>
    <w:qFormat/>
  </w:style>
  <w:style w:type="character" w:styleId="818" w:customStyle="1">
    <w:name w:val="Caption Char"/>
    <w:link w:val="783"/>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8"/>
    <w:uiPriority w:val="99"/>
    <w:qFormat/>
    <w:rPr>
      <w:sz w:val="18"/>
    </w:rPr>
  </w:style>
  <w:style w:type="character" w:styleId="945" w:customStyle="1">
    <w:name w:val="Endnote Text Char"/>
    <w:link w:val="782"/>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7"/>
    <w:uiPriority w:val="0"/>
    <w:qFormat/>
    <w:pPr>
      <w:ind w:left="100" w:right="100"/>
      <w:keepLines/>
      <w:keepNext/>
      <w:spacing w:before="120" w:after="120"/>
      <w:outlineLvl w:val="0"/>
    </w:pPr>
    <w:rPr>
      <w:b/>
      <w:bCs/>
      <w:szCs w:val="44"/>
    </w:rPr>
  </w:style>
  <w:style w:type="paragraph" w:styleId="948" w:customStyle="1">
    <w:name w:val="标题 211"/>
    <w:basedOn w:val="760"/>
    <w:next w:val="760"/>
    <w:link w:val="958"/>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9" w:customStyle="1">
    <w:name w:val="标题 31"/>
    <w:basedOn w:val="760"/>
    <w:next w:val="760"/>
    <w:link w:val="959"/>
    <w:uiPriority w:val="9"/>
    <w:qFormat/>
    <w:pPr>
      <w:keepLines/>
      <w:keepNext/>
      <w:spacing w:before="260" w:after="260" w:line="416" w:lineRule="auto"/>
      <w:outlineLvl w:val="2"/>
    </w:pPr>
    <w:rPr>
      <w:b/>
      <w:bCs/>
      <w:sz w:val="32"/>
      <w:szCs w:val="32"/>
    </w:rPr>
  </w:style>
  <w:style w:type="paragraph" w:styleId="950" w:customStyle="1">
    <w:name w:val="标题 41"/>
    <w:basedOn w:val="760"/>
    <w:next w:val="760"/>
    <w:link w:val="960"/>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1" w:customStyle="1">
    <w:name w:val="标题 61"/>
    <w:basedOn w:val="760"/>
    <w:next w:val="760"/>
    <w:link w:val="961"/>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52" w:customStyle="1">
    <w:name w:val="标题 81"/>
    <w:basedOn w:val="760"/>
    <w:next w:val="760"/>
    <w:link w:val="962"/>
    <w:uiPriority w:val="0"/>
    <w:qFormat/>
    <w:pPr>
      <w:keepLines/>
      <w:keepNext/>
      <w:spacing w:before="240" w:after="64" w:line="320" w:lineRule="auto"/>
      <w:outlineLvl w:val="7"/>
    </w:pPr>
    <w:rPr>
      <w:rFonts w:ascii="等线 Light" w:hAnsi="等线 Light" w:eastAsia="等线 Light" w:cs="Times New Roman"/>
      <w:sz w:val="24"/>
    </w:rPr>
  </w:style>
  <w:style w:type="character" w:styleId="953" w:customStyle="1">
    <w:name w:val="默认段落字体1"/>
    <w:link w:val="760"/>
    <w:uiPriority w:val="0"/>
    <w:semiHidden/>
    <w:qFormat/>
  </w:style>
  <w:style w:type="table" w:styleId="95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5" w:customStyle="1">
    <w:name w:val="正文首行缩进 21"/>
    <w:basedOn w:val="956"/>
    <w:uiPriority w:val="0"/>
    <w:qFormat/>
    <w:pPr>
      <w:ind w:firstLine="420"/>
      <w:spacing w:line="360" w:lineRule="auto"/>
    </w:pPr>
    <w:rPr>
      <w:rFonts w:ascii="宋体" w:hAnsi="宋体" w:eastAsia="宋体"/>
      <w:sz w:val="21"/>
      <w:szCs w:val="20"/>
    </w:rPr>
  </w:style>
  <w:style w:type="paragraph" w:styleId="956" w:customStyle="1">
    <w:name w:val="正文文本缩进1"/>
    <w:basedOn w:val="760"/>
    <w:next w:val="955"/>
    <w:uiPriority w:val="0"/>
    <w:qFormat/>
    <w:pPr>
      <w:ind w:left="420"/>
      <w:spacing w:after="120"/>
    </w:pPr>
  </w:style>
  <w:style w:type="character" w:styleId="957" w:customStyle="1">
    <w:name w:val="标题 1 字符"/>
    <w:link w:val="947"/>
    <w:uiPriority w:val="0"/>
    <w:qFormat/>
    <w:rPr>
      <w:b/>
      <w:bCs/>
      <w:sz w:val="21"/>
      <w:szCs w:val="44"/>
    </w:rPr>
  </w:style>
  <w:style w:type="character" w:styleId="958" w:customStyle="1">
    <w:name w:val="标题 2 字符"/>
    <w:link w:val="948"/>
    <w:uiPriority w:val="0"/>
    <w:semiHidden/>
    <w:qFormat/>
    <w:rPr>
      <w:rFonts w:ascii="等线 Light" w:hAnsi="等线 Light" w:eastAsia="等线 Light" w:cs="Times New Roman"/>
      <w:b/>
      <w:bCs/>
      <w:sz w:val="32"/>
      <w:szCs w:val="32"/>
    </w:rPr>
  </w:style>
  <w:style w:type="character" w:styleId="959" w:customStyle="1">
    <w:name w:val="标题 3 字符"/>
    <w:link w:val="949"/>
    <w:uiPriority w:val="9"/>
    <w:qFormat/>
    <w:rPr>
      <w:rFonts w:eastAsia="宋体"/>
      <w:b/>
      <w:bCs/>
      <w:sz w:val="32"/>
      <w:szCs w:val="32"/>
      <w:lang w:val="en-US" w:eastAsia="zh-CN" w:bidi="ar-SA"/>
    </w:rPr>
  </w:style>
  <w:style w:type="character" w:styleId="960" w:customStyle="1">
    <w:name w:val="标题 4 字符"/>
    <w:link w:val="950"/>
    <w:uiPriority w:val="0"/>
    <w:semiHidden/>
    <w:qFormat/>
    <w:rPr>
      <w:rFonts w:ascii="等线 Light" w:hAnsi="等线 Light" w:eastAsia="等线 Light" w:cs="Times New Roman"/>
      <w:b/>
      <w:bCs/>
      <w:sz w:val="28"/>
      <w:szCs w:val="28"/>
    </w:rPr>
  </w:style>
  <w:style w:type="character" w:styleId="961" w:customStyle="1">
    <w:name w:val="标题 6 字符"/>
    <w:link w:val="951"/>
    <w:uiPriority w:val="0"/>
    <w:qFormat/>
    <w:rPr>
      <w:rFonts w:ascii="等线 Light" w:hAnsi="等线 Light" w:eastAsia="等线 Light" w:cs="Times New Roman"/>
      <w:b/>
      <w:bCs/>
      <w:sz w:val="24"/>
      <w:szCs w:val="24"/>
    </w:rPr>
  </w:style>
  <w:style w:type="character" w:styleId="962" w:customStyle="1">
    <w:name w:val="标题 8 字符"/>
    <w:link w:val="952"/>
    <w:uiPriority w:val="0"/>
    <w:semiHidden/>
    <w:qFormat/>
    <w:rPr>
      <w:rFonts w:ascii="等线 Light" w:hAnsi="等线 Light" w:eastAsia="等线 Light" w:cs="Times New Roman"/>
      <w:sz w:val="24"/>
      <w:szCs w:val="24"/>
    </w:rPr>
  </w:style>
  <w:style w:type="paragraph" w:styleId="963" w:customStyle="1">
    <w:name w:val="列表 31"/>
    <w:basedOn w:val="760"/>
    <w:uiPriority w:val="0"/>
    <w:qFormat/>
    <w:pPr>
      <w:contextualSpacing/>
      <w:ind w:left="100" w:hanging="200"/>
      <w:jc w:val="left"/>
      <w:widowControl/>
    </w:pPr>
    <w:rPr>
      <w:sz w:val="20"/>
      <w:szCs w:val="20"/>
    </w:rPr>
  </w:style>
  <w:style w:type="paragraph" w:styleId="964" w:customStyle="1">
    <w:name w:val="目录 71"/>
    <w:basedOn w:val="760"/>
    <w:next w:val="760"/>
    <w:uiPriority w:val="39"/>
    <w:unhideWhenUsed/>
    <w:qFormat/>
    <w:pPr>
      <w:ind w:left="2520"/>
    </w:pPr>
    <w:rPr>
      <w:rFonts w:ascii="等线" w:hAnsi="等线" w:eastAsia="等线" w:cs="Times New Roman"/>
      <w:szCs w:val="22"/>
    </w:rPr>
  </w:style>
  <w:style w:type="paragraph" w:styleId="965" w:customStyle="1">
    <w:name w:val="正文缩进111"/>
    <w:basedOn w:val="760"/>
    <w:link w:val="966"/>
    <w:uiPriority w:val="99"/>
    <w:qFormat/>
    <w:pPr>
      <w:ind w:firstLine="420"/>
    </w:pPr>
    <w:rPr>
      <w:szCs w:val="20"/>
    </w:rPr>
  </w:style>
  <w:style w:type="character" w:styleId="966" w:customStyle="1">
    <w:name w:val="正文缩进 字符"/>
    <w:link w:val="965"/>
    <w:uiPriority w:val="0"/>
    <w:qFormat/>
    <w:rPr>
      <w:sz w:val="21"/>
    </w:rPr>
  </w:style>
  <w:style w:type="paragraph" w:styleId="967" w:customStyle="1">
    <w:name w:val="文档结构图1"/>
    <w:basedOn w:val="760"/>
    <w:link w:val="968"/>
    <w:uiPriority w:val="0"/>
    <w:qFormat/>
    <w:pPr>
      <w:shd w:val="clear" w:color="auto" w:fill="000080"/>
    </w:pPr>
  </w:style>
  <w:style w:type="character" w:styleId="968" w:customStyle="1">
    <w:name w:val="文档结构图 字符"/>
    <w:link w:val="967"/>
    <w:uiPriority w:val="0"/>
    <w:qFormat/>
    <w:rPr>
      <w:sz w:val="21"/>
      <w:szCs w:val="24"/>
      <w:shd w:val="clear" w:color="auto" w:fill="000080"/>
    </w:rPr>
  </w:style>
  <w:style w:type="paragraph" w:styleId="969" w:customStyle="1">
    <w:name w:val="批注文字1"/>
    <w:basedOn w:val="760"/>
    <w:link w:val="970"/>
    <w:uiPriority w:val="0"/>
    <w:qFormat/>
    <w:pPr>
      <w:jc w:val="left"/>
    </w:pPr>
  </w:style>
  <w:style w:type="character" w:styleId="970" w:customStyle="1">
    <w:name w:val="批注文字 字符"/>
    <w:link w:val="969"/>
    <w:uiPriority w:val="0"/>
    <w:qFormat/>
    <w:rPr>
      <w:sz w:val="21"/>
      <w:szCs w:val="24"/>
    </w:rPr>
  </w:style>
  <w:style w:type="paragraph" w:styleId="971" w:customStyle="1">
    <w:name w:val="正文文本1"/>
    <w:basedOn w:val="760"/>
    <w:link w:val="972"/>
    <w:uiPriority w:val="1"/>
    <w:qFormat/>
    <w:pPr>
      <w:spacing w:after="120"/>
    </w:pPr>
  </w:style>
  <w:style w:type="character" w:styleId="972" w:customStyle="1">
    <w:name w:val="正文文本 字符"/>
    <w:link w:val="971"/>
    <w:uiPriority w:val="1"/>
    <w:qFormat/>
    <w:rPr>
      <w:sz w:val="21"/>
      <w:szCs w:val="24"/>
    </w:rPr>
  </w:style>
  <w:style w:type="paragraph" w:styleId="973" w:customStyle="1">
    <w:name w:val="索引 411"/>
    <w:basedOn w:val="760"/>
    <w:next w:val="760"/>
    <w:uiPriority w:val="99"/>
    <w:unhideWhenUsed/>
    <w:qFormat/>
    <w:pPr>
      <w:ind w:left="600"/>
    </w:pPr>
    <w:rPr>
      <w:rFonts w:ascii="宋体"/>
      <w:b/>
      <w:position w:val="-10"/>
      <w:sz w:val="24"/>
      <w:szCs w:val="20"/>
    </w:rPr>
  </w:style>
  <w:style w:type="paragraph" w:styleId="974" w:customStyle="1">
    <w:name w:val="目录 51"/>
    <w:basedOn w:val="760"/>
    <w:next w:val="760"/>
    <w:uiPriority w:val="39"/>
    <w:unhideWhenUsed/>
    <w:qFormat/>
    <w:pPr>
      <w:ind w:left="1680"/>
    </w:pPr>
    <w:rPr>
      <w:rFonts w:ascii="等线" w:hAnsi="等线" w:eastAsia="等线" w:cs="Times New Roman"/>
      <w:szCs w:val="22"/>
    </w:rPr>
  </w:style>
  <w:style w:type="paragraph" w:styleId="975"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paragraph" w:styleId="976" w:customStyle="1">
    <w:name w:val="纯文本11"/>
    <w:basedOn w:val="760"/>
    <w:link w:val="977"/>
    <w:uiPriority w:val="0"/>
    <w:qFormat/>
    <w:rPr>
      <w:rFonts w:ascii="宋体" w:hAnsi="Courier New" w:cs="Courier New"/>
      <w:szCs w:val="21"/>
    </w:rPr>
  </w:style>
  <w:style w:type="character" w:styleId="977" w:customStyle="1">
    <w:name w:val="纯文本 字符"/>
    <w:link w:val="976"/>
    <w:uiPriority w:val="0"/>
    <w:qFormat/>
    <w:rPr>
      <w:rFonts w:ascii="宋体" w:hAnsi="Courier New" w:cs="Courier New"/>
      <w:sz w:val="21"/>
      <w:szCs w:val="21"/>
    </w:rPr>
  </w:style>
  <w:style w:type="paragraph" w:styleId="978" w:customStyle="1">
    <w:name w:val="目录 81"/>
    <w:basedOn w:val="760"/>
    <w:next w:val="760"/>
    <w:uiPriority w:val="39"/>
    <w:unhideWhenUsed/>
    <w:qFormat/>
    <w:pPr>
      <w:ind w:left="2940"/>
    </w:pPr>
    <w:rPr>
      <w:rFonts w:ascii="等线" w:hAnsi="等线" w:eastAsia="等线" w:cs="Times New Roman"/>
      <w:szCs w:val="22"/>
    </w:rPr>
  </w:style>
  <w:style w:type="paragraph" w:styleId="979" w:customStyle="1">
    <w:name w:val="日期1"/>
    <w:basedOn w:val="760"/>
    <w:next w:val="760"/>
    <w:link w:val="980"/>
    <w:uiPriority w:val="0"/>
    <w:qFormat/>
    <w:rPr>
      <w:sz w:val="24"/>
      <w:szCs w:val="20"/>
    </w:rPr>
  </w:style>
  <w:style w:type="character" w:styleId="980" w:customStyle="1">
    <w:name w:val="日期 字符"/>
    <w:link w:val="979"/>
    <w:uiPriority w:val="0"/>
    <w:qFormat/>
    <w:rPr>
      <w:sz w:val="24"/>
    </w:rPr>
  </w:style>
  <w:style w:type="paragraph" w:styleId="981" w:customStyle="1">
    <w:name w:val="批注框文本1"/>
    <w:basedOn w:val="760"/>
    <w:link w:val="982"/>
    <w:uiPriority w:val="0"/>
    <w:qFormat/>
    <w:rPr>
      <w:sz w:val="18"/>
      <w:szCs w:val="18"/>
    </w:rPr>
  </w:style>
  <w:style w:type="character" w:styleId="982" w:customStyle="1">
    <w:name w:val="批注框文本 字符"/>
    <w:link w:val="981"/>
    <w:uiPriority w:val="0"/>
    <w:qFormat/>
    <w:rPr>
      <w:sz w:val="18"/>
      <w:szCs w:val="18"/>
    </w:rPr>
  </w:style>
  <w:style w:type="paragraph" w:styleId="983" w:customStyle="1">
    <w:name w:val="页脚1"/>
    <w:basedOn w:val="760"/>
    <w:link w:val="984"/>
    <w:uiPriority w:val="0"/>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60"/>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60"/>
    <w:next w:val="760"/>
    <w:uiPriority w:val="39"/>
    <w:qFormat/>
    <w:rPr>
      <w:rFonts w:ascii="仿宋_GB2312" w:eastAsia="仿宋_GB2312"/>
      <w:sz w:val="24"/>
    </w:rPr>
  </w:style>
  <w:style w:type="paragraph" w:styleId="988" w:customStyle="1">
    <w:name w:val="目录 41"/>
    <w:basedOn w:val="760"/>
    <w:next w:val="760"/>
    <w:uiPriority w:val="39"/>
    <w:unhideWhenUsed/>
    <w:qFormat/>
    <w:pPr>
      <w:ind w:left="1260"/>
    </w:pPr>
    <w:rPr>
      <w:rFonts w:ascii="等线" w:hAnsi="等线" w:eastAsia="等线" w:cs="Times New Roman"/>
      <w:szCs w:val="22"/>
    </w:rPr>
  </w:style>
  <w:style w:type="paragraph" w:styleId="989" w:customStyle="1">
    <w:name w:val="目录 61"/>
    <w:basedOn w:val="760"/>
    <w:next w:val="760"/>
    <w:uiPriority w:val="39"/>
    <w:unhideWhenUsed/>
    <w:qFormat/>
    <w:pPr>
      <w:ind w:left="2100"/>
    </w:pPr>
    <w:rPr>
      <w:rFonts w:ascii="等线" w:hAnsi="等线" w:eastAsia="等线" w:cs="Times New Roman"/>
      <w:szCs w:val="22"/>
    </w:rPr>
  </w:style>
  <w:style w:type="paragraph" w:styleId="990"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991" w:customStyle="1">
    <w:name w:val="目录 91"/>
    <w:basedOn w:val="760"/>
    <w:next w:val="760"/>
    <w:uiPriority w:val="39"/>
    <w:unhideWhenUsed/>
    <w:qFormat/>
    <w:pPr>
      <w:ind w:left="3360"/>
    </w:pPr>
    <w:rPr>
      <w:rFonts w:ascii="等线" w:hAnsi="等线" w:eastAsia="等线" w:cs="Times New Roman"/>
      <w:szCs w:val="22"/>
    </w:rPr>
  </w:style>
  <w:style w:type="paragraph" w:styleId="992" w:customStyle="1">
    <w:name w:val="正文文本 211"/>
    <w:basedOn w:val="760"/>
    <w:link w:val="993"/>
    <w:uiPriority w:val="0"/>
    <w:qFormat/>
    <w:pPr>
      <w:spacing w:after="120" w:line="480" w:lineRule="auto"/>
    </w:pPr>
    <w:rPr>
      <w:rFonts w:ascii="Calibri" w:hAnsi="Calibri" w:eastAsia="宋体" w:cs="Times New Roman"/>
    </w:rPr>
  </w:style>
  <w:style w:type="character" w:styleId="993" w:customStyle="1">
    <w:name w:val="正文文本 2 字符"/>
    <w:link w:val="992"/>
    <w:uiPriority w:val="0"/>
    <w:qFormat/>
    <w:rPr>
      <w:rFonts w:ascii="Calibri" w:hAnsi="Calibri"/>
      <w:sz w:val="21"/>
      <w:szCs w:val="24"/>
    </w:rPr>
  </w:style>
  <w:style w:type="paragraph" w:styleId="994" w:customStyle="1">
    <w:name w:val="普通(网站)1"/>
    <w:basedOn w:val="760"/>
    <w:uiPriority w:val="99"/>
    <w:qFormat/>
    <w:pPr>
      <w:jc w:val="left"/>
      <w:spacing w:before="100" w:beforeAutospacing="1" w:after="100" w:afterAutospacing="1"/>
      <w:widowControl/>
    </w:pPr>
    <w:rPr>
      <w:sz w:val="24"/>
    </w:rPr>
  </w:style>
  <w:style w:type="paragraph" w:styleId="995" w:customStyle="1">
    <w:name w:val="标题11"/>
    <w:basedOn w:val="760"/>
    <w:next w:val="760"/>
    <w:link w:val="996"/>
    <w:uiPriority w:val="0"/>
    <w:qFormat/>
    <w:pPr>
      <w:jc w:val="center"/>
      <w:spacing w:before="240" w:after="60"/>
      <w:outlineLvl w:val="0"/>
    </w:pPr>
    <w:rPr>
      <w:rFonts w:ascii="等线 Light" w:hAnsi="等线 Light" w:cs="Times New Roman"/>
      <w:b/>
      <w:bCs/>
      <w:sz w:val="32"/>
      <w:szCs w:val="32"/>
    </w:rPr>
  </w:style>
  <w:style w:type="character" w:styleId="996" w:customStyle="1">
    <w:name w:val="标题 字符"/>
    <w:link w:val="995"/>
    <w:uiPriority w:val="0"/>
    <w:qFormat/>
    <w:rPr>
      <w:rFonts w:ascii="等线 Light" w:hAnsi="等线 Light" w:cs="Times New Roman"/>
      <w:b/>
      <w:bCs/>
      <w:sz w:val="32"/>
      <w:szCs w:val="32"/>
    </w:rPr>
  </w:style>
  <w:style w:type="paragraph" w:styleId="997" w:customStyle="1">
    <w:name w:val="批注主题1"/>
    <w:basedOn w:val="969"/>
    <w:next w:val="969"/>
    <w:link w:val="998"/>
    <w:uiPriority w:val="0"/>
    <w:qFormat/>
    <w:rPr>
      <w:b/>
      <w:bCs/>
    </w:rPr>
  </w:style>
  <w:style w:type="character" w:styleId="998" w:customStyle="1">
    <w:name w:val="批注主题 字符"/>
    <w:link w:val="997"/>
    <w:uiPriority w:val="0"/>
    <w:qFormat/>
    <w:rPr>
      <w:b/>
      <w:bCs/>
      <w:sz w:val="21"/>
      <w:szCs w:val="24"/>
    </w:rPr>
  </w:style>
  <w:style w:type="table" w:styleId="999" w:customStyle="1">
    <w:name w:val="网格型1"/>
    <w:basedOn w:val="954"/>
    <w:uiPriority w:val="0"/>
    <w:qFormat/>
    <w:pPr>
      <w:jc w:val="both"/>
      <w:widowControl w:val="off"/>
    </w:pPr>
    <w:tblPr/>
  </w:style>
  <w:style w:type="character" w:styleId="1000" w:customStyle="1">
    <w:name w:val="要点1"/>
    <w:link w:val="760"/>
    <w:uiPriority w:val="0"/>
    <w:qFormat/>
    <w:rPr>
      <w:b/>
      <w:bCs/>
    </w:rPr>
  </w:style>
  <w:style w:type="character" w:styleId="1001" w:customStyle="1">
    <w:name w:val="页码1"/>
    <w:link w:val="760"/>
    <w:uiPriority w:val="0"/>
    <w:qFormat/>
  </w:style>
  <w:style w:type="character" w:styleId="1002" w:customStyle="1">
    <w:name w:val="强调1"/>
    <w:link w:val="760"/>
    <w:uiPriority w:val="0"/>
    <w:qFormat/>
    <w:rPr>
      <w:i/>
      <w:iCs/>
    </w:rPr>
  </w:style>
  <w:style w:type="character" w:styleId="1003" w:customStyle="1">
    <w:name w:val="超链接1"/>
    <w:link w:val="760"/>
    <w:uiPriority w:val="99"/>
    <w:qFormat/>
    <w:rPr>
      <w:color w:val="000000"/>
      <w:u w:val="none"/>
    </w:rPr>
  </w:style>
  <w:style w:type="character" w:styleId="1004" w:customStyle="1">
    <w:name w:val="批注引用1"/>
    <w:link w:val="760"/>
    <w:uiPriority w:val="0"/>
    <w:qFormat/>
    <w:rPr>
      <w:sz w:val="21"/>
      <w:szCs w:val="21"/>
    </w:rPr>
  </w:style>
  <w:style w:type="character" w:styleId="1005" w:customStyle="1">
    <w:name w:val="p0 Char"/>
    <w:link w:val="1006"/>
    <w:uiPriority w:val="0"/>
    <w:qFormat/>
    <w:rPr>
      <w:rFonts w:eastAsia="宋体"/>
      <w:sz w:val="21"/>
      <w:szCs w:val="21"/>
      <w:lang w:val="en-US" w:eastAsia="zh-CN" w:bidi="ar-SA"/>
    </w:rPr>
  </w:style>
  <w:style w:type="paragraph" w:styleId="1006" w:customStyle="1">
    <w:name w:val="p0"/>
    <w:basedOn w:val="760"/>
    <w:link w:val="1005"/>
    <w:uiPriority w:val="0"/>
    <w:qFormat/>
    <w:pPr>
      <w:widowControl/>
    </w:pPr>
    <w:rPr>
      <w:szCs w:val="21"/>
    </w:rPr>
  </w:style>
  <w:style w:type="character" w:styleId="1007" w:customStyle="1">
    <w:name w:val="标题 2 Char Char Char"/>
    <w:link w:val="760"/>
    <w:uiPriority w:val="0"/>
    <w:qFormat/>
    <w:rPr>
      <w:rFonts w:ascii="Arial" w:hAnsi="Arial" w:eastAsia="黑体"/>
      <w:b/>
      <w:bCs/>
      <w:sz w:val="32"/>
      <w:szCs w:val="32"/>
      <w:lang w:val="en-US" w:eastAsia="zh-CN" w:bidi="ar-SA"/>
    </w:rPr>
  </w:style>
  <w:style w:type="character" w:styleId="1008" w:customStyle="1">
    <w:name w:val="NormalCharacter1"/>
    <w:link w:val="760"/>
    <w:uiPriority w:val="0"/>
    <w:semiHidden/>
    <w:qFormat/>
  </w:style>
  <w:style w:type="paragraph" w:styleId="1009" w:customStyle="1">
    <w:name w:val="Heading21"/>
    <w:basedOn w:val="760"/>
    <w:next w:val="760"/>
    <w:uiPriority w:val="0"/>
    <w:qFormat/>
    <w:pPr>
      <w:jc w:val="center"/>
      <w:keepNext/>
      <w:widowControl/>
    </w:pPr>
    <w:rPr>
      <w:rFonts w:ascii="楷体_GB2312" w:eastAsia="楷体_GB2312"/>
      <w:sz w:val="18"/>
      <w:szCs w:val="20"/>
    </w:rPr>
  </w:style>
  <w:style w:type="paragraph" w:styleId="1010" w:customStyle="1">
    <w:name w:val="TOC 标题"/>
    <w:basedOn w:val="947"/>
    <w:next w:val="76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样式1"/>
    <w:basedOn w:val="947"/>
    <w:link w:val="1013"/>
    <w:uiPriority w:val="0"/>
    <w:qFormat/>
    <w:pPr>
      <w:ind w:left="210" w:right="210"/>
    </w:pPr>
  </w:style>
  <w:style w:type="character" w:styleId="1013" w:customStyle="1">
    <w:name w:val="样式1 字符"/>
    <w:link w:val="1012"/>
    <w:uiPriority w:val="0"/>
    <w:qFormat/>
  </w:style>
  <w:style w:type="paragraph" w:styleId="1014" w:customStyle="1">
    <w:name w:val="标题 21"/>
    <w:basedOn w:val="760"/>
    <w:next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5" w:customStyle="1">
    <w:name w:val="列表段落"/>
    <w:basedOn w:val="760"/>
    <w:uiPriority w:val="1"/>
    <w:qFormat/>
    <w:pPr>
      <w:ind w:left="400" w:firstLine="420"/>
      <w:jc w:val="left"/>
    </w:pPr>
    <w:rPr>
      <w:rFonts w:ascii="宋体" w:hAnsi="宋体" w:cs="宋体"/>
      <w:sz w:val="22"/>
      <w:szCs w:val="22"/>
      <w:lang w:val="zh-CN" w:bidi="zh-CN"/>
    </w:rPr>
  </w:style>
  <w:style w:type="paragraph" w:styleId="1016" w:customStyle="1">
    <w:name w:val="Table Paragraph"/>
    <w:basedOn w:val="760"/>
    <w:uiPriority w:val="1"/>
    <w:qFormat/>
    <w:pPr>
      <w:jc w:val="left"/>
    </w:pPr>
    <w:rPr>
      <w:rFonts w:ascii="宋体" w:hAnsi="宋体" w:cs="宋体"/>
      <w:sz w:val="22"/>
      <w:szCs w:val="22"/>
      <w:lang w:val="zh-CN" w:bidi="zh-CN"/>
    </w:rPr>
  </w:style>
  <w:style w:type="character" w:styleId="1017" w:customStyle="1">
    <w:name w:val="ask-title2"/>
    <w:link w:val="760"/>
    <w:uiPriority w:val="0"/>
    <w:qFormat/>
  </w:style>
  <w:style w:type="paragraph" w:styleId="1018" w:customStyle="1">
    <w:name w:val="列出段落2"/>
    <w:basedOn w:val="760"/>
    <w:uiPriority w:val="99"/>
    <w:unhideWhenUsed/>
    <w:qFormat/>
    <w:pPr>
      <w:ind w:firstLine="420"/>
      <w:jc w:val="left"/>
    </w:pPr>
    <w:rPr>
      <w:rFonts w:ascii="宋体"/>
      <w:sz w:val="20"/>
      <w:szCs w:val="20"/>
    </w:rPr>
  </w:style>
  <w:style w:type="paragraph" w:styleId="1019" w:customStyle="1">
    <w:name w:val="纯文本1"/>
    <w:basedOn w:val="760"/>
    <w:uiPriority w:val="0"/>
    <w:qFormat/>
    <w:rPr>
      <w:rFonts w:ascii="宋体" w:hAnsi="Courier New"/>
      <w:sz w:val="20"/>
      <w:szCs w:val="21"/>
    </w:rPr>
  </w:style>
  <w:style w:type="character" w:styleId="1020" w:customStyle="1">
    <w:name w:val="纯文本 Char2"/>
    <w:link w:val="760"/>
    <w:uiPriority w:val="0"/>
    <w:qFormat/>
    <w:rPr>
      <w:rFonts w:ascii="宋体" w:hAnsi="Courier New"/>
      <w:sz w:val="21"/>
    </w:rPr>
  </w:style>
  <w:style w:type="paragraph" w:styleId="1021" w:customStyle="1">
    <w:name w:val="列出段落1"/>
    <w:basedOn w:val="760"/>
    <w:uiPriority w:val="0"/>
    <w:qFormat/>
    <w:pPr>
      <w:ind w:firstLine="420"/>
      <w:spacing w:line="0" w:lineRule="atLeast"/>
    </w:pPr>
    <w:rPr>
      <w:rFonts w:eastAsia="微软雅黑"/>
      <w:sz w:val="20"/>
      <w:szCs w:val="20"/>
    </w:rPr>
  </w:style>
  <w:style w:type="character" w:styleId="1022" w:customStyle="1">
    <w:name w:val="纯文本 Char"/>
    <w:link w:val="780"/>
    <w:uiPriority w:val="0"/>
    <w:qFormat/>
    <w:rPr>
      <w:rFonts w:ascii="宋体" w:hAnsi="Courier New"/>
    </w:rPr>
  </w:style>
  <w:style w:type="character" w:styleId="1023" w:customStyle="1">
    <w:name w:val="页脚 Char"/>
    <w:link w:val="760"/>
    <w:uiPriority w:val="0"/>
    <w:qFormat/>
    <w:rPr>
      <w:sz w:val="18"/>
      <w:szCs w:val="18"/>
    </w:rPr>
  </w:style>
  <w:style w:type="paragraph" w:styleId="1024" w:customStyle="1">
    <w:name w:val="_Style 83"/>
    <w:basedOn w:val="760"/>
    <w:next w:val="1015"/>
    <w:uiPriority w:val="99"/>
    <w:qFormat/>
    <w:pPr>
      <w:ind w:firstLine="420"/>
    </w:pPr>
  </w:style>
  <w:style w:type="character" w:styleId="1025" w:customStyle="1">
    <w:name w:val="正文2 Char Char"/>
    <w:link w:val="1026"/>
    <w:uiPriority w:val="0"/>
    <w:qFormat/>
    <w:rPr>
      <w:sz w:val="24"/>
    </w:rPr>
  </w:style>
  <w:style w:type="paragraph" w:styleId="1026" w:customStyle="1">
    <w:name w:val="正文2"/>
    <w:basedOn w:val="760"/>
    <w:link w:val="1025"/>
    <w:uiPriority w:val="0"/>
    <w:qFormat/>
    <w:pPr>
      <w:ind w:firstLine="510"/>
      <w:spacing w:before="156" w:line="360" w:lineRule="auto"/>
    </w:pPr>
    <w:rPr>
      <w:sz w:val="24"/>
      <w:szCs w:val="20"/>
    </w:rPr>
  </w:style>
  <w:style w:type="paragraph" w:styleId="1027" w:customStyle="1">
    <w:name w:val="标题 5（有编号）（绿盟科技）"/>
    <w:basedOn w:val="760"/>
    <w:next w:val="102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9" w:customStyle="1">
    <w:name w:val="0正文"/>
    <w:basedOn w:val="760"/>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30" w:customStyle="1">
    <w:name w:val="msolistparagraph"/>
    <w:basedOn w:val="760"/>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31" w:customStyle="1">
    <w:name w:val="Table Normal"/>
    <w:uiPriority w:val="0"/>
    <w:unhideWhenUsed/>
    <w:qFormat/>
    <w:rPr>
      <w:lang w:val="en-US" w:eastAsia="zh-CN" w:bidi="ar-SA"/>
    </w:rPr>
    <w:tblPr/>
  </w:style>
  <w:style w:type="paragraph" w:styleId="1032" w:customStyle="1">
    <w:name w:val="Table Text"/>
    <w:basedOn w:val="760"/>
    <w:uiPriority w:val="0"/>
    <w:semiHidden/>
    <w:qFormat/>
    <w:rPr>
      <w:rFonts w:ascii="Arial" w:hAnsi="Arial" w:eastAsia="Arial" w:cs="Arial"/>
      <w:sz w:val="21"/>
      <w:szCs w:val="21"/>
      <w:lang w:val="en-US" w:eastAsia="en-US" w:bidi="ar-SA"/>
    </w:rPr>
  </w:style>
  <w:style w:type="paragraph" w:styleId="1033" w:customStyle="1">
    <w:name w:val="样式4"/>
    <w:basedOn w:val="948"/>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5">
    <w:name w:val="List Paragraph"/>
    <w:basedOn w:val="760"/>
    <w:next w:val="760"/>
    <w:uiPriority w:val="0"/>
    <w:qFormat/>
    <w:pPr>
      <w:ind w:firstLine="420"/>
    </w:pPr>
    <w:rPr>
      <w:rFonts w:ascii="Times New Roman" w:hAnsi="Times New Roman"/>
      <w:szCs w:val="21"/>
    </w:rPr>
  </w:style>
  <w:style w:type="paragraph" w:styleId="1036" w:customStyle="1">
    <w:name w:val="首行缩进"/>
    <w:basedOn w:val="1037"/>
    <w:uiPriority w:val="0"/>
    <w:qFormat/>
    <w:pPr>
      <w:ind w:firstLine="480"/>
      <w:jc w:val="left"/>
      <w:spacing w:line="360" w:lineRule="auto"/>
    </w:pPr>
    <w:rPr>
      <w:rFonts w:ascii="宋体" w:hAnsi="宋体" w:eastAsia="仿宋" w:cs="仿宋"/>
      <w:sz w:val="24"/>
      <w:lang w:val="zh-CN" w:bidi="zh-CN"/>
    </w:rPr>
  </w:style>
  <w:style w:type="paragraph" w:styleId="1037" w:customStyle="1">
    <w:name w:val="正文1"/>
    <w:next w:val="1036"/>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8" w:customStyle="1">
    <w:name w:val="正文缩进1"/>
    <w:basedOn w:val="760"/>
    <w:uiPriority w:val="0"/>
    <w:qFormat/>
    <w:pPr>
      <w:ind w:firstLine="420"/>
    </w:pPr>
    <w:rPr>
      <w:szCs w:val="20"/>
      <w:lang w:val="en-US"/>
    </w:rPr>
  </w:style>
  <w:style w:type="paragraph" w:styleId="1039" w:customStyle="1">
    <w:name w:val="标题1"/>
    <w:basedOn w:val="760"/>
    <w:next w:val="760"/>
    <w:uiPriority w:val="0"/>
    <w:qFormat/>
    <w:pPr>
      <w:jc w:val="center"/>
      <w:spacing w:before="240" w:after="60" w:line="360" w:lineRule="auto"/>
      <w:outlineLvl w:val="0"/>
    </w:pPr>
    <w:rPr>
      <w:rFonts w:ascii="等线 Light" w:hAnsi="等线 Light"/>
      <w:b/>
      <w:bCs/>
      <w:sz w:val="32"/>
      <w:szCs w:val="32"/>
    </w:rPr>
  </w:style>
  <w:style w:type="paragraph" w:styleId="1040" w:customStyle="1">
    <w:name w:val="纯文本2"/>
    <w:basedOn w:val="760"/>
    <w:uiPriority w:val="0"/>
    <w:qFormat/>
    <w:pPr>
      <w:ind w:firstLine="200"/>
      <w:spacing w:line="360" w:lineRule="auto"/>
    </w:pPr>
    <w:rPr>
      <w:rFonts w:ascii="宋体" w:hAnsi="Courier New"/>
      <w:sz w:val="20"/>
      <w:szCs w:val="20"/>
    </w:rPr>
  </w:style>
  <w:style w:type="paragraph" w:styleId="1041" w:customStyle="1">
    <w:name w:val="正文文本 21"/>
    <w:basedOn w:val="760"/>
    <w:uiPriority w:val="0"/>
    <w:qFormat/>
    <w:pPr>
      <w:spacing w:after="120" w:line="480" w:lineRule="auto"/>
    </w:pPr>
    <w:rPr>
      <w:rFonts w:ascii="Calibri" w:hAnsi="Calibri"/>
    </w:rPr>
  </w:style>
  <w:style w:type="paragraph" w:styleId="1042" w:customStyle="1">
    <w:name w:val="索引 41"/>
    <w:basedOn w:val="760"/>
    <w:next w:val="760"/>
    <w:uiPriority w:val="99"/>
    <w:unhideWhenUsed/>
    <w:qFormat/>
    <w:pPr>
      <w:ind w:left="600"/>
    </w:pPr>
    <w:rPr>
      <w:rFonts w:ascii="宋体"/>
      <w:b/>
      <w:position w:val="-10"/>
      <w:sz w:val="24"/>
      <w:szCs w:val="20"/>
    </w:rPr>
  </w:style>
  <w:style w:type="paragraph" w:styleId="1043" w:customStyle="1">
    <w:name w:val="null3"/>
    <w:uiPriority w:val="0"/>
    <w:qFormat/>
    <w:rPr>
      <w:rFonts w:hint="eastAsia" w:ascii="Calibri" w:hAnsi="Calibri" w:eastAsia="宋体" w:cs="Times New Roman"/>
      <w:lang w:val="en-US" w:eastAsia="en-US"/>
    </w:rPr>
  </w:style>
  <w:style w:type="character" w:styleId="1044" w:customStyle="1">
    <w:name w:val="rvts12"/>
    <w:uiPriority w:val="0"/>
    <w:qFormat/>
    <w:rPr>
      <w:sz w:val="21"/>
      <w:szCs w:val="24"/>
      <w:lang w:val="en-US" w:eastAsia="zh-CN" w:bidi="ar-SA"/>
    </w:rPr>
  </w:style>
  <w:style w:type="character" w:styleId="1045" w:customStyle="1">
    <w:name w:val="rvts10"/>
    <w:uiPriority w:val="0"/>
    <w:qFormat/>
    <w:rPr>
      <w:rFonts w:ascii="KNLe" w:hAnsi="KNLe"/>
    </w:rPr>
  </w:style>
  <w:style w:type="character" w:styleId="1046" w:customStyle="1">
    <w:name w:val="rvts13"/>
    <w:uiPriority w:val="0"/>
    <w:qFormat/>
    <w:rPr>
      <w:rFonts w:ascii="KNLe" w:hAnsi="KNLe"/>
      <w:color w:val="000000"/>
    </w:rPr>
  </w:style>
  <w:style w:type="character" w:styleId="1047" w:customStyle="1">
    <w:name w:val="rvts15"/>
    <w:uiPriority w:val="0"/>
    <w:qFormat/>
    <w:rPr>
      <w:rFonts w:ascii="KNLe" w:hAnsi="KNLe"/>
      <w:color w:val="0000ff"/>
      <w:u w:val="single"/>
    </w:rPr>
  </w:style>
  <w:style w:type="paragraph" w:styleId="1048" w:customStyle="1">
    <w:name w:val="文本块1"/>
    <w:next w:val="760"/>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r>
            <w:rPr>
              <w:rStyle w:val="1679"/>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r>
            <w:rPr>
              <w:rStyle w:val="1679"/>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r>
            <w:rPr>
              <w:rStyle w:val="1679"/>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r>
            <w:rPr>
              <w:rStyle w:val="1679"/>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r>
            <w:rPr>
              <w:rStyle w:val="167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9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99">
    <w:name w:val="Heading 1"/>
    <w:basedOn w:val="1498"/>
    <w:next w:val="1498"/>
    <w:link w:val="1510"/>
    <w:uiPriority w:val="9"/>
    <w:qFormat/>
    <w:pPr>
      <w:keepLines/>
      <w:keepNext/>
      <w:spacing w:before="480" w:after="200"/>
      <w:outlineLvl w:val="0"/>
    </w:pPr>
    <w:rPr>
      <w:rFonts w:ascii="Arial" w:hAnsi="Arial" w:eastAsia="Arial" w:cs="Arial"/>
      <w:sz w:val="40"/>
      <w:szCs w:val="40"/>
    </w:rPr>
  </w:style>
  <w:style w:type="paragraph" w:styleId="1500">
    <w:name w:val="Heading 2"/>
    <w:basedOn w:val="1498"/>
    <w:next w:val="1498"/>
    <w:link w:val="1511"/>
    <w:uiPriority w:val="9"/>
    <w:unhideWhenUsed/>
    <w:qFormat/>
    <w:pPr>
      <w:keepLines/>
      <w:keepNext/>
      <w:spacing w:before="360" w:after="200"/>
      <w:outlineLvl w:val="1"/>
    </w:pPr>
    <w:rPr>
      <w:rFonts w:ascii="Arial" w:hAnsi="Arial" w:eastAsia="Arial" w:cs="Arial"/>
      <w:sz w:val="34"/>
    </w:rPr>
  </w:style>
  <w:style w:type="paragraph" w:styleId="1501">
    <w:name w:val="Heading 3"/>
    <w:basedOn w:val="1498"/>
    <w:next w:val="1498"/>
    <w:link w:val="1512"/>
    <w:uiPriority w:val="9"/>
    <w:unhideWhenUsed/>
    <w:qFormat/>
    <w:pPr>
      <w:keepLines/>
      <w:keepNext/>
      <w:spacing w:before="320" w:after="200"/>
      <w:outlineLvl w:val="2"/>
    </w:pPr>
    <w:rPr>
      <w:rFonts w:ascii="Arial" w:hAnsi="Arial" w:eastAsia="Arial" w:cs="Arial"/>
      <w:sz w:val="30"/>
      <w:szCs w:val="30"/>
    </w:rPr>
  </w:style>
  <w:style w:type="paragraph" w:styleId="1502">
    <w:name w:val="Heading 4"/>
    <w:basedOn w:val="1498"/>
    <w:next w:val="1498"/>
    <w:link w:val="1513"/>
    <w:uiPriority w:val="9"/>
    <w:unhideWhenUsed/>
    <w:qFormat/>
    <w:pPr>
      <w:keepLines/>
      <w:keepNext/>
      <w:spacing w:before="320" w:after="200"/>
      <w:outlineLvl w:val="3"/>
    </w:pPr>
    <w:rPr>
      <w:rFonts w:ascii="Arial" w:hAnsi="Arial" w:eastAsia="Arial" w:cs="Arial"/>
      <w:b/>
      <w:bCs/>
      <w:sz w:val="26"/>
      <w:szCs w:val="26"/>
    </w:rPr>
  </w:style>
  <w:style w:type="paragraph" w:styleId="1503">
    <w:name w:val="Heading 5"/>
    <w:basedOn w:val="1498"/>
    <w:next w:val="1498"/>
    <w:link w:val="1514"/>
    <w:uiPriority w:val="9"/>
    <w:unhideWhenUsed/>
    <w:qFormat/>
    <w:pPr>
      <w:keepLines/>
      <w:keepNext/>
      <w:spacing w:before="320" w:after="200"/>
      <w:outlineLvl w:val="4"/>
    </w:pPr>
    <w:rPr>
      <w:rFonts w:ascii="Arial" w:hAnsi="Arial" w:eastAsia="Arial" w:cs="Arial"/>
      <w:b/>
      <w:bCs/>
      <w:sz w:val="24"/>
      <w:szCs w:val="24"/>
    </w:rPr>
  </w:style>
  <w:style w:type="paragraph" w:styleId="1504">
    <w:name w:val="Heading 6"/>
    <w:basedOn w:val="1498"/>
    <w:next w:val="1498"/>
    <w:link w:val="1515"/>
    <w:uiPriority w:val="9"/>
    <w:unhideWhenUsed/>
    <w:qFormat/>
    <w:pPr>
      <w:keepLines/>
      <w:keepNext/>
      <w:spacing w:before="320" w:after="200"/>
      <w:outlineLvl w:val="5"/>
    </w:pPr>
    <w:rPr>
      <w:rFonts w:ascii="Arial" w:hAnsi="Arial" w:eastAsia="Arial" w:cs="Arial"/>
      <w:b/>
      <w:bCs/>
      <w:sz w:val="22"/>
      <w:szCs w:val="22"/>
    </w:rPr>
  </w:style>
  <w:style w:type="paragraph" w:styleId="1505">
    <w:name w:val="Heading 7"/>
    <w:basedOn w:val="1498"/>
    <w:next w:val="1498"/>
    <w:link w:val="1516"/>
    <w:uiPriority w:val="9"/>
    <w:unhideWhenUsed/>
    <w:qFormat/>
    <w:pPr>
      <w:keepLines/>
      <w:keepNext/>
      <w:spacing w:before="320" w:after="200"/>
      <w:outlineLvl w:val="6"/>
    </w:pPr>
    <w:rPr>
      <w:rFonts w:ascii="Arial" w:hAnsi="Arial" w:eastAsia="Arial" w:cs="Arial"/>
      <w:b/>
      <w:bCs/>
      <w:i/>
      <w:iCs/>
      <w:sz w:val="22"/>
      <w:szCs w:val="22"/>
    </w:rPr>
  </w:style>
  <w:style w:type="paragraph" w:styleId="1506">
    <w:name w:val="Heading 8"/>
    <w:basedOn w:val="1498"/>
    <w:next w:val="1498"/>
    <w:link w:val="1517"/>
    <w:uiPriority w:val="9"/>
    <w:unhideWhenUsed/>
    <w:qFormat/>
    <w:pPr>
      <w:keepLines/>
      <w:keepNext/>
      <w:spacing w:before="320" w:after="200"/>
      <w:outlineLvl w:val="7"/>
    </w:pPr>
    <w:rPr>
      <w:rFonts w:ascii="Arial" w:hAnsi="Arial" w:eastAsia="Arial" w:cs="Arial"/>
      <w:i/>
      <w:iCs/>
      <w:sz w:val="22"/>
      <w:szCs w:val="22"/>
    </w:rPr>
  </w:style>
  <w:style w:type="paragraph" w:styleId="1507">
    <w:name w:val="Heading 9"/>
    <w:basedOn w:val="1498"/>
    <w:next w:val="1498"/>
    <w:link w:val="1518"/>
    <w:uiPriority w:val="9"/>
    <w:unhideWhenUsed/>
    <w:qFormat/>
    <w:pPr>
      <w:keepLines/>
      <w:keepNext/>
      <w:spacing w:before="320" w:after="200"/>
      <w:outlineLvl w:val="8"/>
    </w:pPr>
    <w:rPr>
      <w:rFonts w:ascii="Arial" w:hAnsi="Arial" w:eastAsia="Arial" w:cs="Arial"/>
      <w:i/>
      <w:iCs/>
      <w:sz w:val="21"/>
      <w:szCs w:val="21"/>
    </w:rPr>
  </w:style>
  <w:style w:type="character" w:styleId="1508" w:default="1">
    <w:name w:val="Default Paragraph Font"/>
    <w:uiPriority w:val="1"/>
    <w:semiHidden/>
    <w:unhideWhenUsed/>
    <w:qFormat/>
  </w:style>
  <w:style w:type="table" w:styleId="1509" w:default="1">
    <w:name w:val="Normal Table"/>
    <w:uiPriority w:val="99"/>
    <w:semiHidden/>
    <w:unhideWhenUsed/>
    <w:qFormat/>
    <w:tblPr/>
  </w:style>
  <w:style w:type="character" w:styleId="1510" w:customStyle="1">
    <w:name w:val="Heading 1 Char"/>
    <w:basedOn w:val="1508"/>
    <w:link w:val="1499"/>
    <w:uiPriority w:val="9"/>
    <w:qFormat/>
    <w:rPr>
      <w:rFonts w:ascii="Arial" w:hAnsi="Arial" w:eastAsia="Arial" w:cs="Arial"/>
      <w:sz w:val="40"/>
      <w:szCs w:val="40"/>
    </w:rPr>
  </w:style>
  <w:style w:type="character" w:styleId="1511" w:customStyle="1">
    <w:name w:val="Heading 2 Char"/>
    <w:basedOn w:val="1508"/>
    <w:link w:val="1500"/>
    <w:uiPriority w:val="9"/>
    <w:qFormat/>
    <w:rPr>
      <w:rFonts w:ascii="Arial" w:hAnsi="Arial" w:eastAsia="Arial" w:cs="Arial"/>
      <w:sz w:val="34"/>
    </w:rPr>
  </w:style>
  <w:style w:type="character" w:styleId="1512" w:customStyle="1">
    <w:name w:val="Heading 3 Char"/>
    <w:basedOn w:val="1508"/>
    <w:link w:val="1501"/>
    <w:uiPriority w:val="9"/>
    <w:qFormat/>
    <w:rPr>
      <w:rFonts w:ascii="Arial" w:hAnsi="Arial" w:eastAsia="Arial" w:cs="Arial"/>
      <w:sz w:val="30"/>
      <w:szCs w:val="30"/>
    </w:rPr>
  </w:style>
  <w:style w:type="character" w:styleId="1513" w:customStyle="1">
    <w:name w:val="Heading 4 Char"/>
    <w:basedOn w:val="1508"/>
    <w:link w:val="1502"/>
    <w:uiPriority w:val="9"/>
    <w:qFormat/>
    <w:rPr>
      <w:rFonts w:ascii="Arial" w:hAnsi="Arial" w:eastAsia="Arial" w:cs="Arial"/>
      <w:b/>
      <w:bCs/>
      <w:sz w:val="26"/>
      <w:szCs w:val="26"/>
    </w:rPr>
  </w:style>
  <w:style w:type="character" w:styleId="1514" w:customStyle="1">
    <w:name w:val="Heading 5 Char"/>
    <w:basedOn w:val="1508"/>
    <w:link w:val="1503"/>
    <w:uiPriority w:val="9"/>
    <w:qFormat/>
    <w:rPr>
      <w:rFonts w:ascii="Arial" w:hAnsi="Arial" w:eastAsia="Arial" w:cs="Arial"/>
      <w:b/>
      <w:bCs/>
      <w:sz w:val="24"/>
      <w:szCs w:val="24"/>
    </w:rPr>
  </w:style>
  <w:style w:type="character" w:styleId="1515" w:customStyle="1">
    <w:name w:val="Heading 6 Char"/>
    <w:basedOn w:val="1508"/>
    <w:link w:val="1504"/>
    <w:uiPriority w:val="9"/>
    <w:qFormat/>
    <w:rPr>
      <w:rFonts w:ascii="Arial" w:hAnsi="Arial" w:eastAsia="Arial" w:cs="Arial"/>
      <w:b/>
      <w:bCs/>
      <w:sz w:val="22"/>
      <w:szCs w:val="22"/>
    </w:rPr>
  </w:style>
  <w:style w:type="character" w:styleId="1516" w:customStyle="1">
    <w:name w:val="Heading 7 Char"/>
    <w:basedOn w:val="1508"/>
    <w:link w:val="1505"/>
    <w:uiPriority w:val="9"/>
    <w:qFormat/>
    <w:rPr>
      <w:rFonts w:ascii="Arial" w:hAnsi="Arial" w:eastAsia="Arial" w:cs="Arial"/>
      <w:b/>
      <w:bCs/>
      <w:i/>
      <w:iCs/>
      <w:sz w:val="22"/>
      <w:szCs w:val="22"/>
    </w:rPr>
  </w:style>
  <w:style w:type="character" w:styleId="1517" w:customStyle="1">
    <w:name w:val="Heading 8 Char"/>
    <w:basedOn w:val="1508"/>
    <w:link w:val="1506"/>
    <w:uiPriority w:val="9"/>
    <w:qFormat/>
    <w:rPr>
      <w:rFonts w:ascii="Arial" w:hAnsi="Arial" w:eastAsia="Arial" w:cs="Arial"/>
      <w:i/>
      <w:iCs/>
      <w:sz w:val="22"/>
      <w:szCs w:val="22"/>
    </w:rPr>
  </w:style>
  <w:style w:type="character" w:styleId="1518" w:customStyle="1">
    <w:name w:val="Heading 9 Char"/>
    <w:basedOn w:val="1508"/>
    <w:link w:val="1507"/>
    <w:uiPriority w:val="9"/>
    <w:qFormat/>
    <w:rPr>
      <w:rFonts w:ascii="Arial" w:hAnsi="Arial" w:eastAsia="Arial" w:cs="Arial"/>
      <w:i/>
      <w:iCs/>
      <w:sz w:val="21"/>
      <w:szCs w:val="21"/>
    </w:rPr>
  </w:style>
  <w:style w:type="paragraph" w:styleId="1519">
    <w:name w:val="List Paragraph"/>
    <w:basedOn w:val="1498"/>
    <w:uiPriority w:val="34"/>
    <w:qFormat/>
    <w:pPr>
      <w:contextualSpacing/>
      <w:ind w:left="720"/>
    </w:pPr>
  </w:style>
  <w:style w:type="paragraph" w:styleId="1520">
    <w:name w:val="No Spacing"/>
    <w:uiPriority w:val="1"/>
    <w:qFormat/>
    <w:pPr>
      <w:spacing w:before="0" w:after="0" w:line="240" w:lineRule="auto"/>
    </w:pPr>
    <w:rPr>
      <w:rFonts w:hint="default" w:asciiTheme="minorHAnsi" w:hAnsiTheme="minorHAnsi" w:eastAsiaTheme="minorEastAsia" w:cstheme="minorBidi"/>
    </w:rPr>
  </w:style>
  <w:style w:type="paragraph" w:styleId="1521">
    <w:name w:val="Title"/>
    <w:basedOn w:val="1498"/>
    <w:next w:val="1498"/>
    <w:link w:val="1522"/>
    <w:uiPriority w:val="10"/>
    <w:qFormat/>
    <w:pPr>
      <w:contextualSpacing/>
      <w:spacing w:before="300" w:after="200"/>
    </w:pPr>
    <w:rPr>
      <w:sz w:val="48"/>
      <w:szCs w:val="48"/>
    </w:rPr>
  </w:style>
  <w:style w:type="character" w:styleId="1522" w:customStyle="1">
    <w:name w:val="Title Char"/>
    <w:basedOn w:val="1508"/>
    <w:link w:val="1521"/>
    <w:uiPriority w:val="10"/>
    <w:qFormat/>
    <w:rPr>
      <w:sz w:val="48"/>
      <w:szCs w:val="48"/>
    </w:rPr>
  </w:style>
  <w:style w:type="paragraph" w:styleId="1523">
    <w:name w:val="Subtitle"/>
    <w:basedOn w:val="1498"/>
    <w:next w:val="1498"/>
    <w:link w:val="1524"/>
    <w:uiPriority w:val="11"/>
    <w:qFormat/>
    <w:pPr>
      <w:spacing w:before="200" w:after="200"/>
    </w:pPr>
    <w:rPr>
      <w:sz w:val="24"/>
      <w:szCs w:val="24"/>
    </w:rPr>
  </w:style>
  <w:style w:type="character" w:styleId="1524" w:customStyle="1">
    <w:name w:val="Subtitle Char"/>
    <w:basedOn w:val="1508"/>
    <w:link w:val="1523"/>
    <w:uiPriority w:val="11"/>
    <w:qFormat/>
    <w:rPr>
      <w:sz w:val="24"/>
      <w:szCs w:val="24"/>
    </w:rPr>
  </w:style>
  <w:style w:type="paragraph" w:styleId="1525">
    <w:name w:val="Quote"/>
    <w:basedOn w:val="1498"/>
    <w:next w:val="1498"/>
    <w:link w:val="1526"/>
    <w:uiPriority w:val="29"/>
    <w:qFormat/>
    <w:pPr>
      <w:ind w:left="720" w:right="720"/>
    </w:pPr>
    <w:rPr>
      <w:i/>
    </w:rPr>
  </w:style>
  <w:style w:type="character" w:styleId="1526" w:customStyle="1">
    <w:name w:val="Quote Char"/>
    <w:link w:val="1525"/>
    <w:uiPriority w:val="29"/>
    <w:qFormat/>
    <w:rPr>
      <w:i/>
    </w:rPr>
  </w:style>
  <w:style w:type="paragraph" w:styleId="1527">
    <w:name w:val="Intense Quote"/>
    <w:basedOn w:val="1498"/>
    <w:next w:val="1498"/>
    <w:link w:val="15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8" w:customStyle="1">
    <w:name w:val="Intense Quote Char"/>
    <w:link w:val="1527"/>
    <w:uiPriority w:val="30"/>
    <w:qFormat/>
    <w:rPr>
      <w:i/>
    </w:rPr>
  </w:style>
  <w:style w:type="paragraph" w:styleId="1529">
    <w:name w:val="Header"/>
    <w:basedOn w:val="1498"/>
    <w:link w:val="1530"/>
    <w:uiPriority w:val="99"/>
    <w:unhideWhenUsed/>
    <w:qFormat/>
    <w:pPr>
      <w:spacing w:after="0" w:line="240" w:lineRule="auto"/>
      <w:tabs>
        <w:tab w:val="center" w:pos="7143" w:leader="none"/>
        <w:tab w:val="right" w:pos="14287" w:leader="none"/>
      </w:tabs>
    </w:pPr>
  </w:style>
  <w:style w:type="character" w:styleId="1530" w:customStyle="1">
    <w:name w:val="Header Char"/>
    <w:basedOn w:val="1508"/>
    <w:link w:val="1529"/>
    <w:uiPriority w:val="99"/>
    <w:qFormat/>
  </w:style>
  <w:style w:type="paragraph" w:styleId="1531">
    <w:name w:val="Footer"/>
    <w:basedOn w:val="1498"/>
    <w:link w:val="1534"/>
    <w:uiPriority w:val="99"/>
    <w:unhideWhenUsed/>
    <w:qFormat/>
    <w:pPr>
      <w:spacing w:after="0" w:line="240" w:lineRule="auto"/>
      <w:tabs>
        <w:tab w:val="center" w:pos="7143" w:leader="none"/>
        <w:tab w:val="right" w:pos="14287" w:leader="none"/>
      </w:tabs>
    </w:pPr>
  </w:style>
  <w:style w:type="character" w:styleId="1532" w:customStyle="1">
    <w:name w:val="Footer Char"/>
    <w:basedOn w:val="1508"/>
    <w:link w:val="1531"/>
    <w:uiPriority w:val="99"/>
    <w:qFormat/>
  </w:style>
  <w:style w:type="paragraph" w:styleId="1533">
    <w:name w:val="Caption"/>
    <w:basedOn w:val="1498"/>
    <w:next w:val="14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34" w:customStyle="1">
    <w:name w:val="Caption Char"/>
    <w:link w:val="1531"/>
    <w:uiPriority w:val="99"/>
    <w:qFormat/>
  </w:style>
  <w:style w:type="table" w:styleId="15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61">
    <w:name w:val="Hyperlink"/>
    <w:uiPriority w:val="99"/>
    <w:unhideWhenUsed/>
    <w:qFormat/>
    <w:rPr>
      <w:color w:val="0000ff" w:themeColor="hyperlink"/>
      <w:u w:val="single"/>
      <w14:textFill>
        <w14:solidFill>
          <w14:schemeClr w14:val="hlink"/>
        </w14:solidFill>
      </w14:textFill>
    </w:rPr>
  </w:style>
  <w:style w:type="paragraph" w:styleId="1662">
    <w:name w:val="footnote text"/>
    <w:basedOn w:val="1498"/>
    <w:link w:val="1663"/>
    <w:uiPriority w:val="99"/>
    <w:semiHidden/>
    <w:unhideWhenUsed/>
    <w:qFormat/>
    <w:pPr>
      <w:spacing w:after="40" w:line="240" w:lineRule="auto"/>
    </w:pPr>
    <w:rPr>
      <w:sz w:val="18"/>
    </w:rPr>
  </w:style>
  <w:style w:type="character" w:styleId="1663" w:customStyle="1">
    <w:name w:val="Footnote Text Char"/>
    <w:link w:val="1662"/>
    <w:uiPriority w:val="99"/>
    <w:qFormat/>
    <w:rPr>
      <w:sz w:val="18"/>
    </w:rPr>
  </w:style>
  <w:style w:type="character" w:styleId="1664">
    <w:name w:val="footnote reference"/>
    <w:basedOn w:val="1508"/>
    <w:uiPriority w:val="99"/>
    <w:unhideWhenUsed/>
    <w:qFormat/>
    <w:rPr>
      <w:vertAlign w:val="superscript"/>
    </w:rPr>
  </w:style>
  <w:style w:type="paragraph" w:styleId="1665">
    <w:name w:val="endnote text"/>
    <w:basedOn w:val="1498"/>
    <w:link w:val="1666"/>
    <w:uiPriority w:val="99"/>
    <w:semiHidden/>
    <w:unhideWhenUsed/>
    <w:qFormat/>
    <w:pPr>
      <w:spacing w:after="0" w:line="240" w:lineRule="auto"/>
    </w:pPr>
    <w:rPr>
      <w:sz w:val="20"/>
    </w:rPr>
  </w:style>
  <w:style w:type="character" w:styleId="1666" w:customStyle="1">
    <w:name w:val="Endnote Text Char"/>
    <w:link w:val="1665"/>
    <w:uiPriority w:val="99"/>
    <w:qFormat/>
    <w:rPr>
      <w:sz w:val="20"/>
    </w:rPr>
  </w:style>
  <w:style w:type="character" w:styleId="1667">
    <w:name w:val="endnote reference"/>
    <w:basedOn w:val="1508"/>
    <w:uiPriority w:val="99"/>
    <w:semiHidden/>
    <w:unhideWhenUsed/>
    <w:qFormat/>
    <w:rPr>
      <w:vertAlign w:val="superscript"/>
    </w:rPr>
  </w:style>
  <w:style w:type="paragraph" w:styleId="1668">
    <w:name w:val="toc 1"/>
    <w:basedOn w:val="1498"/>
    <w:next w:val="1498"/>
    <w:uiPriority w:val="39"/>
    <w:unhideWhenUsed/>
    <w:qFormat/>
    <w:pPr>
      <w:ind w:left="0" w:right="0" w:firstLine="0"/>
      <w:spacing w:after="57"/>
    </w:pPr>
  </w:style>
  <w:style w:type="paragraph" w:styleId="1669">
    <w:name w:val="toc 2"/>
    <w:basedOn w:val="1498"/>
    <w:next w:val="1498"/>
    <w:uiPriority w:val="39"/>
    <w:unhideWhenUsed/>
    <w:qFormat/>
    <w:pPr>
      <w:ind w:left="283" w:right="0" w:firstLine="0"/>
      <w:spacing w:after="57"/>
    </w:pPr>
  </w:style>
  <w:style w:type="paragraph" w:styleId="1670">
    <w:name w:val="toc 3"/>
    <w:basedOn w:val="1498"/>
    <w:next w:val="1498"/>
    <w:uiPriority w:val="39"/>
    <w:unhideWhenUsed/>
    <w:qFormat/>
    <w:pPr>
      <w:ind w:left="567" w:right="0" w:firstLine="0"/>
      <w:spacing w:after="57"/>
    </w:pPr>
  </w:style>
  <w:style w:type="paragraph" w:styleId="1671">
    <w:name w:val="toc 4"/>
    <w:basedOn w:val="1498"/>
    <w:next w:val="1498"/>
    <w:uiPriority w:val="39"/>
    <w:unhideWhenUsed/>
    <w:qFormat/>
    <w:pPr>
      <w:ind w:left="850" w:right="0" w:firstLine="0"/>
      <w:spacing w:after="57"/>
    </w:pPr>
  </w:style>
  <w:style w:type="paragraph" w:styleId="1672">
    <w:name w:val="toc 5"/>
    <w:basedOn w:val="1498"/>
    <w:next w:val="1498"/>
    <w:uiPriority w:val="39"/>
    <w:unhideWhenUsed/>
    <w:qFormat/>
    <w:pPr>
      <w:ind w:left="1134" w:right="0" w:firstLine="0"/>
      <w:spacing w:after="57"/>
    </w:pPr>
  </w:style>
  <w:style w:type="paragraph" w:styleId="1673">
    <w:name w:val="toc 6"/>
    <w:basedOn w:val="1498"/>
    <w:next w:val="1498"/>
    <w:uiPriority w:val="39"/>
    <w:unhideWhenUsed/>
    <w:qFormat/>
    <w:pPr>
      <w:ind w:left="1417" w:right="0" w:firstLine="0"/>
      <w:spacing w:after="57"/>
    </w:pPr>
  </w:style>
  <w:style w:type="paragraph" w:styleId="1674">
    <w:name w:val="toc 7"/>
    <w:basedOn w:val="1498"/>
    <w:next w:val="1498"/>
    <w:uiPriority w:val="39"/>
    <w:unhideWhenUsed/>
    <w:qFormat/>
    <w:pPr>
      <w:ind w:left="1701" w:right="0" w:firstLine="0"/>
      <w:spacing w:after="57"/>
    </w:pPr>
  </w:style>
  <w:style w:type="paragraph" w:styleId="1675">
    <w:name w:val="toc 8"/>
    <w:basedOn w:val="1498"/>
    <w:next w:val="1498"/>
    <w:uiPriority w:val="39"/>
    <w:unhideWhenUsed/>
    <w:qFormat/>
    <w:pPr>
      <w:ind w:left="1984" w:right="0" w:firstLine="0"/>
      <w:spacing w:after="57"/>
    </w:pPr>
  </w:style>
  <w:style w:type="paragraph" w:styleId="1676">
    <w:name w:val="toc 9"/>
    <w:basedOn w:val="1498"/>
    <w:next w:val="1498"/>
    <w:uiPriority w:val="39"/>
    <w:unhideWhenUsed/>
    <w:qFormat/>
    <w:pPr>
      <w:ind w:left="2268" w:right="0" w:firstLine="0"/>
      <w:spacing w:after="57"/>
    </w:pPr>
  </w:style>
  <w:style w:type="paragraph" w:styleId="1677" w:customStyle="1">
    <w:name w:val="TOC Heading"/>
    <w:uiPriority w:val="39"/>
    <w:unhideWhenUsed/>
    <w:qFormat/>
    <w:rPr>
      <w:rFonts w:hint="default" w:asciiTheme="minorHAnsi" w:hAnsiTheme="minorHAnsi" w:eastAsiaTheme="minorEastAsia" w:cstheme="minorBidi"/>
    </w:rPr>
  </w:style>
  <w:style w:type="paragraph" w:styleId="1678">
    <w:name w:val="table of figures"/>
    <w:basedOn w:val="1498"/>
    <w:next w:val="1498"/>
    <w:uiPriority w:val="99"/>
    <w:unhideWhenUsed/>
    <w:qFormat/>
    <w:pPr>
      <w:spacing w:after="0" w:afterAutospacing="0"/>
    </w:pPr>
  </w:style>
  <w:style w:type="character" w:styleId="1679">
    <w:name w:val="Placeholder Text"/>
    <w:basedOn w:val="1508"/>
    <w:uiPriority w:val="99"/>
    <w:unhideWhenUsed/>
    <w:qFormat/>
    <w:rPr>
      <w:color w:val="808080"/>
    </w:rPr>
  </w:style>
  <w:style w:type="numbering" w:styleId="168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15</cp:revision>
  <dcterms:created xsi:type="dcterms:W3CDTF">2024-06-18T06:04:00Z</dcterms:created>
  <dcterms:modified xsi:type="dcterms:W3CDTF">2026-10-23T08:29:56Z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2052-12.1.0.29161</vt:lpwstr>
  </property>
  <property fmtid="{D5CDD505-2E9C-101B-9397-08002B2CF9AE}" pid="4" name="ICV">
    <vt:lpwstr>32ADD5BCEE3D4ED69AED15E4C816E629_13</vt:lpwstr>
  </property>
</Properties>
</file>