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ascii="宋体" w:hAnsi="宋体" w:eastAsia="宋体" w:cs="楷体"/>
          <w:b/>
          <w:color w:val="auto"/>
          <w:sz w:val="84"/>
          <w:szCs w:val="24"/>
          <w:highlight w:val="none"/>
        </w:rPr>
      </w:pPr>
      <w:r>
        <w:rPr>
          <w:rFonts w:hint="eastAsia" w:ascii="宋体" w:hAnsi="宋体" w:eastAsia="宋体" w:cs="楷体"/>
          <w:b/>
          <w:color w:val="auto"/>
          <w:sz w:val="84"/>
          <w:szCs w:val="24"/>
          <w:highlight w:val="none"/>
        </w:rPr>
        <w:t xml:space="preserve">招   标   文   件</w:t>
      </w:r>
      <w:r/>
    </w:p>
    <w:p>
      <w:pPr>
        <w:jc w:val="center"/>
        <w:spacing w:line="360" w:lineRule="auto"/>
        <w:rPr>
          <w:rFonts w:ascii="宋体" w:hAnsi="宋体" w:eastAsia="宋体" w:cs="楷体"/>
          <w:color w:val="auto"/>
          <w:sz w:val="44"/>
          <w:szCs w:val="44"/>
          <w:highlight w:val="none"/>
        </w:rPr>
      </w:pPr>
      <w:r>
        <w:rPr>
          <w:rFonts w:hint="eastAsia" w:ascii="宋体" w:hAnsi="宋体" w:eastAsia="宋体" w:cs="楷体"/>
          <w:color w:val="auto"/>
          <w:sz w:val="44"/>
          <w:szCs w:val="44"/>
          <w:highlight w:val="none"/>
        </w:rPr>
        <w:t xml:space="preserve">（电子招投标）</w:t>
      </w:r>
      <w:r/>
    </w:p>
    <w:p>
      <w:pPr>
        <w:jc w:val="center"/>
        <w:spacing w:line="360" w:lineRule="auto"/>
        <w:rPr>
          <w:rFonts w:ascii="宋体" w:hAnsi="宋体" w:eastAsia="宋体" w:cs="楷体"/>
          <w:color w:val="auto"/>
          <w:sz w:val="32"/>
          <w:szCs w:val="24"/>
          <w:highlight w:val="none"/>
        </w:rPr>
      </w:pPr>
      <w:r>
        <w:rPr>
          <w:rFonts w:hint="eastAsia" w:ascii="宋体" w:hAnsi="宋体" w:eastAsia="宋体" w:cs="楷体"/>
          <w:color w:val="auto"/>
          <w:sz w:val="32"/>
          <w:szCs w:val="24"/>
          <w:highlight w:val="none"/>
        </w:rPr>
        <w:t xml:space="preserve">（服务类项目，</w:t>
      </w:r>
      <w:r>
        <w:rPr>
          <w:rFonts w:hint="eastAsia" w:ascii="宋体" w:hAnsi="宋体" w:eastAsia="宋体" w:cs="楷体"/>
          <w:color w:val="auto"/>
          <w:sz w:val="32"/>
          <w:szCs w:val="24"/>
          <w:highlight w:val="none"/>
          <w:lang w:val="en-US" w:eastAsia="zh-CN"/>
        </w:rPr>
        <w:t xml:space="preserve">不</w:t>
      </w:r>
      <w:r>
        <w:rPr>
          <w:rFonts w:hint="eastAsia" w:ascii="宋体" w:hAnsi="宋体" w:eastAsia="宋体" w:cs="楷体"/>
          <w:color w:val="auto"/>
          <w:sz w:val="32"/>
          <w:szCs w:val="24"/>
          <w:highlight w:val="none"/>
        </w:rPr>
        <w:t xml:space="preserve">专门面向中小微企业）</w:t>
      </w:r>
      <w:r/>
    </w:p>
    <w:p>
      <w:pPr>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jc w:val="center"/>
        <w:spacing w:line="360" w:lineRule="auto"/>
        <w:rPr>
          <w:rFonts w:ascii="宋体" w:hAnsi="宋体" w:eastAsia="宋体" w:cs="楷体"/>
          <w:color w:val="auto"/>
          <w:sz w:val="32"/>
          <w:szCs w:val="24"/>
          <w:highlight w:val="none"/>
        </w:rPr>
      </w:pPr>
      <w:r>
        <w:rPr>
          <w:rFonts w:ascii="宋体" w:hAnsi="宋体" w:eastAsia="宋体" w:cs="楷体"/>
          <w:color w:val="auto"/>
          <w:sz w:val="32"/>
          <w:szCs w:val="24"/>
          <w:highlight w:val="none"/>
        </w:rPr>
      </w:r>
      <w:r/>
    </w:p>
    <w:p>
      <w:pPr>
        <w:jc w:val="center"/>
        <w:spacing w:line="360" w:lineRule="auto"/>
        <w:rPr>
          <w:rFonts w:hint="eastAsia"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项目编号：</w:t>
      </w:r>
      <w:r>
        <w:rPr>
          <w:rFonts w:hint="eastAsia" w:ascii="宋体" w:hAnsi="宋体" w:eastAsia="宋体" w:cs="楷体"/>
          <w:b/>
          <w:color w:val="auto"/>
          <w:sz w:val="36"/>
          <w:szCs w:val="36"/>
          <w:highlight w:val="none"/>
          <w:lang w:eastAsia="zh-CN"/>
        </w:rPr>
        <w:t xml:space="preserve">JSZC-321181-JZCG-G2026-0022</w:t>
      </w:r>
      <w:r/>
    </w:p>
    <w:p>
      <w:pPr>
        <w:jc w:val="center"/>
        <w:spacing w:line="360" w:lineRule="auto"/>
        <w:rPr>
          <w:rFonts w:hint="eastAsia"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项目名称</w:t>
      </w:r>
      <w:r>
        <w:rPr>
          <w:rFonts w:hint="eastAsia" w:ascii="宋体" w:hAnsi="宋体" w:eastAsia="宋体" w:cs="楷体"/>
          <w:color w:val="auto"/>
          <w:sz w:val="36"/>
          <w:szCs w:val="36"/>
          <w:highlight w:val="none"/>
        </w:rPr>
        <w:t xml:space="preserve">：</w:t>
      </w:r>
      <w:r>
        <w:rPr>
          <w:rFonts w:hint="eastAsia" w:ascii="宋体" w:hAnsi="宋体" w:eastAsia="宋体" w:cs="楷体"/>
          <w:b/>
          <w:color w:val="auto"/>
          <w:sz w:val="36"/>
          <w:szCs w:val="36"/>
          <w:highlight w:val="none"/>
          <w:lang w:eastAsia="zh-CN"/>
        </w:rPr>
        <w:t xml:space="preserve">丹阳市城市生命线安全工程一期建设项目</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丹阳市政府采购中心  </w:t>
      </w:r>
      <w:r/>
    </w:p>
    <w:p>
      <w:pPr>
        <w:jc w:val="center"/>
        <w:spacing w:line="360" w:lineRule="auto"/>
        <w:rPr>
          <w:rFonts w:ascii="宋体" w:hAnsi="宋体" w:eastAsia="宋体" w:cs="楷体"/>
          <w:b/>
          <w:color w:val="auto"/>
          <w:sz w:val="36"/>
          <w:szCs w:val="36"/>
          <w:highlight w:val="none"/>
        </w:rPr>
      </w:pPr>
      <w:r>
        <w:rPr>
          <w:rFonts w:hint="eastAsia" w:ascii="宋体" w:hAnsi="宋体" w:eastAsia="宋体" w:cs="楷体"/>
          <w:b/>
          <w:color w:val="auto"/>
          <w:sz w:val="36"/>
          <w:szCs w:val="36"/>
          <w:highlight w:val="none"/>
        </w:rPr>
        <w:t xml:space="preserve">202</w:t>
      </w:r>
      <w:r>
        <w:rPr>
          <w:rFonts w:hint="eastAsia" w:ascii="宋体" w:hAnsi="宋体" w:eastAsia="宋体" w:cs="楷体"/>
          <w:b/>
          <w:color w:val="auto"/>
          <w:sz w:val="36"/>
          <w:szCs w:val="36"/>
          <w:highlight w:val="none"/>
          <w:lang w:val="en-US" w:eastAsia="zh-CN"/>
        </w:rPr>
        <w:t xml:space="preserve">6</w:t>
      </w:r>
      <w:r>
        <w:rPr>
          <w:rFonts w:hint="eastAsia" w:ascii="宋体" w:hAnsi="宋体" w:eastAsia="宋体" w:cs="楷体"/>
          <w:b/>
          <w:color w:val="auto"/>
          <w:sz w:val="36"/>
          <w:szCs w:val="36"/>
          <w:highlight w:val="none"/>
        </w:rPr>
        <w:t xml:space="preserve">年</w:t>
      </w:r>
      <w:r>
        <w:rPr>
          <w:rFonts w:hint="eastAsia" w:ascii="宋体" w:hAnsi="宋体" w:eastAsia="宋体" w:cs="楷体"/>
          <w:b/>
          <w:color w:val="auto"/>
          <w:sz w:val="36"/>
          <w:szCs w:val="36"/>
          <w:highlight w:val="none"/>
          <w:lang w:val="en-US" w:eastAsia="zh-CN"/>
        </w:rPr>
        <w:t xml:space="preserve">9</w:t>
      </w:r>
      <w:r>
        <w:rPr>
          <w:rFonts w:hint="eastAsia" w:ascii="宋体" w:hAnsi="宋体" w:eastAsia="宋体" w:cs="楷体"/>
          <w:b/>
          <w:color w:val="auto"/>
          <w:sz w:val="36"/>
          <w:szCs w:val="36"/>
          <w:highlight w:val="none"/>
        </w:rPr>
        <w:t xml:space="preserve">月</w:t>
      </w:r>
      <w:r>
        <w:rPr>
          <w:rFonts w:hint="eastAsia" w:ascii="宋体" w:hAnsi="宋体" w:eastAsia="宋体" w:cs="楷体"/>
          <w:b/>
          <w:color w:val="auto"/>
          <w:sz w:val="36"/>
          <w:szCs w:val="36"/>
          <w:highlight w:val="none"/>
          <w:lang w:val="en-US" w:eastAsia="zh-CN"/>
        </w:rPr>
        <w:t xml:space="preserve">28</w:t>
      </w:r>
      <w:r>
        <w:rPr>
          <w:rFonts w:hint="eastAsia" w:ascii="宋体" w:hAnsi="宋体" w:eastAsia="宋体" w:cs="楷体"/>
          <w:b/>
          <w:color w:val="auto"/>
          <w:sz w:val="36"/>
          <w:szCs w:val="36"/>
          <w:highlight w:val="none"/>
        </w:rPr>
        <w:t xml:space="preserve">日</w:t>
      </w:r>
      <w:r/>
    </w:p>
    <w:p>
      <w:pPr>
        <w:jc w:val="center"/>
        <w:spacing w:line="360" w:lineRule="auto"/>
        <w:rPr>
          <w:rFonts w:ascii="宋体" w:hAnsi="宋体" w:eastAsia="宋体" w:cs="楷体"/>
          <w:b/>
          <w:color w:val="auto"/>
          <w:sz w:val="36"/>
          <w:szCs w:val="36"/>
          <w:highlight w:val="none"/>
        </w:rPr>
      </w:pPr>
      <w:r>
        <w:rPr>
          <w:rFonts w:ascii="宋体" w:hAnsi="宋体" w:eastAsia="宋体" w:cs="楷体"/>
          <w:b/>
          <w:color w:val="auto"/>
          <w:sz w:val="36"/>
          <w:szCs w:val="36"/>
          <w:highlight w:val="none"/>
        </w:rPr>
      </w:r>
      <w:r/>
    </w:p>
    <w:p>
      <w:pPr>
        <w:ind w:firstLine="4176"/>
        <w:spacing w:line="50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ind w:firstLine="4176"/>
        <w:spacing w:line="500" w:lineRule="exact"/>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提 示 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各政府采购供应商：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为打造公开公平公正的政府采购营商环境，规范政府采购活动，请贵单位仔细阅读下列条款：</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一、基本要求：</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1.应当遵循公开、公平、公正和诚实信用原则；</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2.不得有串通投标、提供虚假材料等违法违规行为；</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3.不得捏造事实、提供虚假材料或者以非法手段取得证明材料进行投诉。</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二、经查实有下列行为的，将依法依规严肃处理:</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(1)提供虚假材料谋取中标、成交的;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(2)采取不正当手段诋毁、排挤其他供应商的;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(3)与采购人、其他供应商或者采购代理机构恶意串通的;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(4)向采购人、采购代理机构行贿或者提供其他不正当利益的;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(5)在招标采购过程中与采购人进行协商谈判的;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(6)拒绝有关部门监督检查或者提供虚假情况的。</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2．在“信用中国”网、中国政府采购网等相关网站有失信记录按规定被依法限制参与政府采购活动的，在规定期限内不得参加本市范围内的政府采购活动。</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招标文件目录</w:t>
      </w:r>
      <w:r/>
    </w:p>
    <w:p>
      <w:pPr>
        <w:jc w:val="center"/>
        <w:spacing w:line="360" w:lineRule="auto"/>
        <w:rPr>
          <w:rFonts w:ascii="宋体" w:hAnsi="宋体" w:eastAsia="宋体" w:cs="楷体"/>
          <w:b/>
          <w:color w:val="auto"/>
          <w:sz w:val="44"/>
          <w:szCs w:val="24"/>
          <w:highlight w:val="none"/>
        </w:rPr>
      </w:pPr>
      <w:r>
        <w:rPr>
          <w:rFonts w:ascii="宋体" w:hAnsi="宋体" w:eastAsia="宋体" w:cs="楷体"/>
          <w:b/>
          <w:color w:val="auto"/>
          <w:sz w:val="44"/>
          <w:szCs w:val="24"/>
          <w:highlight w:val="none"/>
        </w:rPr>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第一部分    投标邀请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第二部分    投标人须知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第三部分    拟签订的合同文本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第四部分    采购需求                           </w:t>
      </w:r>
      <w:r/>
    </w:p>
    <w:p>
      <w:pPr>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第五部分    评标办法和标准                      </w:t>
      </w:r>
      <w:r/>
    </w:p>
    <w:p>
      <w:pPr>
        <w:jc w:val="left"/>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第六部分    投标文件（格式）                    </w:t>
      </w:r>
      <w:r/>
    </w:p>
    <w:p>
      <w:pPr>
        <w:jc w:val="center"/>
        <w:rPr>
          <w:rFonts w:ascii="宋体" w:hAnsi="宋体" w:eastAsia="宋体" w:cs="楷体"/>
          <w:b/>
          <w:color w:val="auto"/>
          <w:sz w:val="36"/>
          <w:szCs w:val="36"/>
          <w:highlight w:val="none"/>
        </w:rPr>
        <w:outlineLvl w:val="2"/>
      </w:pPr>
      <w:r>
        <w:rPr>
          <w:rFonts w:hint="eastAsia" w:ascii="宋体" w:hAnsi="宋体" w:eastAsia="宋体" w:cs="楷体"/>
          <w:b/>
          <w:color w:val="auto"/>
          <w:sz w:val="30"/>
          <w:szCs w:val="20"/>
          <w:highlight w:val="none"/>
        </w:rPr>
        <w:br w:type="page" w:clear="all"/>
      </w:r>
      <w:bookmarkStart w:id="0" w:name="_Toc92167999"/>
      <w:r/>
      <w:bookmarkStart w:id="1" w:name="_Toc100386033"/>
      <w:r/>
      <w:bookmarkStart w:id="2" w:name="_Toc20732967"/>
      <w:r>
        <w:rPr>
          <w:rFonts w:hint="eastAsia" w:ascii="宋体" w:hAnsi="宋体" w:eastAsia="宋体" w:cs="楷体"/>
          <w:b/>
          <w:color w:val="auto"/>
          <w:sz w:val="32"/>
          <w:szCs w:val="32"/>
          <w:highlight w:val="none"/>
        </w:rPr>
        <w:t xml:space="preserve">第一部分  投标邀请</w:t>
      </w:r>
      <w:bookmarkEnd w:id="0"/>
      <w:r/>
      <w:bookmarkEnd w:id="1"/>
      <w:r/>
      <w:bookmarkEnd w:id="2"/>
      <w:r/>
      <w:r/>
    </w:p>
    <w:p>
      <w:pPr>
        <w:spacing w:line="360" w:lineRule="auto"/>
        <w:rPr>
          <w:rFonts w:ascii="宋体" w:hAnsi="宋体" w:eastAsia="宋体" w:cs="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3" w:name="_Toc92168010"/>
      <w:r/>
      <w:bookmarkStart w:id="4" w:name="_Toc98669699"/>
      <w:r/>
      <w:bookmarkStart w:id="5" w:name="_Toc100386044"/>
      <w:r/>
      <w:bookmarkStart w:id="6" w:name="_Toc20732978"/>
      <w:r/>
      <w:bookmarkStart w:id="7" w:name="_Toc98669341"/>
      <w:r>
        <w:rPr>
          <w:rFonts w:hint="eastAsia" w:ascii="宋体" w:hAnsi="宋体" w:eastAsia="宋体" w:cs="楷体"/>
          <w:color w:val="auto"/>
          <w:sz w:val="24"/>
          <w:szCs w:val="28"/>
          <w:highlight w:val="none"/>
        </w:rPr>
        <w:t xml:space="preserve">项目概况</w:t>
      </w:r>
      <w:r/>
    </w:p>
    <w:p>
      <w:pPr>
        <w:ind w:firstLine="360"/>
        <w:spacing w:line="360" w:lineRule="auto"/>
        <w:rPr>
          <w:rFonts w:ascii="宋体" w:hAnsi="宋体" w:eastAsia="宋体" w:cs="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楷体"/>
          <w:color w:val="auto"/>
          <w:sz w:val="24"/>
          <w:szCs w:val="28"/>
          <w:highlight w:val="none"/>
          <w:u w:val="single"/>
          <w:lang w:eastAsia="zh-CN"/>
        </w:rPr>
        <w:t xml:space="preserve">丹阳市城市生命线安全工程一期建设项目</w:t>
      </w:r>
      <w:r>
        <w:rPr>
          <w:rFonts w:hint="eastAsia" w:ascii="宋体" w:hAnsi="宋体" w:eastAsia="宋体" w:cs="楷体"/>
          <w:color w:val="auto"/>
          <w:sz w:val="24"/>
          <w:szCs w:val="28"/>
          <w:highlight w:val="none"/>
        </w:rPr>
        <w:t xml:space="preserve">的潜在投标人应在“苏采云”电子交易平台（网址：http://jszfcg.jsczt.cn/）获取招标文件，并于</w:t>
      </w:r>
      <w:r>
        <w:rPr>
          <w:rFonts w:hint="eastAsia" w:ascii="宋体" w:hAnsi="宋体" w:eastAsia="宋体" w:cs="楷体"/>
          <w:bCs/>
          <w:color w:val="auto"/>
          <w:sz w:val="24"/>
          <w:szCs w:val="28"/>
          <w:highlight w:val="none"/>
          <w:u w:val="single"/>
          <w:lang w:val="en-US" w:eastAsia="zh-CN"/>
        </w:rPr>
        <w:t xml:space="preserve">2026年11月5日</w:t>
      </w:r>
      <w:r>
        <w:rPr>
          <w:rFonts w:ascii="宋体" w:hAnsi="宋体" w:eastAsia="宋体" w:cs="楷体"/>
          <w:color w:val="auto"/>
          <w:sz w:val="24"/>
          <w:szCs w:val="28"/>
          <w:highlight w:val="none"/>
          <w:u w:val="single"/>
        </w:rPr>
        <w:t xml:space="preserve">9</w:t>
      </w:r>
      <w:r>
        <w:rPr>
          <w:rFonts w:hint="eastAsia" w:ascii="宋体" w:hAnsi="宋体" w:eastAsia="宋体" w:cs="楷体"/>
          <w:color w:val="auto"/>
          <w:sz w:val="24"/>
          <w:szCs w:val="28"/>
          <w:highlight w:val="none"/>
          <w:u w:val="single"/>
        </w:rPr>
        <w:t xml:space="preserve">点</w:t>
      </w:r>
      <w:r>
        <w:rPr>
          <w:rFonts w:ascii="宋体" w:hAnsi="宋体" w:eastAsia="宋体" w:cs="楷体"/>
          <w:color w:val="auto"/>
          <w:sz w:val="24"/>
          <w:szCs w:val="28"/>
          <w:highlight w:val="none"/>
          <w:u w:val="single"/>
        </w:rPr>
        <w:t xml:space="preserve">30</w:t>
      </w:r>
      <w:r>
        <w:rPr>
          <w:rFonts w:hint="eastAsia" w:ascii="宋体" w:hAnsi="宋体" w:eastAsia="宋体" w:cs="楷体"/>
          <w:color w:val="auto"/>
          <w:sz w:val="24"/>
          <w:szCs w:val="28"/>
          <w:highlight w:val="none"/>
          <w:u w:val="single"/>
        </w:rPr>
        <w:t xml:space="preserve">分（北京时间）前按要求递交投标文件。</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8" w:name="_Toc28359002"/>
      <w:r/>
      <w:bookmarkStart w:id="9" w:name="_Toc35393621"/>
      <w:r/>
      <w:bookmarkStart w:id="10" w:name="_Toc35393790"/>
      <w:r/>
      <w:bookmarkStart w:id="11" w:name="_Toc28359079"/>
      <w:r/>
      <w:bookmarkStart w:id="12" w:name="_Hlk24379207"/>
      <w:r>
        <w:rPr>
          <w:rFonts w:hint="eastAsia" w:ascii="宋体" w:hAnsi="宋体" w:eastAsia="宋体" w:cs="楷体"/>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项目编号：</w:t>
      </w:r>
      <w:r>
        <w:rPr>
          <w:rFonts w:hint="eastAsia" w:ascii="宋体" w:hAnsi="宋体" w:eastAsia="宋体" w:cs="楷体"/>
          <w:color w:val="auto"/>
          <w:sz w:val="24"/>
          <w:szCs w:val="28"/>
          <w:highlight w:val="none"/>
          <w:lang w:eastAsia="zh-CN"/>
        </w:rPr>
        <w:t xml:space="preserve">JSZC-321181-JZCG-G2026-0022</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项目名称：</w:t>
      </w:r>
      <w:bookmarkEnd w:id="12"/>
      <w:r>
        <w:rPr>
          <w:rFonts w:hint="eastAsia" w:ascii="宋体" w:hAnsi="宋体" w:eastAsia="宋体" w:cs="楷体"/>
          <w:color w:val="auto"/>
          <w:sz w:val="24"/>
          <w:szCs w:val="28"/>
          <w:highlight w:val="none"/>
          <w:lang w:eastAsia="zh-CN"/>
        </w:rPr>
        <w:t xml:space="preserve">丹阳市城市生命线安全工程一期建设项目</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预算金额：</w:t>
      </w:r>
      <w:r>
        <w:rPr>
          <w:rFonts w:hint="eastAsia" w:ascii="宋体" w:hAnsi="宋体" w:eastAsia="宋体" w:cs="宋体"/>
          <w:color w:val="auto"/>
          <w:sz w:val="24"/>
          <w:highlight w:val="none"/>
        </w:rPr>
        <w:t xml:space="preserve">1060.76</w:t>
      </w:r>
      <w:r>
        <w:rPr>
          <w:rFonts w:ascii="宋体" w:hAnsi="宋体" w:eastAsia="宋体" w:cs="宋体"/>
          <w:color w:val="auto"/>
          <w:sz w:val="24"/>
          <w:highlight w:val="none"/>
        </w:rPr>
        <w:t xml:space="preserve">万元</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最高限价：</w:t>
      </w:r>
      <w:r>
        <w:rPr>
          <w:rFonts w:hint="eastAsia" w:ascii="宋体" w:hAnsi="宋体" w:eastAsia="宋体" w:cs="宋体"/>
          <w:color w:val="auto"/>
          <w:sz w:val="24"/>
          <w:highlight w:val="none"/>
        </w:rPr>
        <w:t xml:space="preserve">1060.76</w:t>
      </w:r>
      <w:r>
        <w:rPr>
          <w:rFonts w:ascii="宋体" w:hAnsi="宋体" w:eastAsia="宋体" w:cs="宋体"/>
          <w:color w:val="auto"/>
          <w:sz w:val="24"/>
          <w:highlight w:val="none"/>
        </w:rPr>
        <w:t xml:space="preserve">万元</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采购需求：</w:t>
      </w:r>
      <w:bookmarkStart w:id="13" w:name="OLE_LINK28"/>
      <w:r/>
      <w:bookmarkStart w:id="14" w:name="OLE_LINK29"/>
      <w:r>
        <w:rPr>
          <w:rFonts w:hint="eastAsia" w:ascii="宋体" w:hAnsi="宋体" w:eastAsia="宋体" w:cs="楷体"/>
          <w:color w:val="auto"/>
          <w:sz w:val="24"/>
          <w:szCs w:val="28"/>
          <w:highlight w:val="none"/>
        </w:rPr>
        <w:t xml:space="preserve">详细内容及要求见采购需求</w:t>
      </w:r>
      <w:bookmarkEnd w:id="13"/>
      <w:r/>
      <w:bookmarkEnd w:id="14"/>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合同履行期限：详细内容及要求见采购需求</w:t>
      </w:r>
      <w:r/>
    </w:p>
    <w:p>
      <w:pPr>
        <w:ind w:left="0" w:right="0" w:firstLine="480"/>
        <w:jc w:val="both"/>
        <w:spacing w:before="0" w:after="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楷体"/>
          <w:color w:val="auto"/>
          <w:sz w:val="24"/>
          <w:szCs w:val="24"/>
          <w:highlight w:val="none"/>
        </w:rPr>
        <w:t xml:space="preserve">本项目是否接受联合体投标：</w:t>
      </w:r>
      <w:r>
        <w:rPr>
          <w:rFonts w:ascii="宋体" w:hAnsi="宋体" w:eastAsia="宋体" w:cs="宋体"/>
          <w:color w:val="auto"/>
          <w:sz w:val="24"/>
        </w:rPr>
        <w:t xml:space="preserve">接受</w:t>
      </w:r>
      <w:r>
        <w:rPr>
          <w:rFonts w:hint="eastAsia" w:ascii="宋体" w:hAnsi="宋体" w:eastAsia="宋体" w:cs="宋体"/>
          <w:color w:val="auto"/>
          <w:sz w:val="24"/>
          <w:lang w:eastAsia="zh-CN"/>
        </w:rPr>
        <w:t xml:space="preserve">。</w:t>
      </w:r>
      <w:r>
        <w:rPr>
          <w:rFonts w:ascii="宋体" w:hAnsi="宋体" w:eastAsia="宋体" w:cs="宋体"/>
          <w:color w:val="auto"/>
          <w:sz w:val="24"/>
          <w:highlight w:val="none"/>
        </w:rPr>
        <w:t xml:space="preserve">联合体投标的，联合体组成单位数量不得超过2家。</w:t>
      </w:r>
      <w:r/>
    </w:p>
    <w:p>
      <w:pPr>
        <w:ind w:firstLine="480"/>
        <w:spacing w:line="360" w:lineRule="auto"/>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r>
      <w:r/>
    </w:p>
    <w:p>
      <w:pPr>
        <w:ind w:firstLine="480"/>
        <w:spacing w:line="360" w:lineRule="auto"/>
        <w:rPr>
          <w:rFonts w:ascii="宋体" w:hAnsi="宋体" w:eastAsia="宋体" w:cs="楷体"/>
          <w:color w:val="auto"/>
          <w:sz w:val="24"/>
          <w:szCs w:val="28"/>
          <w:highlight w:val="none"/>
        </w:rPr>
      </w:pPr>
      <w:r/>
      <w:bookmarkStart w:id="15" w:name="_Toc35393791"/>
      <w:r/>
      <w:bookmarkStart w:id="16" w:name="_Toc28359003"/>
      <w:r/>
      <w:bookmarkStart w:id="17" w:name="_Toc28359080"/>
      <w:r/>
      <w:bookmarkStart w:id="18" w:name="_Toc35393622"/>
      <w:r>
        <w:rPr>
          <w:rFonts w:hint="eastAsia" w:ascii="宋体" w:hAnsi="宋体" w:eastAsia="宋体" w:cs="楷体"/>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ascii="宋体" w:hAnsi="宋体" w:eastAsia="宋体" w:cs="楷体"/>
          <w:color w:val="auto"/>
          <w:sz w:val="24"/>
          <w:szCs w:val="28"/>
          <w:highlight w:val="none"/>
        </w:rPr>
      </w:pPr>
      <w:r/>
      <w:bookmarkStart w:id="19" w:name="_Toc28359081"/>
      <w:r/>
      <w:bookmarkStart w:id="20" w:name="_Toc35393623"/>
      <w:r/>
      <w:bookmarkStart w:id="21" w:name="_Toc35393792"/>
      <w:r/>
      <w:bookmarkStart w:id="22" w:name="_Toc28359004"/>
      <w:r>
        <w:rPr>
          <w:rFonts w:hint="eastAsia" w:ascii="宋体" w:hAnsi="宋体" w:eastAsia="宋体" w:cs="楷体"/>
          <w:color w:val="auto"/>
          <w:sz w:val="24"/>
          <w:szCs w:val="28"/>
          <w:highlight w:val="none"/>
        </w:rPr>
        <w:t xml:space="preserve">1.满足《中华人民共和国政府采购法》第二十二条规定：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1.1具有独立承担民事责任的能力；                     </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1.2具有良好的商业信誉和健全的财务会计制度；</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1.3具有履行合同所必需的设备和专业技术能力；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1.4有依法缴纳税收和社会保障资金的良好记录； </w:t>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1.5参加政府采购活动前三年内，在经营活动中没有重大违法记录;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1.6法律、行政法规规定的其他条件。                        </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2.</w:t>
      </w:r>
      <w:r>
        <w:rPr>
          <w:rFonts w:hint="eastAsia" w:ascii="宋体" w:hAnsi="宋体" w:eastAsia="宋体" w:cs="楷体"/>
          <w:color w:val="auto"/>
          <w:sz w:val="24"/>
          <w:szCs w:val="24"/>
          <w:highlight w:val="none"/>
        </w:rPr>
        <w:t xml:space="preserve">落实政府采购政策需满足的资格要求：</w:t>
      </w:r>
      <w:bookmarkStart w:id="23" w:name="OLE_LINK16"/>
      <w:r/>
      <w:bookmarkStart w:id="24" w:name="OLE_LINK21"/>
      <w:r>
        <w:rPr>
          <w:rFonts w:hint="eastAsia" w:ascii="宋体" w:hAnsi="宋体" w:eastAsia="宋体" w:cs="楷体"/>
          <w:color w:val="auto"/>
          <w:sz w:val="24"/>
          <w:szCs w:val="24"/>
          <w:highlight w:val="none"/>
          <w:lang w:val="en-US" w:eastAsia="zh-CN"/>
        </w:rPr>
        <w:t xml:space="preserve">无</w:t>
      </w:r>
      <w:r>
        <w:rPr>
          <w:rFonts w:hint="eastAsia" w:ascii="宋体" w:hAnsi="宋体" w:eastAsia="宋体" w:cs="楷体"/>
          <w:color w:val="auto"/>
          <w:sz w:val="24"/>
          <w:szCs w:val="24"/>
          <w:highlight w:val="none"/>
          <w:lang w:eastAsia="zh-CN"/>
        </w:rPr>
        <w:t xml:space="preserve">。</w:t>
      </w:r>
      <w:bookmarkEnd w:id="23"/>
      <w:r/>
      <w:bookmarkEnd w:id="24"/>
      <w:r/>
      <w:r/>
    </w:p>
    <w:p>
      <w:pPr>
        <w:ind w:firstLine="480"/>
        <w:spacing w:line="360" w:lineRule="auto"/>
        <w:rPr>
          <w:rFonts w:hint="eastAsia"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3.本项目的特定资格要求：</w:t>
      </w:r>
      <w:r>
        <w:rPr>
          <w:rFonts w:hint="eastAsia" w:ascii="宋体" w:hAnsi="宋体" w:eastAsia="宋体" w:cs="楷体"/>
          <w:color w:val="auto"/>
          <w:sz w:val="24"/>
          <w:szCs w:val="28"/>
          <w:highlight w:val="none"/>
          <w:lang w:eastAsia="zh-CN"/>
        </w:rPr>
        <w:t xml:space="preserve">无</w:t>
      </w:r>
      <w:r/>
    </w:p>
    <w:p>
      <w:pPr>
        <w:ind w:firstLine="480"/>
        <w:spacing w:line="360" w:lineRule="auto"/>
        <w:rPr>
          <w:rFonts w:ascii="宋体" w:hAnsi="宋体" w:eastAsia="宋体" w:cs="楷体"/>
          <w:color w:val="auto"/>
          <w:sz w:val="24"/>
          <w:szCs w:val="28"/>
          <w:highlight w:val="none"/>
        </w:rPr>
      </w:pPr>
      <w:r>
        <w:rPr>
          <w:rFonts w:ascii="宋体" w:hAnsi="宋体" w:eastAsia="宋体" w:cs="楷体"/>
          <w:color w:val="auto"/>
          <w:sz w:val="24"/>
          <w:szCs w:val="28"/>
          <w:highlight w:val="none"/>
        </w:rPr>
      </w:r>
      <w:r/>
    </w:p>
    <w:p>
      <w:pPr>
        <w:ind w:firstLine="480"/>
        <w:keepLines/>
        <w:keepNext/>
        <w:spacing w:before="260" w:after="260" w:line="360" w:lineRule="auto"/>
        <w:rPr>
          <w:rFonts w:ascii="宋体" w:hAnsi="宋体" w:eastAsia="宋体" w:cs="楷体"/>
          <w:color w:val="auto"/>
          <w:sz w:val="24"/>
          <w:szCs w:val="28"/>
          <w:highlight w:val="none"/>
        </w:rPr>
        <w:outlineLvl w:val="1"/>
      </w:pPr>
      <w:r>
        <w:rPr>
          <w:rFonts w:hint="eastAsia" w:ascii="宋体" w:hAnsi="宋体" w:eastAsia="宋体" w:cs="楷体"/>
          <w:color w:val="auto"/>
          <w:sz w:val="24"/>
          <w:szCs w:val="28"/>
          <w:highlight w:val="none"/>
        </w:rPr>
        <w:t xml:space="preserve">三、获取招标文件</w:t>
      </w:r>
      <w:bookmarkEnd w:id="3"/>
      <w:r/>
      <w:bookmarkEnd w:id="4"/>
      <w:r/>
      <w:bookmarkEnd w:id="5"/>
      <w:r/>
      <w:bookmarkEnd w:id="6"/>
      <w:r/>
      <w:bookmarkEnd w:id="7"/>
      <w:r/>
      <w:bookmarkEnd w:id="19"/>
      <w:r/>
      <w:bookmarkEnd w:id="20"/>
      <w:r/>
      <w:bookmarkEnd w:id="21"/>
      <w:r/>
      <w:bookmarkEnd w:id="22"/>
      <w:r/>
      <w:r/>
    </w:p>
    <w:p>
      <w:pPr>
        <w:ind w:firstLine="480"/>
        <w:spacing w:line="360" w:lineRule="auto"/>
        <w:rPr>
          <w:rFonts w:ascii="宋体" w:hAnsi="宋体" w:eastAsia="宋体" w:cs="宋体"/>
          <w:color w:val="auto"/>
          <w:sz w:val="24"/>
          <w:szCs w:val="24"/>
          <w:highlight w:val="none"/>
        </w:rPr>
      </w:pPr>
      <w:r/>
      <w:bookmarkStart w:id="25" w:name="_Toc92168000"/>
      <w:r/>
      <w:bookmarkStart w:id="26" w:name="_Toc100386034"/>
      <w:r>
        <w:rPr>
          <w:rFonts w:hint="eastAsia" w:ascii="宋体" w:hAnsi="宋体" w:eastAsia="宋体" w:cs="宋体"/>
          <w:color w:val="auto"/>
          <w:sz w:val="24"/>
          <w:szCs w:val="24"/>
          <w:highlight w:val="none"/>
        </w:rPr>
        <w:t xml:space="preserve">获取时间：</w:t>
      </w:r>
      <w:r>
        <w:rPr>
          <w:rFonts w:hint="eastAsia" w:ascii="宋体" w:hAnsi="宋体" w:eastAsia="宋体" w:cs="楷体"/>
          <w:bCs/>
          <w:color w:val="auto"/>
          <w:sz w:val="24"/>
          <w:szCs w:val="28"/>
          <w:highlight w:val="none"/>
          <w:lang w:val="en-US" w:eastAsia="zh-CN"/>
        </w:rPr>
        <w:t xml:space="preserve">2026年9月28日0:00起至2026年10月10日</w:t>
      </w:r>
      <w:r>
        <w:rPr>
          <w:rFonts w:hint="eastAsia" w:ascii="宋体" w:hAnsi="宋体" w:eastAsia="宋体" w:cs="宋体"/>
          <w:color w:val="auto"/>
          <w:sz w:val="24"/>
          <w:szCs w:val="24"/>
          <w:highlight w:val="none"/>
        </w:rPr>
        <w:t xml:space="preserve"> 23:59分（北京时间）</w:t>
      </w:r>
      <w:r/>
    </w:p>
    <w:p>
      <w:pPr>
        <w:ind w:firstLine="480"/>
        <w:spacing w:line="360" w:lineRule="auto"/>
        <w:rPr>
          <w:rFonts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获取地点：江苏政府采购网-苏采云电子交易平台</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获取方式：在线获取（“苏采云”系统用户注册--获取“CA数字证书”--CA绑定与登录--网上报名--下载招标文件，</w:t>
      </w:r>
      <w:bookmarkStart w:id="27" w:name="_Hlk153292470"/>
      <w:r>
        <w:rPr>
          <w:rFonts w:hint="eastAsia" w:ascii="宋体" w:hAnsi="宋体" w:eastAsia="宋体" w:cs="宋体"/>
          <w:color w:val="auto"/>
          <w:sz w:val="24"/>
          <w:szCs w:val="24"/>
          <w:highlight w:val="none"/>
        </w:rPr>
        <w:t xml:space="preserve">具体操作详见“苏采云”系统供应商操作指南http://www.ccgp-jiangsu.gov.cn/jiangsu/zlxz/ee/ee3a4bc5a3454aa2b0d9312230633ce9.html</w:t>
      </w:r>
      <w:r>
        <w:rPr>
          <w:rFonts w:hint="eastAsia" w:ascii="宋体" w:hAnsi="宋体" w:eastAsia="宋体" w:cs="宋体"/>
          <w:color w:val="auto"/>
          <w:sz w:val="24"/>
          <w:szCs w:val="24"/>
          <w:highlight w:val="none"/>
          <w:u w:val="single"/>
        </w:rPr>
        <w:t xml:space="preserve">）</w:t>
      </w:r>
      <w:bookmarkEnd w:id="2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采购文件售价：免费</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28" w:name="_Toc35393624"/>
      <w:r/>
      <w:bookmarkStart w:id="29" w:name="_Toc35393793"/>
      <w:r/>
      <w:bookmarkStart w:id="30" w:name="_Toc28359005"/>
      <w:r/>
      <w:bookmarkStart w:id="31" w:name="_Toc28359082"/>
      <w:r>
        <w:rPr>
          <w:rFonts w:hint="eastAsia" w:ascii="宋体" w:hAnsi="宋体" w:eastAsia="宋体" w:cs="楷体"/>
          <w:color w:val="auto"/>
          <w:sz w:val="24"/>
          <w:szCs w:val="28"/>
          <w:highlight w:val="none"/>
        </w:rPr>
        <w:t xml:space="preserve">四、</w:t>
      </w:r>
      <w:bookmarkEnd w:id="28"/>
      <w:r/>
      <w:bookmarkEnd w:id="29"/>
      <w:r/>
      <w:bookmarkEnd w:id="30"/>
      <w:r/>
      <w:bookmarkEnd w:id="31"/>
      <w:r>
        <w:rPr>
          <w:rFonts w:hint="eastAsia" w:ascii="宋体" w:hAnsi="宋体" w:eastAsia="宋体" w:cs="楷体"/>
          <w:color w:val="auto"/>
          <w:sz w:val="24"/>
          <w:szCs w:val="28"/>
          <w:highlight w:val="none"/>
        </w:rPr>
        <w:t xml:space="preserve">提交投标文件截止时间、开标时间和地点</w:t>
      </w:r>
      <w:r/>
    </w:p>
    <w:p>
      <w:pPr>
        <w:ind w:firstLine="480"/>
        <w:spacing w:line="360" w:lineRule="auto"/>
        <w:rPr>
          <w:rFonts w:ascii="宋体" w:hAnsi="宋体" w:eastAsia="宋体" w:cs="楷体"/>
          <w:bCs/>
          <w:color w:val="auto"/>
          <w:sz w:val="24"/>
          <w:szCs w:val="28"/>
          <w:highlight w:val="none"/>
          <w:u w:val="single"/>
        </w:rPr>
      </w:pPr>
      <w:r>
        <w:rPr>
          <w:rFonts w:hint="eastAsia" w:ascii="宋体" w:hAnsi="宋体" w:eastAsia="宋体" w:cs="楷体"/>
          <w:bCs/>
          <w:color w:val="auto"/>
          <w:sz w:val="24"/>
          <w:szCs w:val="28"/>
          <w:highlight w:val="none"/>
        </w:rPr>
        <w:t xml:space="preserve">提交截止时间及开标时间：202</w:t>
      </w:r>
      <w:r>
        <w:rPr>
          <w:rFonts w:hint="eastAsia" w:ascii="宋体" w:hAnsi="宋体" w:eastAsia="宋体" w:cs="楷体"/>
          <w:bCs/>
          <w:color w:val="auto"/>
          <w:sz w:val="24"/>
          <w:szCs w:val="28"/>
          <w:highlight w:val="none"/>
          <w:lang w:val="en-US" w:eastAsia="zh-CN"/>
        </w:rPr>
        <w:t xml:space="preserve">6</w:t>
      </w:r>
      <w:r>
        <w:rPr>
          <w:rFonts w:hint="eastAsia" w:ascii="宋体" w:hAnsi="宋体" w:eastAsia="宋体" w:cs="楷体"/>
          <w:bCs/>
          <w:color w:val="auto"/>
          <w:sz w:val="24"/>
          <w:szCs w:val="28"/>
          <w:highlight w:val="none"/>
        </w:rPr>
        <w:t xml:space="preserve">年</w:t>
      </w:r>
      <w:r>
        <w:rPr>
          <w:rFonts w:hint="eastAsia" w:ascii="宋体" w:hAnsi="宋体" w:eastAsia="宋体" w:cs="楷体"/>
          <w:bCs/>
          <w:color w:val="auto"/>
          <w:sz w:val="24"/>
          <w:szCs w:val="28"/>
          <w:highlight w:val="none"/>
          <w:lang w:val="en-US" w:eastAsia="zh-CN"/>
        </w:rPr>
        <w:t xml:space="preserve">11</w:t>
      </w:r>
      <w:r>
        <w:rPr>
          <w:rFonts w:hint="eastAsia" w:ascii="宋体" w:hAnsi="宋体" w:eastAsia="宋体" w:cs="楷体"/>
          <w:bCs/>
          <w:color w:val="auto"/>
          <w:sz w:val="24"/>
          <w:szCs w:val="28"/>
          <w:highlight w:val="none"/>
        </w:rPr>
        <w:t xml:space="preserve">月</w:t>
      </w:r>
      <w:r>
        <w:rPr>
          <w:rFonts w:hint="eastAsia" w:ascii="宋体" w:hAnsi="宋体" w:eastAsia="宋体" w:cs="楷体"/>
          <w:bCs/>
          <w:color w:val="auto"/>
          <w:sz w:val="24"/>
          <w:szCs w:val="28"/>
          <w:highlight w:val="none"/>
          <w:lang w:val="en-US" w:eastAsia="zh-CN"/>
        </w:rPr>
        <w:t xml:space="preserve">5</w:t>
      </w:r>
      <w:r>
        <w:rPr>
          <w:rFonts w:hint="eastAsia" w:ascii="宋体" w:hAnsi="宋体" w:eastAsia="宋体" w:cs="楷体"/>
          <w:bCs/>
          <w:color w:val="auto"/>
          <w:sz w:val="24"/>
          <w:szCs w:val="28"/>
          <w:highlight w:val="none"/>
        </w:rPr>
        <w:t xml:space="preserve">日9点30分（北京时间）</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开标地点：</w:t>
      </w:r>
      <w:r>
        <w:rPr>
          <w:rFonts w:hint="eastAsia" w:ascii="宋体" w:hAnsi="宋体" w:eastAsia="宋体" w:cs="楷体"/>
          <w:color w:val="auto"/>
          <w:sz w:val="24"/>
          <w:szCs w:val="24"/>
          <w:highlight w:val="none"/>
        </w:rPr>
        <w:t xml:space="preserve">“苏采云”政府采购交易系统网上</w:t>
      </w:r>
      <w:r>
        <w:rPr>
          <w:rFonts w:hint="eastAsia" w:ascii="宋体" w:hAnsi="宋体" w:eastAsia="宋体" w:cs="楷体"/>
          <w:color w:val="auto"/>
          <w:szCs w:val="21"/>
          <w:highlight w:val="none"/>
        </w:rPr>
        <w:t xml:space="preserve">开标大厅</w:t>
      </w:r>
      <w:r/>
    </w:p>
    <w:p>
      <w:pPr>
        <w:ind w:firstLine="480"/>
        <w:keepLines/>
        <w:keepNext/>
        <w:spacing w:before="260" w:after="260" w:line="360" w:lineRule="auto"/>
        <w:rPr>
          <w:rFonts w:ascii="宋体" w:hAnsi="宋体" w:eastAsia="宋体" w:cs="楷体"/>
          <w:bCs/>
          <w:color w:val="auto"/>
          <w:sz w:val="24"/>
          <w:szCs w:val="28"/>
          <w:highlight w:val="none"/>
        </w:rPr>
        <w:outlineLvl w:val="1"/>
      </w:pPr>
      <w:r/>
      <w:bookmarkStart w:id="32" w:name="_Toc28359084"/>
      <w:r/>
      <w:bookmarkStart w:id="33" w:name="_Toc35393794"/>
      <w:r/>
      <w:bookmarkStart w:id="34" w:name="_Toc35393625"/>
      <w:r/>
      <w:bookmarkStart w:id="35" w:name="_Toc28359007"/>
      <w:r>
        <w:rPr>
          <w:rFonts w:hint="eastAsia" w:ascii="宋体" w:hAnsi="宋体" w:eastAsia="宋体" w:cs="楷体"/>
          <w:bCs/>
          <w:color w:val="auto"/>
          <w:sz w:val="24"/>
          <w:szCs w:val="28"/>
          <w:highlight w:val="none"/>
        </w:rPr>
        <w:t xml:space="preserve">五、公告期限</w:t>
      </w:r>
      <w:bookmarkEnd w:id="32"/>
      <w:r/>
      <w:bookmarkEnd w:id="33"/>
      <w:r/>
      <w:bookmarkEnd w:id="34"/>
      <w:r/>
      <w:bookmarkEnd w:id="35"/>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自本公告发布之日起5个工作日。</w:t>
      </w:r>
      <w:r/>
    </w:p>
    <w:p>
      <w:pPr>
        <w:ind w:firstLine="480"/>
        <w:keepLines/>
        <w:keepNext/>
        <w:spacing w:before="260" w:after="260" w:line="360" w:lineRule="auto"/>
        <w:rPr>
          <w:rFonts w:ascii="宋体" w:hAnsi="宋体" w:eastAsia="宋体" w:cs="楷体"/>
          <w:color w:val="auto"/>
          <w:sz w:val="24"/>
          <w:szCs w:val="28"/>
          <w:highlight w:val="none"/>
        </w:rPr>
        <w:outlineLvl w:val="1"/>
      </w:pPr>
      <w:r/>
      <w:bookmarkStart w:id="36" w:name="_Toc35393626"/>
      <w:r/>
      <w:bookmarkStart w:id="37" w:name="_Toc35393795"/>
      <w:r>
        <w:rPr>
          <w:rFonts w:hint="eastAsia" w:ascii="宋体" w:hAnsi="宋体" w:eastAsia="宋体" w:cs="楷体"/>
          <w:color w:val="auto"/>
          <w:sz w:val="24"/>
          <w:szCs w:val="28"/>
          <w:highlight w:val="none"/>
        </w:rPr>
        <w:t xml:space="preserve">六、其他补充事宜</w:t>
      </w:r>
      <w:bookmarkEnd w:id="36"/>
      <w:r/>
      <w:bookmarkEnd w:id="37"/>
      <w:r/>
      <w:r/>
    </w:p>
    <w:p>
      <w:pPr>
        <w:ind w:firstLine="480"/>
        <w:jc w:val="left"/>
        <w:spacing w:line="360" w:lineRule="auto"/>
        <w:widowControl/>
        <w:rPr>
          <w:rFonts w:ascii="宋体" w:hAnsi="宋体" w:eastAsia="宋体" w:cs="楷体"/>
          <w:color w:val="auto"/>
          <w:sz w:val="24"/>
          <w:szCs w:val="24"/>
          <w:highlight w:val="none"/>
        </w:rPr>
      </w:pPr>
      <w:r/>
      <w:bookmarkStart w:id="38" w:name="_Toc35393627"/>
      <w:r/>
      <w:bookmarkStart w:id="39" w:name="_Toc28359008"/>
      <w:r/>
      <w:bookmarkStart w:id="40" w:name="_Toc28359085"/>
      <w:r/>
      <w:bookmarkStart w:id="41" w:name="_Toc35393796"/>
      <w:r>
        <w:rPr>
          <w:rFonts w:hint="eastAsia" w:ascii="宋体" w:hAnsi="宋体" w:eastAsia="宋体" w:cs="楷体"/>
          <w:color w:val="auto"/>
          <w:sz w:val="24"/>
          <w:szCs w:val="24"/>
          <w:highlight w:val="none"/>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auto"/>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5.有关本次招标的事项若存在变动或修改，敬请及时关注江苏政府采购网的更正公告。</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6.本次招标不收取投标保证金。</w:t>
      </w:r>
      <w:r/>
    </w:p>
    <w:p>
      <w:pPr>
        <w:ind w:firstLine="320"/>
        <w:jc w:val="center"/>
        <w:spacing w:line="360" w:lineRule="auto"/>
        <w:rPr>
          <w:rFonts w:ascii="宋体" w:hAnsi="宋体" w:eastAsia="宋体" w:cs="楷体"/>
          <w:vanish/>
          <w:color w:val="auto"/>
          <w:sz w:val="16"/>
          <w:szCs w:val="24"/>
          <w:highlight w:val="none"/>
        </w:rPr>
        <w:pBdr>
          <w:top w:val="single" w:color="000000" w:sz="6" w:space="1"/>
        </w:pBdr>
      </w:pPr>
      <w:r>
        <w:rPr>
          <w:rFonts w:hint="eastAsia" w:ascii="宋体" w:hAnsi="宋体" w:eastAsia="宋体" w:cs="楷体"/>
          <w:vanish/>
          <w:color w:val="auto"/>
          <w:sz w:val="16"/>
          <w:szCs w:val="24"/>
          <w:highlight w:val="none"/>
        </w:rPr>
        <w:t xml:space="preserve">窗体底端</w:t>
      </w:r>
      <w:r/>
    </w:p>
    <w:p>
      <w:pPr>
        <w:ind w:firstLine="480"/>
        <w:jc w:val="left"/>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七、对本次招标提出询问，请按以下方式联系。</w:t>
      </w:r>
      <w:bookmarkEnd w:id="38"/>
      <w:r/>
      <w:bookmarkEnd w:id="39"/>
      <w:r/>
      <w:bookmarkEnd w:id="40"/>
      <w:r/>
      <w:bookmarkEnd w:id="41"/>
      <w:r/>
      <w:r/>
    </w:p>
    <w:p>
      <w:pPr>
        <w:ind w:firstLine="42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1.采购人信息</w:t>
      </w:r>
      <w:r/>
    </w:p>
    <w:p>
      <w:pPr>
        <w:ind w:firstLine="42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名 称：</w:t>
      </w:r>
      <w:r>
        <w:rPr>
          <w:rFonts w:hint="eastAsia" w:ascii="宋体" w:hAnsi="宋体" w:cs="楷体"/>
          <w:color w:val="auto"/>
          <w:sz w:val="24"/>
          <w:szCs w:val="28"/>
          <w:highlight w:val="none"/>
          <w:lang w:val="en-US" w:eastAsia="zh-CN"/>
        </w:rPr>
        <w:t xml:space="preserve">丹阳</w:t>
      </w:r>
      <w:r>
        <w:rPr>
          <w:rFonts w:hint="eastAsia" w:ascii="宋体" w:hAnsi="宋体" w:cs="楷体"/>
          <w:color w:val="auto"/>
          <w:sz w:val="24"/>
          <w:szCs w:val="28"/>
          <w:highlight w:val="none"/>
        </w:rPr>
        <w:t xml:space="preserve">市住房和城乡建设局</w:t>
      </w:r>
      <w:r/>
    </w:p>
    <w:p>
      <w:pPr>
        <w:ind w:firstLine="42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地 址：丹阳市东门外大街39号</w:t>
      </w:r>
      <w:r/>
    </w:p>
    <w:p>
      <w:pPr>
        <w:ind w:firstLine="42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联系人：徐杏平</w:t>
      </w:r>
      <w:r/>
    </w:p>
    <w:p>
      <w:pPr>
        <w:ind w:firstLine="42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联系方式：0511-88031639</w:t>
      </w:r>
      <w:r/>
    </w:p>
    <w:p>
      <w:pPr>
        <w:ind w:firstLine="42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2.采购代理机构信息</w:t>
      </w:r>
      <w:r/>
    </w:p>
    <w:p>
      <w:pPr>
        <w:ind w:firstLine="420"/>
        <w:spacing w:line="360" w:lineRule="auto"/>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名 称：丹阳市政府采购中心</w:t>
      </w:r>
      <w:r/>
    </w:p>
    <w:p>
      <w:pPr>
        <w:ind w:firstLine="42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地 址：丹阳市开发区兰陵路88号4楼404室</w:t>
      </w:r>
      <w:r/>
    </w:p>
    <w:p>
      <w:pPr>
        <w:ind w:firstLine="42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联系方式：0511-86906230</w:t>
      </w:r>
      <w:r/>
    </w:p>
    <w:p>
      <w:pPr>
        <w:ind w:firstLine="42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3.项目联系方式</w:t>
      </w:r>
      <w:r/>
    </w:p>
    <w:p>
      <w:pPr>
        <w:ind w:firstLine="42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项目联系人：程</w:t>
      </w:r>
      <w:r>
        <w:rPr>
          <w:rFonts w:ascii="宋体" w:hAnsi="宋体" w:cs="楷体"/>
          <w:color w:val="auto"/>
          <w:sz w:val="24"/>
          <w:szCs w:val="28"/>
          <w:highlight w:val="none"/>
        </w:rPr>
        <w:t xml:space="preserve">宽</w:t>
      </w:r>
      <w:r/>
    </w:p>
    <w:p>
      <w:pPr>
        <w:ind w:firstLine="42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电 话：0511-86906230</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第二部分    投标人须知</w:t>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前附表</w:t>
      </w:r>
      <w:r/>
    </w:p>
    <w:tbl>
      <w:tblPr>
        <w:tblStyle w:val="6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689"/>
        <w:gridCol w:w="8488"/>
      </w:tblGrid>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序号</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事项</w:t>
            </w:r>
            <w:r/>
          </w:p>
        </w:tc>
        <w:tc>
          <w:tcPr>
            <w:tcW w:w="3540"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本项目规定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报价要求</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本次投标报价的币种为人民币。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投标人应按招标文件所提供的各报价表格式报价。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投标人应对本项目报出最具有竞争力的价格，应包括本次招标要求提供的货物（服务）已支付或将支付的所有费用（含税费）。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最低投标报价不能作为中标的保证。</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中标价即为合同签约价。</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如出现报价前后不一致的，将按招标文件第五部分“评标办法和标准”第5项规定进行修正。</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转包及分包</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项目依法不得转包</w:t>
            </w:r>
            <w:r/>
          </w:p>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本项目不同意分包。</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楷体"/>
                <w:color w:val="auto"/>
                <w:sz w:val="24"/>
                <w:szCs w:val="24"/>
                <w:highlight w:val="none"/>
              </w:rPr>
              <w:t xml:space="preserve">（</w:t>
            </w:r>
            <w:r>
              <w:rPr>
                <w:rFonts w:hint="eastAsia" w:ascii="宋体" w:hAnsi="宋体" w:eastAsia="宋体" w:cs="楷体"/>
                <w:i/>
                <w:iCs/>
                <w:color w:val="auto"/>
                <w:sz w:val="24"/>
                <w:szCs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开标前答疑会</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不组织</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联系人：联系方式：</w:t>
            </w:r>
            <w:r/>
          </w:p>
          <w:p>
            <w:pPr>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现场踏勘</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不统一组织,如需现场踏勘，可自行联系采购人前往。</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统一组织</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时间：</w:t>
            </w:r>
            <w:r/>
          </w:p>
          <w:p>
            <w:pPr>
              <w:spacing w:line="360" w:lineRule="auto"/>
              <w:rPr>
                <w:rFonts w:hint="default"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地点：</w:t>
            </w:r>
            <w:r/>
          </w:p>
          <w:p>
            <w:pPr>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val="en-US" w:eastAsia="zh-CN"/>
              </w:rPr>
              <w:t xml:space="preserve">XXXX </w:t>
            </w:r>
            <w:r>
              <w:rPr>
                <w:rFonts w:hint="eastAsia" w:ascii="宋体" w:hAnsi="宋体" w:eastAsia="宋体" w:cs="楷体"/>
                <w:color w:val="auto"/>
                <w:sz w:val="24"/>
                <w:szCs w:val="24"/>
                <w:highlight w:val="none"/>
              </w:rPr>
              <w:t xml:space="preserve"> 联系方式：</w:t>
            </w:r>
            <w:r>
              <w:rPr>
                <w:rFonts w:hint="eastAsia" w:ascii="宋体" w:hAnsi="宋体" w:eastAsia="宋体" w:cs="楷体"/>
                <w:color w:val="auto"/>
                <w:sz w:val="24"/>
                <w:szCs w:val="24"/>
                <w:highlight w:val="none"/>
                <w:lang w:eastAsia="zh-CN"/>
              </w:rPr>
              <w:t xml:space="preserve">0511-XXXXXX</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rHeight w:val="1366"/>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演示</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无</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color w:val="auto"/>
                <w:sz w:val="24"/>
                <w:szCs w:val="24"/>
                <w:highlight w:val="none"/>
                <w:u w:val="single"/>
              </w:rPr>
              <w:t xml:space="preserve">视频以压缩形式进行上传，单个视频上限50M，整体上限300M。</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样品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不要求提供。</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要求提供（</w:t>
            </w:r>
            <w:r>
              <w:rPr>
                <w:rFonts w:hint="eastAsia" w:ascii="宋体" w:hAnsi="宋体" w:eastAsia="宋体" w:cs="楷体"/>
                <w:i/>
                <w:iCs/>
                <w:color w:val="auto"/>
                <w:sz w:val="24"/>
                <w:szCs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楷体"/>
                <w:color w:val="auto"/>
                <w:sz w:val="24"/>
                <w:szCs w:val="24"/>
                <w:highlight w:val="none"/>
              </w:rPr>
              <w:t xml:space="preserve">）</w:t>
            </w:r>
            <w:r/>
          </w:p>
          <w:p>
            <w:pPr>
              <w:rPr>
                <w:rFonts w:hint="eastAsia" w:ascii="宋体" w:hAnsi="宋体" w:eastAsia="宋体" w:cs="楷体"/>
                <w:b/>
                <w:bCs/>
                <w:color w:val="auto"/>
                <w:sz w:val="24"/>
                <w:szCs w:val="24"/>
                <w:highlight w:val="none"/>
              </w:rPr>
            </w:pPr>
            <w:r>
              <w:rPr>
                <w:rFonts w:hint="eastAsia" w:ascii="宋体" w:hAnsi="宋体" w:eastAsia="宋体" w:cs="楷体"/>
                <w:color w:val="auto"/>
                <w:sz w:val="24"/>
                <w:szCs w:val="24"/>
                <w:highlight w:val="none"/>
              </w:rPr>
              <w:t xml:space="preserve">（1）样品：</w:t>
            </w:r>
            <w:r>
              <w:rPr>
                <w:rFonts w:hint="eastAsia" w:ascii="宋体" w:hAnsi="宋体" w:eastAsia="宋体" w:cs="楷体"/>
                <w:color w:val="auto"/>
                <w:sz w:val="24"/>
                <w:szCs w:val="24"/>
                <w:highlight w:val="none"/>
                <w:lang w:eastAsia="zh-CN"/>
              </w:rPr>
              <w:t xml:space="preserve">；</w:t>
            </w:r>
            <w:r/>
          </w:p>
          <w:p>
            <w:pPr>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（2）样品制作的标准和要求：</w:t>
            </w:r>
            <w:r>
              <w:rPr>
                <w:rFonts w:hint="eastAsia" w:ascii="宋体" w:hAnsi="宋体" w:eastAsia="宋体" w:cs="楷体"/>
                <w:color w:val="auto"/>
                <w:sz w:val="24"/>
                <w:szCs w:val="24"/>
                <w:highlight w:val="none"/>
                <w:lang w:eastAsia="zh-CN"/>
              </w:rPr>
              <w:t xml:space="preserve">详见采购需求</w:t>
            </w:r>
            <w:r>
              <w:rPr>
                <w:rFonts w:hint="eastAsia" w:ascii="宋体" w:hAnsi="宋体" w:eastAsia="宋体" w:cs="楷体"/>
                <w:color w:val="auto"/>
                <w:sz w:val="24"/>
                <w:szCs w:val="24"/>
                <w:highlight w:val="none"/>
              </w:rPr>
              <w:t xml:space="preserve">；</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（3）样品的评审方法以及评审标准：详见评标办法；</w:t>
            </w:r>
            <w:r/>
          </w:p>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（4）是否需要随样品提交检测报告：</w:t>
            </w: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否；</w:t>
            </w: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是，检测机构的要求：无；检测内容：无。</w:t>
            </w:r>
            <w:r/>
          </w:p>
          <w:p>
            <w:pPr>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（5）提供样品的时间：</w:t>
            </w:r>
            <w:r>
              <w:rPr>
                <w:rFonts w:hint="eastAsia" w:ascii="宋体" w:hAnsi="宋体" w:eastAsia="宋体" w:cs="宋体"/>
                <w:b/>
                <w:bCs/>
                <w:color w:val="auto"/>
                <w:sz w:val="21"/>
                <w:szCs w:val="21"/>
                <w:highlight w:val="none"/>
                <w:lang w:val="en-US" w:eastAsia="zh-CN"/>
              </w:rPr>
              <w:t xml:space="preserve">XXXX</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月</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日</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XX</w:t>
            </w:r>
            <w:r>
              <w:rPr>
                <w:rFonts w:hint="eastAsia" w:ascii="宋体" w:hAnsi="宋体" w:eastAsia="宋体" w:cs="宋体"/>
                <w:b/>
                <w:bCs/>
                <w:color w:val="auto"/>
                <w:sz w:val="21"/>
                <w:szCs w:val="21"/>
                <w:highlight w:val="none"/>
              </w:rPr>
              <w:t xml:space="preserve">；地点：；联系人：，联系电话：</w:t>
            </w:r>
            <w:r>
              <w:rPr>
                <w:rFonts w:hint="eastAsia" w:ascii="宋体" w:hAnsi="宋体" w:eastAsia="宋体" w:cs="宋体"/>
                <w:b/>
                <w:bCs/>
                <w:color w:val="auto"/>
                <w:sz w:val="21"/>
                <w:szCs w:val="21"/>
                <w:highlight w:val="none"/>
                <w:lang w:val="en-US" w:eastAsia="zh-CN"/>
              </w:rPr>
              <w:t xml:space="preserve">0511-86906230</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请投标人在上述时间内提供样品并按规定位置安装完毕。超过截止时间的，采购人或采购代理机构将不予接收及安装，并将清场并封闭样品现场。</w:t>
            </w:r>
            <w:r/>
          </w:p>
          <w:p>
            <w:pPr>
              <w:rPr>
                <w:rFonts w:ascii="宋体" w:hAnsi="宋体" w:eastAsia="宋体" w:cs="楷体"/>
                <w:color w:val="auto"/>
                <w:sz w:val="24"/>
                <w:szCs w:val="24"/>
                <w:highlight w:val="none"/>
              </w:rPr>
            </w:pPr>
            <w:r>
              <w:rPr>
                <w:rFonts w:ascii="宋体" w:hAnsi="宋体" w:eastAsia="宋体" w:cs="楷体"/>
                <w:color w:val="auto"/>
                <w:sz w:val="24"/>
                <w:szCs w:val="24"/>
                <w:highlight w:val="none"/>
              </w:rPr>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是否允许采购进口产品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ascii="Segoe UI Symbol" w:hAnsi="Segoe UI Symbol" w:eastAsia="宋体" w:cs="Segoe UI Symbol"/>
                <w:color w:val="auto"/>
                <w:spacing w:val="1"/>
                <w:sz w:val="24"/>
                <w:szCs w:val="24"/>
                <w:highlight w:val="none"/>
              </w:rPr>
              <w:t xml:space="preserve">☑</w:t>
            </w:r>
            <w:r>
              <w:rPr>
                <w:rFonts w:hint="eastAsia" w:ascii="宋体" w:hAnsi="宋体" w:eastAsia="宋体" w:cs="楷体"/>
                <w:color w:val="auto"/>
                <w:sz w:val="24"/>
                <w:szCs w:val="24"/>
                <w:highlight w:val="none"/>
              </w:rPr>
              <w:t xml:space="preserve">本项目不允许采购进口产品。</w:t>
            </w:r>
            <w:r/>
          </w:p>
          <w:p>
            <w:pPr>
              <w:rPr>
                <w:rFonts w:ascii="宋体" w:hAnsi="宋体" w:eastAsia="宋体" w:cs="楷体"/>
                <w:color w:val="auto"/>
                <w:sz w:val="24"/>
                <w:szCs w:val="24"/>
                <w:highlight w:val="none"/>
              </w:rPr>
            </w:pPr>
            <w:r>
              <w:rPr>
                <w:rFonts w:hint="eastAsia" w:ascii="宋体" w:hAnsi="宋体" w:eastAsia="宋体" w:cs="宋体"/>
                <w:color w:val="auto"/>
                <w:spacing w:val="-1"/>
                <w:sz w:val="24"/>
                <w:szCs w:val="24"/>
                <w:highlight w:val="none"/>
              </w:rPr>
              <w:t xml:space="preserve">□</w:t>
            </w:r>
            <w:r>
              <w:rPr>
                <w:rFonts w:hint="eastAsia" w:ascii="宋体" w:hAnsi="宋体" w:eastAsia="宋体" w:cs="楷体"/>
                <w:color w:val="auto"/>
                <w:sz w:val="24"/>
                <w:szCs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项目属性与核心产品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货物类。</w:t>
            </w:r>
            <w:r/>
          </w:p>
          <w:p>
            <w:pPr>
              <w:rPr>
                <w:rFonts w:ascii="宋体" w:hAnsi="宋体" w:eastAsia="宋体" w:cs="楷体"/>
                <w:color w:val="auto"/>
                <w:sz w:val="24"/>
                <w:szCs w:val="24"/>
                <w:highlight w:val="none"/>
              </w:rPr>
            </w:pPr>
            <w:r>
              <w:rPr>
                <w:rFonts w:hint="eastAsia" w:ascii="Segoe UI Symbol" w:hAnsi="Segoe UI Symbol" w:eastAsia="宋体" w:cs="Segoe UI Symbol"/>
                <w:color w:val="auto"/>
                <w:spacing w:val="1"/>
                <w:sz w:val="24"/>
                <w:szCs w:val="24"/>
                <w:highlight w:val="none"/>
                <w:lang w:eastAsia="zh-CN"/>
              </w:rPr>
              <w:t xml:space="preserve">☑</w:t>
            </w:r>
            <w:r>
              <w:rPr>
                <w:rFonts w:hint="eastAsia" w:ascii="宋体" w:hAnsi="宋体" w:eastAsia="宋体" w:cs="楷体"/>
                <w:color w:val="auto"/>
                <w:sz w:val="24"/>
                <w:szCs w:val="24"/>
                <w:highlight w:val="none"/>
              </w:rPr>
              <w:t xml:space="preserve">服务类。</w:t>
            </w:r>
            <w:r/>
          </w:p>
          <w:p>
            <w:pPr>
              <w:rPr>
                <w:rFonts w:hint="default" w:ascii="宋体" w:hAnsi="宋体" w:eastAsia="宋体" w:cs="楷体"/>
                <w:color w:val="auto"/>
                <w:sz w:val="24"/>
                <w:szCs w:val="24"/>
                <w:highlight w:val="none"/>
                <w:lang w:val="en-US" w:eastAsia="zh-CN"/>
              </w:rPr>
            </w:pPr>
            <w:r>
              <w:rPr>
                <w:rFonts w:hint="eastAsia" w:ascii="宋体" w:hAnsi="宋体" w:eastAsia="宋体" w:cs="楷体"/>
                <w:color w:val="auto"/>
                <w:sz w:val="24"/>
                <w:szCs w:val="24"/>
                <w:highlight w:val="none"/>
              </w:rPr>
              <w:t xml:space="preserve">本项目</w:t>
            </w:r>
            <w:bookmarkStart w:id="42" w:name="OLE_LINK49"/>
            <w:r>
              <w:rPr>
                <w:rFonts w:hint="eastAsia" w:ascii="宋体" w:hAnsi="宋体" w:eastAsia="宋体" w:cs="楷体"/>
                <w:color w:val="auto"/>
                <w:sz w:val="24"/>
                <w:szCs w:val="24"/>
                <w:highlight w:val="none"/>
              </w:rPr>
              <w:t xml:space="preserve">核心产品</w:t>
            </w:r>
            <w:bookmarkEnd w:id="42"/>
            <w:r>
              <w:rPr>
                <w:rFonts w:hint="eastAsia" w:ascii="宋体" w:hAnsi="宋体" w:eastAsia="宋体" w:cs="楷体"/>
                <w:color w:val="auto"/>
                <w:sz w:val="24"/>
                <w:szCs w:val="24"/>
                <w:highlight w:val="none"/>
              </w:rPr>
              <w:t xml:space="preserve">为：</w:t>
            </w:r>
            <w:r>
              <w:rPr>
                <w:rFonts w:hint="eastAsia" w:ascii="宋体" w:hAnsi="宋体" w:eastAsia="宋体" w:cs="楷体"/>
                <w:color w:val="auto"/>
                <w:sz w:val="24"/>
                <w:szCs w:val="24"/>
                <w:highlight w:val="none"/>
                <w:u w:val="single"/>
                <w:lang w:val="en-US" w:eastAsia="zh-CN"/>
              </w:rPr>
              <w:t xml:space="preserve">丹阳</w:t>
            </w:r>
            <w:r>
              <w:rPr>
                <w:rFonts w:ascii="宋体" w:hAnsi="宋体" w:eastAsia="宋体" w:cs="宋体"/>
                <w:color w:val="auto"/>
                <w:sz w:val="24"/>
                <w:u w:val="single"/>
              </w:rPr>
              <w:t xml:space="preserve">市城市生命线安全工程监管应用系统软件开发服务</w:t>
            </w:r>
            <w:r>
              <w:rPr>
                <w:rFonts w:hint="eastAsia" w:ascii="宋体" w:hAnsi="宋体" w:eastAsia="宋体" w:cs="楷体"/>
                <w:color w:val="auto"/>
                <w:sz w:val="24"/>
                <w:szCs w:val="24"/>
                <w:highlight w:val="none"/>
                <w:u w:val="single"/>
                <w:lang w:val="en-US" w:eastAsia="zh-CN"/>
              </w:rPr>
              <w:t xml:space="preserve">        </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采购标的对应的中小企业划分标准所属行业</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宋体"/>
                <w:color w:val="auto"/>
                <w:sz w:val="24"/>
                <w:szCs w:val="24"/>
                <w:highlight w:val="none"/>
              </w:rPr>
              <w:t xml:space="preserve">标的：</w:t>
            </w:r>
            <w:r>
              <w:rPr>
                <w:rFonts w:ascii="宋体" w:hAnsi="宋体" w:eastAsia="宋体" w:cs="宋体"/>
                <w:color w:val="auto"/>
                <w:sz w:val="24"/>
                <w:u w:val="single"/>
              </w:rPr>
              <w:t xml:space="preserve"> 丹阳市城市生命线安全工程一期建设项目</w:t>
            </w:r>
            <w:r>
              <w:rPr>
                <w:rFonts w:ascii="宋体" w:hAnsi="宋体" w:eastAsia="宋体" w:cs="宋体"/>
                <w:color w:val="auto"/>
                <w:sz w:val="24"/>
              </w:rPr>
              <w:t xml:space="preserve">，属于</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u w:val="single"/>
              </w:rPr>
              <w:t xml:space="preserve">信息</w:t>
            </w:r>
            <w:r>
              <w:rPr>
                <w:rFonts w:hint="eastAsia" w:ascii="宋体" w:hAnsi="宋体" w:eastAsia="宋体" w:cs="宋体"/>
                <w:color w:val="auto"/>
                <w:sz w:val="24"/>
                <w:u w:val="single"/>
                <w:lang w:val="en-US" w:eastAsia="zh-CN"/>
              </w:rPr>
              <w:t xml:space="preserve">技术</w:t>
            </w:r>
            <w:r>
              <w:rPr>
                <w:rFonts w:hint="eastAsia" w:ascii="宋体" w:hAnsi="宋体" w:eastAsia="宋体" w:cs="宋体"/>
                <w:color w:val="auto"/>
                <w:sz w:val="24"/>
                <w:u w:val="single"/>
              </w:rPr>
              <w:t xml:space="preserve">服务‌</w:t>
            </w:r>
            <w:r>
              <w:rPr>
                <w:rFonts w:ascii="宋体" w:hAnsi="宋体" w:eastAsia="宋体" w:cs="宋体"/>
                <w:color w:val="auto"/>
                <w:sz w:val="24"/>
                <w:u w:val="single"/>
              </w:rPr>
              <w:t xml:space="preserve"> </w:t>
            </w:r>
            <w:r>
              <w:rPr>
                <w:rFonts w:ascii="宋体" w:hAnsi="宋体" w:eastAsia="宋体" w:cs="宋体"/>
                <w:color w:val="auto"/>
                <w:sz w:val="24"/>
              </w:rPr>
              <w:t xml:space="preserve">行业。</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节能产品、环境标志产品</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中小企业信用融资</w:t>
            </w:r>
            <w:r/>
          </w:p>
        </w:tc>
        <w:tc>
          <w:tcPr>
            <w:tcW w:w="3540" w:type="pct"/>
            <w:vAlign w:val="center"/>
            <w:textDirection w:val="lrTb"/>
            <w:noWrap w:val="false"/>
          </w:tcPr>
          <w:p>
            <w:pP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楷体"/>
                <w:color w:val="auto"/>
                <w:sz w:val="24"/>
                <w:szCs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楷体"/>
                <w:color w:val="auto"/>
                <w:sz w:val="24"/>
                <w:szCs w:val="24"/>
                <w:highlight w:val="none"/>
              </w:rPr>
              <w:t xml:space="preserve">，</w:t>
            </w:r>
            <w:bookmarkStart w:id="44" w:name="_Hlk136444446"/>
            <w:r>
              <w:rPr>
                <w:rFonts w:hint="eastAsia" w:ascii="宋体" w:hAnsi="宋体" w:eastAsia="宋体" w:cs="楷体"/>
                <w:color w:val="auto"/>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楷体"/>
                <w:color w:val="auto"/>
                <w:sz w:val="24"/>
                <w:szCs w:val="24"/>
                <w:highlight w:val="none"/>
              </w:rPr>
              <w:t xml:space="preserve">办理流程详见江苏政府采购网“政采贷”栏目，网址：http://www.ccgp-jiangsu.gov.cn/jiangsu/paying.html咨询电话：丹阳市财政局政府采购科0511-</w:t>
            </w:r>
            <w:r>
              <w:rPr>
                <w:rFonts w:ascii="宋体" w:hAnsi="宋体" w:eastAsia="宋体" w:cs="楷体"/>
                <w:color w:val="auto"/>
                <w:sz w:val="24"/>
                <w:szCs w:val="24"/>
                <w:highlight w:val="none"/>
              </w:rPr>
              <w:t xml:space="preserve">86521852</w:t>
            </w:r>
            <w:r>
              <w:rPr>
                <w:rFonts w:hint="eastAsia" w:ascii="宋体" w:hAnsi="宋体" w:eastAsia="宋体" w:cs="楷体"/>
                <w:color w:val="auto"/>
                <w:sz w:val="24"/>
                <w:szCs w:val="24"/>
                <w:highlight w:val="none"/>
              </w:rPr>
              <w:t xml:space="preserve">。</w:t>
            </w:r>
            <w:r/>
          </w:p>
        </w:tc>
      </w:tr>
      <w:tr>
        <w:trPr/>
        <w:tc>
          <w:tcPr>
            <w:tcW w:w="423"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w:t>
            </w:r>
            <w:r/>
          </w:p>
        </w:tc>
        <w:tc>
          <w:tcPr>
            <w:tcW w:w="1035" w:type="pct"/>
            <w:vAlign w:val="center"/>
            <w:textDirection w:val="lrTb"/>
            <w:noWrap w:val="false"/>
          </w:tcPr>
          <w:p>
            <w:pPr>
              <w:jc w:val="center"/>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特别说明</w:t>
            </w:r>
            <w:r/>
          </w:p>
        </w:tc>
        <w:tc>
          <w:tcPr>
            <w:tcW w:w="3540" w:type="pct"/>
            <w:vAlign w:val="center"/>
            <w:textDirection w:val="lrTb"/>
            <w:noWrap w:val="false"/>
          </w:tcPr>
          <w:p>
            <w:pPr>
              <w:rPr>
                <w:rFonts w:ascii="宋体" w:hAnsi="宋体" w:eastAsia="宋体" w:cs="楷体"/>
                <w:i/>
                <w:iCs/>
                <w:color w:val="auto"/>
                <w:sz w:val="24"/>
                <w:szCs w:val="24"/>
                <w:highlight w:val="none"/>
              </w:rPr>
            </w:pPr>
            <w:r>
              <w:rPr>
                <w:rFonts w:hint="eastAsia" w:ascii="宋体" w:hAnsi="宋体" w:eastAsia="宋体" w:cs="楷体"/>
                <w:i/>
                <w:iCs/>
                <w:color w:val="auto"/>
                <w:sz w:val="24"/>
                <w:szCs w:val="24"/>
                <w:highlight w:val="none"/>
              </w:rPr>
              <w:t xml:space="preserve">无</w:t>
            </w:r>
            <w:r/>
          </w:p>
        </w:tc>
      </w:tr>
    </w:tbl>
    <w:p>
      <w:pPr>
        <w:rPr>
          <w:rFonts w:ascii="宋体" w:hAnsi="宋体" w:eastAsia="宋体" w:cs="楷体"/>
          <w:color w:val="auto"/>
          <w:sz w:val="20"/>
          <w:szCs w:val="24"/>
          <w:highlight w:val="none"/>
        </w:rPr>
      </w:pPr>
      <w:r>
        <w:rPr>
          <w:rFonts w:ascii="宋体" w:hAnsi="宋体" w:eastAsia="宋体" w:cs="楷体"/>
          <w:color w:val="auto"/>
          <w:sz w:val="20"/>
          <w:szCs w:val="24"/>
          <w:highlight w:val="none"/>
        </w:rPr>
      </w:r>
      <w:r/>
    </w:p>
    <w:p>
      <w:pPr>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br w:type="page" w:clear="all"/>
      </w:r>
      <w:r>
        <w:rPr>
          <w:rFonts w:hint="eastAsia" w:ascii="宋体" w:hAnsi="宋体" w:eastAsia="宋体" w:cs="楷体"/>
          <w:b/>
          <w:color w:val="auto"/>
          <w:sz w:val="32"/>
          <w:szCs w:val="32"/>
          <w:highlight w:val="none"/>
        </w:rPr>
        <w:t xml:space="preserve">一、总  则</w:t>
      </w:r>
      <w:bookmarkEnd w:id="25"/>
      <w:r/>
      <w:bookmarkEnd w:id="26"/>
      <w:r/>
      <w:r/>
    </w:p>
    <w:p>
      <w:pPr>
        <w:ind w:firstLine="602"/>
        <w:spacing w:line="360" w:lineRule="auto"/>
        <w:rPr>
          <w:rFonts w:ascii="宋体" w:hAnsi="宋体" w:eastAsia="宋体" w:cs="楷体"/>
          <w:b/>
          <w:color w:val="auto"/>
          <w:sz w:val="30"/>
          <w:szCs w:val="20"/>
          <w:highlight w:val="none"/>
        </w:rPr>
        <w:outlineLvl w:val="2"/>
      </w:pPr>
      <w:r/>
      <w:bookmarkStart w:id="45" w:name="_Toc92168001"/>
      <w:r/>
      <w:bookmarkStart w:id="46" w:name="_Toc100386035"/>
      <w:r>
        <w:rPr>
          <w:rFonts w:hint="eastAsia" w:ascii="宋体" w:hAnsi="宋体" w:eastAsia="宋体" w:cs="楷体"/>
          <w:b/>
          <w:color w:val="auto"/>
          <w:sz w:val="30"/>
          <w:szCs w:val="20"/>
          <w:highlight w:val="none"/>
        </w:rPr>
        <w:t xml:space="preserve">1．适用范围</w:t>
      </w:r>
      <w:bookmarkEnd w:id="45"/>
      <w:r/>
      <w:bookmarkEnd w:id="46"/>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本招标文件仅适用于</w:t>
      </w:r>
      <w:r>
        <w:rPr>
          <w:rFonts w:hint="eastAsia" w:ascii="宋体" w:hAnsi="宋体" w:eastAsia="宋体" w:cs="楷体"/>
          <w:color w:val="auto"/>
          <w:sz w:val="24"/>
          <w:szCs w:val="28"/>
          <w:highlight w:val="none"/>
          <w:lang w:eastAsia="zh-CN"/>
        </w:rPr>
        <w:t xml:space="preserve">丹阳市城市生命线安全工程一期建设项目</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bookmarkStart w:id="47" w:name="_Toc92168002"/>
      <w:r/>
      <w:bookmarkStart w:id="48" w:name="_Toc100386036"/>
      <w:r>
        <w:rPr>
          <w:rFonts w:hint="eastAsia" w:ascii="宋体" w:hAnsi="宋体" w:eastAsia="宋体" w:cs="楷体"/>
          <w:b/>
          <w:color w:val="auto"/>
          <w:sz w:val="30"/>
          <w:szCs w:val="20"/>
          <w:highlight w:val="none"/>
        </w:rPr>
        <w:t xml:space="preserve">2．定义</w:t>
      </w:r>
      <w:bookmarkEnd w:id="47"/>
      <w:r/>
      <w:bookmarkEnd w:id="48"/>
      <w:r/>
      <w:r/>
    </w:p>
    <w:p>
      <w:pPr>
        <w:ind w:firstLine="480"/>
        <w:spacing w:line="360" w:lineRule="auto"/>
        <w:rPr>
          <w:rFonts w:ascii="宋体" w:hAnsi="宋体" w:eastAsia="宋体" w:cs="楷体"/>
          <w:color w:val="auto"/>
          <w:sz w:val="24"/>
          <w:szCs w:val="24"/>
          <w:highlight w:val="none"/>
        </w:rPr>
      </w:pPr>
      <w:r/>
      <w:bookmarkStart w:id="49" w:name="_Toc98669335"/>
      <w:r/>
      <w:bookmarkStart w:id="50" w:name="_Toc100386038"/>
      <w:r/>
      <w:bookmarkStart w:id="51" w:name="_Toc20732971"/>
      <w:r/>
      <w:bookmarkStart w:id="52" w:name="_Toc92168004"/>
      <w:r/>
      <w:bookmarkStart w:id="53" w:name="_Toc98669693"/>
      <w:r>
        <w:rPr>
          <w:rFonts w:hint="eastAsia" w:ascii="宋体" w:hAnsi="宋体" w:eastAsia="宋体" w:cs="楷体"/>
          <w:color w:val="auto"/>
          <w:sz w:val="24"/>
          <w:szCs w:val="24"/>
          <w:highlight w:val="none"/>
        </w:rPr>
        <w:t xml:space="preserve">招标文件中下列术语应解释为：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2.1“采购人”系指依法进行政府采购的国家机关、事业单位、团体组织，即：</w:t>
      </w:r>
      <w:r>
        <w:rPr>
          <w:rFonts w:hint="eastAsia" w:ascii="宋体" w:hAnsi="宋体" w:eastAsia="宋体" w:cs="楷体"/>
          <w:color w:val="auto"/>
          <w:sz w:val="24"/>
          <w:szCs w:val="24"/>
          <w:highlight w:val="none"/>
          <w:lang w:eastAsia="zh-CN"/>
        </w:rPr>
        <w:t xml:space="preserve">丹阳市住房和城乡建设局</w:t>
      </w:r>
      <w:r>
        <w:rPr>
          <w:rFonts w:hint="eastAsia" w:ascii="宋体" w:hAnsi="宋体" w:eastAsia="宋体" w:cs="楷体"/>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2.2“投标人”系指响应招标、参加投标竞争的法人、其他组织或者自然人。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2.3“采购代理机构”系指组织本次采购活动的单位，即：丹阳市政府采购中心。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w:t>
      </w:r>
      <w:r>
        <w:rPr>
          <w:rFonts w:ascii="宋体" w:hAnsi="宋体" w:eastAsia="宋体" w:cs="宋体"/>
          <w:color w:val="auto"/>
          <w:sz w:val="24"/>
        </w:rPr>
        <w:t xml:space="preserve">“服务”系指本招标文件所述采购标的，</w:t>
      </w:r>
      <w:r>
        <w:rPr>
          <w:rFonts w:ascii="宋体" w:hAnsi="宋体" w:eastAsia="宋体" w:cs="宋体"/>
          <w:color w:val="auto"/>
          <w:sz w:val="24"/>
          <w:u w:val="none"/>
        </w:rPr>
        <w:t xml:space="preserve">即软件开发、安装调试、集成服务、技术指导、培训、</w:t>
      </w:r>
      <w:r>
        <w:rPr>
          <w:rFonts w:ascii="宋体" w:hAnsi="宋体" w:eastAsia="宋体" w:cs="宋体"/>
          <w:color w:val="auto"/>
          <w:sz w:val="24"/>
          <w:highlight w:val="none"/>
          <w:u w:val="none"/>
        </w:rPr>
        <w:t xml:space="preserve">维护、升级以及其它的伴随服务，服务亦包括招标文件中特别描述的其它形式的服务。</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楷体"/>
          <w:color w:val="auto"/>
          <w:sz w:val="24"/>
          <w:szCs w:val="24"/>
          <w:highlight w:val="none"/>
        </w:rPr>
        <w:t xml:space="preserve">2.5</w:t>
      </w:r>
      <w:r>
        <w:rPr>
          <w:rFonts w:ascii="宋体" w:hAnsi="宋体" w:eastAsia="宋体" w:cs="宋体"/>
          <w:color w:val="auto"/>
          <w:sz w:val="24"/>
          <w:highlight w:val="none"/>
        </w:rPr>
        <w:t xml:space="preserve">“货物”系指本招标文件所述采购标的涉及的各种形态和种类的物品，即：</w:t>
      </w:r>
      <w:r>
        <w:rPr>
          <w:rFonts w:ascii="宋体" w:hAnsi="宋体" w:eastAsia="宋体" w:cs="宋体"/>
          <w:color w:val="auto"/>
          <w:sz w:val="24"/>
          <w:highlight w:val="none"/>
          <w:u w:val="none"/>
        </w:rPr>
        <w:t xml:space="preserve">本项目涉及的软硬件设</w:t>
      </w:r>
      <w:r>
        <w:rPr>
          <w:rFonts w:ascii="宋体" w:hAnsi="宋体" w:eastAsia="宋体" w:cs="宋体"/>
          <w:color w:val="auto"/>
          <w:sz w:val="24"/>
          <w:u w:val="none"/>
        </w:rPr>
        <w:t xml:space="preserve">备、材料、配件、工具、成套技术资料及手册</w:t>
      </w:r>
      <w:r>
        <w:rPr>
          <w:rFonts w:ascii="宋体" w:hAnsi="宋体" w:eastAsia="宋体" w:cs="宋体"/>
          <w:color w:val="auto"/>
          <w:sz w:val="24"/>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”系指适用本项目的要求。“</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”系指不适用本项目的要求。</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3．采购方式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 本次采购采取公开招标方式</w:t>
      </w:r>
      <w:r>
        <w:rPr>
          <w:rFonts w:ascii="Segoe UI Symbol" w:hAnsi="Segoe UI Symbol" w:eastAsia="宋体" w:cs="Segoe UI Symbol"/>
          <w:color w:val="auto"/>
          <w:sz w:val="24"/>
          <w:szCs w:val="24"/>
          <w:highlight w:val="none"/>
        </w:rPr>
        <w:t xml:space="preserve">☑</w:t>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w:t>
      </w:r>
      <w:r/>
    </w:p>
    <w:p>
      <w:pPr>
        <w:ind w:firstLine="480"/>
        <w:spacing w:line="360" w:lineRule="auto"/>
        <w:rPr>
          <w:rFonts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3.2 本项目资格审查方式：</w:t>
      </w:r>
      <w:r>
        <w:rPr>
          <w:rFonts w:ascii="Segoe UI Symbol" w:hAnsi="Segoe UI Symbol" w:eastAsia="宋体" w:cs="Segoe UI Symbol"/>
          <w:color w:val="auto"/>
          <w:sz w:val="24"/>
          <w:szCs w:val="28"/>
          <w:highlight w:val="none"/>
        </w:rPr>
        <w:t xml:space="preserve">☑</w:t>
      </w:r>
      <w:r>
        <w:rPr>
          <w:rFonts w:hint="eastAsia" w:ascii="宋体" w:hAnsi="宋体" w:eastAsia="宋体" w:cs="宋体"/>
          <w:color w:val="auto"/>
          <w:sz w:val="24"/>
          <w:szCs w:val="28"/>
          <w:highlight w:val="none"/>
        </w:rPr>
        <w:t xml:space="preserve">资格后审</w:t>
      </w:r>
      <w:r>
        <w:rPr>
          <w:rFonts w:hint="eastAsia" w:ascii="宋体" w:hAnsi="宋体" w:eastAsia="宋体" w:cs="楷体"/>
          <w:color w:val="auto"/>
          <w:sz w:val="24"/>
          <w:szCs w:val="28"/>
          <w:highlight w:val="none"/>
        </w:rPr>
        <w:t xml:space="preserve"> □资格预审</w:t>
      </w:r>
      <w:r/>
    </w:p>
    <w:p>
      <w:pPr>
        <w:ind w:firstLine="480"/>
        <w:spacing w:line="360" w:lineRule="auto"/>
        <w:rPr>
          <w:rFonts w:hint="default" w:ascii="宋体" w:hAnsi="宋体" w:eastAsia="宋体" w:cs="楷体"/>
          <w:color w:val="auto"/>
          <w:sz w:val="24"/>
          <w:szCs w:val="28"/>
          <w:highlight w:val="none"/>
        </w:rPr>
      </w:pPr>
      <w:r>
        <w:rPr>
          <w:rFonts w:hint="eastAsia" w:ascii="宋体" w:hAnsi="宋体" w:eastAsia="宋体" w:cs="楷体"/>
          <w:color w:val="auto"/>
          <w:sz w:val="24"/>
          <w:szCs w:val="28"/>
          <w:highlight w:val="none"/>
        </w:rPr>
        <w:t xml:space="preserve">3.3 本次采购确定的中标人数量：1名</w:t>
      </w:r>
      <w:r>
        <w:rPr>
          <w:rFonts w:hint="eastAsia" w:ascii="宋体" w:hAnsi="宋体" w:eastAsia="宋体" w:cs="楷体"/>
          <w:color w:val="auto"/>
          <w:sz w:val="24"/>
          <w:szCs w:val="28"/>
          <w:highlight w:val="none"/>
          <w:lang w:val="en-US" w:eastAsia="zh-CN"/>
        </w:rPr>
        <w:t xml:space="preserve">。</w:t>
      </w:r>
      <w:r/>
    </w:p>
    <w:p>
      <w:pPr>
        <w:ind w:firstLine="602"/>
        <w:spacing w:before="260" w:after="26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4．投标费用</w:t>
      </w:r>
      <w:bookmarkEnd w:id="49"/>
      <w:r/>
      <w:bookmarkEnd w:id="50"/>
      <w:r/>
      <w:bookmarkEnd w:id="51"/>
      <w:r/>
      <w:bookmarkEnd w:id="52"/>
      <w:r/>
      <w:bookmarkEnd w:id="53"/>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4.1 投标人应自行承担所有与参加投标有关的费用</w:t>
      </w:r>
      <w:r>
        <w:rPr>
          <w:rFonts w:hint="eastAsia" w:ascii="宋体" w:hAnsi="宋体" w:eastAsia="宋体" w:cs="楷体"/>
          <w:b/>
          <w:color w:val="auto"/>
          <w:sz w:val="24"/>
          <w:szCs w:val="24"/>
          <w:highlight w:val="none"/>
        </w:rPr>
        <w:t xml:space="preserve">。</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4.2不论投标的结果如何，采购人和采购代理机构在任何情况下均无义务和责任承担上述费用。</w:t>
      </w:r>
      <w:r/>
    </w:p>
    <w:p>
      <w:pPr>
        <w:ind w:firstLine="602"/>
        <w:spacing w:before="200" w:after="200" w:line="360" w:lineRule="auto"/>
        <w:rPr>
          <w:rFonts w:ascii="宋体" w:hAnsi="宋体" w:eastAsia="宋体" w:cs="楷体"/>
          <w:b/>
          <w:color w:val="auto"/>
          <w:sz w:val="30"/>
          <w:szCs w:val="20"/>
          <w:highlight w:val="none"/>
        </w:rPr>
        <w:outlineLvl w:val="2"/>
      </w:pPr>
      <w:r/>
      <w:bookmarkStart w:id="54" w:name="_Toc20732973"/>
      <w:r/>
      <w:bookmarkStart w:id="55" w:name="_Toc98669694"/>
      <w:r/>
      <w:bookmarkStart w:id="56" w:name="_Toc100386039"/>
      <w:r/>
      <w:bookmarkStart w:id="57" w:name="_Toc98669336"/>
      <w:r/>
      <w:bookmarkStart w:id="58" w:name="_Toc92168005"/>
      <w:r>
        <w:rPr>
          <w:rFonts w:hint="eastAsia" w:ascii="宋体" w:hAnsi="宋体" w:eastAsia="宋体" w:cs="楷体"/>
          <w:b/>
          <w:color w:val="auto"/>
          <w:sz w:val="30"/>
          <w:szCs w:val="20"/>
          <w:highlight w:val="none"/>
        </w:rPr>
        <w:t xml:space="preserve">5．政策功能</w:t>
      </w:r>
      <w:bookmarkEnd w:id="54"/>
      <w:r/>
      <w:bookmarkEnd w:id="55"/>
      <w:r/>
      <w:bookmarkEnd w:id="56"/>
      <w:r/>
      <w:bookmarkEnd w:id="57"/>
      <w:r/>
      <w:bookmarkEnd w:id="58"/>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5.1支持中小企业发展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符合中小企业划分标准的个体工商户，在政府采购活动中视同中小企业。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5.1.2.2在工程采购项目中，工程由中小企业承建，即工程施工单位为中小企业；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5.1.3根据《政府采购促进中小企业发展管理办法》要求，对于未预留份额专门面向中小企业的政府采购货物或服务项目，以及预留份额政府采购货物或服务项目中的非预留部分，对小型和微型企业的投标报价给予10%的扣除，用扣除后的价格参与评审。接受大中型企业与小微企业组成联合体或者允许大中型企业向一家或者多家小微企业分包的政府采购货物或服务项目，对于联合协议或者分包意向</w:t>
      </w:r>
      <w:r>
        <w:rPr>
          <w:rFonts w:hint="eastAsia" w:ascii="宋体" w:hAnsi="宋体" w:eastAsia="宋体" w:cs="楷体"/>
          <w:color w:val="auto"/>
          <w:sz w:val="24"/>
          <w:szCs w:val="24"/>
          <w:highlight w:val="none"/>
        </w:rPr>
        <w:t xml:space="preserve">协议约定小型、微型企业的协议合同金额占到合同总金额30%以上的，给予联合体或大中型企业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5.2强制采购信息安全产品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5.3支持绿色发展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5.5支持创新发展</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5.6平等对待内外资企业和符合条件的破产重整企业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5.6.1平等对待内外资企业和符合条件的破产重整企业，切实保障企业公平竞争，平等维护企业的合法利益。</w:t>
      </w:r>
      <w:r/>
    </w:p>
    <w:p>
      <w:pPr>
        <w:ind w:firstLine="480"/>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二、招标文件</w:t>
      </w:r>
      <w:r/>
    </w:p>
    <w:p>
      <w:pPr>
        <w:ind w:firstLine="602"/>
        <w:spacing w:before="200" w:after="200" w:line="360" w:lineRule="auto"/>
        <w:rPr>
          <w:rFonts w:ascii="宋体" w:hAnsi="宋体" w:eastAsia="宋体" w:cs="楷体"/>
          <w:b/>
          <w:color w:val="auto"/>
          <w:sz w:val="30"/>
          <w:szCs w:val="20"/>
          <w:highlight w:val="none"/>
        </w:rPr>
        <w:outlineLvl w:val="2"/>
      </w:pPr>
      <w:r/>
      <w:bookmarkStart w:id="59" w:name="_Toc98669339"/>
      <w:r/>
      <w:bookmarkStart w:id="60" w:name="_Toc98669697"/>
      <w:r/>
      <w:bookmarkStart w:id="61" w:name="_Toc20732976"/>
      <w:r/>
      <w:bookmarkStart w:id="62" w:name="_Toc92168008"/>
      <w:r/>
      <w:bookmarkStart w:id="63" w:name="_Toc100386042"/>
      <w:r>
        <w:rPr>
          <w:rFonts w:hint="eastAsia" w:ascii="宋体" w:hAnsi="宋体" w:eastAsia="宋体" w:cs="楷体"/>
          <w:b/>
          <w:color w:val="auto"/>
          <w:sz w:val="30"/>
          <w:szCs w:val="20"/>
          <w:highlight w:val="none"/>
        </w:rPr>
        <w:t xml:space="preserve">6.招标文件组成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6.1 招标文件包括：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（1）投标邀请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（2）投标人须知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（3）拟签订的合同文本</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（4）采购需求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（5）评标办法和标准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（6）投标文件（格式）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6.2 投标人获取本文件后，应认真阅读本文件中所有的事项、格式条款和规范等要求。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6.3 </w:t>
      </w:r>
      <w:r>
        <w:rPr>
          <w:rFonts w:hint="eastAsia" w:ascii="宋体" w:hAnsi="宋体" w:eastAsia="宋体" w:cs="楷体"/>
          <w:b/>
          <w:color w:val="auto"/>
          <w:sz w:val="24"/>
          <w:szCs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楷体"/>
          <w:color w:val="auto"/>
          <w:sz w:val="24"/>
          <w:szCs w:val="24"/>
          <w:highlight w:val="none"/>
        </w:rPr>
        <w:t xml:space="preserve">。</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7．招标文件的澄清</w:t>
      </w:r>
      <w:bookmarkEnd w:id="59"/>
      <w:r/>
      <w:bookmarkEnd w:id="60"/>
      <w:r/>
      <w:bookmarkEnd w:id="61"/>
      <w:r/>
      <w:bookmarkEnd w:id="62"/>
      <w:r/>
      <w:bookmarkEnd w:id="63"/>
      <w:r/>
      <w:bookmarkStart w:id="64" w:name="_Toc100386043"/>
      <w:r/>
      <w:bookmarkStart w:id="65" w:name="_Toc98669340"/>
      <w:r/>
      <w:bookmarkStart w:id="66" w:name="_Toc20732977"/>
      <w:r/>
      <w:bookmarkStart w:id="67" w:name="_Toc92168009"/>
      <w:r/>
      <w:bookmarkStart w:id="68" w:name="_Toc98669698"/>
      <w:r>
        <w:rPr>
          <w:rFonts w:hint="eastAsia" w:ascii="宋体" w:hAnsi="宋体" w:eastAsia="宋体" w:cs="楷体"/>
          <w:b/>
          <w:color w:val="auto"/>
          <w:sz w:val="30"/>
          <w:szCs w:val="20"/>
          <w:highlight w:val="none"/>
        </w:rPr>
        <w:t xml:space="preserve">和修改</w:t>
      </w:r>
      <w:bookmarkEnd w:id="64"/>
      <w:r/>
      <w:bookmarkEnd w:id="65"/>
      <w:r/>
      <w:bookmarkEnd w:id="66"/>
      <w:r/>
      <w:bookmarkEnd w:id="67"/>
      <w:r/>
      <w:bookmarkEnd w:id="68"/>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7.1 任何要求对招标文件进行澄清的潜在投标人，应及时联系项目联系人。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7.2 </w:t>
      </w:r>
      <w:r>
        <w:rPr>
          <w:rFonts w:hint="eastAsia" w:ascii="宋体" w:hAnsi="宋体" w:eastAsia="宋体" w:cs="楷体"/>
          <w:b/>
          <w:color w:val="auto"/>
          <w:sz w:val="24"/>
          <w:szCs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firstLine="482"/>
        <w:spacing w:line="360" w:lineRule="auto"/>
        <w:tabs>
          <w:tab w:val="left" w:pos="492" w:leader="none"/>
        </w:tabs>
        <w:rPr>
          <w:rFonts w:ascii="宋体" w:hAnsi="宋体" w:eastAsia="宋体" w:cs="楷体"/>
          <w:b/>
          <w:color w:val="auto"/>
          <w:sz w:val="24"/>
          <w:szCs w:val="24"/>
          <w:highlight w:val="none"/>
        </w:rPr>
        <w:outlineLvl w:val="2"/>
      </w:pPr>
      <w:r>
        <w:rPr>
          <w:rFonts w:hint="eastAsia" w:ascii="宋体" w:hAnsi="宋体" w:eastAsia="宋体" w:cs="楷体"/>
          <w:b/>
          <w:color w:val="auto"/>
          <w:sz w:val="24"/>
          <w:szCs w:val="20"/>
          <w:highlight w:val="none"/>
        </w:rPr>
        <w:tab/>
      </w:r>
      <w:r>
        <w:rPr>
          <w:rFonts w:hint="eastAsia" w:ascii="宋体" w:hAnsi="宋体" w:eastAsia="宋体" w:cs="楷体"/>
          <w:color w:val="auto"/>
          <w:sz w:val="24"/>
          <w:szCs w:val="24"/>
          <w:highlight w:val="none"/>
        </w:rPr>
        <w:t xml:space="preserve">7.5</w:t>
      </w:r>
      <w:r>
        <w:rPr>
          <w:rFonts w:hint="eastAsia" w:ascii="宋体" w:hAnsi="宋体" w:eastAsia="宋体" w:cs="楷体"/>
          <w:b/>
          <w:color w:val="auto"/>
          <w:sz w:val="24"/>
          <w:szCs w:val="24"/>
          <w:highlight w:val="none"/>
        </w:rPr>
        <w:t xml:space="preserve"> 如</w:t>
      </w:r>
      <w:r>
        <w:rPr>
          <w:rFonts w:hint="eastAsia" w:ascii="宋体" w:hAnsi="宋体" w:eastAsia="宋体" w:cs="楷体"/>
          <w:b/>
          <w:color w:val="auto"/>
          <w:sz w:val="24"/>
          <w:szCs w:val="20"/>
          <w:highlight w:val="none"/>
        </w:rPr>
        <w:t xml:space="preserve">澄清或修改公告</w:t>
      </w:r>
      <w:r>
        <w:rPr>
          <w:rFonts w:hint="eastAsia" w:ascii="宋体" w:hAnsi="宋体" w:eastAsia="宋体" w:cs="楷体"/>
          <w:b/>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三、投标文件</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8.编制投标文件的工具</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9.投标文件语言及度量衡单位</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9.2投标文件中所使用的计量单位除招标文件中另有特殊规定外，一律使用法定计量单位。</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10.投标文件的构成</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 投标文件分为资格部分、商务部分、技术部分和价格部分。</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10.2 资格部分系指投标人提交的证明其有资格参加投标的文件。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10.3 商务部分系指投标人提交的证明其中标后有能力履行合同的文件。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10.4 技术部分系指投标人提交的能够证明投标人提供的货物（服务）符合招标文件规定的文件。</w:t>
      </w:r>
      <w:r/>
    </w:p>
    <w:p>
      <w:pPr>
        <w:ind w:firstLine="480"/>
        <w:spacing w:line="360" w:lineRule="auto"/>
        <w:widowControl/>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10.5 具体填写格式详见招标文件第六部分。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11．投标文件的编制</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11.2 </w:t>
      </w:r>
      <w:r>
        <w:rPr>
          <w:rFonts w:hint="eastAsia" w:ascii="宋体" w:hAnsi="宋体" w:eastAsia="宋体" w:cs="楷体"/>
          <w:b/>
          <w:color w:val="auto"/>
          <w:sz w:val="24"/>
          <w:szCs w:val="24"/>
          <w:highlight w:val="none"/>
        </w:rPr>
        <w:t xml:space="preserve">投标人在编制投标文件时，请按照招标文件第六部分规定的格式进行填写并提交到对应位置。系统中的投标文件格式与招标文件第六部分不一致的，以招标文件第六部</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分规定的格式为准。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11.4 </w:t>
      </w:r>
      <w:r>
        <w:rPr>
          <w:rFonts w:hint="eastAsia" w:ascii="宋体" w:hAnsi="宋体" w:eastAsia="宋体" w:cs="楷体"/>
          <w:b/>
          <w:color w:val="auto"/>
          <w:sz w:val="24"/>
          <w:szCs w:val="24"/>
          <w:highlight w:val="none"/>
        </w:rPr>
        <w:t xml:space="preserve">投标人必须保证投标文件所提供的全部资料合法、真实、可靠。</w:t>
      </w:r>
      <w:r/>
    </w:p>
    <w:p>
      <w:pPr>
        <w:ind w:firstLine="602"/>
        <w:spacing w:line="360" w:lineRule="auto"/>
        <w:rPr>
          <w:rFonts w:ascii="宋体" w:hAnsi="宋体" w:eastAsia="宋体" w:cs="楷体"/>
          <w:color w:val="auto"/>
          <w:sz w:val="24"/>
          <w:szCs w:val="24"/>
          <w:highlight w:val="none"/>
        </w:rPr>
      </w:pPr>
      <w:r>
        <w:rPr>
          <w:rFonts w:hint="eastAsia" w:ascii="宋体" w:hAnsi="宋体" w:eastAsia="宋体" w:cs="楷体"/>
          <w:b/>
          <w:color w:val="auto"/>
          <w:sz w:val="30"/>
          <w:szCs w:val="24"/>
          <w:highlight w:val="none"/>
        </w:rPr>
        <w:t xml:space="preserve">12．投标保证金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12.1 本项目不收投标保证金。</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13．投标有效期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13.1 投标有效期为：投标文件自</w:t>
      </w:r>
      <w:r>
        <w:rPr>
          <w:rFonts w:hint="eastAsia" w:ascii="宋体" w:hAnsi="宋体" w:eastAsia="宋体" w:cs="楷体"/>
          <w:color w:val="auto"/>
          <w:sz w:val="24"/>
          <w:szCs w:val="28"/>
          <w:highlight w:val="none"/>
        </w:rPr>
        <w:t xml:space="preserve">提交投标文件截止时间</w:t>
      </w:r>
      <w:r>
        <w:rPr>
          <w:rFonts w:hint="eastAsia" w:ascii="宋体" w:hAnsi="宋体" w:eastAsia="宋体" w:cs="楷体"/>
          <w:color w:val="auto"/>
          <w:sz w:val="24"/>
          <w:szCs w:val="24"/>
          <w:highlight w:val="none"/>
        </w:rPr>
        <w:t xml:space="preserve">之日起90天内有效。投标人一旦获取了本招标文件并参加投标，即被认为接受了投标有效期的约定。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eastAsia="宋体" w:cs="楷体"/>
          <w:b/>
          <w:color w:val="auto"/>
          <w:sz w:val="30"/>
          <w:szCs w:val="24"/>
          <w:highlight w:val="none"/>
        </w:rPr>
      </w:pPr>
      <w:r>
        <w:rPr>
          <w:rFonts w:hint="eastAsia" w:ascii="宋体" w:hAnsi="宋体" w:eastAsia="宋体" w:cs="楷体"/>
          <w:b/>
          <w:color w:val="auto"/>
          <w:sz w:val="30"/>
          <w:szCs w:val="24"/>
          <w:highlight w:val="none"/>
        </w:rPr>
        <w:t xml:space="preserve">14.投标文件的式样和签署</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14.1 投标人应通过响应文件制作软件使用数字认证证书对投标文件进行合成、电子签章及加密打包。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15．投标文件的提交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 投标文件提交</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15.1.1 投标人须在招标文件规定的截止时间前，通过响应文件编制软件制作完成后，登录“苏采云”系统在规定时间内完成提交。</w:t>
      </w:r>
      <w:r>
        <w:rPr>
          <w:rFonts w:hint="eastAsia" w:ascii="宋体" w:hAnsi="宋体" w:eastAsia="宋体" w:cs="楷体"/>
          <w:b/>
          <w:color w:val="auto"/>
          <w:sz w:val="24"/>
          <w:szCs w:val="24"/>
          <w:highlight w:val="none"/>
          <w:u w:val="single"/>
        </w:rPr>
        <w:t xml:space="preserve">时间以“苏采云”系统时间为准。</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15.1.2 </w:t>
      </w:r>
      <w:r>
        <w:rPr>
          <w:rFonts w:hint="eastAsia" w:ascii="宋体" w:hAnsi="宋体" w:eastAsia="宋体" w:cs="楷体"/>
          <w:b/>
          <w:color w:val="auto"/>
          <w:sz w:val="24"/>
          <w:szCs w:val="24"/>
          <w:highlight w:val="none"/>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eastAsia="宋体" w:cs="楷体"/>
          <w:b/>
          <w:color w:val="auto"/>
          <w:sz w:val="24"/>
          <w:szCs w:val="20"/>
          <w:highlight w:val="none"/>
          <w:u w:val="single"/>
        </w:rPr>
      </w:pPr>
      <w:r>
        <w:rPr>
          <w:rFonts w:hint="eastAsia" w:ascii="宋体" w:hAnsi="宋体" w:eastAsia="宋体" w:cs="楷体"/>
          <w:color w:val="auto"/>
          <w:sz w:val="24"/>
          <w:szCs w:val="24"/>
          <w:highlight w:val="none"/>
        </w:rPr>
        <w:t xml:space="preserve">15.1.3 </w:t>
      </w:r>
      <w:r>
        <w:rPr>
          <w:rFonts w:hint="eastAsia" w:ascii="宋体" w:hAnsi="宋体" w:eastAsia="宋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15.1.4</w:t>
      </w:r>
      <w:r>
        <w:rPr>
          <w:rFonts w:hint="eastAsia" w:ascii="宋体" w:hAnsi="宋体" w:eastAsia="宋体" w:cs="楷体"/>
          <w:b/>
          <w:color w:val="auto"/>
          <w:sz w:val="24"/>
          <w:szCs w:val="24"/>
          <w:highlight w:val="none"/>
          <w:u w:val="single"/>
        </w:rPr>
        <w:t xml:space="preserve">提交完成后至解密前，</w:t>
      </w:r>
      <w:r>
        <w:rPr>
          <w:rFonts w:hint="eastAsia" w:ascii="宋体" w:hAnsi="宋体" w:eastAsia="宋体" w:cs="楷体"/>
          <w:b/>
          <w:color w:val="auto"/>
          <w:sz w:val="24"/>
          <w:szCs w:val="20"/>
          <w:highlight w:val="none"/>
          <w:u w:val="single"/>
        </w:rPr>
        <w:t xml:space="preserve">投标人</w:t>
      </w:r>
      <w:r>
        <w:rPr>
          <w:rFonts w:hint="eastAsia" w:ascii="宋体" w:hAnsi="宋体" w:eastAsia="宋体" w:cs="楷体"/>
          <w:b/>
          <w:color w:val="auto"/>
          <w:sz w:val="24"/>
          <w:szCs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15.1.5因不可抗力事件造成的投标文件的损坏、丢失的，采购代理机构不承担责任。</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16．投标文件的补充、修改或者撤回</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16.2 投标人在提交截止时间前需要对投标文件进行补充、修改的，应当使用响应文件制作软件重新制作并提交。</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16.3 在提交截止时间之后，投标人不得对其投标文件作任何补充、修改或撤回。</w:t>
      </w:r>
      <w:r/>
    </w:p>
    <w:p>
      <w:pPr>
        <w:ind w:firstLine="480"/>
        <w:jc w:val="left"/>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16.4 在提交截止时间至招标文件中规定的投标有效期满之间，投标人不得撤回其投标。</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五、开标及评标</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17．开标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17.1 采购代理机构将按招标文件规定的时间、地点主持开标。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17.2 投标人应当在开标前做好充分准备，使用制作该投标文件的同一数字认证证书准时参加开标。</w:t>
      </w:r>
      <w:r/>
    </w:p>
    <w:p>
      <w:pPr>
        <w:ind w:firstLine="482"/>
        <w:spacing w:line="360" w:lineRule="auto"/>
        <w:rPr>
          <w:rFonts w:ascii="宋体" w:hAnsi="宋体" w:eastAsia="宋体" w:cs="楷体"/>
          <w:b/>
          <w:color w:val="auto"/>
          <w:sz w:val="24"/>
          <w:szCs w:val="24"/>
          <w:highlight w:val="none"/>
        </w:rPr>
      </w:pPr>
      <w:r>
        <w:rPr>
          <w:rFonts w:hint="eastAsia" w:ascii="宋体" w:hAnsi="宋体" w:eastAsia="宋体" w:cs="楷体"/>
          <w:b/>
          <w:color w:val="auto"/>
          <w:sz w:val="24"/>
          <w:szCs w:val="24"/>
          <w:highlight w:val="none"/>
        </w:rPr>
        <w:t xml:space="preserve">17.3 投标人不足3家，不进入解密程序。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17.4 开标时，采购代理机构将在系统内发出解密的指令，投标人自行实施解密，限定在主持人发布解密指令后</w:t>
      </w:r>
      <w:r>
        <w:rPr>
          <w:rFonts w:hint="eastAsia" w:ascii="宋体" w:hAnsi="宋体" w:eastAsia="宋体" w:cs="楷体"/>
          <w:color w:val="auto"/>
          <w:sz w:val="24"/>
          <w:szCs w:val="24"/>
          <w:highlight w:val="none"/>
          <w:u w:val="single"/>
        </w:rPr>
        <w:t xml:space="preserve">30</w:t>
      </w:r>
      <w:r>
        <w:rPr>
          <w:rFonts w:hint="eastAsia" w:ascii="宋体" w:hAnsi="宋体" w:eastAsia="宋体" w:cs="楷体"/>
          <w:color w:val="auto"/>
          <w:sz w:val="24"/>
          <w:szCs w:val="24"/>
          <w:highlight w:val="none"/>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color w:val="auto"/>
          <w:sz w:val="24"/>
          <w:szCs w:val="24"/>
          <w:highlight w:val="none"/>
        </w:rPr>
        <w:t xml:space="preserve">若解密成功的投标人不足三家，不进入后续程序。</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17.6本项目在限定的解密时间内，只要有任一家投标人解密成功，即视为“苏采云”系统运行无故障。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17.7 电子投标文件解密全部完成后，按</w:t>
      </w:r>
      <w:r>
        <w:rPr>
          <w:rFonts w:hint="eastAsia" w:ascii="宋体" w:hAnsi="宋体" w:eastAsia="宋体" w:cs="楷体"/>
          <w:b/>
          <w:color w:val="auto"/>
          <w:sz w:val="24"/>
          <w:szCs w:val="24"/>
          <w:highlight w:val="none"/>
        </w:rPr>
        <w:t xml:space="preserve">投标文件解密成功顺序</w:t>
      </w:r>
      <w:r>
        <w:rPr>
          <w:rFonts w:hint="eastAsia" w:ascii="宋体" w:hAnsi="宋体" w:eastAsia="宋体" w:cs="楷体"/>
          <w:color w:val="auto"/>
          <w:sz w:val="24"/>
          <w:szCs w:val="24"/>
          <w:highlight w:val="none"/>
        </w:rPr>
        <w:t xml:space="preserve">向所有投标人宣布投标人名称、投标价格以及招标文件规定的其他内容。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17.8投标人须配合开标工作，否则一切后果由投标人自行承担。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18.投标人资格审查</w:t>
      </w:r>
      <w:r/>
    </w:p>
    <w:p>
      <w:pPr>
        <w:ind w:firstLine="480"/>
        <w:spacing w:line="360" w:lineRule="auto"/>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18.1 开标结束后，采购人或者采购代理机构将依法对投标人的资格进行审查。</w:t>
      </w:r>
      <w:r>
        <w:rPr>
          <w:rFonts w:hint="eastAsia" w:ascii="宋体" w:hAnsi="宋体" w:eastAsia="宋体" w:cs="楷体"/>
          <w:b/>
          <w:color w:val="auto"/>
          <w:sz w:val="24"/>
          <w:szCs w:val="24"/>
          <w:highlight w:val="none"/>
        </w:rPr>
        <w:t xml:space="preserve">合格投标人不足3家的，不进入后续程序。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19．评标委员会组成</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采购项目符合下列情形之一的，评标委员会成员人数应当为7人以上单数：</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（一）采购预算金额在1000万元以上；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（二）技术复杂；</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（三）社会影响较大。</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评标委员会成员名单在评标结果公告前应当保密。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20.投标人符合性审查</w:t>
      </w:r>
      <w:r/>
    </w:p>
    <w:p>
      <w:pPr>
        <w:pStyle w:val="787"/>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20.1 评标委员会将按照招标文件第</w:t>
      </w:r>
      <w:r>
        <w:rPr>
          <w:rFonts w:hint="eastAsia" w:ascii="宋体" w:hAnsi="宋体" w:cs="楷体"/>
          <w:color w:val="auto"/>
          <w:sz w:val="24"/>
          <w:highlight w:val="none"/>
          <w:lang w:eastAsia="zh-CN"/>
        </w:rPr>
        <w:t xml:space="preserve">五</w:t>
      </w:r>
      <w:r>
        <w:rPr>
          <w:rFonts w:hint="eastAsia" w:ascii="宋体" w:hAnsi="宋体" w:cs="楷体"/>
          <w:color w:val="auto"/>
          <w:sz w:val="24"/>
          <w:highlight w:val="none"/>
        </w:rPr>
        <w:t xml:space="preserve">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787"/>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20.2根据《关于推动解决政府采购异常低价问题的通知》财库〔2026〕2号的要求，评审委员会应当启动异常低价投标（响应）审查程序的情形包括：</w:t>
      </w:r>
      <w:r/>
    </w:p>
    <w:p>
      <w:pPr>
        <w:pStyle w:val="787"/>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787"/>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787"/>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3.投标（响应）报价低于采购项目最高限价45%的，即投标（响应）报价&lt;采购项目最高限价×45%；</w:t>
      </w:r>
      <w:r/>
    </w:p>
    <w:p>
      <w:pPr>
        <w:pStyle w:val="787"/>
        <w:ind w:firstLine="48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4.评审委员会基于专业判断，认为供应商报价过低，有可能影响产品质量或者不能诚信履约的其他情形。</w:t>
      </w:r>
      <w:r/>
    </w:p>
    <w:p>
      <w:pPr>
        <w:pStyle w:val="787"/>
        <w:ind w:firstLine="48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05"/>
        <w:ind w:firstLine="480"/>
        <w:keepLines w:val="0"/>
        <w:keepNext w:val="0"/>
        <w:spacing w:before="0" w:after="0" w:line="360" w:lineRule="auto"/>
        <w:rPr>
          <w:rFonts w:ascii="宋体" w:hAnsi="宋体" w:cs="楷体"/>
          <w:b w:val="0"/>
          <w:color w:val="auto"/>
          <w:sz w:val="24"/>
          <w:szCs w:val="24"/>
          <w:highlight w:val="none"/>
        </w:rPr>
      </w:pPr>
      <w:r>
        <w:rPr>
          <w:rFonts w:hint="eastAsia" w:ascii="宋体" w:hAnsi="宋体" w:cs="楷体"/>
          <w:b w:val="0"/>
          <w:color w:val="auto"/>
          <w:sz w:val="24"/>
          <w:szCs w:val="24"/>
          <w:highlight w:val="none"/>
        </w:rPr>
        <w:t xml:space="preserve">20.3 投标文件澄清</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20.3.2投标人的澄清应登录“苏采云”系统进入“澄清事项”模块进行。</w:t>
      </w:r>
      <w:r/>
    </w:p>
    <w:p>
      <w:pPr>
        <w:ind w:firstLine="480"/>
        <w:spacing w:line="360" w:lineRule="auto"/>
        <w:rPr>
          <w:rFonts w:ascii="宋体" w:hAnsi="宋体" w:eastAsia="宋体" w:cs="楷体"/>
          <w:color w:val="auto"/>
          <w:sz w:val="24"/>
          <w:highlight w:val="none"/>
        </w:rPr>
      </w:pPr>
      <w:r>
        <w:rPr>
          <w:rFonts w:hint="eastAsia" w:ascii="宋体" w:hAnsi="宋体" w:cs="楷体"/>
          <w:color w:val="auto"/>
          <w:sz w:val="24"/>
          <w:highlight w:val="none"/>
        </w:rPr>
        <w:t xml:space="preserve">20.4 开标至评标结束期间，投标人应保持系统在线，如因</w:t>
      </w:r>
      <w:r>
        <w:rPr>
          <w:rFonts w:hint="eastAsia" w:ascii="宋体" w:hAnsi="宋体" w:eastAsia="宋体" w:cs="楷体"/>
          <w:color w:val="auto"/>
          <w:sz w:val="24"/>
          <w:highlight w:val="none"/>
        </w:rPr>
        <w:t xml:space="preserve">投标人自身原因未在规定时间内按评标委员会要求进行澄清、说明或者补正的，一切后果由投标人自行承担。</w:t>
      </w:r>
      <w:r/>
    </w:p>
    <w:p>
      <w:pPr>
        <w:ind w:firstLine="480"/>
        <w:spacing w:line="360" w:lineRule="auto"/>
        <w:rPr>
          <w:rFonts w:ascii="宋体" w:hAnsi="宋体" w:eastAsia="宋体" w:cs="楷体"/>
          <w:b/>
          <w:color w:val="auto"/>
          <w:sz w:val="24"/>
          <w:szCs w:val="24"/>
          <w:highlight w:val="none"/>
        </w:rPr>
      </w:pPr>
      <w:r>
        <w:rPr>
          <w:rFonts w:ascii="宋体" w:hAnsi="宋体" w:eastAsia="宋体" w:cs="楷体"/>
          <w:b/>
          <w:color w:val="auto"/>
          <w:sz w:val="24"/>
          <w:szCs w:val="24"/>
          <w:highlight w:val="none"/>
        </w:rPr>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21．无效投标的情形</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 投标人存在下列情况之一的，其投标无效：　</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 投标人在苏采云系统规定的时间内未成功解密电子投标文件的。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21.1.2 投标人未按照招标文件要求上传电子投标文件的。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21.1.3同一投标人提交两个（含两个）以上不同的投标报价的。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21.1.4投标人不具备招标文件中规定资格要求的。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21.1.5投标人的报价超过了采购预算或最高限价的。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21.1.6未通过符合性审查的。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21.1.7不符合招标文件中规定的实质性要求和条件的。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21.1.9 投标文件含有采购人不能接受的附加条件的。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21.1.11投标文件未按照招标文件要求加盖CA电子公章的。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21.1.12如有委托代理人，未提供投标人为其缴纳社保证明材料的。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21.1.13投标文件中提供了虚假或失实资料的。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21.1.14投标人存在串通投标情形的。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21.1.15加“★”项有负偏离的；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21.1.16为本项目提供整体设计、规范编制或者项目管理、监理、检测等服务的。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21.1.17不同投标人的法定代表人或单位负责人为同一个人或者存在直接控股、管理关系的。</w:t>
      </w:r>
      <w:r/>
    </w:p>
    <w:p>
      <w:pPr>
        <w:ind w:firstLine="480"/>
        <w:spacing w:line="360" w:lineRule="auto"/>
        <w:rPr>
          <w:rFonts w:ascii="宋体" w:hAnsi="宋体" w:eastAsia="宋体" w:cs="宋体"/>
          <w:b/>
          <w:color w:val="auto"/>
          <w:sz w:val="24"/>
          <w:szCs w:val="20"/>
          <w:highlight w:val="none"/>
          <w:u w:val="single"/>
        </w:rPr>
      </w:pPr>
      <w:r>
        <w:rPr>
          <w:rFonts w:hint="eastAsia" w:ascii="宋体" w:hAnsi="宋体" w:eastAsia="宋体" w:cs="宋体"/>
          <w:b/>
          <w:color w:val="auto"/>
          <w:sz w:val="24"/>
          <w:szCs w:val="20"/>
          <w:highlight w:val="none"/>
          <w:u w:val="single"/>
        </w:rPr>
        <w:t xml:space="preserve">21.1.18项目</w:t>
      </w:r>
      <w:r>
        <w:rPr>
          <w:rFonts w:hint="eastAsia" w:ascii="宋体" w:hAnsi="宋体" w:eastAsia="宋体" w:cs="宋体"/>
          <w:b/>
          <w:color w:val="auto"/>
          <w:sz w:val="24"/>
          <w:szCs w:val="20"/>
          <w:highlight w:val="none"/>
          <w:u w:val="single"/>
          <w:lang w:eastAsia="zh-CN"/>
        </w:rPr>
        <w:t xml:space="preserve">服务</w:t>
      </w:r>
      <w:r>
        <w:rPr>
          <w:rFonts w:hint="eastAsia" w:ascii="宋体" w:hAnsi="宋体" w:eastAsia="宋体" w:cs="宋体"/>
          <w:b/>
          <w:color w:val="auto"/>
          <w:sz w:val="24"/>
          <w:szCs w:val="20"/>
          <w:highlight w:val="none"/>
          <w:u w:val="single"/>
        </w:rPr>
        <w:t xml:space="preserve">期有负偏离的。</w:t>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b/>
          <w:color w:val="auto"/>
          <w:sz w:val="24"/>
          <w:szCs w:val="20"/>
          <w:highlight w:val="none"/>
          <w:u w:val="single"/>
        </w:rPr>
        <w:t xml:space="preserve">21.1.19不符合法律、法规和招标文件规定的其它实质性条款（须经评标委员会半数以上同意）。</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22. 串通投标的情形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22.1 有下列情形之一的，视为投标人串通投标，投标无效：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（1）不同投标人的投标文件由同一单位或者个人编制；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（2）不同投标人委托同一单位或者个人办理投标事宜；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（3）不同投标人的投标文件载明的项目管理成员或者联系人员为同一人；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（4）不同投标人的投标文件异常一致或者投标报价呈规律性差异；</w:t>
      </w:r>
      <w:r/>
    </w:p>
    <w:p>
      <w:pPr>
        <w:ind w:firstLine="480"/>
        <w:spacing w:line="360" w:lineRule="auto"/>
        <w:rPr>
          <w:rFonts w:ascii="宋体" w:hAnsi="宋体" w:eastAsia="宋体" w:cs="楷体"/>
          <w:color w:val="auto"/>
          <w:szCs w:val="24"/>
          <w:highlight w:val="none"/>
        </w:rPr>
      </w:pPr>
      <w:r>
        <w:rPr>
          <w:rFonts w:hint="eastAsia" w:ascii="宋体" w:hAnsi="宋体" w:eastAsia="宋体" w:cs="楷体"/>
          <w:color w:val="auto"/>
          <w:sz w:val="24"/>
          <w:szCs w:val="24"/>
          <w:highlight w:val="none"/>
        </w:rPr>
        <w:t xml:space="preserve">（5）不同投标人的投标文件相互混装。</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23.投标文件详细评审</w:t>
      </w:r>
      <w:r/>
    </w:p>
    <w:p>
      <w:pPr>
        <w:ind w:firstLine="480"/>
        <w:spacing w:line="360" w:lineRule="auto"/>
        <w:rPr>
          <w:rFonts w:ascii="宋体" w:hAnsi="宋体" w:eastAsia="宋体" w:cs="楷体"/>
          <w:color w:val="auto"/>
          <w:sz w:val="20"/>
          <w:szCs w:val="24"/>
          <w:highlight w:val="none"/>
        </w:rPr>
      </w:pPr>
      <w:r>
        <w:rPr>
          <w:rFonts w:hint="eastAsia" w:ascii="宋体" w:hAnsi="宋体" w:eastAsia="宋体" w:cs="楷体"/>
          <w:color w:val="auto"/>
          <w:sz w:val="24"/>
          <w:szCs w:val="24"/>
          <w:highlight w:val="none"/>
        </w:rPr>
        <w:t xml:space="preserve">23.1 评标委员会将按照招标文件第五部分“评标办法和标准”第8项规定，对符合性审查合格的投标文件进行商务、技术和价格评估，综合比较与评价。</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24.评标过程的保密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24.2 </w:t>
      </w:r>
      <w:r>
        <w:rPr>
          <w:rFonts w:hint="eastAsia" w:ascii="宋体" w:hAnsi="宋体" w:eastAsia="宋体" w:cs="楷体"/>
          <w:b/>
          <w:color w:val="auto"/>
          <w:sz w:val="24"/>
          <w:szCs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25．废标的情形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25.1 出现下列情形之一的，将予废标：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（1）符合专业条件的供应商或者对招标文件作实质响应的供应商不足三家的；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（2）出现影响采购公正的违法、违规行为的；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（3）投标人的报价均超过了采购预算，采购人不能支付的；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（4）因重大变故，采购任务取消的； </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废标后，采购人应当将废标理由通知所有投标人。</w:t>
      </w:r>
      <w:r/>
    </w:p>
    <w:p>
      <w:pPr>
        <w:ind w:firstLine="643"/>
        <w:jc w:val="center"/>
        <w:spacing w:before="200" w:after="200" w:line="360" w:lineRule="auto"/>
        <w:rPr>
          <w:rFonts w:ascii="宋体" w:hAnsi="宋体" w:eastAsia="宋体" w:cs="楷体"/>
          <w:b/>
          <w:color w:val="auto"/>
          <w:sz w:val="32"/>
          <w:szCs w:val="20"/>
          <w:highlight w:val="none"/>
        </w:rPr>
        <w:outlineLvl w:val="2"/>
      </w:pPr>
      <w:r>
        <w:rPr>
          <w:rFonts w:hint="eastAsia" w:ascii="宋体" w:hAnsi="宋体" w:eastAsia="宋体" w:cs="楷体"/>
          <w:b/>
          <w:color w:val="auto"/>
          <w:sz w:val="32"/>
          <w:szCs w:val="20"/>
          <w:highlight w:val="none"/>
        </w:rPr>
        <w:t xml:space="preserve">六、确定结果</w:t>
      </w:r>
      <w:r/>
    </w:p>
    <w:p>
      <w:pPr>
        <w:ind w:firstLine="602"/>
        <w:spacing w:line="360" w:lineRule="auto"/>
        <w:rPr>
          <w:rFonts w:ascii="宋体" w:hAnsi="宋体" w:eastAsia="宋体" w:cs="楷体"/>
          <w:b/>
          <w:bCs/>
          <w:color w:val="auto"/>
          <w:sz w:val="30"/>
          <w:szCs w:val="32"/>
          <w:highlight w:val="none"/>
        </w:rPr>
      </w:pPr>
      <w:r>
        <w:rPr>
          <w:rFonts w:hint="eastAsia" w:ascii="宋体" w:hAnsi="宋体" w:eastAsia="宋体" w:cs="楷体"/>
          <w:b/>
          <w:bCs/>
          <w:color w:val="auto"/>
          <w:sz w:val="30"/>
          <w:szCs w:val="32"/>
          <w:highlight w:val="none"/>
        </w:rPr>
        <w:t xml:space="preserve">26.确定中标人</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26.1采购代理机构在评标结束后2个工作日内将评标报告送采购人。</w:t>
      </w:r>
      <w:r/>
    </w:p>
    <w:p>
      <w:pPr>
        <w:ind w:firstLine="480"/>
        <w:spacing w:line="360" w:lineRule="auto"/>
        <w:rPr>
          <w:rFonts w:ascii="宋体" w:hAnsi="宋体" w:eastAsia="宋体" w:cs="楷体"/>
          <w:color w:val="auto"/>
          <w:sz w:val="24"/>
          <w:szCs w:val="24"/>
          <w:highlight w:val="none"/>
        </w:rPr>
      </w:pPr>
      <w:r/>
      <w:bookmarkStart w:id="69" w:name="_Hlk132702541"/>
      <w:r/>
      <w:bookmarkStart w:id="70" w:name="_Hlk132702790"/>
      <w:r>
        <w:rPr>
          <w:rFonts w:hint="eastAsia" w:ascii="宋体" w:hAnsi="宋体" w:eastAsia="宋体" w:cs="楷体"/>
          <w:color w:val="auto"/>
          <w:sz w:val="24"/>
          <w:szCs w:val="24"/>
          <w:highlight w:val="none"/>
        </w:rPr>
        <w:t xml:space="preserve">26.</w:t>
      </w:r>
      <w:bookmarkEnd w:id="69"/>
      <w:r>
        <w:rPr>
          <w:rFonts w:hint="eastAsia" w:ascii="宋体" w:hAnsi="宋体" w:eastAsia="宋体" w:cs="楷体"/>
          <w:color w:val="auto"/>
          <w:sz w:val="24"/>
          <w:szCs w:val="24"/>
          <w:highlight w:val="none"/>
        </w:rPr>
        <w:t xml:space="preserve">2</w:t>
      </w:r>
      <w:bookmarkEnd w:id="70"/>
      <w:r>
        <w:rPr>
          <w:rFonts w:hint="eastAsia" w:ascii="宋体" w:hAnsi="宋体" w:eastAsia="宋体" w:cs="楷体"/>
          <w:color w:val="auto"/>
          <w:sz w:val="24"/>
          <w:szCs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ascii="宋体" w:hAnsi="宋体" w:eastAsia="宋体" w:cs="楷体"/>
          <w:b/>
          <w:color w:val="auto"/>
          <w:sz w:val="32"/>
          <w:szCs w:val="32"/>
          <w:highlight w:val="none"/>
        </w:rPr>
        <w:outlineLvl w:val="2"/>
      </w:pPr>
      <w:r>
        <w:rPr>
          <w:rFonts w:hint="eastAsia" w:ascii="宋体" w:hAnsi="宋体" w:eastAsia="宋体" w:cs="楷体"/>
          <w:b/>
          <w:color w:val="auto"/>
          <w:sz w:val="32"/>
          <w:szCs w:val="32"/>
          <w:highlight w:val="none"/>
        </w:rPr>
        <w:t xml:space="preserve">七、授予合同</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27．中标通知书</w:t>
      </w:r>
      <w:r/>
    </w:p>
    <w:p>
      <w:pPr>
        <w:ind w:firstLine="480"/>
        <w:spacing w:line="360" w:lineRule="auto"/>
        <w:rPr>
          <w:rFonts w:ascii="宋体" w:hAnsi="宋体" w:eastAsia="宋体" w:cs="楷体"/>
          <w:color w:val="auto"/>
          <w:sz w:val="24"/>
          <w:szCs w:val="20"/>
          <w:highlight w:val="none"/>
        </w:rPr>
        <w:outlineLvl w:val="2"/>
      </w:pPr>
      <w:r>
        <w:rPr>
          <w:rFonts w:hint="eastAsia" w:ascii="宋体" w:hAnsi="宋体" w:eastAsia="宋体" w:cs="楷体"/>
          <w:color w:val="auto"/>
          <w:sz w:val="24"/>
          <w:szCs w:val="20"/>
          <w:highlight w:val="none"/>
        </w:rPr>
        <w:t xml:space="preserve">27.1 自中标人确定之日起2个工作日内，采购代理机构向中标人发出中标通知书，同时编制发布采购结果公告。</w:t>
      </w:r>
      <w:r/>
    </w:p>
    <w:p>
      <w:pPr>
        <w:ind w:firstLine="480"/>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color w:val="auto"/>
          <w:sz w:val="24"/>
          <w:szCs w:val="20"/>
          <w:highlight w:val="none"/>
        </w:rPr>
        <w:t xml:space="preserve">27.2中标通知书发出后，采购人不得违法改变中标结果，中标人无正当理由不得放弃中标。</w:t>
      </w:r>
      <w:r/>
    </w:p>
    <w:p>
      <w:pPr>
        <w:ind w:firstLine="602"/>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28.履约保证金</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28.1</w:t>
      </w:r>
      <w:r>
        <w:rPr>
          <w:rFonts w:hint="eastAsia" w:ascii="宋体" w:hAnsi="宋体" w:eastAsia="宋体" w:cs="楷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本项目不收取履约保证金</w:t>
      </w:r>
      <w:r/>
    </w:p>
    <w:p>
      <w:pPr>
        <w:ind w:firstLine="480"/>
        <w:spacing w:line="360" w:lineRule="auto"/>
        <w:rPr>
          <w:rFonts w:ascii="宋体" w:hAnsi="宋体" w:eastAsia="宋体" w:cs="楷体"/>
          <w:bCs/>
          <w:color w:val="auto"/>
          <w:sz w:val="24"/>
          <w:szCs w:val="20"/>
          <w:highlight w:val="none"/>
        </w:rPr>
      </w:pPr>
      <w:r>
        <w:rPr>
          <w:rFonts w:hint="eastAsia" w:ascii="Segoe UI Symbol" w:hAnsi="Segoe UI Symbol" w:eastAsia="宋体" w:cs="Segoe UI Symbol"/>
          <w:bCs/>
          <w:color w:val="auto"/>
          <w:sz w:val="24"/>
          <w:szCs w:val="20"/>
          <w:highlight w:val="none"/>
          <w:lang w:eastAsia="zh-CN"/>
        </w:rPr>
        <w:t xml:space="preserve">□</w:t>
      </w:r>
      <w:r>
        <w:rPr>
          <w:rFonts w:hint="eastAsia" w:ascii="宋体" w:hAnsi="宋体" w:eastAsia="宋体" w:cs="楷体"/>
          <w:bCs/>
          <w:color w:val="auto"/>
          <w:sz w:val="24"/>
          <w:szCs w:val="20"/>
          <w:highlight w:val="none"/>
        </w:rPr>
        <w:t xml:space="preserve">本项目中标供应商应提交合同金额</w:t>
      </w:r>
      <w:r>
        <w:rPr>
          <w:rFonts w:hint="eastAsia" w:ascii="宋体" w:hAnsi="宋体" w:eastAsia="宋体" w:cs="楷体"/>
          <w:bCs/>
          <w:color w:val="auto"/>
          <w:sz w:val="24"/>
          <w:szCs w:val="20"/>
          <w:highlight w:val="none"/>
          <w:lang w:val="en-US" w:eastAsia="zh-CN"/>
        </w:rPr>
        <w:t xml:space="preserve">5%</w:t>
      </w:r>
      <w:r>
        <w:rPr>
          <w:rFonts w:hint="eastAsia" w:ascii="宋体" w:hAnsi="宋体" w:eastAsia="宋体" w:cs="楷体"/>
          <w:bCs/>
          <w:color w:val="auto"/>
          <w:sz w:val="24"/>
          <w:szCs w:val="20"/>
          <w:highlight w:val="none"/>
        </w:rPr>
        <w:t xml:space="preserve">的履约保证金（不得超过政府采购合同金额的10%），履约保证金应以支票、汇票、本票、保函、保险保单等非现金形式缴纳或提交。</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履约保证金退还的条件： </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货物类项目，项目验收合格，出具验收报告及履约保证金收据申请退付；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履约保证金退还时间：采购单位收到投标人退付申请后5个工作日内退还；</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ascii="宋体" w:hAnsi="宋体" w:eastAsia="宋体" w:cs="楷体"/>
          <w:bCs/>
          <w:color w:val="auto"/>
          <w:sz w:val="24"/>
          <w:szCs w:val="20"/>
          <w:highlight w:val="none"/>
        </w:rPr>
      </w:pPr>
      <w:r>
        <w:rPr>
          <w:rFonts w:hint="eastAsia" w:ascii="宋体" w:hAnsi="宋体" w:eastAsia="宋体" w:cs="楷体"/>
          <w:bCs/>
          <w:color w:val="auto"/>
          <w:sz w:val="24"/>
          <w:szCs w:val="20"/>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29．签订合同</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29.1 采购人应当自中标通知书发出之日起</w:t>
      </w:r>
      <w:r>
        <w:rPr>
          <w:rFonts w:hint="eastAsia" w:ascii="宋体" w:hAnsi="宋体" w:eastAsia="宋体" w:cs="楷体"/>
          <w:color w:val="auto"/>
          <w:sz w:val="24"/>
          <w:szCs w:val="24"/>
          <w:highlight w:val="none"/>
          <w:u w:val="single"/>
        </w:rPr>
        <w:t xml:space="preserve">15</w:t>
      </w:r>
      <w:r>
        <w:rPr>
          <w:rFonts w:hint="eastAsia" w:ascii="宋体" w:hAnsi="宋体" w:eastAsia="宋体" w:cs="楷体"/>
          <w:color w:val="auto"/>
          <w:sz w:val="24"/>
          <w:szCs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ind w:firstLine="643"/>
        <w:jc w:val="center"/>
        <w:spacing w:line="360" w:lineRule="auto"/>
        <w:rPr>
          <w:rFonts w:ascii="宋体" w:hAnsi="宋体" w:eastAsia="宋体" w:cs="楷体"/>
          <w:b/>
          <w:color w:val="auto"/>
          <w:sz w:val="32"/>
          <w:szCs w:val="32"/>
          <w:highlight w:val="none"/>
          <w:shd w:val="clear" w:color="auto" w:fill="ffffff"/>
        </w:rPr>
      </w:pPr>
      <w:r>
        <w:rPr>
          <w:rFonts w:hint="eastAsia" w:ascii="宋体" w:hAnsi="宋体" w:eastAsia="宋体" w:cs="楷体"/>
          <w:b/>
          <w:color w:val="auto"/>
          <w:sz w:val="32"/>
          <w:szCs w:val="32"/>
          <w:highlight w:val="none"/>
          <w:shd w:val="clear" w:color="auto" w:fill="ffffff"/>
        </w:rPr>
        <w:t xml:space="preserve">八、询问、质疑、投诉</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30．询问</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31．质疑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以上规定的供应商应知其权益受到损害之日，是指：</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（1）对可以质疑的采购文件提出质疑的，为收到采购文件之日或者采购文件公告期限届满之日；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（2）对采购过程提出质疑的，为各采购程序环节结束之日；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（3）对中标结果提出质疑的，为中标结果公告期限届满之日。</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31.5本项目采购人及丹阳市政府采购中心只接收以纸质原件形式送达的质疑。（本项目采购人及丹阳市政府采购中心不接受未填写快递运单的快件）</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接收部门:丹阳市政府采购中心</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接收地址:丹阳市开发区兰陵路88号四楼</w:t>
      </w:r>
      <w:r/>
    </w:p>
    <w:p>
      <w:pPr>
        <w:ind w:firstLine="480"/>
        <w:spacing w:line="360" w:lineRule="auto"/>
        <w:rPr>
          <w:rFonts w:hint="eastAsia"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联系人：</w:t>
      </w:r>
      <w:r>
        <w:rPr>
          <w:rFonts w:hint="eastAsia" w:ascii="宋体" w:hAnsi="宋体" w:eastAsia="宋体" w:cs="楷体"/>
          <w:color w:val="auto"/>
          <w:sz w:val="24"/>
          <w:szCs w:val="24"/>
          <w:highlight w:val="none"/>
          <w:lang w:eastAsia="zh-CN"/>
        </w:rPr>
        <w:t xml:space="preserve">程宽</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联系电话:0511-86906230</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31.6以下情形的质疑不予受理：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31.6.1内容不符合《政府采购质疑和投诉办法》第十二条规定的质疑。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31.6.2超出政府采购法定期限的质疑。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31.6.3以传真、电子邮件等方式递交的非原件形式的质疑。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31.6.4未参加投标活动的供应商或在投标活动中自身权益未受到损害的供应商所提出的质疑。</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31.6.5供应商组成联合体参加投标，联合体中任何一方或多方未按要求签字、盖章、加盖公章的质疑。</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楷体"/>
          <w:color w:val="auto"/>
          <w:sz w:val="24"/>
          <w:szCs w:val="24"/>
          <w:highlight w:val="none"/>
        </w:rPr>
        <w:t xml:space="preserve">31.6.6质疑流程及质疑函格式见“镇江市公共资源交易平台”网站-政民互动-质疑渠道。</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32．投诉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32.2以联合体形式参加政府采购活动的，其投诉应当由组成联合体的所有供应商共同提出。</w:t>
      </w:r>
      <w:r/>
    </w:p>
    <w:p>
      <w:pPr>
        <w:ind w:firstLine="480"/>
        <w:jc w:val="left"/>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32.3投诉流程及注意事项见“镇江市公共资源交易服务平台—政府采购”网站“投诉指引”。</w:t>
      </w:r>
      <w:r/>
    </w:p>
    <w:p>
      <w:pPr>
        <w:ind w:firstLine="643"/>
        <w:jc w:val="center"/>
        <w:spacing w:line="360" w:lineRule="auto"/>
        <w:rPr>
          <w:rFonts w:ascii="宋体" w:hAnsi="宋体" w:eastAsia="宋体" w:cs="楷体"/>
          <w:color w:val="auto"/>
          <w:sz w:val="32"/>
          <w:szCs w:val="32"/>
          <w:highlight w:val="none"/>
        </w:rPr>
      </w:pPr>
      <w:r>
        <w:rPr>
          <w:rFonts w:hint="eastAsia" w:ascii="宋体" w:hAnsi="宋体" w:eastAsia="宋体" w:cs="楷体"/>
          <w:b/>
          <w:color w:val="auto"/>
          <w:sz w:val="32"/>
          <w:szCs w:val="32"/>
          <w:highlight w:val="none"/>
          <w:shd w:val="clear" w:color="auto" w:fill="ffffff"/>
        </w:rPr>
        <w:t xml:space="preserve">九、诚实信用和解释权</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33．诚实信用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33.3 供应商不得虚假承诺，否则，按照提供虚假材料谋取中标处理。</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楷体"/>
          <w:color w:val="auto"/>
          <w:sz w:val="24"/>
          <w:szCs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602"/>
        <w:spacing w:before="200" w:after="200" w:line="360" w:lineRule="auto"/>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34.适用法律及约束力</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34.1 </w:t>
      </w:r>
      <w:r>
        <w:rPr>
          <w:rFonts w:hint="eastAsia" w:ascii="宋体" w:hAnsi="宋体" w:eastAsia="宋体" w:cs="楷体"/>
          <w:b/>
          <w:color w:val="auto"/>
          <w:sz w:val="24"/>
          <w:szCs w:val="24"/>
          <w:highlight w:val="none"/>
        </w:rPr>
        <w:t xml:space="preserve">投标人一旦获取了本招标文件并参加投标，即被认为接受了本招标文件的规定和约束。</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34.2 本次招标及由本次招标产生的合同受中华人民共和国法律制约和保护。</w:t>
      </w:r>
      <w:r/>
    </w:p>
    <w:p>
      <w:pPr>
        <w:ind w:firstLine="602"/>
        <w:rPr>
          <w:rFonts w:ascii="宋体" w:hAnsi="宋体" w:eastAsia="宋体" w:cs="楷体"/>
          <w:b/>
          <w:color w:val="auto"/>
          <w:sz w:val="30"/>
          <w:szCs w:val="20"/>
          <w:highlight w:val="none"/>
        </w:rPr>
        <w:outlineLvl w:val="2"/>
      </w:pPr>
      <w:r>
        <w:rPr>
          <w:rFonts w:hint="eastAsia" w:ascii="宋体" w:hAnsi="宋体" w:eastAsia="宋体" w:cs="楷体"/>
          <w:b/>
          <w:color w:val="auto"/>
          <w:sz w:val="30"/>
          <w:szCs w:val="20"/>
          <w:highlight w:val="none"/>
        </w:rPr>
        <w:t xml:space="preserve">35.解释权</w:t>
      </w:r>
      <w:r/>
    </w:p>
    <w:p>
      <w:pPr>
        <w:ind w:firstLine="480"/>
        <w:spacing w:line="360" w:lineRule="auto"/>
        <w:rPr>
          <w:rFonts w:ascii="宋体" w:hAnsi="宋体" w:eastAsia="宋体" w:cs="楷体"/>
          <w:b/>
          <w:color w:val="auto"/>
          <w:sz w:val="30"/>
          <w:szCs w:val="24"/>
          <w:highlight w:val="none"/>
        </w:rPr>
      </w:pPr>
      <w:r>
        <w:rPr>
          <w:rFonts w:hint="eastAsia" w:ascii="宋体" w:hAnsi="宋体" w:eastAsia="宋体" w:cs="楷体"/>
          <w:color w:val="auto"/>
          <w:sz w:val="24"/>
          <w:szCs w:val="24"/>
          <w:highlight w:val="none"/>
        </w:rPr>
        <w:t xml:space="preserve">除相关法律、法规规定外，本招标文件的解释权归采购代理机构所有。</w:t>
      </w:r>
      <w:r>
        <w:rPr>
          <w:rFonts w:hint="eastAsia" w:ascii="宋体" w:hAnsi="宋体" w:eastAsia="宋体" w:cs="楷体"/>
          <w:b/>
          <w:color w:val="auto"/>
          <w:sz w:val="30"/>
          <w:szCs w:val="24"/>
          <w:highlight w:val="none"/>
        </w:rPr>
        <w:br w:type="page" w:clear="all"/>
      </w:r>
      <w:r/>
    </w:p>
    <w:p>
      <w:pPr>
        <w:jc w:val="center"/>
        <w:spacing w:line="360" w:lineRule="auto"/>
        <w:widowControl/>
        <w:rPr>
          <w:rFonts w:ascii="宋体" w:hAnsi="宋体" w:eastAsia="宋体" w:cs="楷体"/>
          <w:b/>
          <w:color w:val="auto"/>
          <w:sz w:val="32"/>
          <w:szCs w:val="28"/>
          <w:highlight w:val="none"/>
        </w:rPr>
      </w:pPr>
      <w:r>
        <w:rPr>
          <w:rFonts w:hint="eastAsia" w:ascii="宋体" w:hAnsi="宋体" w:eastAsia="宋体" w:cs="楷体"/>
          <w:b/>
          <w:color w:val="auto"/>
          <w:sz w:val="32"/>
          <w:szCs w:val="28"/>
          <w:highlight w:val="none"/>
        </w:rPr>
        <w:t xml:space="preserve">第三部分  合同条款</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丹阳市政府采购合同</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项目编号：</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项目名称：</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采购人：</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中标供应商：</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签订日期：</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2"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甲方：（采购单位）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乙方：（中标供应商）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甲、乙双方根据项目】公开招标的结果，签署本合同。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1、定义：</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合同中的下列术语应解释为：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 “甲方”系指</w:t>
      </w:r>
      <w:r>
        <w:rPr>
          <w:rFonts w:hint="eastAsia" w:ascii="宋体" w:hAnsi="宋体" w:eastAsia="宋体"/>
          <w:color w:val="auto"/>
          <w:sz w:val="24"/>
          <w:szCs w:val="28"/>
          <w:highlight w:val="none"/>
          <w:lang w:eastAsia="zh-CN"/>
        </w:rPr>
        <w:t xml:space="preserve">丹阳市住房和城乡建设局</w:t>
      </w:r>
      <w:r>
        <w:rPr>
          <w:rFonts w:ascii="宋体" w:hAnsi="宋体" w:eastAsia="宋体" w:cs="宋体"/>
          <w:color w:val="auto"/>
          <w:sz w:val="24"/>
          <w:highlight w:val="none"/>
        </w:rPr>
        <w:t xml:space="preserve">。</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 “乙方”系指招标文件中所述提供服务的供应商。</w:t>
      </w:r>
      <w:r/>
    </w:p>
    <w:p>
      <w:pPr>
        <w:ind w:left="0" w:right="0" w:firstLine="482"/>
        <w:pageBreakBefore w:val="0"/>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 </w:t>
      </w:r>
      <w:r>
        <w:rPr>
          <w:rFonts w:ascii="宋体" w:hAnsi="宋体" w:eastAsia="宋体" w:cs="宋体"/>
          <w:color w:val="auto"/>
          <w:sz w:val="24"/>
        </w:rPr>
        <w:t xml:space="preserve">“服务”系指本招标文件所述采购标的，</w:t>
      </w:r>
      <w:r>
        <w:rPr>
          <w:rFonts w:ascii="宋体" w:hAnsi="宋体" w:eastAsia="宋体" w:cs="宋体"/>
          <w:color w:val="auto"/>
          <w:sz w:val="24"/>
          <w:u w:val="none"/>
        </w:rPr>
        <w:t xml:space="preserve">即软件开发、安装调试、集成服务、技术指导、培训、维护、升级以及其它的伴随服务，服务亦包括招标文件中特别描述的其它形式的服务</w:t>
      </w:r>
      <w:r>
        <w:rPr>
          <w:rFonts w:hint="eastAsia" w:ascii="宋体" w:hAnsi="宋体" w:eastAsia="宋体" w:cs="宋体"/>
          <w:color w:val="auto"/>
          <w:sz w:val="24"/>
          <w:u w:val="none"/>
          <w:lang w:eastAsia="zh-CN"/>
        </w:rPr>
        <w:t xml:space="preserve">。</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 “合同”系指甲方与乙方签署的、合同格式中载明的甲方与乙方所达成的协议，包括所有的附件、附录和构成合同的所有文件。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1.5“合同价”系指根据合同规定，乙方在正确地完全履行合同义务后甲方</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应支付给乙方的价格。</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2、合同组成部分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下列关于</w:t>
      </w:r>
      <w:r>
        <w:rPr>
          <w:rFonts w:hint="eastAsia" w:ascii="宋体" w:hAnsi="宋体" w:eastAsia="宋体"/>
          <w:color w:val="auto"/>
          <w:sz w:val="24"/>
          <w:szCs w:val="28"/>
          <w:highlight w:val="none"/>
          <w:lang w:eastAsia="zh-CN"/>
        </w:rPr>
        <w:t xml:space="preserve">丹阳市城市生命线安全工程一期建设项目</w:t>
      </w:r>
      <w:r>
        <w:rPr>
          <w:rFonts w:hint="eastAsia" w:ascii="宋体" w:hAnsi="宋体"/>
          <w:color w:val="auto"/>
          <w:sz w:val="24"/>
          <w:szCs w:val="28"/>
          <w:highlight w:val="none"/>
        </w:rPr>
        <w:t xml:space="preserve">【</w:t>
      </w:r>
      <w:r>
        <w:rPr>
          <w:rFonts w:hint="eastAsia" w:ascii="宋体" w:hAnsi="宋体" w:eastAsia="宋体"/>
          <w:color w:val="auto"/>
          <w:sz w:val="24"/>
          <w:szCs w:val="28"/>
          <w:highlight w:val="none"/>
          <w:lang w:eastAsia="zh-CN"/>
        </w:rPr>
        <w:t xml:space="preserve">JSZC-321181-JZCG-G2026-0022</w:t>
      </w:r>
      <w:r>
        <w:rPr>
          <w:rFonts w:hint="eastAsia" w:ascii="宋体" w:hAnsi="宋体"/>
          <w:color w:val="auto"/>
          <w:sz w:val="24"/>
          <w:szCs w:val="28"/>
          <w:highlight w:val="none"/>
        </w:rPr>
        <w:t xml:space="preserve">】的招</w:t>
      </w:r>
      <w:r>
        <w:rPr>
          <w:rFonts w:ascii="宋体" w:hAnsi="宋体" w:eastAsia="宋体" w:cs="宋体"/>
          <w:color w:val="auto"/>
          <w:sz w:val="24"/>
          <w:highlight w:val="none"/>
        </w:rPr>
        <w:t xml:space="preserve">标文件、乙方提交的投标文件是构成本合同不可分割的部分：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(2)开标（报价）一览表；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(3)服务方案及服务承诺；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(4)中标通知书；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(5)甲方、乙方商定的其他必要文件。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3、服务范围</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本合同所提供服务详见招标文件第四部分及投标文件相应响应及承诺（乙方必须完全实现招标文件中的采购要求，如有不足或缺陷，由乙方自行负责弥补，甲方不再承担任何相关费用）。</w:t>
      </w:r>
      <w:r/>
    </w:p>
    <w:p>
      <w:pPr>
        <w:ind w:left="0" w:right="0" w:firstLine="480"/>
        <w:jc w:val="both"/>
        <w:pageBreakBefore w:val="0"/>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4、服务期、服务期限及合</w:t>
      </w:r>
      <w:r>
        <w:rPr>
          <w:rFonts w:ascii="宋体" w:hAnsi="宋体" w:eastAsia="宋体" w:cs="宋体"/>
          <w:b w:val="0"/>
          <w:bCs w:val="0"/>
          <w:color w:val="auto"/>
          <w:sz w:val="24"/>
          <w:highlight w:val="none"/>
        </w:rPr>
        <w:t xml:space="preserve">同价</w:t>
      </w:r>
      <w:r/>
    </w:p>
    <w:p>
      <w:pPr>
        <w:ind w:left="0" w:right="0" w:firstLine="480"/>
        <w:jc w:val="both"/>
        <w:pageBreakBefore w:val="0"/>
        <w:spacing w:before="0" w:after="0"/>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4.1 </w:t>
      </w:r>
      <w:r>
        <w:rPr>
          <w:rFonts w:hint="eastAsia" w:ascii="宋体" w:hAnsi="宋体" w:eastAsia="宋体" w:cs="宋体"/>
          <w:b w:val="0"/>
          <w:bCs w:val="0"/>
          <w:color w:val="auto"/>
          <w:sz w:val="24"/>
          <w:highlight w:val="none"/>
          <w:lang w:val="en-US" w:eastAsia="zh-CN"/>
        </w:rPr>
        <w:t xml:space="preserve">完工</w:t>
      </w:r>
      <w:r>
        <w:rPr>
          <w:rFonts w:ascii="宋体" w:hAnsi="宋体" w:eastAsia="宋体" w:cs="宋体"/>
          <w:b w:val="0"/>
          <w:bCs w:val="0"/>
          <w:color w:val="auto"/>
          <w:sz w:val="24"/>
          <w:highlight w:val="none"/>
        </w:rPr>
        <w:t xml:space="preserve">期：自____年____ 月____日至______年______月______日止。</w:t>
      </w:r>
      <w:r/>
    </w:p>
    <w:p>
      <w:pPr>
        <w:ind w:left="0" w:right="0" w:firstLine="480"/>
        <w:jc w:val="both"/>
        <w:pageBreakBefore w:val="0"/>
        <w:spacing w:before="0" w:after="0"/>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4.2试运行期：</w:t>
      </w:r>
      <w:r>
        <w:rPr>
          <w:rFonts w:ascii="宋体" w:hAnsi="宋体" w:eastAsia="宋体" w:cs="宋体"/>
          <w:b w:val="0"/>
          <w:bCs w:val="0"/>
          <w:color w:val="auto"/>
          <w:sz w:val="24"/>
          <w:highlight w:val="none"/>
        </w:rPr>
        <w:t xml:space="preserve">自____年____ 月____日至______年______月______日止。</w:t>
      </w:r>
      <w:r/>
    </w:p>
    <w:p>
      <w:pPr>
        <w:ind w:left="0" w:right="0" w:firstLine="480"/>
        <w:jc w:val="both"/>
        <w:pageBreakBefore w:val="0"/>
        <w:spacing w:before="0" w:after="0"/>
        <w:rPr>
          <w:rFonts w:hint="default"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4.3运维期：</w:t>
      </w:r>
      <w:r>
        <w:rPr>
          <w:rFonts w:ascii="宋体" w:hAnsi="宋体" w:eastAsia="宋体" w:cs="宋体"/>
          <w:b w:val="0"/>
          <w:bCs w:val="0"/>
          <w:color w:val="auto"/>
          <w:sz w:val="24"/>
          <w:highlight w:val="none"/>
        </w:rPr>
        <w:t xml:space="preserve">自____年____ 月____日至______年______月______日止。</w:t>
      </w:r>
      <w:r/>
    </w:p>
    <w:p>
      <w:pPr>
        <w:ind w:left="0" w:right="0" w:firstLine="480"/>
        <w:jc w:val="both"/>
        <w:pageBreakBefore w:val="0"/>
        <w:spacing w:before="0" w:after="0"/>
        <w:rPr>
          <w:rFonts w:hint="eastAsia" w:eastAsia="宋体"/>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w:t>
      </w:r>
      <w:r>
        <w:rPr>
          <w:rFonts w:hint="eastAsia" w:ascii="宋体" w:hAnsi="宋体" w:eastAsia="宋体" w:cs="宋体"/>
          <w:b w:val="0"/>
          <w:bCs w:val="0"/>
          <w:color w:val="auto"/>
          <w:sz w:val="24"/>
          <w:highlight w:val="none"/>
          <w:lang w:val="en-US" w:eastAsia="zh-CN"/>
        </w:rPr>
        <w:t xml:space="preserve">4</w:t>
      </w:r>
      <w:r>
        <w:rPr>
          <w:rFonts w:ascii="宋体" w:hAnsi="宋体" w:eastAsia="宋体" w:cs="宋体"/>
          <w:b w:val="0"/>
          <w:bCs w:val="0"/>
          <w:color w:val="auto"/>
          <w:sz w:val="24"/>
          <w:highlight w:val="none"/>
        </w:rPr>
        <w:t xml:space="preserve"> 合同金额（大写）为人民币</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元整 ， ¥</w:t>
      </w:r>
      <w:r>
        <w:rPr>
          <w:rFonts w:ascii="宋体" w:hAnsi="宋体" w:eastAsia="宋体" w:cs="宋体"/>
          <w:b w:val="0"/>
          <w:bCs w:val="0"/>
          <w:color w:val="auto"/>
          <w:sz w:val="24"/>
          <w:highlight w:val="none"/>
          <w:u w:val="single"/>
        </w:rPr>
        <w:t xml:space="preserve">  </w:t>
      </w:r>
      <w:r>
        <w:rPr>
          <w:rFonts w:ascii="宋体" w:hAnsi="宋体" w:eastAsia="宋体" w:cs="宋体"/>
          <w:b w:val="0"/>
          <w:bCs w:val="0"/>
          <w:color w:val="auto"/>
          <w:sz w:val="24"/>
          <w:highlight w:val="none"/>
        </w:rPr>
        <w:t xml:space="preserve">元，分项价格在乙方提交的报价表中有明确规定。</w:t>
      </w:r>
      <w:r/>
    </w:p>
    <w:p>
      <w:pPr>
        <w:ind w:left="0" w:right="0" w:firstLine="480"/>
        <w:jc w:val="both"/>
        <w:pageBreakBefore w:val="0"/>
        <w:spacing w:before="0" w:after="0"/>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5、付款方式</w:t>
      </w:r>
      <w:r/>
    </w:p>
    <w:p>
      <w:pPr>
        <w:ind w:firstLine="480"/>
        <w:pageBreakBefore w:val="0"/>
        <w:spacing w:line="400" w:lineRule="exact"/>
        <w:rPr>
          <w:rFonts w:ascii="宋体" w:hAnsi="宋体" w:eastAsia="宋体" w:cs="宋体"/>
          <w:b w:val="0"/>
          <w:bCs w:val="0"/>
          <w:color w:val="auto"/>
          <w:sz w:val="24"/>
          <w:highlight w:val="none"/>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乙方自愿放弃本项目预付款。</w:t>
      </w:r>
      <w:r/>
    </w:p>
    <w:p>
      <w:pPr>
        <w:ind w:firstLine="480"/>
        <w:jc w:val="left"/>
        <w:spacing w:line="560" w:lineRule="exact"/>
        <w:rPr>
          <w:rFonts w:hint="eastAsia" w:ascii="宋体" w:hAnsi="宋体" w:cs="宋体"/>
          <w:color w:val="auto"/>
          <w:sz w:val="24"/>
        </w:rPr>
      </w:pPr>
      <w:r>
        <w:rPr>
          <w:rFonts w:ascii="Wingdings" w:hAnsi="Wingdings" w:eastAsia="Wingdings" w:cs="Wingdings"/>
          <w:b w:val="0"/>
          <w:bCs w:val="0"/>
          <w:color w:val="auto"/>
          <w:sz w:val="24"/>
          <w:szCs w:val="24"/>
          <w:highlight w:val="none"/>
        </w:rPr>
        <w:t xml:space="preserve">¨</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cs="宋体"/>
          <w:color w:val="auto"/>
          <w:sz w:val="24"/>
        </w:rPr>
        <w:t xml:space="preserve">合同签订后，甲方在收到乙方提供的相应金额的正规发票后10个工作日内支付合同价10%的预付款；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系统上线并通过初验后，甲方在收到乙方提供的相应金额的正规发票后10个工作日内付至合同总价款的30%；</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系统试运行结束，竣工验收合格经甲方同意后，甲方在收到乙方提供的相应金额的正规发票后10个工作日内付至合同总价款的60%；</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一年运维服务结束并经甲方同意后，甲方在收到乙方提供的相应金额的正规发票后10个工作日内付至合同总价款的75%；</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两年运维服务结束并经甲方同意后，甲方在收到乙方提供的相应金额的正规发票后10个工作日内付至合同总价款的90%；</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三年运维服务结束并经甲方同意后，甲方在收到乙方提供的相应金额的正规发票后10个工作日内付至合同总价款的100%。</w:t>
      </w:r>
      <w:r/>
    </w:p>
    <w:p>
      <w:pPr>
        <w:ind w:right="0" w:firstLine="480"/>
        <w:jc w:val="both"/>
        <w:keepLines w:val="0"/>
        <w:keepNext w:val="0"/>
        <w:pageBreakBefore w:val="0"/>
        <w:spacing w:before="0" w:after="0"/>
        <w:widowControl/>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r>
      <w:r/>
    </w:p>
    <w:p>
      <w:pPr>
        <w:ind w:right="0" w:firstLine="480"/>
        <w:jc w:val="both"/>
        <w:keepLines w:val="0"/>
        <w:keepNext w:val="0"/>
        <w:pageBreakBefore w:val="0"/>
        <w:spacing w:before="0" w:after="0"/>
        <w:widowControl/>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6、甲、乙双方权利义务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 甲方的权利与义务：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乙方的权利义务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7、验收要求：</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8、知识产权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 乙方应保证甲方在使用该服务或其任何一部分时不受第三方提出侵犯</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9、转让和分包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 本合同不得转让和分包。</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10、合同纠纷处理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10.2 在诉讼期间，本合同应继续执行。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11、不可抗力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 如果双方由于不可抗拒力的任何事故（须经双方认同），致使影响合同履行时，履行合同的期限应予延长，延长期限相当于事故影响的时间。</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 本条所述的“不可抗拒力”系指双方无法控制、不可预见的事件。这些事件包括但不限于：战争、严重水灾、台风、地震以及其他双方商定的事件。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 受事故影响的一方应在不可抗拒力事故发后尽快以传真通知对方，双方应通过友好协商在合理时间内达成进一步履行合同的协议。</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12、税费</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 中国政府根据现行税法规定对甲方征收的与本合同有关的一切税费均由甲方负担（免税部分除外），招标文件另有规定的除外。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 中国政府根据现行税法规定对乙方征收的与本合同有关的一切税费均由乙方负担（免税部分除外）。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13、履约保证金</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本项目不收取履约保证金</w:t>
      </w:r>
      <w:r/>
    </w:p>
    <w:p>
      <w:pPr>
        <w:ind w:left="0" w:right="0" w:firstLine="96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本项目中标供应商应提交合同金额</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%的履约保证金（不得超过政府采购合同金额的10%），履约保证金应以支票、汇票、本票、保函、保险保单等非现金形式缴纳或提交。</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履约保证金退还的条件：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货物类项目，项目验收合格，出具验收报告及履约保证金收据申请退付；</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履约保证金退还时间：采购单位收到投标人退付申请后5个工作日内退还；</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14、违约终止合同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 在甲方对乙方违约而采取的任何补救措施不受影响的情况下，甲方可向乙方发出终止部分或全部合同的书面通知书。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如果乙方未能按合同规定的期限或甲方同意延长的限期内完成部分或全部服务工作;</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乙方在收到甲方发出的违约通知后 10 天内，或经甲方书面认可延长的时间内未能纠正其过失;</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如果乙方未能履行合同规定的其他义务。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15、破产终止合同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如果乙方破产或无清偿能力时，甲方在任何时候书面通知乙方终止合同而不给乙方补偿。该终止合同将不损害或影响甲方已经或将要采取的补救措施的权利。</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16、合同生效及其它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本合同经甲方、乙方盖章签字后生效。本合同一式三份，甲方、乙方、 丹阳市政府采购监督管理部门各执一份。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 乙方中标后在履行服务的过程中，若服务达不到甲方要求，经甲方提出而乙方未及时整改的或虽经整改，但仍未达到甲方整改要求的，甲方有权终止本合同。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16.3 如需修改或补充合同内容，应经甲方、乙方协商，并签署书面修改或补充协议，提交丹阳市政府采购监督管理部门一份备案。该协议将作为本合同不可分割的一部分。</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16.4 本合同应按照中华人民共和国的现行法律进行解释。</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甲方（公章）：</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乙方（公章）：</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法定代表人或授权代表：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联系电话：</w:t>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jc w:val="center"/>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ind w:firstLine="420"/>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楷体"/>
          <w:b/>
          <w:color w:val="auto"/>
          <w:sz w:val="30"/>
          <w:szCs w:val="30"/>
          <w:highlight w:val="none"/>
        </w:rPr>
        <w:br w:type="page" w:clear="all"/>
      </w:r>
      <w:r/>
    </w:p>
    <w:p>
      <w:pPr>
        <w:jc w:val="center"/>
        <w:spacing w:line="360" w:lineRule="auto"/>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第四部分 采购需求</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一、</w:t>
      </w:r>
      <w:r>
        <w:rPr>
          <w:rFonts w:hint="eastAsia" w:ascii="宋体" w:hAnsi="宋体" w:cs="宋体"/>
          <w:b/>
          <w:bCs/>
          <w:color w:val="auto"/>
          <w:sz w:val="24"/>
        </w:rPr>
        <w:t xml:space="preserve">项目概况</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①建设背景</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城市生命线是保障城市安全运行的重要基础设施，是一项补短板、强基础、利长远的综合性系统工程，涉及燃气、供水、排水、道路、桥梁、地下管线等多个重点行业领域，具有公共性高、涉猎面广、相互关联性强的特点，其安全运行关系到人民生命财产安全，是保证城市高质量发展和人民安居乐业的基础。</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2021年12月，江苏省人民政府召开专题会议，部署城市生命线安全相关工作，要求按照“综合监管+智慧监测”的思路，为全国城市生命线安全监管提供“江苏方案”。2023年，《关于全面推进全省城市生命线安全工程建设的通知》（苏生命线办发〔2023〕16号）文件要求，要求全面启动7个非试点城市建设，并向县延伸。</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2025年5月，《中共中央办公厅 国务院办公厅关于持续推进城市更新行动的意见》印发，提出实施城市基础设施生命线安全工程建设。7月，中央城市工作会议提出要着力建设韧性城市，推进城市基础设施生命线安全工程建设。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2026年，《江苏省推进新型城市基础设施建设打造韧性城市行动方案（2026-2028）》，指出城市安全韧性体系更为健全，到2028年底，城市生命线安全工程有效覆盖率达75%。《推进江苏城市高质量发展行动方案》（苏发〔2026〕4号）提出要实施城市基础设施生命线安全工程，到2030年城市生命线工程有效覆盖率达85%。</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镇江市已全面开展城市生命线安全工程建设工作，丹阳市作为镇江下辖县级城市，在落实好江苏省、镇江市对城市生命线建设工作的要求基础上，开展城市生命线安全工程一期建设。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②建设目标</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结合丹阳实际，遵循“综合监管+智慧监测”整体思路，坚持统一标准，围绕日常监管、部门协同、资源共享等方面建立健全城市生命线安全监管工作机制，聚焦燃气、供水、排水、桥梁、道路、地下管线交互、第三方施工七大风险场景，实现省-市-县三级监管系统数据共享、业务协同、互联互通，推动监管效能显著提升、设施运行高效规范，使城市生命线安全管理从“被动应对”向“主动监管”转变，系统提升城市基础设施规范化、智慧化管理水平。</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③建设范围</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丹阳市城市生命线安全工程一期建设范围为丹阳市建成区，北至北二环路、宁沪城际、沪蓉高速，东至丹界线、麒麟路、南二环路、丹金溧漕河，南至南三环路、恒兴路，西至天元路、天翔路、西二环路，总面积约44.5平方公里。</w:t>
      </w:r>
      <w:r/>
    </w:p>
    <w:p>
      <w:pPr>
        <w:jc w:val="center"/>
        <w:widowControl/>
        <w:rPr>
          <w:rFonts w:hint="eastAsia" w:ascii="宋体" w:hAnsi="宋体" w:cs="宋体"/>
          <w:color w:val="auto"/>
          <w:lang w:bidi="ar"/>
        </w:rPr>
      </w:pPr>
      <w:r>
        <w:rPr>
          <w:color w:val="auto"/>
        </w:rPr>
        <mc:AlternateContent>
          <mc:Choice Requires="wpg">
            <w:drawing>
              <wp:inline xmlns:wp="http://schemas.openxmlformats.org/drawingml/2006/wordprocessingDrawing" distT="0" distB="0" distL="0" distR="0">
                <wp:extent cx="4947285" cy="5457825"/>
                <wp:effectExtent l="0" t="0" r="5715" b="9525"/>
                <wp:docPr id="1" name="图片 19013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0133664"/>
                        <pic:cNvPicPr>
                          <a:picLocks noChangeAspect="1"/>
                        </pic:cNvPicPr>
                        <pic:nvPr/>
                      </pic:nvPicPr>
                      <pic:blipFill>
                        <a:blip r:embed="rId9"/>
                        <a:srcRect l="0" t="2456" r="0" b="0"/>
                        <a:stretch/>
                      </pic:blipFill>
                      <pic:spPr bwMode="auto">
                        <a:xfrm>
                          <a:off x="0" y="0"/>
                          <a:ext cx="4951423" cy="5461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9.5pt;height:429.8pt;mso-wrap-distance-left:0.0pt;mso-wrap-distance-top:0.0pt;mso-wrap-distance-right:0.0pt;mso-wrap-distance-bottom:0.0pt;" stroked="f">
                <v:path textboxrect="0,0,0,0"/>
                <v:imagedata r:id="rId9" o:title=""/>
              </v:shape>
            </w:pict>
          </mc:Fallback>
        </mc:AlternateContent>
      </w:r>
      <w:r/>
    </w:p>
    <w:p>
      <w:pPr>
        <w:ind w:firstLine="440"/>
        <w:jc w:val="center"/>
        <w:rPr>
          <w:rFonts w:hint="eastAsia" w:ascii="宋体" w:hAnsi="宋体" w:cs="黑体"/>
          <w:color w:val="auto"/>
          <w:sz w:val="22"/>
          <w:szCs w:val="22"/>
        </w:rPr>
      </w:pPr>
      <w:r>
        <w:rPr>
          <w:rFonts w:hint="eastAsia" w:ascii="宋体" w:hAnsi="宋体" w:cs="黑体"/>
          <w:color w:val="auto"/>
          <w:sz w:val="22"/>
          <w:szCs w:val="22"/>
        </w:rPr>
        <w:t xml:space="preserve">项目建设范围图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④建设内容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按照“综合监管+智慧监测”思路，丹阳市城市生命线安全工程一期建设内容主要包含：</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a.市级支撑平台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对接复用镇江市市域治理指挥中心8大能力平台，包括物联网统一管理平台、融合通信平台、移动端系统管理平台、数据中台、监控视频共享分析平台、地理信息系统（GIS）子平台、技术中台、业务中台。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b.智慧监管系统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建设1套统一门户，建设“1+7”的综合监管系统，“1”指1个综合应用、“7”指7个专项场景，包含燃气专项、供水专项、排水专项、桥梁专项、道路专项、第三方施工破坏专项及地下管线交互专项。（</w:t>
      </w:r>
      <w:r>
        <w:rPr>
          <w:rFonts w:ascii="宋体" w:hAnsi="宋体" w:cs="宋体"/>
          <w:color w:val="auto"/>
          <w:sz w:val="24"/>
        </w:rPr>
        <w:t xml:space="preserve">本项目不</w:t>
      </w:r>
      <w:r>
        <w:rPr>
          <w:rFonts w:hint="eastAsia" w:ascii="宋体" w:hAnsi="宋体" w:cs="宋体"/>
          <w:color w:val="auto"/>
          <w:sz w:val="24"/>
        </w:rPr>
        <w:t xml:space="preserve">涉及</w:t>
      </w:r>
      <w:r>
        <w:rPr>
          <w:rFonts w:ascii="宋体" w:hAnsi="宋体" w:cs="宋体"/>
          <w:color w:val="auto"/>
          <w:sz w:val="24"/>
        </w:rPr>
        <w:t xml:space="preserve">大屏硬件设备</w:t>
      </w:r>
      <w:r>
        <w:rPr>
          <w:rFonts w:hint="eastAsia" w:ascii="宋体" w:hAnsi="宋体" w:cs="宋体"/>
          <w:color w:val="auto"/>
          <w:sz w:val="24"/>
        </w:rPr>
        <w:t xml:space="preserve">采购</w:t>
      </w:r>
      <w:r>
        <w:rPr>
          <w:rFonts w:ascii="宋体" w:hAnsi="宋体" w:cs="宋体"/>
          <w:color w:val="auto"/>
          <w:sz w:val="24"/>
        </w:rPr>
        <w:t xml:space="preserve">，</w:t>
      </w:r>
      <w:r>
        <w:rPr>
          <w:rFonts w:hint="eastAsia" w:ascii="宋体" w:hAnsi="宋体" w:cs="宋体"/>
          <w:color w:val="auto"/>
          <w:sz w:val="24"/>
        </w:rPr>
        <w:t xml:space="preserve">相关专项</w:t>
      </w:r>
      <w:r>
        <w:rPr>
          <w:rFonts w:ascii="宋体" w:hAnsi="宋体" w:cs="宋体"/>
          <w:color w:val="auto"/>
          <w:sz w:val="24"/>
        </w:rPr>
        <w:t xml:space="preserve">大屏</w:t>
      </w:r>
      <w:r>
        <w:rPr>
          <w:rFonts w:hint="eastAsia" w:ascii="宋体" w:hAnsi="宋体" w:cs="宋体"/>
          <w:color w:val="auto"/>
          <w:sz w:val="24"/>
        </w:rPr>
        <w:t xml:space="preserve">“一张图”</w:t>
      </w:r>
      <w:r>
        <w:rPr>
          <w:rFonts w:ascii="宋体" w:hAnsi="宋体" w:cs="宋体"/>
          <w:color w:val="auto"/>
          <w:sz w:val="24"/>
        </w:rPr>
        <w:t xml:space="preserve">展示能力依托既有硬件设备复用实现</w:t>
      </w:r>
      <w:r>
        <w:rPr>
          <w:rFonts w:hint="eastAsia" w:ascii="宋体" w:hAnsi="宋体" w:cs="宋体"/>
          <w:color w:val="auto"/>
          <w:sz w:val="24"/>
        </w:rPr>
        <w:t xml:space="preserve">）</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c.数据汇聚治理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依据全省统一数据标准及对接规范，建立1套城市生命线数据库，实施数据资源梳理、数据标准建设、数据汇聚实施、数据质量与治理、数据融合开发、数据资产管理、数据服务与运维等数据治理服务。确保按照高质量考核完成市县数据对接工作。</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d.管线数据脱密脱敏</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对地下管线数据实施脱敏脱密，保障管线数据安全。</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e.智慧监测硬件设备</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对排水专项、道路专项、桥梁专项开展智慧监测硬件布设，以及提供检测相关服务；按照江苏省城市生命线安全工程建设要求，接入燃气、排水、供水、桥梁、道路、第三方施工专项等既有监测数据。</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f.基础软件建设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采购并部署符合信创要求的国产软件运行系统和数据管理系统。全面支撑丹阳市城市生命线各业务系统的安全和可靠运行。</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g.其他建设内容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按照国家、省相关要求开展数据安全风险评估、软件第三方评测、信息系统安全等级评测工作。</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⑤建设时序</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本项目需在合同签定后9个月内完成采购需求中所规定的工作任务，试运行6个月，验收后进入3年运维期。</w:t>
      </w:r>
      <w:r/>
    </w:p>
    <w:p>
      <w:pPr>
        <w:ind w:firstLine="640"/>
        <w:jc w:val="left"/>
        <w:spacing w:line="560" w:lineRule="exact"/>
        <w:rPr>
          <w:rFonts w:hint="eastAsia" w:ascii="黑体" w:hAnsi="黑体" w:eastAsia="黑体"/>
          <w:color w:val="auto"/>
          <w:sz w:val="32"/>
          <w:szCs w:val="32"/>
        </w:rPr>
        <w:outlineLvl w:val="1"/>
      </w:pPr>
      <w:r>
        <w:rPr>
          <w:rFonts w:hint="eastAsia" w:ascii="黑体" w:hAnsi="黑体" w:eastAsia="黑体"/>
          <w:color w:val="auto"/>
          <w:sz w:val="32"/>
          <w:szCs w:val="32"/>
        </w:rPr>
        <w:t xml:space="preserve">需求清单</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按照“综合监管+智慧监测”思路，丹阳市城市生命线安全工程一期项目建设内容主要包含</w:t>
      </w:r>
      <w:r>
        <w:rPr>
          <w:rFonts w:hint="eastAsia" w:ascii="宋体" w:hAnsi="宋体" w:cs="宋体"/>
          <w:color w:val="auto"/>
          <w:sz w:val="24"/>
        </w:rPr>
        <w:t xml:space="preserve">市级支撑平台、智慧监管系统、数据汇聚治理、</w:t>
      </w:r>
      <w:r>
        <w:rPr>
          <w:rFonts w:ascii="宋体" w:hAnsi="宋体" w:cs="宋体"/>
          <w:color w:val="auto"/>
          <w:sz w:val="24"/>
        </w:rPr>
        <w:t xml:space="preserve">管线数据脱密脱敏</w:t>
      </w:r>
      <w:r>
        <w:rPr>
          <w:rFonts w:hint="eastAsia" w:ascii="宋体" w:hAnsi="宋体" w:cs="宋体"/>
          <w:color w:val="auto"/>
          <w:sz w:val="24"/>
        </w:rPr>
        <w:t xml:space="preserve">、智慧监测硬件设备、</w:t>
      </w:r>
      <w:r>
        <w:rPr>
          <w:rFonts w:ascii="宋体" w:hAnsi="宋体" w:cs="宋体"/>
          <w:color w:val="auto"/>
          <w:sz w:val="24"/>
        </w:rPr>
        <w:t xml:space="preserve">基础软件</w:t>
      </w:r>
      <w:r>
        <w:rPr>
          <w:rFonts w:hint="eastAsia" w:ascii="宋体" w:hAnsi="宋体" w:cs="宋体"/>
          <w:color w:val="auto"/>
          <w:sz w:val="24"/>
        </w:rPr>
        <w:t xml:space="preserve">购置等。清单如下：</w:t>
      </w:r>
      <w:r/>
    </w:p>
    <w:tbl>
      <w:tblPr>
        <w:tblStyle w:val="6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4779"/>
        <w:gridCol w:w="1418"/>
        <w:gridCol w:w="1276"/>
      </w:tblGrid>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序号</w:t>
            </w:r>
            <w:r/>
          </w:p>
        </w:tc>
        <w:tc>
          <w:tcPr>
            <w:tcW w:w="4779" w:type="dxa"/>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分项名称</w:t>
            </w:r>
            <w:r/>
          </w:p>
        </w:tc>
        <w:tc>
          <w:tcPr>
            <w:tcW w:w="1418" w:type="dxa"/>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数量</w:t>
            </w:r>
            <w:r/>
          </w:p>
        </w:tc>
        <w:tc>
          <w:tcPr>
            <w:tcW w:w="1276" w:type="dxa"/>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单位</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（一）</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市级支撑平台</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物联网统一管理子平</w:t>
            </w:r>
            <w:r>
              <w:rPr>
                <w:rFonts w:hint="eastAsia" w:ascii="宋体" w:hAnsi="宋体" w:cs="宋体"/>
                <w:color w:val="auto"/>
                <w:szCs w:val="21"/>
              </w:rPr>
              <w:t xml:space="preserve">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监控视频共享分析子平台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1.3</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融合通信子平台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1.4</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地理信息系统（GIS）子平台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1.5</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移动端系统管理平台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1.6</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数据中台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1.7</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业务中台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1.8</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技术中台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（二）</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智慧监管系统</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统一门户</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综合应用</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2.3</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燃气专项</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2.4</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供水专项</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2.5</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排水（雨水、污水）专项</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2.6</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道路专项</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2.7</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桥梁专项</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2.8</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第三方施工破坏专项</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2.9</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地下管线交互风险专项</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（三）</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数据汇聚治理</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数据资源梳理</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数据标准建设</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3.3</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数据汇聚实施</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3.4</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数据质量与治理</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3.5</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数据融合开发</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3.6</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数据资产管理</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3.7</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数据服务与运维</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（四）</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管线数据脱敏脱密</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4.1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数据脱密</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4.2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数据脱敏</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（五）</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智慧监测硬件设备（含设备及辅材购置、设备安装与集成、设备调试）</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5.1</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排水专项</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5.1.1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视频监控</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67</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5.1.2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硬盘录像机</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台</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5.1.3</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监控专用硬盘</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24</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5.1.4</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电子水尺</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18</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5.1.5</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河道水位计</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6</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5.1.6</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液位计</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23</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5.1.7</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视频网络专线（20Mbps）</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201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路·年</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5.2</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道路专项</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5.2.1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探地雷达车载检测服务（检测）</w:t>
            </w:r>
            <w:r/>
          </w:p>
        </w:tc>
        <w:tc>
          <w:tcPr>
            <w:tcW w:w="1418" w:type="dxa"/>
            <w:vAlign w:val="center"/>
            <w:textDirection w:val="lrTb"/>
            <w:noWrap w:val="false"/>
          </w:tcPr>
          <w:p>
            <w:pPr>
              <w:jc w:val="center"/>
              <w:widowControl/>
              <w:rPr>
                <w:color w:val="auto"/>
                <w:szCs w:val="21"/>
              </w:rPr>
            </w:pPr>
            <w:r>
              <w:rPr>
                <w:color w:val="auto"/>
                <w:szCs w:val="21"/>
              </w:rPr>
              <w:t xml:space="preserve">210.96</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车道·公里</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5.3</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桥梁专项</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光电挠度仪</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13</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靶标</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50</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5.3.3</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振弦式应变计</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6</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5.3.4</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索力振动传感器</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12</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5.3.5</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温湿度计</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5.3.6</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振动信号采集模块</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5.3.7</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振弦智能采集终端</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5.3.8</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高清球机</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14</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5.3.9</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低频振动加速度计</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4</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5.3.10</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工控机（云阳大桥）</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5.3.11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工控机（其他）</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5.3.12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综合采集站</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2</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5.3.13</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数据传输（100Mbps）</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路·年</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5.3.14</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数据传输（20Mbps）</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33</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路·年</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（六）</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基础软件</w:t>
            </w:r>
            <w:r>
              <w:rPr>
                <w:rFonts w:hint="eastAsia" w:ascii="宋体" w:hAnsi="宋体" w:cs="宋体"/>
                <w:b/>
                <w:bCs/>
                <w:color w:val="auto"/>
                <w:szCs w:val="21"/>
              </w:rPr>
              <w:t xml:space="preserve">购置</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6.1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国产软件运行系统</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17</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6.2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数据管理系统</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4</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套</w:t>
            </w:r>
            <w:r/>
          </w:p>
        </w:tc>
      </w:tr>
      <w:tr>
        <w:trPr>
          <w:jc w:val="center"/>
          <w:trHeight w:val="20"/>
        </w:trPr>
        <w:tc>
          <w:tcPr>
            <w:tcW w:w="0" w:type="auto"/>
            <w:vAlign w:val="center"/>
            <w:textDirection w:val="lrTb"/>
            <w:noWrap w:val="false"/>
          </w:tcPr>
          <w:p>
            <w:pPr>
              <w:jc w:val="center"/>
              <w:widowControl/>
              <w:rPr>
                <w:rFonts w:hint="eastAsia" w:ascii="宋体" w:hAnsi="宋体" w:cs="宋体"/>
                <w:b/>
                <w:bCs/>
                <w:color w:val="auto"/>
                <w:szCs w:val="21"/>
              </w:rPr>
            </w:pPr>
            <w:r>
              <w:rPr>
                <w:rFonts w:ascii="宋体" w:hAnsi="宋体" w:cs="宋体"/>
                <w:b/>
                <w:bCs/>
                <w:color w:val="auto"/>
                <w:szCs w:val="21"/>
              </w:rPr>
              <w:t xml:space="preserve">（七）</w:t>
            </w:r>
            <w:r/>
          </w:p>
        </w:tc>
        <w:tc>
          <w:tcPr>
            <w:tcW w:w="4779" w:type="dxa"/>
            <w:vAlign w:val="center"/>
            <w:textDirection w:val="lrTb"/>
            <w:noWrap w:val="false"/>
          </w:tcPr>
          <w:p>
            <w:pPr>
              <w:jc w:val="left"/>
              <w:widowControl/>
              <w:rPr>
                <w:rFonts w:hint="eastAsia" w:ascii="宋体" w:hAnsi="宋体" w:cs="宋体"/>
                <w:b/>
                <w:bCs/>
                <w:color w:val="auto"/>
                <w:szCs w:val="21"/>
              </w:rPr>
            </w:pPr>
            <w:r>
              <w:rPr>
                <w:rFonts w:ascii="宋体" w:hAnsi="宋体" w:cs="宋体"/>
                <w:b/>
                <w:bCs/>
                <w:color w:val="auto"/>
                <w:szCs w:val="21"/>
              </w:rPr>
              <w:t xml:space="preserve">其他建设要求</w:t>
            </w:r>
            <w:r/>
          </w:p>
        </w:tc>
        <w:tc>
          <w:tcPr>
            <w:tcW w:w="1418" w:type="dxa"/>
            <w:vAlign w:val="center"/>
            <w:textDirection w:val="lrTb"/>
            <w:noWrap w:val="false"/>
          </w:tcPr>
          <w:p>
            <w:pPr>
              <w:jc w:val="left"/>
              <w:widowControl/>
              <w:rPr>
                <w:rFonts w:hint="eastAsia" w:ascii="宋体" w:hAnsi="宋体" w:cs="宋体"/>
                <w:b/>
                <w:bCs/>
                <w:color w:val="auto"/>
                <w:szCs w:val="21"/>
              </w:rPr>
            </w:pPr>
            <w:r>
              <w:rPr>
                <w:rFonts w:hint="eastAsia" w:ascii="宋体" w:hAnsi="宋体" w:cs="宋体"/>
                <w:b/>
                <w:bCs/>
                <w:color w:val="auto"/>
                <w:szCs w:val="21"/>
              </w:rPr>
            </w:r>
            <w:r/>
          </w:p>
        </w:tc>
        <w:tc>
          <w:tcPr>
            <w:tcW w:w="1276" w:type="dxa"/>
            <w:vAlign w:val="center"/>
            <w:textDirection w:val="lrTb"/>
            <w:noWrap w:val="false"/>
          </w:tcPr>
          <w:p>
            <w:pPr>
              <w:jc w:val="left"/>
              <w:widowControl/>
              <w:rPr>
                <w:rFonts w:eastAsia="Times New Roman"/>
                <w:color w:val="auto"/>
                <w:sz w:val="20"/>
                <w:szCs w:val="20"/>
              </w:rPr>
            </w:pPr>
            <w:r>
              <w:rPr>
                <w:rFonts w:eastAsia="Times New Roman"/>
                <w:color w:val="auto"/>
                <w:sz w:val="20"/>
                <w:szCs w:val="20"/>
              </w:rPr>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7.1</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数据安全风险评估</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7.2</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软件第三方评测</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r>
        <w:trPr>
          <w:jc w:val="center"/>
          <w:trHeight w:val="20"/>
        </w:trPr>
        <w:tc>
          <w:tcPr>
            <w:tcW w:w="0" w:type="auto"/>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7.3</w:t>
            </w:r>
            <w:r/>
          </w:p>
        </w:tc>
        <w:tc>
          <w:tcPr>
            <w:tcW w:w="4779" w:type="dxa"/>
            <w:vAlign w:val="center"/>
            <w:textDirection w:val="lrTb"/>
            <w:noWrap w:val="false"/>
          </w:tcPr>
          <w:p>
            <w:pPr>
              <w:jc w:val="left"/>
              <w:widowControl/>
              <w:rPr>
                <w:rFonts w:hint="eastAsia" w:ascii="宋体" w:hAnsi="宋体" w:cs="宋体"/>
                <w:color w:val="auto"/>
                <w:szCs w:val="21"/>
              </w:rPr>
            </w:pPr>
            <w:r>
              <w:rPr>
                <w:rFonts w:ascii="宋体" w:hAnsi="宋体" w:cs="宋体"/>
                <w:color w:val="auto"/>
                <w:szCs w:val="21"/>
              </w:rPr>
              <w:t xml:space="preserve">信息系统安全等级评测</w:t>
            </w:r>
            <w:r/>
          </w:p>
        </w:tc>
        <w:tc>
          <w:tcPr>
            <w:tcW w:w="1418"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1</w:t>
            </w:r>
            <w:r/>
          </w:p>
        </w:tc>
        <w:tc>
          <w:tcPr>
            <w:tcW w:w="1276" w:type="dxa"/>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w:t>
            </w:r>
            <w:r/>
          </w:p>
        </w:tc>
      </w:tr>
    </w:tbl>
    <w:p>
      <w:pPr>
        <w:pStyle w:val="624"/>
        <w:rPr>
          <w:rFonts w:hint="eastAsia"/>
          <w:b/>
          <w:bCs/>
          <w:color w:val="auto"/>
          <w:lang w:val="en-US" w:eastAsia="zh-CN"/>
        </w:rPr>
      </w:pPr>
      <w:r>
        <w:rPr>
          <w:rFonts w:hint="eastAsia"/>
          <w:b/>
          <w:bCs/>
          <w:color w:val="auto"/>
          <w:lang w:val="en-US" w:eastAsia="zh-CN"/>
        </w:rPr>
      </w:r>
      <w:r/>
    </w:p>
    <w:p>
      <w:pPr>
        <w:pStyle w:val="624"/>
        <w:ind w:firstLine="482"/>
        <w:rPr>
          <w:rFonts w:hint="default" w:eastAsiaTheme="minorEastAsia"/>
          <w:b/>
          <w:bCs/>
          <w:color w:val="auto"/>
          <w:sz w:val="24"/>
          <w:szCs w:val="24"/>
          <w:highlight w:val="none"/>
          <w:lang w:val="en-US" w:eastAsia="zh-CN"/>
        </w:rPr>
      </w:pPr>
      <w:r>
        <w:rPr>
          <w:rFonts w:hint="eastAsia"/>
          <w:b/>
          <w:bCs/>
          <w:color w:val="auto"/>
          <w:sz w:val="24"/>
          <w:szCs w:val="24"/>
          <w:highlight w:val="none"/>
          <w:lang w:val="en-US" w:eastAsia="zh-CN"/>
        </w:rPr>
        <w:t xml:space="preserve">二、技术要求</w:t>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总体建设要求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总</w:t>
      </w:r>
      <w:r>
        <w:rPr>
          <w:rFonts w:hint="eastAsia" w:ascii="宋体" w:hAnsi="宋体" w:cs="宋体"/>
          <w:color w:val="auto"/>
          <w:sz w:val="24"/>
        </w:rPr>
        <w:t xml:space="preserve">体设计要求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本项目采用“软件+硬件+服务”一体化建设模式，贯彻省市县一体化建设思想，依托应用支撑平台共性技术能力底座，打通“省 市 县”三级资源共享通道，实现纵向业务贯通、横向部门业务协同。</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充分了解丹阳市城市生命线安全工程各场景建设基础，包括摸排各专项行业基本底数情况、行业监管职能以及行业监管内容、应用信息化系统建设及数据积累情况，收集整理各专项应用责任单位对市级监管平台的建设需求，从业务需求、功能需求、信息量等维度提出解决策略，进一步明确系统的建设目标、建设思路和建设内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充分考虑系统架构的复杂性和可用性，对总体架构、逻辑架构、技术架构、网络架构、数据架构进行详细设计，并形成对应架构图。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系统复用对接要求</w:t>
      </w:r>
      <w:r/>
    </w:p>
    <w:p>
      <w:pPr>
        <w:ind w:firstLine="480"/>
        <w:jc w:val="left"/>
        <w:spacing w:line="560" w:lineRule="exact"/>
        <w:rPr>
          <w:rFonts w:hint="eastAsia" w:ascii="宋体" w:hAnsi="宋体" w:cs="宋体"/>
          <w:color w:val="auto"/>
          <w:sz w:val="24"/>
          <w:szCs w:val="24"/>
          <w:highlight w:val="none"/>
        </w:rPr>
      </w:pPr>
      <w:r>
        <w:rPr>
          <w:rFonts w:hint="eastAsia" w:ascii="宋体" w:hAnsi="宋体" w:cs="宋体"/>
          <w:color w:val="auto"/>
          <w:sz w:val="24"/>
        </w:rPr>
        <w:t xml:space="preserve">根据省 市 县三级互联互通、业务协同贯通相关建设要求，需结合我市实际情况，从系统架构层面提出满足我市城市生命线监测监管建设需求和江苏省、镇江市复用要求的技术架构方案；从系统应用层面提出满足我市建设需求的省市县复用方案；从省市县数据对接方面提出我市城市生命线库表、消息、文件、视频等类型数据的接入、治理、同步上传的数据对接实施方案。</w:t>
      </w:r>
      <w:r/>
      <w:r>
        <w:rPr>
          <w:rFonts w:hint="eastAsia" w:ascii="宋体" w:hAnsi="宋体" w:cs="宋体"/>
          <w:color w:val="auto"/>
          <w:sz w:val="24"/>
          <w:highlight w:val="none"/>
        </w:rPr>
      </w:r>
      <w:r>
        <w:rPr>
          <w:rFonts w:hint="eastAsia" w:ascii="宋体" w:hAnsi="宋体" w:cs="宋体"/>
          <w:color w:val="auto"/>
          <w:sz w:val="24"/>
          <w:highlight w:val="none"/>
        </w:rPr>
      </w:r>
      <w:r>
        <w:rPr>
          <w:rFonts w:hint="eastAsia" w:ascii="宋体" w:hAnsi="宋体" w:cs="宋体"/>
          <w:color w:val="auto"/>
          <w:sz w:val="24"/>
          <w:szCs w:val="24"/>
          <w:highlight w:val="none"/>
        </w:rPr>
      </w:r>
    </w:p>
    <w:p>
      <w:pPr>
        <w:ind w:firstLine="480"/>
        <w:jc w:val="left"/>
        <w:spacing w:line="560" w:lineRule="exact"/>
        <w:rPr>
          <w:rFonts w:hint="eastAsia" w:ascii="宋体" w:hAnsi="宋体" w:cs="宋体"/>
          <w:b w:val="0"/>
          <w:bCs w:val="0"/>
          <w:color w:val="auto"/>
          <w:sz w:val="24"/>
        </w:rPr>
      </w:pPr>
      <w:r/>
      <w:bookmarkStart w:id="84" w:name="_GoBack"/>
      <w:r>
        <w:rPr>
          <w:rFonts w:hint="eastAsia" w:ascii="宋体" w:hAnsi="宋体" w:cs="宋体"/>
          <w:b w:val="0"/>
          <w:bCs w:val="0"/>
          <w:color w:val="auto"/>
          <w:sz w:val="24"/>
          <w:lang w:val="en-US" w:eastAsia="zh-CN"/>
        </w:rPr>
        <w:t xml:space="preserve">本项目是落实江苏省城市生命线安全工程省市县三级互联互通硬性工作要求，基于镇江市既有建设成果开发是本项目的客观业务需求，需要复用镇江市级平台开展丹阳项目定制化开发，镇江源代码权属归镇江市住房和城乡建设局，丹阳市住房和城乡建设局向镇江市住房和城乡建设局申请，经授权可无偿使用。</w:t>
      </w:r>
      <w:bookmarkEnd w:id="84"/>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rPr>
        <w:t xml:space="preserve">同时，需充分完成与丹阳市城市生命线相关信息系统对接，打通存量业务数据通道，消除数据孤岛，包括镇江市智慧燃气监管平台、镇江市气瓶质量安全追溯系统、丹阳港华</w:t>
      </w:r>
      <w:r>
        <w:rPr>
          <w:rFonts w:hint="eastAsia" w:ascii="宋体" w:hAnsi="宋体" w:cs="宋体"/>
          <w:color w:val="auto"/>
          <w:sz w:val="24"/>
          <w:highlight w:val="none"/>
        </w:rPr>
        <w:t xml:space="preserve">燃气公司相关信息化系统、丹阳市水务集团相关信息化系统、丹阳市“厂-站-网”一体化管控平台等平台的城市生命线需求数据对接工作。</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数据共享要求</w:t>
      </w:r>
      <w:r/>
    </w:p>
    <w:p>
      <w:pPr>
        <w:ind w:firstLine="480"/>
        <w:jc w:val="left"/>
        <w:spacing w:line="560" w:lineRule="exact"/>
        <w:rPr>
          <w:rFonts w:hint="eastAsia" w:ascii="宋体" w:hAnsi="宋体" w:cs="宋体"/>
          <w:color w:val="auto"/>
          <w:sz w:val="24"/>
          <w:highlight w:val="none"/>
        </w:rPr>
      </w:pPr>
      <w:r>
        <w:rPr>
          <w:rFonts w:ascii="宋体" w:hAnsi="宋体" w:cs="宋体"/>
          <w:color w:val="auto"/>
          <w:sz w:val="24"/>
          <w:highlight w:val="none"/>
        </w:rPr>
        <w:t xml:space="preserve">本项目系统平台及数据产权归属采购人所有，本项目产生大量的数据资源需根据《江苏省城市生命线安全工程数据标准》及丹阳市信息化系统建设整体要求，围绕本项目“燃气、供水、排水、道路、桥梁、第三方施工、地下管线”等7个场景，将主题库、专题库中的数据进行整理，进行信息资源目录编制，并通过数据共享的方式向政府机构无偿提供。需结合本项目实际情况，在数据治理方案中提供本项目的信息资源共享方案</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性能要求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a.计算性能要求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系统可用性≥99.00%，支持7×24小时连续稳定运行；</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支持在线并发用户≥500，最大注册用户数5000；</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普通操作、简单查询页面响应≤3秒；大数据量报表查询响应≤5秒；批量导入导出每500条处理响应≤3秒。</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b.应用交互性能要求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交互类业务（增删改记录等）：常规响应≤3秒，峰值响应≤5秒。</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查询类业务：简单查询</w:t>
      </w:r>
      <w:r>
        <w:rPr>
          <w:rFonts w:ascii="宋体" w:hAnsi="宋体" w:cs="宋体"/>
          <w:color w:val="auto"/>
          <w:sz w:val="24"/>
        </w:rPr>
        <w:t xml:space="preserve">3</w:t>
      </w:r>
      <w:r>
        <w:rPr>
          <w:rFonts w:ascii="Cambria Math" w:hAnsi="Cambria Math" w:cs="Cambria Math"/>
          <w:color w:val="auto"/>
          <w:sz w:val="24"/>
        </w:rPr>
        <w:t xml:space="preserve">‑</w:t>
      </w:r>
      <w:r>
        <w:rPr>
          <w:rFonts w:ascii="宋体" w:hAnsi="宋体" w:cs="宋体"/>
          <w:color w:val="auto"/>
          <w:sz w:val="24"/>
        </w:rPr>
        <w:t xml:space="preserve">5</w:t>
      </w:r>
      <w:r>
        <w:rPr>
          <w:rFonts w:hint="eastAsia" w:ascii="宋体" w:hAnsi="宋体" w:cs="宋体"/>
          <w:color w:val="auto"/>
          <w:sz w:val="24"/>
        </w:rPr>
        <w:t xml:space="preserve">秒；复杂查询</w:t>
      </w:r>
      <w:r>
        <w:rPr>
          <w:rFonts w:ascii="宋体" w:hAnsi="宋体" w:cs="宋体"/>
          <w:color w:val="auto"/>
          <w:sz w:val="24"/>
        </w:rPr>
        <w:t xml:space="preserve">5</w:t>
      </w:r>
      <w:r>
        <w:rPr>
          <w:rFonts w:ascii="Cambria Math" w:hAnsi="Cambria Math" w:cs="Cambria Math"/>
          <w:color w:val="auto"/>
          <w:sz w:val="24"/>
        </w:rPr>
        <w:t xml:space="preserve">‑</w:t>
      </w:r>
      <w:r>
        <w:rPr>
          <w:rFonts w:ascii="宋体" w:hAnsi="宋体" w:cs="宋体"/>
          <w:color w:val="auto"/>
          <w:sz w:val="24"/>
        </w:rPr>
        <w:t xml:space="preserve">8</w:t>
      </w:r>
      <w:r>
        <w:rPr>
          <w:rFonts w:hint="eastAsia" w:ascii="宋体" w:hAnsi="宋体" w:cs="宋体"/>
          <w:color w:val="auto"/>
          <w:sz w:val="24"/>
        </w:rPr>
        <w:t xml:space="preserve">秒；极限大数据样本查询≤</w:t>
      </w:r>
      <w:r>
        <w:rPr>
          <w:rFonts w:ascii="宋体" w:hAnsi="宋体" w:cs="宋体"/>
          <w:color w:val="auto"/>
          <w:sz w:val="24"/>
        </w:rPr>
        <w:t xml:space="preserve">10</w:t>
      </w:r>
      <w:r>
        <w:rPr>
          <w:rFonts w:hint="eastAsia" w:ascii="宋体" w:hAnsi="宋体" w:cs="宋体"/>
          <w:color w:val="auto"/>
          <w:sz w:val="24"/>
        </w:rPr>
        <w:t xml:space="preserve">秒。</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统计分析类业务：一般统计≤3秒，一般分析运算≤5秒。</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c.非功能性能要求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系统需具备良好的正确性、健壮性与可靠性，保障计算统计准确、支持实时监测并内置数据容错机制，实现7×24小时稳定业务运行；界面操作简便易用，数据传输采用加解密保障安全；采用组件化架构，具备可扩展、可移植能力，兼容主流浏览器及操作系统，可高效处理文本、图像、多媒体等多类型海量数据；配套提供数据备份恢复、权限管理、系统运维等维护管理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信创要求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本项目所涵盖的定制软件开发工作，必须严格遵循省、市、县当前及未来五年内可能出台的国家、地区法律法规、文件规定以及行业相关政策要求。若中标人的软件系统未能满足这些要求，中标人需按照相关规定，无条件且免费地对相关系统进行改造，以确保其软硬件达到最新的安全可靠性政策标准。此外，在维保期内，若信创相关政策发生变动，中标人应积极响应，无条件协助完成系统的国产化适配和部署工作，以确保系统的持续合规性与适应性。</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2.</w:t>
      </w:r>
      <w:r>
        <w:rPr>
          <w:rFonts w:ascii="宋体" w:hAnsi="宋体" w:cs="宋体"/>
          <w:b/>
          <w:bCs/>
          <w:color w:val="auto"/>
          <w:sz w:val="24"/>
        </w:rPr>
        <w:t xml:space="preserve">市级支撑平台要求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本次项目中，主要复用镇江市市域社会治理现代化指挥中心提供的应用支撑平台相关能力，包括：物联网统一管理子平台、融合通信子平台、移动端系统管理平台、监控视频共享分析子平台、地理信息系统（GIS）子平台、数据中台、业务中台及技术中台等8大平台。同时针对丹阳市适配需求，提供账号初始化、物联设备同步对接、视频资源同步、应急通信预案配置、本地矢量数据上图等服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物联网统一管理子平台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具备对部署在城市各角落的各类传感设备综合感知能力，对数据具备全面采集、存储、分析、转发能力，具备设备全生命周期的设备维护管理能力，实现物联设备接入、物联设备管理、物联数据管理、物联感知接入等能力。</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融合通信子平台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实现汇聚接入音频资源、集群对讲资源、视频监控资源、视频会议资源，打造融合通信能力，确保城市生命线指挥中心在指挥调度的时候能够上下联动、横向协同、扁平高效，实现音视频通话、即时通信和调度记录管理等能力。</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移动端系统管理平台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需将城市生命线安全监管的移动端业务集成到移动端APP中，并和统一用户引擎进行用户体系对接，实现巡检养护等基础数据的采集、统计报表的查看等。</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监控视频共享分析子平台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围绕丹阳市视频图像资源汇聚、跨行业跨层级共享等内容，开展视频图像共享与融合赋能子系统建设，有效整合各类城市生命线相关的视频监控资源，实现视频图像通用应用、视频图像解析、视频共享交换对接等能力。</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地理信息系统（GIS）子平台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在对空间数据以及业务专题数据进行治理融合的基础上，实现城市各种地理信息资源的统一展示和管理，直观而准确地展示城市生命线状况及运行基础数据等，实现地理数据治理融合、地图信息共享平台等能力。</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数据中台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需提供各项数据工具，实现从现有平台获取数据要素，高效便捷组装新的数据产品并转化为服务能力，实现对数据的标签化和产品化，实现数据汇聚、数据开发、数据资产、数据运维等能力。</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业务中台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需将资源、指标、任务等能力进行组件化，打造集约化通用能力组件，统一支撑应用平台的资源集中、模型汇聚、事件管理需求等，实现资源中心、应用中心、事件中心、预案中心、任务中心等能力。</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8）</w:t>
      </w:r>
      <w:r>
        <w:rPr>
          <w:rFonts w:hint="eastAsia" w:ascii="宋体" w:hAnsi="宋体" w:cs="宋体"/>
          <w:color w:val="auto"/>
          <w:sz w:val="24"/>
        </w:rPr>
        <w:t xml:space="preserve">技术中台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将数据、模型、事件、流程和可视化等能力进行组件化提取，打造集约化通用能力组件，统一支撑应用平台的数据需求、模型需求、事件流转需求和可视化需求等，实现业务报表引擎、统一用户引擎、工作台配置引擎、事件流程引擎、数据模型引擎等能力。</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3.</w:t>
      </w:r>
      <w:r>
        <w:rPr>
          <w:rFonts w:ascii="宋体" w:hAnsi="宋体" w:cs="宋体"/>
          <w:b/>
          <w:bCs/>
          <w:color w:val="auto"/>
          <w:sz w:val="24"/>
        </w:rPr>
        <w:t xml:space="preserve">智慧监管系统要求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统一门户</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统一门户，将相关的各类系统和应用（综合应用系统和各专项应用系统）汇聚起来，形成统一的工作界面，统一的业务视图，提供统一的访问地址。基于技术中台的统一鉴权平台，实现安全可靠的统一用户管理、统一权限管理，统一组织机构管理，提供单点登录功能。需包括：工作台、统一用户管理、业务应用管理、区域管理、信息通知、系统管理等功能。</w:t>
      </w:r>
      <w:r/>
    </w:p>
    <w:tbl>
      <w:tblPr>
        <w:tblStyle w:val="6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056"/>
        <w:gridCol w:w="1476"/>
        <w:gridCol w:w="6461"/>
      </w:tblGrid>
      <w:tr>
        <w:trPr>
          <w:trHeight w:val="20"/>
        </w:trPr>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序号</w:t>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名称</w:t>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功能</w:t>
            </w:r>
            <w:r/>
          </w:p>
        </w:tc>
        <w:tc>
          <w:tcPr>
            <w:tcW w:w="0" w:type="auto"/>
            <w:vAlign w:val="center"/>
            <w:textDirection w:val="lrTb"/>
            <w:noWrap w:val="false"/>
          </w:tcPr>
          <w:p>
            <w:pPr>
              <w:jc w:val="center"/>
              <w:widowControl/>
              <w:rPr>
                <w:rFonts w:eastAsia="等线"/>
                <w:color w:val="auto"/>
                <w:szCs w:val="21"/>
              </w:rPr>
            </w:pPr>
            <w:r>
              <w:rPr>
                <w:rFonts w:ascii="宋体" w:hAnsi="宋体"/>
                <w:color w:val="auto"/>
                <w:szCs w:val="21"/>
              </w:rPr>
              <w:t xml:space="preserve">功能说明</w:t>
            </w:r>
            <w:r/>
          </w:p>
        </w:tc>
      </w:tr>
      <w:tr>
        <w:trPr>
          <w:trHeight w:val="20"/>
        </w:trPr>
        <w:tc>
          <w:tcPr>
            <w:tcW w:w="0" w:type="auto"/>
            <w:vAlign w:val="center"/>
            <w:textDirection w:val="lrTb"/>
            <w:noWrap/>
          </w:tcPr>
          <w:p>
            <w:pPr>
              <w:jc w:val="center"/>
              <w:widowControl/>
              <w:rPr>
                <w:rFonts w:eastAsia="等线"/>
                <w:color w:val="auto"/>
                <w:szCs w:val="21"/>
              </w:rPr>
            </w:pPr>
            <w:r>
              <w:rPr>
                <w:rFonts w:eastAsia="等线"/>
                <w:color w:val="auto"/>
                <w:szCs w:val="21"/>
              </w:rPr>
              <w:t xml:space="preserve">1</w:t>
            </w:r>
            <w:r/>
          </w:p>
        </w:tc>
        <w:tc>
          <w:tcPr>
            <w:tcW w:w="0" w:type="auto"/>
            <w:vAlign w:val="center"/>
            <w:vMerge w:val="restart"/>
            <w:textDirection w:val="lrTb"/>
            <w:noWrap/>
          </w:tcPr>
          <w:p>
            <w:pPr>
              <w:jc w:val="center"/>
              <w:widowControl/>
              <w:rPr>
                <w:rFonts w:eastAsia="等线"/>
                <w:color w:val="auto"/>
                <w:szCs w:val="21"/>
              </w:rPr>
            </w:pPr>
            <w:r>
              <w:rPr>
                <w:rFonts w:ascii="宋体" w:hAnsi="宋体"/>
                <w:color w:val="auto"/>
                <w:szCs w:val="21"/>
              </w:rPr>
              <w:t xml:space="preserve">统一门户</w:t>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工作台</w:t>
            </w:r>
            <w:r/>
          </w:p>
        </w:tc>
        <w:tc>
          <w:tcPr>
            <w:tcW w:w="0" w:type="auto"/>
            <w:vAlign w:val="center"/>
            <w:textDirection w:val="lrTb"/>
            <w:noWrap w:val="false"/>
          </w:tcPr>
          <w:p>
            <w:pPr>
              <w:jc w:val="center"/>
              <w:widowControl/>
              <w:rPr>
                <w:rFonts w:eastAsia="等线"/>
                <w:color w:val="auto"/>
                <w:szCs w:val="21"/>
              </w:rPr>
            </w:pPr>
            <w:r>
              <w:rPr>
                <w:rFonts w:ascii="宋体" w:hAnsi="宋体"/>
                <w:color w:val="auto"/>
                <w:szCs w:val="21"/>
              </w:rPr>
              <w:t xml:space="preserve">集成项目相关系统应用，提供应用入口、公告、时间等桌面化展示内容。</w:t>
            </w:r>
            <w:r/>
          </w:p>
        </w:tc>
      </w:tr>
      <w:tr>
        <w:trPr>
          <w:trHeight w:val="20"/>
        </w:trPr>
        <w:tc>
          <w:tcPr>
            <w:tcW w:w="0" w:type="auto"/>
            <w:vAlign w:val="center"/>
            <w:textDirection w:val="lrTb"/>
            <w:noWrap/>
          </w:tcPr>
          <w:p>
            <w:pPr>
              <w:jc w:val="center"/>
              <w:widowControl/>
              <w:rPr>
                <w:rFonts w:eastAsia="等线"/>
                <w:color w:val="auto"/>
                <w:szCs w:val="21"/>
              </w:rPr>
            </w:pPr>
            <w:r>
              <w:rPr>
                <w:rFonts w:eastAsia="等线"/>
                <w:color w:val="auto"/>
                <w:szCs w:val="21"/>
              </w:rPr>
              <w:t xml:space="preserve">2</w:t>
            </w:r>
            <w:r/>
          </w:p>
        </w:tc>
        <w:tc>
          <w:tcPr>
            <w:tcW w:w="0" w:type="auto"/>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统一用户管理</w:t>
            </w:r>
            <w:r/>
          </w:p>
        </w:tc>
        <w:tc>
          <w:tcPr>
            <w:tcW w:w="0" w:type="auto"/>
            <w:vAlign w:val="center"/>
            <w:textDirection w:val="lrTb"/>
            <w:noWrap w:val="false"/>
          </w:tcPr>
          <w:p>
            <w:pPr>
              <w:jc w:val="center"/>
              <w:widowControl/>
              <w:rPr>
                <w:rFonts w:eastAsia="等线"/>
                <w:color w:val="auto"/>
                <w:szCs w:val="21"/>
              </w:rPr>
            </w:pPr>
            <w:r>
              <w:rPr>
                <w:rFonts w:ascii="宋体" w:hAnsi="宋体"/>
                <w:color w:val="auto"/>
                <w:szCs w:val="21"/>
              </w:rPr>
              <w:t xml:space="preserve">统一维护市级监管系统用户与组织机构，支持接口同步行业监管用户数据。</w:t>
            </w:r>
            <w:r/>
          </w:p>
        </w:tc>
      </w:tr>
      <w:tr>
        <w:trPr>
          <w:trHeight w:val="20"/>
        </w:trPr>
        <w:tc>
          <w:tcPr>
            <w:tcW w:w="0" w:type="auto"/>
            <w:vAlign w:val="center"/>
            <w:textDirection w:val="lrTb"/>
            <w:noWrap/>
          </w:tcPr>
          <w:p>
            <w:pPr>
              <w:jc w:val="center"/>
              <w:widowControl/>
              <w:rPr>
                <w:rFonts w:eastAsia="等线"/>
                <w:color w:val="auto"/>
                <w:szCs w:val="21"/>
              </w:rPr>
            </w:pPr>
            <w:r>
              <w:rPr>
                <w:rFonts w:eastAsia="等线"/>
                <w:color w:val="auto"/>
                <w:szCs w:val="21"/>
              </w:rPr>
              <w:t xml:space="preserve">3</w:t>
            </w:r>
            <w:r/>
          </w:p>
        </w:tc>
        <w:tc>
          <w:tcPr>
            <w:tcW w:w="0" w:type="auto"/>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业务应用管理</w:t>
            </w:r>
            <w:r/>
          </w:p>
        </w:tc>
        <w:tc>
          <w:tcPr>
            <w:tcW w:w="0" w:type="auto"/>
            <w:vAlign w:val="center"/>
            <w:textDirection w:val="lrTb"/>
            <w:noWrap w:val="false"/>
          </w:tcPr>
          <w:p>
            <w:pPr>
              <w:jc w:val="center"/>
              <w:widowControl/>
              <w:rPr>
                <w:rFonts w:eastAsia="等线"/>
                <w:color w:val="auto"/>
                <w:szCs w:val="21"/>
              </w:rPr>
            </w:pPr>
            <w:r>
              <w:rPr>
                <w:rFonts w:ascii="宋体" w:hAnsi="宋体"/>
                <w:color w:val="auto"/>
                <w:szCs w:val="21"/>
              </w:rPr>
              <w:t xml:space="preserve">作为全部业务系统统一入口，集成高频常用功能，实现跨系统一站式访问。</w:t>
            </w:r>
            <w:r/>
          </w:p>
        </w:tc>
      </w:tr>
      <w:tr>
        <w:trPr>
          <w:trHeight w:val="20"/>
        </w:trPr>
        <w:tc>
          <w:tcPr>
            <w:tcW w:w="0" w:type="auto"/>
            <w:vAlign w:val="center"/>
            <w:textDirection w:val="lrTb"/>
            <w:noWrap/>
          </w:tcPr>
          <w:p>
            <w:pPr>
              <w:jc w:val="center"/>
              <w:widowControl/>
              <w:rPr>
                <w:rFonts w:eastAsia="等线"/>
                <w:color w:val="auto"/>
                <w:szCs w:val="21"/>
              </w:rPr>
            </w:pPr>
            <w:r>
              <w:rPr>
                <w:rFonts w:eastAsia="等线"/>
                <w:color w:val="auto"/>
                <w:szCs w:val="21"/>
              </w:rPr>
              <w:t xml:space="preserve">4</w:t>
            </w:r>
            <w:r/>
          </w:p>
        </w:tc>
        <w:tc>
          <w:tcPr>
            <w:tcW w:w="0" w:type="auto"/>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区域管理</w:t>
            </w:r>
            <w:r/>
          </w:p>
        </w:tc>
        <w:tc>
          <w:tcPr>
            <w:tcW w:w="0" w:type="auto"/>
            <w:vAlign w:val="center"/>
            <w:textDirection w:val="lrTb"/>
            <w:noWrap w:val="false"/>
          </w:tcPr>
          <w:p>
            <w:pPr>
              <w:jc w:val="center"/>
              <w:widowControl/>
              <w:rPr>
                <w:rFonts w:eastAsia="等线"/>
                <w:color w:val="auto"/>
                <w:szCs w:val="21"/>
              </w:rPr>
            </w:pPr>
            <w:r>
              <w:rPr>
                <w:rFonts w:ascii="宋体" w:hAnsi="宋体"/>
                <w:color w:val="auto"/>
                <w:szCs w:val="21"/>
              </w:rPr>
              <w:t xml:space="preserve">搭建市</w:t>
            </w:r>
            <w:r>
              <w:rPr>
                <w:rFonts w:hint="eastAsia" w:ascii="宋体" w:hAnsi="宋体"/>
                <w:color w:val="auto"/>
                <w:szCs w:val="21"/>
              </w:rPr>
              <w:t xml:space="preserve">-</w:t>
            </w:r>
            <w:r>
              <w:rPr>
                <w:rFonts w:ascii="宋体" w:hAnsi="宋体"/>
                <w:color w:val="auto"/>
                <w:szCs w:val="21"/>
              </w:rPr>
              <w:t xml:space="preserve">部门</w:t>
            </w:r>
            <w:r>
              <w:rPr>
                <w:rFonts w:hint="eastAsia" w:ascii="宋体" w:hAnsi="宋体"/>
                <w:color w:val="auto"/>
                <w:szCs w:val="21"/>
              </w:rPr>
              <w:t xml:space="preserve">-属地</w:t>
            </w:r>
            <w:r>
              <w:rPr>
                <w:rFonts w:ascii="宋体" w:hAnsi="宋体"/>
                <w:color w:val="auto"/>
                <w:szCs w:val="21"/>
              </w:rPr>
              <w:t xml:space="preserve">多级管理架构，支持区域信息新增、编辑、删除及层级维护</w:t>
            </w:r>
            <w:r/>
          </w:p>
        </w:tc>
      </w:tr>
      <w:tr>
        <w:trPr>
          <w:trHeight w:val="20"/>
        </w:trPr>
        <w:tc>
          <w:tcPr>
            <w:tcW w:w="0" w:type="auto"/>
            <w:vAlign w:val="center"/>
            <w:textDirection w:val="lrTb"/>
            <w:noWrap/>
          </w:tcPr>
          <w:p>
            <w:pPr>
              <w:jc w:val="center"/>
              <w:widowControl/>
              <w:rPr>
                <w:rFonts w:eastAsia="等线"/>
                <w:color w:val="auto"/>
                <w:szCs w:val="21"/>
              </w:rPr>
            </w:pPr>
            <w:r>
              <w:rPr>
                <w:rFonts w:eastAsia="等线"/>
                <w:color w:val="auto"/>
                <w:szCs w:val="21"/>
              </w:rPr>
              <w:t xml:space="preserve">5</w:t>
            </w:r>
            <w:r/>
          </w:p>
        </w:tc>
        <w:tc>
          <w:tcPr>
            <w:tcW w:w="0" w:type="auto"/>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信息通知</w:t>
            </w:r>
            <w:r/>
          </w:p>
        </w:tc>
        <w:tc>
          <w:tcPr>
            <w:tcW w:w="0" w:type="auto"/>
            <w:vAlign w:val="center"/>
            <w:textDirection w:val="lrTb"/>
            <w:noWrap w:val="false"/>
          </w:tcPr>
          <w:p>
            <w:pPr>
              <w:jc w:val="center"/>
              <w:widowControl/>
              <w:rPr>
                <w:rFonts w:eastAsia="等线"/>
                <w:color w:val="auto"/>
                <w:szCs w:val="21"/>
              </w:rPr>
            </w:pPr>
            <w:r>
              <w:rPr>
                <w:rFonts w:ascii="宋体" w:hAnsi="宋体"/>
                <w:color w:val="auto"/>
                <w:szCs w:val="21"/>
              </w:rPr>
              <w:t xml:space="preserve">统一发布消息与任务提醒，支持消息查阅检索，兼容图文、视频多种通知形式。</w:t>
            </w:r>
            <w:r/>
          </w:p>
        </w:tc>
      </w:tr>
      <w:tr>
        <w:trPr>
          <w:trHeight w:val="20"/>
        </w:trPr>
        <w:tc>
          <w:tcPr>
            <w:tcW w:w="0" w:type="auto"/>
            <w:vAlign w:val="center"/>
            <w:textDirection w:val="lrTb"/>
            <w:noWrap/>
          </w:tcPr>
          <w:p>
            <w:pPr>
              <w:jc w:val="center"/>
              <w:widowControl/>
              <w:rPr>
                <w:rFonts w:eastAsia="等线"/>
                <w:color w:val="auto"/>
                <w:szCs w:val="21"/>
              </w:rPr>
            </w:pPr>
            <w:r>
              <w:rPr>
                <w:rFonts w:eastAsia="等线"/>
                <w:color w:val="auto"/>
                <w:szCs w:val="21"/>
              </w:rPr>
              <w:t xml:space="preserve">6</w:t>
            </w:r>
            <w:r/>
          </w:p>
        </w:tc>
        <w:tc>
          <w:tcPr>
            <w:tcW w:w="0" w:type="auto"/>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0" w:type="auto"/>
            <w:vAlign w:val="center"/>
            <w:textDirection w:val="lrTb"/>
            <w:noWrap/>
          </w:tcPr>
          <w:p>
            <w:pPr>
              <w:jc w:val="center"/>
              <w:widowControl/>
              <w:rPr>
                <w:rFonts w:eastAsia="等线"/>
                <w:color w:val="auto"/>
                <w:szCs w:val="21"/>
              </w:rPr>
            </w:pPr>
            <w:r>
              <w:rPr>
                <w:rFonts w:ascii="宋体" w:hAnsi="宋体"/>
                <w:color w:val="auto"/>
                <w:szCs w:val="21"/>
              </w:rPr>
              <w:t xml:space="preserve">系统管理</w:t>
            </w:r>
            <w:r/>
          </w:p>
        </w:tc>
        <w:tc>
          <w:tcPr>
            <w:tcW w:w="0" w:type="auto"/>
            <w:vAlign w:val="center"/>
            <w:textDirection w:val="lrTb"/>
            <w:noWrap w:val="false"/>
          </w:tcPr>
          <w:p>
            <w:pPr>
              <w:jc w:val="center"/>
              <w:widowControl/>
              <w:rPr>
                <w:rFonts w:eastAsia="等线"/>
                <w:color w:val="auto"/>
                <w:szCs w:val="21"/>
              </w:rPr>
            </w:pPr>
            <w:r>
              <w:rPr>
                <w:rFonts w:ascii="宋体" w:hAnsi="宋体"/>
                <w:color w:val="auto"/>
                <w:szCs w:val="21"/>
              </w:rPr>
              <w:t xml:space="preserve">维护系统权限条目，实现用户权限的分配、变更与回收管控。</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综合应用</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w:t>
      </w:r>
      <w:r>
        <w:rPr>
          <w:rFonts w:hint="eastAsia" w:ascii="宋体" w:hAnsi="宋体" w:cs="宋体"/>
          <w:color w:val="auto"/>
          <w:sz w:val="24"/>
        </w:rPr>
        <w:t xml:space="preserve">市监管系统的部署实施、联调配置和二次开发，建设丹阳市城市生命线监管系统综合应用。从县级监管视角，聚焦行业管理痛点，强化动态感知、监测报警、协同联动等多方面的能力，全面增强日常精细化管理和风险防范治理能力。整合燃气、排水、地下管线综合、第三方施工、供水、桥梁、道路等业务所涉及的各类监管数据，以地理信息平台为支撑，对城市生命线基础设施建设、运行监测、风险隐患、巡检养护、应急处置等各类数据进行融合分析并可视化展示。需包括：监管一张图、综合统计分析、行业综合监管、应急监管、通知公告、联络中心、设备运维及移动端等模块</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99"/>
        <w:gridCol w:w="2220"/>
        <w:gridCol w:w="2806"/>
        <w:gridCol w:w="2804"/>
      </w:tblGrid>
      <w:tr>
        <w:trPr>
          <w:trHeight w:val="20"/>
          <w:tblHeader/>
        </w:trPr>
        <w:tc>
          <w:tcPr>
            <w:tcBorders>
              <w:top w:val="single" w:color="auto"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ascii="宋体" w:hAnsi="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1153" w:type="pct"/>
            <w:vAlign w:val="center"/>
            <w:textDirection w:val="lrTb"/>
            <w:noWrap/>
          </w:tcPr>
          <w:p>
            <w:pPr>
              <w:jc w:val="center"/>
              <w:widowControl/>
              <w:rPr>
                <w:rFonts w:eastAsia="等线"/>
                <w:color w:val="auto"/>
                <w:szCs w:val="21"/>
              </w:rPr>
            </w:pPr>
            <w:r>
              <w:rPr>
                <w:rFonts w:ascii="宋体" w:hAnsi="宋体"/>
                <w:color w:val="auto"/>
                <w:szCs w:val="21"/>
              </w:rPr>
              <w:t xml:space="preserve">专项名称</w:t>
            </w:r>
            <w:r/>
          </w:p>
        </w:tc>
        <w:tc>
          <w:tcPr>
            <w:tcBorders>
              <w:top w:val="single" w:color="auto" w:sz="4" w:space="0"/>
              <w:left w:val="none" w:color="000000" w:sz="4" w:space="0"/>
              <w:bottom w:val="single" w:color="auto" w:sz="4" w:space="0"/>
              <w:right w:val="single" w:color="auto" w:sz="4" w:space="0"/>
            </w:tcBorders>
            <w:tcW w:w="1457" w:type="pct"/>
            <w:vAlign w:val="center"/>
            <w:textDirection w:val="lrTb"/>
            <w:noWrap/>
          </w:tcPr>
          <w:p>
            <w:pPr>
              <w:jc w:val="center"/>
              <w:widowControl/>
              <w:rPr>
                <w:rFonts w:eastAsia="等线"/>
                <w:color w:val="auto"/>
                <w:szCs w:val="21"/>
              </w:rPr>
            </w:pPr>
            <w:r>
              <w:rPr>
                <w:rFonts w:ascii="宋体" w:hAnsi="宋体"/>
                <w:color w:val="auto"/>
                <w:szCs w:val="21"/>
              </w:rPr>
              <w:t xml:space="preserve">系统功能</w:t>
            </w:r>
            <w:r/>
          </w:p>
        </w:tc>
        <w:tc>
          <w:tcPr>
            <w:tcBorders>
              <w:top w:val="single" w:color="auto"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系统子功能</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w:t>
            </w:r>
            <w:r/>
          </w:p>
        </w:tc>
        <w:tc>
          <w:tcPr>
            <w:tcBorders>
              <w:top w:val="none" w:color="000000" w:sz="4" w:space="0"/>
              <w:left w:val="single" w:color="auto" w:sz="4" w:space="0"/>
              <w:bottom w:val="single" w:color="auto" w:sz="4" w:space="0"/>
              <w:right w:val="single" w:color="auto" w:sz="4" w:space="0"/>
            </w:tcBorders>
            <w:tcW w:w="1153"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综合应用</w:t>
            </w:r>
            <w:r/>
          </w:p>
        </w:tc>
        <w:tc>
          <w:tcPr>
            <w:tcBorders>
              <w:top w:val="none" w:color="000000" w:sz="4" w:space="0"/>
              <w:left w:val="single" w:color="auto" w:sz="4" w:space="0"/>
              <w:bottom w:val="single" w:color="auto" w:sz="4" w:space="0"/>
              <w:right w:val="single" w:color="auto" w:sz="4" w:space="0"/>
            </w:tcBorders>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监管一张图</w:t>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综合总览子图</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协同处置子图</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3</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运行监测子图</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4</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基础设施子图</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5</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巡检养护子图</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6</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风险隐患子图</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7</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none" w:color="000000" w:sz="4" w:space="0"/>
              <w:right w:val="single" w:color="auto" w:sz="4" w:space="0"/>
            </w:tcBorders>
            <w:tcW w:w="1457"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综合统计分析</w:t>
            </w:r>
            <w:r/>
          </w:p>
        </w:tc>
        <w:tc>
          <w:tcPr>
            <w:tcBorders>
              <w:top w:val="none" w:color="000000" w:sz="4" w:space="0"/>
              <w:left w:val="none" w:color="000000" w:sz="4" w:space="0"/>
              <w:bottom w:val="none" w:color="000000" w:sz="4" w:space="0"/>
              <w:right w:val="none" w:color="000000" w:sz="4" w:space="0"/>
            </w:tcBorders>
            <w:tcW w:w="1456" w:type="pct"/>
            <w:vAlign w:val="center"/>
            <w:textDirection w:val="lrTb"/>
            <w:noWrap/>
          </w:tcPr>
          <w:p>
            <w:pPr>
              <w:jc w:val="center"/>
              <w:widowControl/>
              <w:rPr>
                <w:rFonts w:hint="eastAsia" w:ascii="宋体" w:hAnsi="宋体" w:cs="宋体"/>
                <w:color w:val="auto"/>
                <w:szCs w:val="21"/>
              </w:rPr>
            </w:pPr>
            <w:r>
              <w:rPr>
                <w:rFonts w:ascii="宋体" w:hAnsi="宋体" w:cs="宋体"/>
                <w:color w:val="auto"/>
                <w:szCs w:val="21"/>
              </w:rPr>
              <w:t xml:space="preserve">综合统计分析</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8</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none" w:color="000000" w:sz="4" w:space="0"/>
              <w:right w:val="single" w:color="auto" w:sz="4" w:space="0"/>
            </w:tcBorders>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统计报告管理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9</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single" w:color="auto" w:sz="4" w:space="0"/>
              <w:left w:val="single" w:color="auto" w:sz="4" w:space="0"/>
              <w:bottom w:val="single" w:color="000000" w:sz="4" w:space="0"/>
              <w:right w:val="single" w:color="auto" w:sz="4" w:space="0"/>
            </w:tcBorders>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行业综合监管</w:t>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项目信息管理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10</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single" w:color="auto" w:sz="4" w:space="0"/>
              <w:left w:val="single" w:color="auto" w:sz="4" w:space="0"/>
              <w:bottom w:val="single" w:color="000000"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风险评估信息管理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11</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single" w:color="auto" w:sz="4" w:space="0"/>
              <w:left w:val="single" w:color="auto" w:sz="4" w:space="0"/>
              <w:bottom w:val="single" w:color="000000"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事件管理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12</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single" w:color="auto" w:sz="4" w:space="0"/>
              <w:left w:val="single" w:color="auto" w:sz="4" w:space="0"/>
              <w:bottom w:val="single" w:color="000000"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资料中心</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13</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应急监管</w:t>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应急事件信息管理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14</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应急通信管理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15</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应急资源管理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16</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应急预案管理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17</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通知公告</w:t>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通知公告查看</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18</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通知内容管理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19</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通知发布管理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20</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通知公告审核</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21</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联络中心</w:t>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hint="eastAsia" w:ascii="宋体" w:hAnsi="宋体"/>
                <w:color w:val="auto"/>
                <w:szCs w:val="21"/>
              </w:rPr>
              <w:t xml:space="preserve">通讯录</w:t>
            </w:r>
            <w:r>
              <w:rPr>
                <w:rFonts w:ascii="宋体" w:hAnsi="宋体"/>
                <w:color w:val="auto"/>
                <w:szCs w:val="21"/>
              </w:rPr>
              <w:t xml:space="preserve">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22</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短信内容管理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23</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短信历史记录管理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24</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智能报警短信</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25</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eastAsia="等线"/>
                <w:color w:val="auto"/>
                <w:szCs w:val="21"/>
              </w:rPr>
              <w:t xml:space="preserve">IP</w:t>
            </w:r>
            <w:r>
              <w:rPr>
                <w:rFonts w:ascii="宋体" w:hAnsi="宋体"/>
                <w:color w:val="auto"/>
                <w:szCs w:val="21"/>
              </w:rPr>
              <w:t xml:space="preserve">电话历史记录管理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26</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设备运维</w:t>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设备管理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27</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巡检巡查计划</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28</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巡检巡查任务工单</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29</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维修任务工单</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30</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设备报警与问题工单</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31</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restart"/>
            <w:textDirection w:val="lrTb"/>
            <w:noWrap/>
          </w:tcPr>
          <w:p>
            <w:pPr>
              <w:jc w:val="center"/>
              <w:widowControl/>
              <w:rPr>
                <w:rFonts w:eastAsia="等线"/>
                <w:color w:val="auto"/>
                <w:szCs w:val="21"/>
              </w:rPr>
            </w:pPr>
            <w:r>
              <w:rPr>
                <w:rFonts w:ascii="宋体" w:hAnsi="宋体"/>
                <w:color w:val="auto"/>
                <w:szCs w:val="21"/>
              </w:rPr>
              <w:t xml:space="preserve">移动端</w:t>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通知公告</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32</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hint="eastAsia" w:ascii="宋体" w:hAnsi="宋体" w:cs="宋体"/>
                <w:color w:val="auto"/>
                <w:szCs w:val="21"/>
              </w:rPr>
            </w:pPr>
            <w:r>
              <w:rPr>
                <w:rFonts w:ascii="宋体" w:hAnsi="宋体" w:cs="宋体"/>
                <w:color w:val="auto"/>
                <w:szCs w:val="21"/>
              </w:rPr>
              <w:t xml:space="preserve">任务接收</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33</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数据管理</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34</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综合展示</w:t>
            </w:r>
            <w:r/>
          </w:p>
        </w:tc>
      </w:tr>
      <w:tr>
        <w:trPr>
          <w:trHeight w:val="20"/>
        </w:trPr>
        <w:tc>
          <w:tcPr>
            <w:tcBorders>
              <w:top w:val="none" w:color="000000" w:sz="4" w:space="0"/>
              <w:left w:val="single" w:color="auto" w:sz="4" w:space="0"/>
              <w:bottom w:val="single" w:color="auto" w:sz="4" w:space="0"/>
              <w:right w:val="single" w:color="auto" w:sz="4" w:space="0"/>
            </w:tcBorders>
            <w:tcW w:w="934" w:type="pct"/>
            <w:vAlign w:val="center"/>
            <w:textDirection w:val="lrTb"/>
            <w:noWrap/>
          </w:tcPr>
          <w:p>
            <w:pPr>
              <w:jc w:val="center"/>
              <w:widowControl/>
              <w:rPr>
                <w:rFonts w:eastAsia="等线"/>
                <w:color w:val="auto"/>
                <w:szCs w:val="21"/>
              </w:rPr>
            </w:pPr>
            <w:r>
              <w:rPr>
                <w:rFonts w:eastAsia="等线"/>
                <w:color w:val="auto"/>
                <w:szCs w:val="21"/>
              </w:rPr>
              <w:t xml:space="preserve">35</w:t>
            </w:r>
            <w:r/>
          </w:p>
        </w:tc>
        <w:tc>
          <w:tcPr>
            <w:tcBorders>
              <w:top w:val="none" w:color="000000" w:sz="4" w:space="0"/>
              <w:left w:val="single" w:color="auto" w:sz="4" w:space="0"/>
              <w:bottom w:val="single" w:color="auto" w:sz="4" w:space="0"/>
              <w:right w:val="single" w:color="auto" w:sz="4" w:space="0"/>
            </w:tcBorders>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single" w:color="auto" w:sz="4" w:space="0"/>
              <w:bottom w:val="single" w:color="auto" w:sz="4" w:space="0"/>
              <w:right w:val="single" w:color="auto" w:sz="4" w:space="0"/>
            </w:tcBorders>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tcPr>
          <w:p>
            <w:pPr>
              <w:jc w:val="center"/>
              <w:widowControl/>
              <w:rPr>
                <w:rFonts w:eastAsia="等线"/>
                <w:color w:val="auto"/>
                <w:szCs w:val="21"/>
              </w:rPr>
            </w:pPr>
            <w:r>
              <w:rPr>
                <w:rFonts w:ascii="宋体" w:hAnsi="宋体"/>
                <w:color w:val="auto"/>
                <w:szCs w:val="21"/>
              </w:rPr>
              <w:t xml:space="preserve">个人中心</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a.监管一张图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立足整个城市的安全运行，依托市域治理指挥中心提供的基础地理数据，通过叠加城市基础设施数据、监测数据、危险源、防护目标、应急资源等信息，与行业监管信息、监测报警结果等融合到一张图上进行展示和管理。宏观上展示丹阳市城市生命线工程区域的覆盖及发展态势，微观上展示各类资源信息的空间分布和详细信息，有助于城市安全管理部门实时掌握城市生命线安全运行的整体状态。需包括：综合总览子图、协同处置子图、运行监测子图、风险隐患子图、基础设施子图、巡检养护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将各专项城市基础设施智慧监测与综合监管数据集中汇聚，形成城市基础设施综合统计数据。对属地上报的城市基础设施监测报警情况、运行维护情况、风险隐患情况、突发事件等信息进行归纳记录与统计分析，包括事件类型、上报内容、上报人信息、处置情况等。同时，从不同维度对城市生命线各项信息进行统合统计分析，形成城市生命线安全监管工作所需的基础数据综合统计分析概览和相关报表输出。需包括：综合统计分析、统计报告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c.行业综合监管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整合城市燃气、供水、排水、地下管线综合管理、第三方施工、桥梁、道路等城市生命线相关专项业务已建的专项信息化管理平台，结合日常管理要求，对属地上报的城市基础设施建设和运营维护工作进行监督指导和综合评价，生成报表。并对部分工作进行督办催办，以提升管理服务效能，促使行业健康有序发展。需包括项目信息管理、风险评估信息管理、事件管理、资料中心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d.应急监管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整合丹阳城市生命线领域的燃气、供水、排水、地下管线、第三方施工、桥梁、道路等业务的紧急情况信息，建立城市生命线行业领域的紧急事件应急联动处置系统。需包括：应急事件信息管理、应急通信管理、应急资源管理、应急预案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e.通知公告</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知公告按照集中管理系统中需要人工发布的消息、通知公告进行设计，提供用户对国家及省市有关行业建设、运行、管理的重要通知公告的在线实时发布，支持在线查阅和下载等功能。需包括：通知公告查看、通知内容管理、通知发布管理、通知公告审核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f.联络中心</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已建的消息中心能力，建设统一的联络中心，确保紧急事项的快速上传下达。支持用户在系统中进行短信通知等功能。需包括：通讯录管理、短信内容管理、短信历史记录管理、智能报警短信、IP电话历史记录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g.设备运维</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丹阳市城市生命线相关设备设施具有种类繁多、覆盖范围广、情况复杂等特点，为有效管理及维护政府投资建设的相关设备设施，通过建设运维管理模块实现相关监测设备设施及资源的智慧化管理与维护。需包括：设备管理、巡检巡查计划、巡检巡查任务工单、维修任务工单、设备报警与问题工单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h.移动端</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为便于相关用户进行移动化办公与现场业务处理，打造综合应用移动端，实现城市生命线安全监管业务的便捷化操作与信息实时互通。需包括：通知公告、任务接收、数据管理、综合展示、个人中心等功能。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燃气专项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燃气专项应用。通过地理信息底图叠加燃气设施、监测和监管数据，掌握燃气行业总体情况，提升丹阳市燃气监管系统规范化、智慧化管理水平。需包括：燃气一张图、燃气运行监测管理、燃气运行处置管理、巡检巡查管理、安全专项检查信息管理、用户服务质量监督管理、城市生命线工作评价、燃气设施项目信息管理、燃气行业基础信息管理、监管对象场景化建设、燃气综合统计分析等模块</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9"/>
        <w:gridCol w:w="2220"/>
        <w:gridCol w:w="2806"/>
        <w:gridCol w:w="2804"/>
      </w:tblGrid>
      <w:tr>
        <w:trPr>
          <w:trHeight w:val="20"/>
          <w:tblHeader/>
        </w:trPr>
        <w:tc>
          <w:tcPr>
            <w:tcW w:w="934" w:type="pct"/>
            <w:vAlign w:val="center"/>
            <w:textDirection w:val="lrTb"/>
            <w:noWrap/>
          </w:tcPr>
          <w:p>
            <w:pPr>
              <w:jc w:val="center"/>
              <w:widowControl/>
              <w:rPr>
                <w:rFonts w:eastAsia="等线"/>
                <w:color w:val="auto"/>
                <w:szCs w:val="21"/>
              </w:rPr>
            </w:pPr>
            <w:r>
              <w:rPr>
                <w:rFonts w:ascii="宋体" w:hAnsi="宋体"/>
                <w:color w:val="auto"/>
                <w:szCs w:val="21"/>
              </w:rPr>
              <w:t xml:space="preserve">序号</w:t>
            </w:r>
            <w:r/>
          </w:p>
        </w:tc>
        <w:tc>
          <w:tcPr>
            <w:tcW w:w="1153" w:type="pct"/>
            <w:vAlign w:val="center"/>
            <w:textDirection w:val="lrTb"/>
            <w:noWrap/>
          </w:tcPr>
          <w:p>
            <w:pPr>
              <w:jc w:val="center"/>
              <w:widowControl/>
              <w:rPr>
                <w:rFonts w:eastAsia="等线"/>
                <w:color w:val="auto"/>
                <w:szCs w:val="21"/>
              </w:rPr>
            </w:pPr>
            <w:r>
              <w:rPr>
                <w:rFonts w:ascii="宋体" w:hAnsi="宋体"/>
                <w:color w:val="auto"/>
                <w:szCs w:val="21"/>
              </w:rPr>
              <w:t xml:space="preserve">专项名称</w:t>
            </w:r>
            <w:r/>
          </w:p>
        </w:tc>
        <w:tc>
          <w:tcPr>
            <w:tcW w:w="1457" w:type="pct"/>
            <w:vAlign w:val="center"/>
            <w:textDirection w:val="lrTb"/>
            <w:noWrap/>
          </w:tcPr>
          <w:p>
            <w:pPr>
              <w:jc w:val="center"/>
              <w:widowControl/>
              <w:rPr>
                <w:rFonts w:eastAsia="等线"/>
                <w:color w:val="auto"/>
                <w:szCs w:val="21"/>
              </w:rPr>
            </w:pPr>
            <w:r>
              <w:rPr>
                <w:rFonts w:ascii="宋体" w:hAnsi="宋体"/>
                <w:color w:val="auto"/>
                <w:szCs w:val="21"/>
              </w:rPr>
              <w:t xml:space="preserve">系统功能</w:t>
            </w:r>
            <w:r/>
          </w:p>
        </w:tc>
        <w:tc>
          <w:tcPr>
            <w:tcW w:w="1456" w:type="pct"/>
            <w:vAlign w:val="center"/>
            <w:textDirection w:val="lrTb"/>
            <w:noWrap/>
          </w:tcPr>
          <w:p>
            <w:pPr>
              <w:jc w:val="center"/>
              <w:widowControl/>
              <w:rPr>
                <w:rFonts w:eastAsia="等线"/>
                <w:color w:val="auto"/>
                <w:szCs w:val="21"/>
              </w:rPr>
            </w:pPr>
            <w:r>
              <w:rPr>
                <w:rFonts w:ascii="宋体" w:hAnsi="宋体"/>
                <w:color w:val="auto"/>
                <w:szCs w:val="21"/>
              </w:rPr>
              <w:t xml:space="preserve">系统子功能</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w:t>
            </w:r>
            <w:r/>
          </w:p>
        </w:tc>
        <w:tc>
          <w:tcPr>
            <w:tcW w:w="1153"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燃气专项</w:t>
            </w:r>
            <w:r/>
          </w:p>
        </w:tc>
        <w:tc>
          <w:tcPr>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燃气一张图</w:t>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总览子图</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风险隐患子图</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运行监测子图</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4</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老旧管道子图</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5</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项目信息子图</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6</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燃气综合统计分析</w:t>
            </w:r>
            <w:r/>
          </w:p>
        </w:tc>
        <w:tc>
          <w:tcPr>
            <w:tcW w:w="1456"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统计分析</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7</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燃气运行监测管理</w:t>
            </w:r>
            <w:r/>
          </w:p>
        </w:tc>
        <w:tc>
          <w:tcPr>
            <w:tcW w:w="1456"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预警报警及处置管理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8</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视频监控信息</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9</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阈值管理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10</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监测设备管理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11</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燃气运行处置管理</w:t>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风险评估信息管理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12</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隐患整改</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13</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重大安全隐患管理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14</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涉燃气重要紧急情况管理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15</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巡检巡查管理</w:t>
            </w:r>
            <w:r/>
          </w:p>
        </w:tc>
        <w:tc>
          <w:tcPr>
            <w:tcW w:w="1456"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巡检巡查信息管理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16</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巡检巡查问题管理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17</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安全专项检查信息管理</w:t>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检查标准管理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18</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检查计划管理等功能</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19</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监督检查</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20</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用户服务质量监督管理</w:t>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入户安检信息管理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21</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城市生命线工作评价</w:t>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第三方安全评估</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22</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工作评价功能</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23</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燃气设施项目信息</w:t>
            </w:r>
            <w:r>
              <w:rPr>
                <w:color w:val="auto"/>
                <w:szCs w:val="21"/>
              </w:rPr>
              <w:t xml:space="preserve"> </w:t>
            </w:r>
            <w:r>
              <w:rPr>
                <w:rFonts w:ascii="宋体" w:hAnsi="宋体" w:cs="宋体"/>
                <w:color w:val="auto"/>
                <w:szCs w:val="21"/>
              </w:rPr>
              <w:t xml:space="preserve">管理</w:t>
            </w:r>
            <w:r/>
          </w:p>
        </w:tc>
        <w:tc>
          <w:tcPr>
            <w:tcW w:w="1456"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项目信息管理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24</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燃气行业基础信息管理</w:t>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燃气企业基础信息管理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25</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燃气设施基础信息管理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26</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燃气车辆基础信息管理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27</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燃气行业管理人员基础信息管理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28</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燃气用户基础信息管理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29</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燃气从业人员基础信息管理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30</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送气工基础信息管理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31</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城镇燃气供应管理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32</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储气设备储气情况管理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33</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储气能力建设情况管理功能</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34</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监管对象场景化建设</w:t>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企业安全综合评价</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35</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企业证照管理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36</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气瓶全链条管理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37</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气瓶异常监管</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38</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随瓶安检</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39</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从业人员证书管理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40</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从业人员继续教育管理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41</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送气工异常管理</w:t>
            </w:r>
            <w:r/>
          </w:p>
        </w:tc>
      </w:tr>
      <w:tr>
        <w:trPr>
          <w:trHeight w:val="20"/>
        </w:trPr>
        <w:tc>
          <w:tcPr>
            <w:tcW w:w="934" w:type="pct"/>
            <w:vAlign w:val="center"/>
            <w:textDirection w:val="lrTb"/>
            <w:noWrap/>
          </w:tcPr>
          <w:p>
            <w:pPr>
              <w:jc w:val="center"/>
              <w:widowControl/>
              <w:rPr>
                <w:rFonts w:eastAsia="等线"/>
                <w:color w:val="auto"/>
                <w:szCs w:val="21"/>
              </w:rPr>
            </w:pPr>
            <w:r>
              <w:rPr>
                <w:rFonts w:eastAsia="等线"/>
                <w:color w:val="auto"/>
                <w:szCs w:val="21"/>
              </w:rPr>
              <w:t xml:space="preserve">42</w:t>
            </w:r>
            <w:r/>
          </w:p>
        </w:tc>
        <w:tc>
          <w:tcPr>
            <w:tcW w:w="115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7"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456" w:type="pct"/>
            <w:vAlign w:val="center"/>
            <w:textDirection w:val="lrTb"/>
            <w:noWrap w:val="false"/>
          </w:tcPr>
          <w:p>
            <w:pPr>
              <w:jc w:val="center"/>
              <w:widowControl/>
              <w:rPr>
                <w:rFonts w:eastAsia="等线"/>
                <w:color w:val="auto"/>
                <w:szCs w:val="21"/>
              </w:rPr>
            </w:pPr>
            <w:r>
              <w:rPr>
                <w:rFonts w:ascii="宋体" w:hAnsi="宋体"/>
                <w:color w:val="auto"/>
                <w:szCs w:val="21"/>
              </w:rPr>
              <w:t xml:space="preserve">车辆异常管理</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a.燃气一张图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以基础底图和燃气基础设施、综合监管和智慧监测各项指标数据为基础，从首页概览、燃气风险隐患、燃气运行监测、老旧管道监测、项目信息等方面，实现以一张图的形式系统展示燃气运行概况。需包括：总览子图、风险隐患子图、运行监测子图、老旧管道子图、项目信息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b.燃气综合统计分析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燃气行业监管、监测等数据进行统计汇总，展示数据变化趋势，支持基于分析结果一键生成统计报告。需包含：燃气运行监测统计分析、燃气运行处置统计分析、巡检巡查信息统计分析、用户服务质量监督统计分析、城市生命线工作统计分析、燃气设施项目信息统计分析、燃气行业基础信息统计分析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c.燃气运行监测管理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接入燃气企业信息化系统监测和市智慧燃气监管平台数据，汇聚燃气厂站、管道等设施的运行监测信息，实现对燃气厂站、管道泄漏、压力、流量等运行状态的动态监控。能够在系统中查询可燃气体实时浓度及历史浓度曲线掌握安全趋势，查询被监测对象的详细信息，在地图上定位监测点位位置，直观、全面地了解燃气管网的运行状况，为预防与控制燃气突发事故的发生提供重要的信息和技术支持。需包括：预警报警及处置管理、视频监控信息、阈值管理、监测设备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d.燃气运行处置管理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实现对燃气管网风险隐患信息、突发事件信息、燃气设施老化评估信息等进行统一管理。需包括：风险评估信息管理、隐患整改、重大安全隐患管理、涉燃气重要紧急情况管理等功能。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e.巡检巡查管理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按照《江苏省城镇燃气安全检查标准》（DB32T4064-2021）规定的频次和内容，对燃气厂站、燃气管线等设施的日常巡查巡检的计划和执行情况进行管理。需包括：巡检巡查信息管理、巡检巡查问题管理等功能。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f.安全专项检查信息管理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依据《江苏省城镇燃气安全检查标准》（DB32T4064-2021），对燃气企业进行现场检查的标准管理、计划管理等进行统一管理。需包括：检查标准管理、检查计划管理、监督检查等功能。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g.用户服务质量监督管理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根据《江苏省城镇燃气安全检查标准》（DB32T4064-2021）规定的频次和内容，制定燃气入户安检计划，按规定频次对燃气居民用户、非居民用户进行入户安检，提高燃气企业的服务质量。需包括：入户安检信息管理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h.城市生命线工作评价</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支持行业主管部门对管道燃气企业、瓶装液化气经营企业定期进行监督评价，具体根据燃气企业、液化气企业的风险管控情况、报警处置情况以及发生安全事故情况等不同维度不同权重，以月或季度为周期，建立企业安全管理评估模型，对不同企业的安全管理进行评估。需包括：第三方安全评估、工作评价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i.燃气设施项目信息管理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支持对全市燃气厂站、管道等规划项目、计划项目、在建项目信息进行多维度统计分析管理，并支持用各种图表如柱状图、表格、报表等形式进行展示。需包含：规划项目信息管理、计划项目信息管理、在建项目信息管理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j.燃气行业基础信息管理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汇聚燃气相关行业信息和设施基础信息，对重点信息进行管理。需包括：燃气企业基础信息管理、燃气设施基础信息管理、燃气车辆基础信息管理、燃气行业管理人员基础信息管理、燃气用户基础信息管理、燃气从业人员基础信息管理、送气工基础信息管理、城镇燃气供应管理、储气设备储气情况管理、储气能力建设情况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k.监管对象场景化建设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燃气监管对象的证照、安检、从业人员证书、从业人员教育等基本信息进行管理。需包括：企业安全综合评价、企业证照管理、气瓶全链条管理、气瓶异常监管、随瓶安检、从业人员证书管理、从业人员继续教育管理、送气工异常管理、车辆异常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供水专项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供水专项应用。结合供水行业全生命周期和应用场景，系统提升丹阳市供水监管系统规范化、智慧化管理水平。需包括：供水一张图、供水运行监测管理、供水运行处置管理、供水安全保障工作监督评价、供水设施项目信息管理、供水行业基础信息管理、供水综合统计分析等模块</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1"/>
        <w:gridCol w:w="1741"/>
        <w:gridCol w:w="3162"/>
        <w:gridCol w:w="3465"/>
      </w:tblGrid>
      <w:tr>
        <w:trPr>
          <w:trHeight w:val="20"/>
          <w:tblHeader/>
        </w:trPr>
        <w:tc>
          <w:tcPr>
            <w:tcW w:w="655" w:type="pct"/>
            <w:vAlign w:val="center"/>
            <w:textDirection w:val="lrTb"/>
            <w:noWrap/>
          </w:tcPr>
          <w:p>
            <w:pPr>
              <w:jc w:val="center"/>
              <w:widowControl/>
              <w:rPr>
                <w:rFonts w:eastAsia="等线"/>
                <w:color w:val="auto"/>
                <w:szCs w:val="21"/>
              </w:rPr>
            </w:pPr>
            <w:r>
              <w:rPr>
                <w:rFonts w:ascii="宋体" w:hAnsi="宋体"/>
                <w:color w:val="auto"/>
                <w:szCs w:val="21"/>
              </w:rPr>
              <w:t xml:space="preserve">序号</w:t>
            </w:r>
            <w:r/>
          </w:p>
        </w:tc>
        <w:tc>
          <w:tcPr>
            <w:tcW w:w="904" w:type="pct"/>
            <w:vAlign w:val="center"/>
            <w:textDirection w:val="lrTb"/>
            <w:noWrap/>
          </w:tcPr>
          <w:p>
            <w:pPr>
              <w:jc w:val="center"/>
              <w:widowControl/>
              <w:rPr>
                <w:rFonts w:eastAsia="等线"/>
                <w:color w:val="auto"/>
                <w:szCs w:val="21"/>
              </w:rPr>
            </w:pPr>
            <w:r>
              <w:rPr>
                <w:rFonts w:ascii="宋体" w:hAnsi="宋体"/>
                <w:color w:val="auto"/>
                <w:szCs w:val="21"/>
              </w:rPr>
              <w:t xml:space="preserve">专项名称</w:t>
            </w:r>
            <w:r/>
          </w:p>
        </w:tc>
        <w:tc>
          <w:tcPr>
            <w:tcW w:w="1642" w:type="pct"/>
            <w:vAlign w:val="center"/>
            <w:textDirection w:val="lrTb"/>
            <w:noWrap/>
          </w:tcPr>
          <w:p>
            <w:pPr>
              <w:jc w:val="center"/>
              <w:widowControl/>
              <w:rPr>
                <w:rFonts w:eastAsia="等线"/>
                <w:color w:val="auto"/>
                <w:szCs w:val="21"/>
              </w:rPr>
            </w:pPr>
            <w:r>
              <w:rPr>
                <w:rFonts w:ascii="宋体" w:hAnsi="宋体"/>
                <w:color w:val="auto"/>
                <w:szCs w:val="21"/>
              </w:rPr>
              <w:t xml:space="preserve">系统功能</w:t>
            </w:r>
            <w:r/>
          </w:p>
        </w:tc>
        <w:tc>
          <w:tcPr>
            <w:tcW w:w="1799" w:type="pct"/>
            <w:vAlign w:val="center"/>
            <w:textDirection w:val="lrTb"/>
            <w:noWrap/>
          </w:tcPr>
          <w:p>
            <w:pPr>
              <w:jc w:val="center"/>
              <w:widowControl/>
              <w:rPr>
                <w:rFonts w:eastAsia="等线"/>
                <w:color w:val="auto"/>
                <w:szCs w:val="21"/>
              </w:rPr>
            </w:pPr>
            <w:r>
              <w:rPr>
                <w:rFonts w:ascii="宋体" w:hAnsi="宋体"/>
                <w:color w:val="auto"/>
                <w:szCs w:val="21"/>
              </w:rPr>
              <w:t xml:space="preserve">系统子功能</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w:t>
            </w:r>
            <w:r/>
          </w:p>
        </w:tc>
        <w:tc>
          <w:tcPr>
            <w:tcW w:w="904"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供水专项</w:t>
            </w:r>
            <w:r/>
          </w:p>
        </w:tc>
        <w:tc>
          <w:tcPr>
            <w:tcW w:w="1642"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供水一张图</w:t>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总览子图</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风险隐患子图</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3</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运行监测子图</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4</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老旧管道子图</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5</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基础设施子图</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6</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供水综合统计分析</w:t>
            </w:r>
            <w:r/>
          </w:p>
        </w:tc>
        <w:tc>
          <w:tcPr>
            <w:tcW w:w="179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统计分析</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7</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供水运行监测管理</w:t>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监测设备信息</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8</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预警报警信息</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9</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预警报警处置信息</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10</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超期阈值设置管理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11</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供水运行处置管理</w:t>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风险评估信息管理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12</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13</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供水安全保障工作监督评价</w:t>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规范化考核</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14</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市供水安全保障工作评价</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15</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应急水源评估</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16</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城市生命线供水专项工作评价</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17</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供水设施项目信息管理</w:t>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工程项目规划</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18</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制定改造计划</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19</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改造审批</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20</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工程档案管理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21</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重要项目清单</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22</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年度重点项目信息</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23</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供水行业基础信息管理</w:t>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应急水源地基础信息</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24</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水源地信息管理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25</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供水基础设施信息管理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26</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供水企业基础信息管理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27</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供水管理人员基础信息管理</w:t>
            </w:r>
            <w:r/>
          </w:p>
        </w:tc>
      </w:tr>
      <w:tr>
        <w:trPr>
          <w:trHeight w:val="20"/>
        </w:trPr>
        <w:tc>
          <w:tcPr>
            <w:tcW w:w="655" w:type="pct"/>
            <w:vAlign w:val="center"/>
            <w:textDirection w:val="lrTb"/>
            <w:noWrap/>
          </w:tcPr>
          <w:p>
            <w:pPr>
              <w:jc w:val="center"/>
              <w:widowControl/>
              <w:rPr>
                <w:rFonts w:eastAsia="等线"/>
                <w:color w:val="auto"/>
                <w:szCs w:val="21"/>
              </w:rPr>
            </w:pPr>
            <w:r>
              <w:rPr>
                <w:rFonts w:eastAsia="等线"/>
                <w:color w:val="auto"/>
                <w:szCs w:val="21"/>
              </w:rPr>
              <w:t xml:space="preserve">28</w:t>
            </w:r>
            <w:r/>
          </w:p>
        </w:tc>
        <w:tc>
          <w:tcPr>
            <w:tcW w:w="904"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64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99" w:type="pct"/>
            <w:vAlign w:val="center"/>
            <w:textDirection w:val="lrTb"/>
            <w:noWrap w:val="false"/>
          </w:tcPr>
          <w:p>
            <w:pPr>
              <w:jc w:val="center"/>
              <w:widowControl/>
              <w:rPr>
                <w:rFonts w:eastAsia="等线"/>
                <w:color w:val="auto"/>
                <w:szCs w:val="21"/>
              </w:rPr>
            </w:pPr>
            <w:r>
              <w:rPr>
                <w:rFonts w:ascii="宋体" w:hAnsi="宋体"/>
                <w:color w:val="auto"/>
                <w:szCs w:val="21"/>
              </w:rPr>
              <w:t xml:space="preserve">供水用户基础信息管理</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a.供水一张图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整合叠加各类管网、水厂、取水口、增压站、二次供水泵房等供水设施信息，直观展示供水基础设施的智慧监测与综合监管情况。需包括：总览子图、风险隐患子图、运行监测子图、老旧管道子图、基础设施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b.供水综合统计分析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供水行业监管、监测等数据进行统计汇总，展示数据变化趋势，支持基于分析结果一键生成统计报告。需包含：供水运行监测统计分析、供水运行处置统计分析、供水安全保障工作统计分析、供水设施项目信息统计分析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c.供水运行监测管理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汇聚供水企业信息化系统监测数据，汇聚供水水源地、水厂、管网、中途增压泵站、二次供水的运行监测信息，实现对管网水质、管网流量、管网漏损等运行状态的动态监控。需包括：监测设备信息、预警报警信息、预警报警处置信息、超期阈值设置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d.供水运行处置管理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对供水管网风险评估信息、突发事件、巡检养护等处置信息等进行统一管理。需包括：风险评估信息管理、事件管理等功能。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e.供水安全保障工作监督评价</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依托《城镇供水规范化管理考核指标及评分方法》《江苏省城市生命线安全建设一期工程技术指导书（试行）》等文件要求，由市住建部门对供水行业评价及城市生命线供水专项进行工作评价。需包括：规范化考核、市供水安全保障工作评价、应急水源评估、城市生命线供水专项工作评价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f.供水设施项目信息管理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供水设施五年规划项目和年度重点项目信息进行管理，包括项目名称、建设内容、计划、计划投资额、预计完成时间等。需包括：工程项目规划、制定改造计划、改造审批、工程档案管理、重要项目清单、年度重点项目信息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g.供水行业基础信息管理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供水水源地、供水厂、供水管线、中途增压泵站、二次供水设施、供水企业、供水管理人员等基本信息进行管理。需包括：应急水源地基础信息、水源地信息管理、供水企业基础信息管理、供水管理人员基础信息管理、供水用户基础信息管理、供水基础设施信息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排水专项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排水专项应用。排水专项应用围绕排水防涝和污水监管进行展开，分别对城市雨水管网、雨水泵站、排水口、易淹易涝点等排水防涝相关以及排水户、污水管网、污水泵站、污水厂等污水设施进行精细化管理，对基础信息管理、在线监测、运维养护、应急处置等方面深入开展信息化应用，按照“综合监管+智慧监测”思路，建设排水防涝监管子系统与污水监管子系统</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656"/>
        <w:gridCol w:w="3638"/>
        <w:gridCol w:w="3622"/>
      </w:tblGrid>
      <w:tr>
        <w:trPr>
          <w:trHeight w:val="20"/>
          <w:tblHeader/>
        </w:trPr>
        <w:tc>
          <w:tcPr>
            <w:tcW w:w="370" w:type="pct"/>
            <w:vAlign w:val="center"/>
            <w:textDirection w:val="lrTb"/>
            <w:noWrap/>
          </w:tcPr>
          <w:p>
            <w:pPr>
              <w:jc w:val="center"/>
              <w:widowControl/>
              <w:rPr>
                <w:rFonts w:eastAsia="等线"/>
                <w:color w:val="auto"/>
                <w:szCs w:val="21"/>
              </w:rPr>
            </w:pPr>
            <w:r>
              <w:rPr>
                <w:rFonts w:ascii="宋体" w:hAnsi="宋体"/>
                <w:color w:val="auto"/>
                <w:szCs w:val="21"/>
              </w:rPr>
              <w:t xml:space="preserve">序号</w:t>
            </w:r>
            <w:r/>
          </w:p>
        </w:tc>
        <w:tc>
          <w:tcPr>
            <w:tcW w:w="860" w:type="pct"/>
            <w:vAlign w:val="center"/>
            <w:textDirection w:val="lrTb"/>
            <w:noWrap/>
          </w:tcPr>
          <w:p>
            <w:pPr>
              <w:jc w:val="center"/>
              <w:widowControl/>
              <w:rPr>
                <w:rFonts w:eastAsia="等线"/>
                <w:color w:val="auto"/>
                <w:szCs w:val="21"/>
              </w:rPr>
            </w:pPr>
            <w:r>
              <w:rPr>
                <w:rFonts w:ascii="宋体" w:hAnsi="宋体"/>
                <w:color w:val="auto"/>
                <w:szCs w:val="21"/>
              </w:rPr>
              <w:t xml:space="preserve">专项名称</w:t>
            </w:r>
            <w:r/>
          </w:p>
        </w:tc>
        <w:tc>
          <w:tcPr>
            <w:tcW w:w="1889" w:type="pct"/>
            <w:vAlign w:val="center"/>
            <w:textDirection w:val="lrTb"/>
            <w:noWrap/>
          </w:tcPr>
          <w:p>
            <w:pPr>
              <w:jc w:val="center"/>
              <w:widowControl/>
              <w:rPr>
                <w:rFonts w:eastAsia="等线"/>
                <w:color w:val="auto"/>
                <w:szCs w:val="21"/>
              </w:rPr>
            </w:pPr>
            <w:r>
              <w:rPr>
                <w:rFonts w:ascii="宋体" w:hAnsi="宋体"/>
                <w:color w:val="auto"/>
                <w:szCs w:val="21"/>
              </w:rPr>
              <w:t xml:space="preserve">系统功能</w:t>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系统子功能</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w:t>
            </w:r>
            <w:r/>
          </w:p>
        </w:tc>
        <w:tc>
          <w:tcPr>
            <w:tcW w:w="860"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排水专项（排水防涝）</w:t>
            </w:r>
            <w:r/>
          </w:p>
        </w:tc>
        <w:tc>
          <w:tcPr>
            <w:tcW w:w="188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排水防涝一张图</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总览子图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风险隐患子图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运行监测子图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巡检养护子图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基础设施子图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应急管理子图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排水防涝综合统计分析</w:t>
            </w:r>
            <w:r/>
          </w:p>
        </w:tc>
        <w:tc>
          <w:tcPr>
            <w:tcW w:w="1881"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统计分析</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排水防涝运行监测管理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站点管理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实时监测</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历史数据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实时预警</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历史预警</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预警配置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预警推送</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排水防涝运行处置管理</w:t>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事件总览</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事件来源</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事件上报</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事件下派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19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事件流转</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事件督办</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事件结案</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排水防涝设施巡检养护管理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巡查类型配置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巡查表单配置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巡查任务制定</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巡查签到</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巡查实时监控</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巡查轨迹查看</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29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巡查考核统计</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巡查问题管理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养护经费管理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排水防涝安全保障工作监督评价</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排水防涝行业评价</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城市生命线专项工作评价</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防汛应急</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防汛应急资源管理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汛期日报管理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排水防涝设施项目信息管理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工程资料管理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工程规划管理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工程项目监管</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39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工程项目地图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排水防涝设施基础信息管理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雨水管网信息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雨水井信息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排水口信息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排水泵站信息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易淹易涝区信息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积水点信息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调蓄设施信息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主要河道信息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重点保障对象信息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49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防涝应急资源信息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应急预案</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51</w:t>
            </w:r>
            <w:r/>
          </w:p>
        </w:tc>
        <w:tc>
          <w:tcPr>
            <w:tcW w:w="860"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排水专项（污水）</w:t>
            </w:r>
            <w:r/>
          </w:p>
        </w:tc>
        <w:tc>
          <w:tcPr>
            <w:tcW w:w="188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污水一张图</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总览子图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运行监测子图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提升改造子图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基础设施子图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污水综合统计分析</w:t>
            </w:r>
            <w:r/>
          </w:p>
        </w:tc>
        <w:tc>
          <w:tcPr>
            <w:tcW w:w="1881"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统计分析</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污水运行监测管理</w:t>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站点管理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tcPr>
          <w:p>
            <w:pPr>
              <w:jc w:val="center"/>
              <w:widowControl/>
              <w:rPr>
                <w:rFonts w:eastAsia="等线"/>
                <w:color w:val="auto"/>
                <w:szCs w:val="21"/>
              </w:rPr>
            </w:pPr>
            <w:r>
              <w:rPr>
                <w:rFonts w:ascii="宋体" w:hAnsi="宋体"/>
                <w:color w:val="auto"/>
                <w:szCs w:val="21"/>
              </w:rPr>
              <w:t xml:space="preserve">实时监测</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历史数据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59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实时预警</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历史预警</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预警配置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预警推送</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污水运行处置管理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事件总览</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事件来源</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事件上报</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事件下派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事件流转</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事件督办</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69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事件结案</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事件管理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污水设施巡检养护管理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巡查类型配置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巡查表单配置</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巡查任务制定</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巡查签到</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巡查实时监控</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巡查轨迹查看</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巡查考核统计</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巡查问题管理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79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养护经费管理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污水安全保障工作监督评价</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污水行业评价</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城市生命线专项工作评价</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污水设施项目信息管理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工程资料管理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工程规划管理</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工程项目监管</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85</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工程项目地图</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86</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污水设施基础信息管理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排水户信息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87</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污水管网信息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88</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污水泵站信息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89</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污水井信息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90</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污水厂信息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91</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污泥基础信息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92</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再生水基础信息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93</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截留设施基础信息</w:t>
            </w:r>
            <w:r/>
          </w:p>
        </w:tc>
      </w:tr>
      <w:tr>
        <w:trPr>
          <w:trHeight w:val="20"/>
        </w:trPr>
        <w:tc>
          <w:tcPr>
            <w:tcW w:w="370" w:type="pct"/>
            <w:vAlign w:val="center"/>
            <w:textDirection w:val="lrTb"/>
            <w:noWrap/>
          </w:tcPr>
          <w:p>
            <w:pPr>
              <w:jc w:val="center"/>
              <w:widowControl/>
              <w:rPr>
                <w:rFonts w:eastAsia="等线"/>
                <w:color w:val="auto"/>
                <w:szCs w:val="21"/>
              </w:rPr>
            </w:pPr>
            <w:r>
              <w:rPr>
                <w:rFonts w:eastAsia="等线"/>
                <w:color w:val="auto"/>
                <w:szCs w:val="21"/>
              </w:rPr>
              <w:t xml:space="preserve">94</w:t>
            </w:r>
            <w:r/>
          </w:p>
        </w:tc>
        <w:tc>
          <w:tcPr>
            <w:tcW w:w="860"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89" w:type="pct"/>
            <w:vAlign w:val="center"/>
            <w:textDirection w:val="lrTb"/>
            <w:noWrap w:val="false"/>
          </w:tcPr>
          <w:p>
            <w:pPr>
              <w:jc w:val="center"/>
              <w:widowControl/>
              <w:rPr>
                <w:rFonts w:eastAsia="等线"/>
                <w:color w:val="auto"/>
                <w:szCs w:val="21"/>
              </w:rPr>
            </w:pPr>
            <w:r>
              <w:rPr>
                <w:rFonts w:ascii="宋体" w:hAnsi="宋体"/>
                <w:color w:val="auto"/>
                <w:szCs w:val="21"/>
              </w:rPr>
              <w:t xml:space="preserve">隐患管理</w:t>
            </w:r>
            <w:r/>
          </w:p>
        </w:tc>
        <w:tc>
          <w:tcPr>
            <w:tcW w:w="1881" w:type="pct"/>
            <w:vAlign w:val="center"/>
            <w:textDirection w:val="lrTb"/>
            <w:noWrap w:val="false"/>
          </w:tcPr>
          <w:p>
            <w:pPr>
              <w:jc w:val="center"/>
              <w:widowControl/>
              <w:rPr>
                <w:rFonts w:eastAsia="等线"/>
                <w:color w:val="auto"/>
                <w:szCs w:val="21"/>
              </w:rPr>
            </w:pPr>
            <w:r>
              <w:rPr>
                <w:rFonts w:ascii="宋体" w:hAnsi="宋体"/>
                <w:color w:val="auto"/>
                <w:szCs w:val="21"/>
              </w:rPr>
              <w:t xml:space="preserve">隐患管理</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A.排水防涝监管子系统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建设排水防涝专项应用，通过地理信息底图叠加排水防涝设施基础数据，掌握总体态势和重点排水设施安全运行监测数据状态，实现排水防涝设施全生命周期监管，完善排水防涝监管评价体系，降低排水防涝发生频率。需包括：排水防涝一张图、排水防涝运行监测管理、排水防涝运行处置管理、排水防涝设施巡检养护管理、排水防涝安全保障工作监督评价、防汛应急、排水防涝设施项目信息管理、排水防涝设施基础信息管理、排水防涝综合统计分析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a.排水防涝一张图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一张图的方式实现对排水防涝基础设施、风险评估结果、安全隐患、运行监测、老旧管网等信息空间分布状况的查阅。需包括：总览子图、风险隐患子图、运行监测子图、巡检养护子图、基础设施子图、应急管理子图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b.排水防涝综合统计分析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排水防涝行业监管、监测等数据进行统计汇总，展示数据变化趋势，支持基于分析结果一键生成统计报告。需包含：排水防涝运行监测统计分析、排水防涝运行处置统计分析、排水防涝设施巡检养护统计分析、排水防涝安全保障工作统计分析、排水防涝设施项目信息统计分析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c.排水防涝运行监测管理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结合GIS地图实现对排水防涝相关监测站点的管理、实时监测数据的展示、历史数据的查询统计，预警数据的展示、查询、推送等。需包括：站点管理、实时监测、历史数据、实时预警、历史预警、预警配置、预警推送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d.排水防涝运行处置管理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对排水防涝风险信息、隐患信息、突发事件信息等进行统一管理，需包括：事件总览、事件来源、事件上报、事件下派、事件流转、事件督办、事件结案、事件管理等功能。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e.排水防涝设施巡检养护管理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管网、泵站等设施的日常巡检、安全专项检查的计划和执行情况进行统一管理，需包括：巡查类型配置、巡查表单配置、巡查任务制定、巡查签到、巡查实时监控、巡查轨迹查看、巡查考核统计、巡查问题管理、养护经费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f.排水防涝安全保障工作监督评价</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依托《江苏省城市排水防涝工作考核标准（试行）》文件，由市住建部门对排水防涝行业评价及城市生命线排水防涝专项进行工作评价。需包括：排水防涝行业评价、城市生命线专项工作评价等功能。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g.防汛应急</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对防汛资源、汛期情况进行统一的管理和记录。需包括：防汛应急资源管理、汛期日报管理等功能。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h.排水防涝设施项目信息管理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排水防涝设施、易淹易涝点整治的项目计划信息、建设信息进行管理，包括相关项目的名称、内容、总投资、建设进度及投资完成额等。需包括：工程资料管理、工程规划管理、工程项目监管、工程项目地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i.排水防涝设施基础信息管理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雨水管网、雨水井、排水口、排水泵站、易淹易涝区、调蓄设施、河道、重点保障对象、防涝应急资源信息等排水防涝行业基础信息进行统一管理。需包括：雨水管网信息、雨水井信息、排水口信息、排水泵站信息、易淹易涝区信息、积水点信息、调蓄设施信息、主要河道信息、重点保障对象信息、防涝应急资源信息、应急预案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B.污水监管子系统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建设污水专项应用，在地理信息底图上叠加污水设施数据，掌握污水行业总体情况，实现污水设施全生命周期监管，掌握重点污水设施的安全运行监测数据和雨污水错接、混接情况，监督污水处理厂进出水水质超标等事件的处理结果，降低水污染事件的发生频率，提高污水设施安全运行水平。需包括：污水一张图、污水运行监测管理、污水运行处置管理、污水设施巡检养护管理、污水安全保障工作监督评价、污水设施项目信息管理、污水设施基础信息管理、隐患管理、污水综合统计分析等。</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a.污水一张图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通过一张图的方式实现对污水场景全对象、全生命周期信息的查阅，实现污水设施建设信息、监测信息、老旧管网信息等内容的查阅。需包括：总览子图、运行监测子图、提升改造子图、基础设施子图等功能。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b.污水综合统计分析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污水行业监管、监测等数据进行统计汇总，展示数据变化趋势，支持基于分析结果一键生成统计报告。需包含：污水运行监测统计分析、污水运行处置统计分析、污水设施巡检养护统计分析、污水安全保障工作统计分析、污水设施项目信息统计分析、隐患统计分析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c.污水运行监测管理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结合GIS地图实现对污水相关监测站点的管理、实时监测数据的展示、历史数据的查询统计，预警数据的展示、查询、推送等。需包括：站点管理、实时监测、历史数据、实时预警、历史预警、预警配置、预警推送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d.污水运行处置管理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对污水风险信息、隐患信息、突发事件信息等进行统一管理，需包括：事件总览、事件来源、事件上报、事件下派、事件流转、事件督办、事件结案、事件管理等功能。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e.污水设施巡检养护管理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城镇排水管渠与泵站运行、维护技术规程等规定的频次和内容，对污水管网、泵站、预处理等设施的日常巡检养护和执行情况进行统一管理。需包括：巡查类型配置、巡查表单配置、巡查任务制定、巡查签到、巡查实时监控、巡查轨迹查看、巡查考核统计、巡查问题管理、养护经费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f.污水安全保障工作监督评价</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依托《江苏省城镇污水处理工作规范化评价标准（试行）》《江苏省城镇污水处理厂运行管理考核标准》《江苏省城镇污水处理提质增效“333”行动工作考核评价办法》等文件，由市住建部门对污水行业评价及城市生命线污水专项进行工作评价。需包括：污水行业评价、城市生命线专项工作评价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g.污水设施项目信息管理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对污水管线、泵站等项目计划信息及建设信息进行管理，包括相关项目的名称、内容、总投资、建设进度及投资完成额等。需包括：工程资料管理、工程规划管理、工程项目监管、工程项目地图等功能。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h.污水设施基础信息管理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排水户、污水管网、污水泵站、污水井、污水处理厂等基本信息进行管理。需包括：排水户信息、污水管网信息、污水泵站信息、污水井信息、污水厂信息、污泥基础信息、再生水基础信息、截流设施基础信息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i.隐患管理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实现对污水管网隐患问题的管理、统计。需包括：隐患管理等功能。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道路专项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道路专项应用。结合重点城市道路基础信息以及检查养护情况，提供精细化、实景化数据展现、查询和分析等功能。分为道路及附属设施管理子系统和道路塌陷管理子系统两大子系统</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816"/>
        <w:gridCol w:w="3638"/>
        <w:gridCol w:w="3466"/>
      </w:tblGrid>
      <w:tr>
        <w:trPr>
          <w:trHeight w:val="20"/>
          <w:tblHeader/>
        </w:trPr>
        <w:tc>
          <w:tcPr>
            <w:tcW w:w="368" w:type="pct"/>
            <w:vAlign w:val="center"/>
            <w:textDirection w:val="lrTb"/>
            <w:noWrap/>
          </w:tcPr>
          <w:p>
            <w:pPr>
              <w:jc w:val="center"/>
              <w:widowControl/>
              <w:rPr>
                <w:rFonts w:eastAsia="等线"/>
                <w:color w:val="auto"/>
                <w:szCs w:val="21"/>
              </w:rPr>
            </w:pPr>
            <w:r>
              <w:rPr>
                <w:rFonts w:ascii="宋体" w:hAnsi="宋体"/>
                <w:color w:val="auto"/>
                <w:szCs w:val="21"/>
              </w:rPr>
              <w:t xml:space="preserve">序号</w:t>
            </w:r>
            <w:r/>
          </w:p>
        </w:tc>
        <w:tc>
          <w:tcPr>
            <w:tcW w:w="943" w:type="pct"/>
            <w:vAlign w:val="center"/>
            <w:textDirection w:val="lrTb"/>
            <w:noWrap w:val="false"/>
          </w:tcPr>
          <w:p>
            <w:pPr>
              <w:jc w:val="center"/>
              <w:widowControl/>
              <w:rPr>
                <w:rFonts w:eastAsia="等线"/>
                <w:color w:val="auto"/>
                <w:szCs w:val="21"/>
              </w:rPr>
            </w:pPr>
            <w:r>
              <w:rPr>
                <w:rFonts w:ascii="宋体" w:hAnsi="宋体"/>
                <w:color w:val="auto"/>
                <w:szCs w:val="21"/>
              </w:rPr>
              <w:t xml:space="preserve">一级功能</w:t>
            </w:r>
            <w:r/>
          </w:p>
        </w:tc>
        <w:tc>
          <w:tcPr>
            <w:tcW w:w="1889" w:type="pct"/>
            <w:vAlign w:val="center"/>
            <w:textDirection w:val="lrTb"/>
            <w:noWrap w:val="false"/>
          </w:tcPr>
          <w:p>
            <w:pPr>
              <w:jc w:val="center"/>
              <w:widowControl/>
              <w:rPr>
                <w:rFonts w:eastAsia="等线"/>
                <w:color w:val="auto"/>
                <w:szCs w:val="21"/>
              </w:rPr>
            </w:pPr>
            <w:r>
              <w:rPr>
                <w:rFonts w:ascii="宋体" w:hAnsi="宋体"/>
                <w:color w:val="auto"/>
                <w:szCs w:val="21"/>
              </w:rPr>
              <w:t xml:space="preserve">二级功能</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三级功能</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w:t>
            </w:r>
            <w:r/>
          </w:p>
        </w:tc>
        <w:tc>
          <w:tcPr>
            <w:tcW w:w="943"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市政道路及附属设施管理</w:t>
            </w:r>
            <w:r/>
          </w:p>
        </w:tc>
        <w:tc>
          <w:tcPr>
            <w:tcW w:w="188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道路及附属设施管理一张图</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市政道路基础设施子图</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市政道路检查养护子图</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3</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市政道路及附属设施综合统计分析</w:t>
            </w:r>
            <w:r/>
          </w:p>
        </w:tc>
        <w:tc>
          <w:tcPr>
            <w:tcW w:w="1800" w:type="pct"/>
            <w:vAlign w:val="center"/>
            <w:textDirection w:val="lrTb"/>
            <w:noWrap/>
          </w:tcPr>
          <w:p>
            <w:pPr>
              <w:jc w:val="center"/>
              <w:widowControl/>
              <w:rPr>
                <w:rFonts w:eastAsia="等线"/>
                <w:color w:val="auto"/>
                <w:szCs w:val="21"/>
              </w:rPr>
            </w:pPr>
            <w:r>
              <w:rPr>
                <w:rFonts w:ascii="宋体" w:hAnsi="宋体"/>
                <w:color w:val="auto"/>
                <w:szCs w:val="21"/>
              </w:rPr>
              <w:t xml:space="preserve">统计分析</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4</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道路基础信息管理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道路基础信息管理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5</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道路附属设施基础信息管理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6</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道路巡查巡检管理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检查计划管理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7</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检查记录管理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8</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检查问题管理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9</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道路检测评定管理</w:t>
            </w:r>
            <w:r/>
          </w:p>
        </w:tc>
        <w:tc>
          <w:tcPr>
            <w:tcW w:w="1800" w:type="pct"/>
            <w:vAlign w:val="center"/>
            <w:textDirection w:val="lrTb"/>
            <w:noWrap/>
          </w:tcPr>
          <w:p>
            <w:pPr>
              <w:jc w:val="center"/>
              <w:widowControl/>
              <w:rPr>
                <w:rFonts w:eastAsia="等线"/>
                <w:color w:val="auto"/>
                <w:szCs w:val="21"/>
              </w:rPr>
            </w:pPr>
            <w:r>
              <w:rPr>
                <w:rFonts w:ascii="宋体" w:hAnsi="宋体"/>
                <w:color w:val="auto"/>
                <w:szCs w:val="21"/>
              </w:rPr>
              <w:t xml:space="preserve">道路检测报告管理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10</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tcPr>
          <w:p>
            <w:pPr>
              <w:jc w:val="center"/>
              <w:widowControl/>
              <w:rPr>
                <w:rFonts w:eastAsia="等线"/>
                <w:color w:val="auto"/>
                <w:szCs w:val="21"/>
              </w:rPr>
            </w:pPr>
            <w:r>
              <w:rPr>
                <w:rFonts w:ascii="宋体" w:hAnsi="宋体"/>
                <w:color w:val="auto"/>
                <w:szCs w:val="21"/>
              </w:rPr>
              <w:t xml:space="preserve">路况数据管理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11</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道路养护维修管理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养护计划管理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12</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养护维修管理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13</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道路项目信息管理</w:t>
            </w:r>
            <w:r/>
          </w:p>
        </w:tc>
        <w:tc>
          <w:tcPr>
            <w:tcW w:w="1800" w:type="pct"/>
            <w:vAlign w:val="center"/>
            <w:textDirection w:val="lrTb"/>
            <w:noWrap/>
          </w:tcPr>
          <w:p>
            <w:pPr>
              <w:jc w:val="center"/>
              <w:widowControl/>
              <w:rPr>
                <w:rFonts w:eastAsia="等线"/>
                <w:color w:val="auto"/>
                <w:szCs w:val="21"/>
              </w:rPr>
            </w:pPr>
            <w:r>
              <w:rPr>
                <w:rFonts w:ascii="宋体" w:hAnsi="宋体"/>
                <w:color w:val="auto"/>
                <w:szCs w:val="21"/>
              </w:rPr>
              <w:t xml:space="preserve">年度计划管理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14</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tcPr>
          <w:p>
            <w:pPr>
              <w:jc w:val="center"/>
              <w:widowControl/>
              <w:rPr>
                <w:rFonts w:eastAsia="等线"/>
                <w:color w:val="auto"/>
                <w:szCs w:val="21"/>
              </w:rPr>
            </w:pPr>
            <w:r>
              <w:rPr>
                <w:rFonts w:ascii="宋体" w:hAnsi="宋体"/>
                <w:color w:val="auto"/>
                <w:szCs w:val="21"/>
              </w:rPr>
              <w:t xml:space="preserve">在建道路管理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15</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道路占用挖掘审批信息管理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道路占用挖掘审批信息管理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16</w:t>
            </w:r>
            <w:r/>
          </w:p>
        </w:tc>
        <w:tc>
          <w:tcPr>
            <w:tcW w:w="943"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道路塌陷管理</w:t>
            </w:r>
            <w:r/>
          </w:p>
        </w:tc>
        <w:tc>
          <w:tcPr>
            <w:tcW w:w="188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道路塌陷管理一张图</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总览子图</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17</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总体风险评估子图</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18</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道路塌陷隐患子图</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19</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道路塌陷综合统计分析</w:t>
            </w:r>
            <w:r/>
          </w:p>
        </w:tc>
        <w:tc>
          <w:tcPr>
            <w:tcW w:w="1800" w:type="pct"/>
            <w:vAlign w:val="center"/>
            <w:textDirection w:val="lrTb"/>
            <w:noWrap/>
          </w:tcPr>
          <w:p>
            <w:pPr>
              <w:jc w:val="center"/>
              <w:widowControl/>
              <w:rPr>
                <w:rFonts w:eastAsia="等线"/>
                <w:color w:val="auto"/>
                <w:szCs w:val="21"/>
              </w:rPr>
            </w:pPr>
            <w:r>
              <w:rPr>
                <w:rFonts w:ascii="宋体" w:hAnsi="宋体"/>
                <w:color w:val="auto"/>
                <w:szCs w:val="21"/>
              </w:rPr>
              <w:t xml:space="preserve">统计分析</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20</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textDirection w:val="lrTb"/>
            <w:noWrap w:val="false"/>
          </w:tcPr>
          <w:p>
            <w:pPr>
              <w:jc w:val="center"/>
              <w:widowControl/>
              <w:rPr>
                <w:rFonts w:eastAsia="等线"/>
                <w:color w:val="auto"/>
                <w:szCs w:val="21"/>
              </w:rPr>
            </w:pPr>
            <w:r>
              <w:rPr>
                <w:rFonts w:ascii="宋体" w:hAnsi="宋体"/>
                <w:color w:val="auto"/>
                <w:szCs w:val="21"/>
              </w:rPr>
              <w:t xml:space="preserve">塌陷风险源管理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塌陷风险源管理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21</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总体风险评估数据管理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总体风险评估报告</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22</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总体风险评估数据管理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23</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塌陷隐患探测管理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探测记录管理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24</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专项风险评估数据管理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专项风险评估报告</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25</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专项风险评估数据管理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26</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restart"/>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塌陷隐患处置管理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处置计划管理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27</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处置信息管理</w:t>
            </w:r>
            <w:r/>
          </w:p>
        </w:tc>
      </w:tr>
      <w:tr>
        <w:trPr>
          <w:trHeight w:val="20"/>
        </w:trPr>
        <w:tc>
          <w:tcPr>
            <w:tcW w:w="368" w:type="pct"/>
            <w:vAlign w:val="center"/>
            <w:textDirection w:val="lrTb"/>
            <w:noWrap w:val="false"/>
          </w:tcPr>
          <w:p>
            <w:pPr>
              <w:jc w:val="center"/>
              <w:widowControl/>
              <w:rPr>
                <w:rFonts w:eastAsia="等线"/>
                <w:color w:val="auto"/>
                <w:szCs w:val="21"/>
              </w:rPr>
            </w:pPr>
            <w:r>
              <w:rPr>
                <w:rFonts w:eastAsia="等线"/>
                <w:color w:val="auto"/>
                <w:szCs w:val="21"/>
              </w:rPr>
              <w:t xml:space="preserve">28</w:t>
            </w:r>
            <w:r/>
          </w:p>
        </w:tc>
        <w:tc>
          <w:tcPr>
            <w:tcW w:w="943" w:type="pct"/>
            <w:vAlign w:val="center"/>
            <w:vMerge w:val="continue"/>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r>
            <w:r/>
          </w:p>
        </w:tc>
        <w:tc>
          <w:tcPr>
            <w:tcW w:w="188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塌陷事故管理</w:t>
            </w:r>
            <w:r/>
          </w:p>
        </w:tc>
        <w:tc>
          <w:tcPr>
            <w:tcW w:w="1800" w:type="pct"/>
            <w:vAlign w:val="center"/>
            <w:textDirection w:val="lrTb"/>
            <w:noWrap w:val="false"/>
          </w:tcPr>
          <w:p>
            <w:pPr>
              <w:jc w:val="center"/>
              <w:widowControl/>
              <w:rPr>
                <w:rFonts w:eastAsia="等线"/>
                <w:color w:val="auto"/>
                <w:szCs w:val="21"/>
              </w:rPr>
            </w:pPr>
            <w:r>
              <w:rPr>
                <w:rFonts w:ascii="宋体" w:hAnsi="宋体"/>
                <w:color w:val="auto"/>
                <w:szCs w:val="21"/>
              </w:rPr>
              <w:t xml:space="preserve">塌陷事故</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道路及附属设施管理子系统包括：道路及附属设施管理一张图、道路基础信息管理、道路巡查巡检管理、道路检测评定管理、道路养护维修管理、道路项目信息管理、道路占用挖掘审批信息管理、市政道路及附属设施综合统计分析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a.道路及附属设施管理一张图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展示重点城市道路、道路附属设施（如路灯等）的基本信息以及道路检查养护情况，掌握城市道路的基本情况。需包括：市政道路基础设施子图、市政道路检查养护子图等功能。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b.市政道路及附属设施综合统计分析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市政道路及附属设施相关数据进行统计汇总，展示数据变化趋势，支持基于分析结果一键生成统计报告。需包含：道路基础信息统计分析、道路巡查巡检统计分析、道路检测评定统计分析、道路养护维修统计分析、道路项目信息统计分析、道路占用挖掘审批统计分析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c.道路基础信息管理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通过系统接入或在线填报方式对市政道路及附属设施信息进行统一管理。需包括：道路基础信息管理、道路附属设施基础信息管理等功能。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d.道路巡查巡检管理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对城市道路检查的关键数据通过原有系统接入或在线填报方式进行管理。需包括：检查计划管理、检查记录管理、检查问题管理等功能。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e.道路检测评定管理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对城市道路检测数据通过原有系统接入或在线填报方式进行统一的管理。需包括：道路检测报告管理、路况数据管理等功能。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f.道路养护维修管理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对城市道路养护维修的关键数据通过原有系统接入或在线填报方式进行管理。需包括：养护计划管理、养护维修管理等功能。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g.道路项目信息管理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对城市道路项目信息管理数据通过原有系统接入或在线填报方式进行管理。需包括：年度计划信息、在建道路管理等功能。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h.道路占用挖掘审批信息管理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对城市道路设施建设、管线建设等道路挖掘以及临时占道信息进行管理。需包括：道路占用挖掘审批信息管理等功能。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B.道路塌陷管理子系统包括：道路塌陷管理一张图、塌陷风险源管理、总体风险评估数据管理、塌陷隐患探测管理、专项风险评估数据管理、塌陷隐患处置管理、塌陷事故管理、道路塌陷综合统计分析等模块。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a.道路塌陷管理一张图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综合展示丹阳市道路塌陷总体风险等级分布、塌陷隐患专项风险等级分布以及处置情况。需包括：总览子图、总体风险评估子图、道路塌陷隐患子图等功能。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b.道路塌陷综合统计分析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道路塌陷相关数据进行统计汇总，展示数据变化趋势，支持基于分析结果一键生成统计报告。需包含：总体风险评估数据统计分析、塌陷隐患探测统计分析、专项风险评估数据统计分析、塌陷隐患处置统计分析、塌陷事故统计分析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c.塌陷风险源管理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对城市道路塌陷风险源信息进行统一管理，需包括：信息查询、信息管理等功能。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d.总体风险评估数据管理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对城市道路进行总体风险评估的结果录入，对总体风险分级（等级Ⅰ、等级Ⅱ、等级Ⅲ、等级Ⅳ）进行管理。需包括：总体风险评估报告、总体风险评估数据管理等功能。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e.塌陷隐患探测管理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使用探地雷达等工具对城市道路进行探测，将探测记录信息进行统一管理。需包括：探测记录管理等功能。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f.专项风险评估数据管理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对探测的每个隐患对应的专项风险评估结果进行录入，按照塌陷隐患风险等级（等级Ⅰ、等级Ⅱ、等级Ⅲ、等级Ⅳ）进行管理。需包括：专项风险评估报告、专项风险评估数据管理等功能。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g.塌陷隐患处置管理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对区县道路塌陷隐患处置的关键数据通过原有系统接入或在线填报方式进行管理。需包括：处置计划管理、处置信息管理等功能。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h.塌陷事故管理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对城市道路塌陷事故信息进行统一管理。需包括：塌陷事故等功能。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桥梁专项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桥梁专项应用。汇聚丹阳市在重点关注的城市桥梁上布设的结构健康监测设备相关数据，对桥梁安全运行状况进行远程监测，掌握丹阳市桥梁基本信息、日常运行管理信息，提高桥梁基础设施安全运行水平。需包括：桥梁一张图、基础信息、智慧监测、综合监管、我的任务、桥梁综合统计分析等功能模块</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1855"/>
        <w:gridCol w:w="3330"/>
        <w:gridCol w:w="3328"/>
      </w:tblGrid>
      <w:tr>
        <w:trPr>
          <w:trHeight w:val="20"/>
          <w:tblHeader/>
        </w:trPr>
        <w:tc>
          <w:tcPr>
            <w:tcW w:w="580" w:type="pct"/>
            <w:vAlign w:val="center"/>
            <w:textDirection w:val="lrTb"/>
            <w:noWrap/>
          </w:tcPr>
          <w:p>
            <w:pPr>
              <w:jc w:val="center"/>
              <w:widowControl/>
              <w:rPr>
                <w:rFonts w:eastAsia="等线"/>
                <w:color w:val="auto"/>
                <w:szCs w:val="21"/>
              </w:rPr>
            </w:pPr>
            <w:r>
              <w:rPr>
                <w:rFonts w:ascii="宋体" w:hAnsi="宋体"/>
                <w:color w:val="auto"/>
                <w:szCs w:val="21"/>
              </w:rPr>
              <w:t xml:space="preserve">序号</w:t>
            </w:r>
            <w:r/>
          </w:p>
        </w:tc>
        <w:tc>
          <w:tcPr>
            <w:tcW w:w="963" w:type="pct"/>
            <w:vAlign w:val="center"/>
            <w:textDirection w:val="lrTb"/>
            <w:noWrap w:val="false"/>
          </w:tcPr>
          <w:p>
            <w:pPr>
              <w:jc w:val="center"/>
              <w:widowControl/>
              <w:rPr>
                <w:rFonts w:eastAsia="等线"/>
                <w:color w:val="auto"/>
                <w:szCs w:val="21"/>
              </w:rPr>
            </w:pPr>
            <w:r>
              <w:rPr>
                <w:rFonts w:ascii="宋体" w:hAnsi="宋体"/>
                <w:color w:val="auto"/>
                <w:szCs w:val="21"/>
              </w:rPr>
              <w:t xml:space="preserve">专项名称</w:t>
            </w:r>
            <w:r/>
          </w:p>
        </w:tc>
        <w:tc>
          <w:tcPr>
            <w:tcW w:w="1729" w:type="pct"/>
            <w:vAlign w:val="center"/>
            <w:textDirection w:val="lrTb"/>
            <w:noWrap w:val="false"/>
          </w:tcPr>
          <w:p>
            <w:pPr>
              <w:jc w:val="center"/>
              <w:widowControl/>
              <w:rPr>
                <w:rFonts w:eastAsia="等线"/>
                <w:color w:val="auto"/>
                <w:szCs w:val="21"/>
              </w:rPr>
            </w:pPr>
            <w:r>
              <w:rPr>
                <w:rFonts w:ascii="宋体" w:hAnsi="宋体"/>
                <w:color w:val="auto"/>
                <w:szCs w:val="21"/>
              </w:rPr>
              <w:t xml:space="preserve">系统功能</w:t>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系统子功能</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w:t>
            </w:r>
            <w:r/>
          </w:p>
        </w:tc>
        <w:tc>
          <w:tcPr>
            <w:tcW w:w="963"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桥梁专项</w:t>
            </w:r>
            <w:r/>
          </w:p>
        </w:tc>
        <w:tc>
          <w:tcPr>
            <w:tcW w:w="172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桥梁一张图</w:t>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桥梁总览子图</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风险隐患子图</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3</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桥梁运行监测子图</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4</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基础信息子图</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5</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桥梁综合统计分析</w:t>
            </w:r>
            <w:r/>
          </w:p>
        </w:tc>
        <w:tc>
          <w:tcPr>
            <w:tcW w:w="1728" w:type="pct"/>
            <w:vAlign w:val="center"/>
            <w:textDirection w:val="lrTb"/>
            <w:noWrap w:val="false"/>
          </w:tcPr>
          <w:p>
            <w:pPr>
              <w:jc w:val="center"/>
              <w:widowControl/>
              <w:rPr>
                <w:rFonts w:hint="eastAsia" w:ascii="宋体" w:hAnsi="宋体" w:cs="宋体"/>
                <w:color w:val="auto"/>
                <w:szCs w:val="21"/>
              </w:rPr>
            </w:pPr>
            <w:r>
              <w:rPr>
                <w:rFonts w:ascii="宋体" w:hAnsi="宋体" w:cs="宋体"/>
                <w:color w:val="auto"/>
                <w:szCs w:val="21"/>
              </w:rPr>
              <w:t xml:space="preserve">统计分析</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6</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基础信息</w:t>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基础信息</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7</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桥梁档案</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8</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管养变更</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9</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项目管理</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10</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智慧监测</w:t>
            </w:r>
            <w:r/>
          </w:p>
        </w:tc>
        <w:tc>
          <w:tcPr>
            <w:tcW w:w="172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实时监测</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11</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12</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13</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14</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15</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监测报警管理</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16</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报警处置管理</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17</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预警处置管理</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18</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超期阈值设置</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19</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综合监管</w:t>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检查检测</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20</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专项整治</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21</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事故处置</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22</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风险评估</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23</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监督评价</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24</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我的任务</w:t>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审核审批</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25</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我发起的</w:t>
            </w:r>
            <w:r/>
          </w:p>
        </w:tc>
      </w:tr>
      <w:tr>
        <w:trPr>
          <w:trHeight w:val="20"/>
        </w:trPr>
        <w:tc>
          <w:tcPr>
            <w:tcW w:w="580" w:type="pct"/>
            <w:vAlign w:val="center"/>
            <w:textDirection w:val="lrTb"/>
            <w:noWrap/>
          </w:tcPr>
          <w:p>
            <w:pPr>
              <w:jc w:val="center"/>
              <w:widowControl/>
              <w:rPr>
                <w:rFonts w:eastAsia="等线"/>
                <w:color w:val="auto"/>
                <w:szCs w:val="21"/>
              </w:rPr>
            </w:pPr>
            <w:r>
              <w:rPr>
                <w:rFonts w:eastAsia="等线"/>
                <w:color w:val="auto"/>
                <w:szCs w:val="21"/>
              </w:rPr>
              <w:t xml:space="preserve">26</w:t>
            </w:r>
            <w:r/>
          </w:p>
        </w:tc>
        <w:tc>
          <w:tcPr>
            <w:tcW w:w="963"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9"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728" w:type="pct"/>
            <w:vAlign w:val="center"/>
            <w:textDirection w:val="lrTb"/>
            <w:noWrap w:val="false"/>
          </w:tcPr>
          <w:p>
            <w:pPr>
              <w:jc w:val="center"/>
              <w:widowControl/>
              <w:rPr>
                <w:rFonts w:eastAsia="等线"/>
                <w:color w:val="auto"/>
                <w:szCs w:val="21"/>
              </w:rPr>
            </w:pPr>
            <w:r>
              <w:rPr>
                <w:rFonts w:ascii="宋体" w:hAnsi="宋体"/>
                <w:color w:val="auto"/>
                <w:szCs w:val="21"/>
              </w:rPr>
              <w:t xml:space="preserve">我办理的</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a.桥梁一张图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以“一桥一档”电子化户籍式管理方式，涵盖桥梁基础信息、桥梁的运行监测信息，为桥梁检查检测和安全运营提供技术保障，提高桥梁养护单位的管理水平和管理效率。需包括：桥梁总览子图、风险隐患子图、桥梁运行监测子图、基础信息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b.桥梁综合统计分析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桥梁行业监管、监测等数据进行统计汇总，展示数据变化趋势，支持基于分析结果一键生成统计报告。需包含：基础数据统计分析、运行监测统计分析、项目信息统计分析、检查检测统计分析、养护工程统计分析、专项整治统计分析、事故处置统计分析、风险评估统计分析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c.基础信息</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对于城市桥梁基础信息数据通过系统接入或在线填报方式进行统一的管理。需包括：基础信息、桥梁档案、管养变更、项目管理等功能。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d.智慧监测</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对丹阳市城市桥梁的运行监测信息及处置信息进行统一管理。需包括：实时监测、监测报警管理、报警处置管理、预警处置管理、超期阈值设置等功能。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e.综合监管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对于城市桥梁综合监管数据通过系统接入或在线填报方式进行管理。需包括：检查检测、专项整治、事故处置、风险评估、监督评价等功能。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f.我的任务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对桥梁数据的新增、编辑、删除操作进行审批管理。需包括：审核审批、我发起的、我办理的等功能。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8）</w:t>
      </w:r>
      <w:r>
        <w:rPr>
          <w:rFonts w:hint="eastAsia" w:ascii="宋体" w:hAnsi="宋体" w:cs="宋体"/>
          <w:color w:val="auto"/>
          <w:sz w:val="24"/>
        </w:rPr>
        <w:t xml:space="preserve">第三方施工破坏专项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第三方施工破坏专项应用。在施工过程中，对现场四方交底信息进行管理，并督促批后监管、巡查巡检、破坏事件抢修等工作的开展，最终实现第三方施工项目全生命周期监管。需包括：第三方施工一张图、综合监管、智慧监测等内容</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1675"/>
        <w:gridCol w:w="3004"/>
        <w:gridCol w:w="3941"/>
      </w:tblGrid>
      <w:tr>
        <w:trPr>
          <w:trHeight w:val="20"/>
          <w:tblHeader/>
        </w:trPr>
        <w:tc>
          <w:tcPr>
            <w:tcW w:w="524" w:type="pct"/>
            <w:vAlign w:val="center"/>
            <w:textDirection w:val="lrTb"/>
            <w:noWrap/>
          </w:tcPr>
          <w:p>
            <w:pPr>
              <w:jc w:val="center"/>
              <w:widowControl/>
              <w:rPr>
                <w:rFonts w:eastAsiaTheme="minorEastAsia"/>
                <w:color w:val="auto"/>
                <w:szCs w:val="21"/>
              </w:rPr>
            </w:pPr>
            <w:r>
              <w:rPr>
                <w:color w:val="auto"/>
                <w:szCs w:val="21"/>
              </w:rPr>
              <w:t xml:space="preserve">序号</w:t>
            </w:r>
            <w:r/>
          </w:p>
        </w:tc>
        <w:tc>
          <w:tcPr>
            <w:tcW w:w="870" w:type="pct"/>
            <w:vAlign w:val="center"/>
            <w:textDirection w:val="lrTb"/>
            <w:noWrap w:val="false"/>
          </w:tcPr>
          <w:p>
            <w:pPr>
              <w:jc w:val="center"/>
              <w:widowControl/>
              <w:rPr>
                <w:rFonts w:eastAsiaTheme="minorEastAsia"/>
                <w:color w:val="auto"/>
                <w:szCs w:val="21"/>
              </w:rPr>
            </w:pPr>
            <w:r>
              <w:rPr>
                <w:color w:val="auto"/>
                <w:szCs w:val="21"/>
              </w:rPr>
              <w:t xml:space="preserve">专项名称</w:t>
            </w:r>
            <w:r/>
          </w:p>
        </w:tc>
        <w:tc>
          <w:tcPr>
            <w:tcW w:w="1560" w:type="pct"/>
            <w:vAlign w:val="center"/>
            <w:textDirection w:val="lrTb"/>
            <w:noWrap w:val="false"/>
          </w:tcPr>
          <w:p>
            <w:pPr>
              <w:jc w:val="center"/>
              <w:widowControl/>
              <w:rPr>
                <w:rFonts w:eastAsiaTheme="minorEastAsia"/>
                <w:color w:val="auto"/>
                <w:szCs w:val="21"/>
              </w:rPr>
            </w:pPr>
            <w:r>
              <w:rPr>
                <w:color w:val="auto"/>
                <w:szCs w:val="21"/>
              </w:rPr>
              <w:t xml:space="preserve">系统功能</w:t>
            </w:r>
            <w:r/>
          </w:p>
        </w:tc>
        <w:tc>
          <w:tcPr>
            <w:tcW w:w="2046" w:type="pct"/>
            <w:vAlign w:val="center"/>
            <w:textDirection w:val="lrTb"/>
            <w:noWrap w:val="false"/>
          </w:tcPr>
          <w:p>
            <w:pPr>
              <w:jc w:val="center"/>
              <w:widowControl/>
              <w:rPr>
                <w:rFonts w:eastAsiaTheme="minorEastAsia"/>
                <w:color w:val="auto"/>
                <w:szCs w:val="21"/>
              </w:rPr>
            </w:pPr>
            <w:r>
              <w:rPr>
                <w:color w:val="auto"/>
                <w:szCs w:val="21"/>
              </w:rPr>
              <w:t xml:space="preserve">系统子功能</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1</w:t>
            </w:r>
            <w:r/>
          </w:p>
        </w:tc>
        <w:tc>
          <w:tcPr>
            <w:tcW w:w="870" w:type="pct"/>
            <w:vAlign w:val="center"/>
            <w:vMerge w:val="restart"/>
            <w:textDirection w:val="lrTb"/>
            <w:noWrap w:val="false"/>
          </w:tcPr>
          <w:p>
            <w:pPr>
              <w:jc w:val="center"/>
              <w:widowControl/>
              <w:rPr>
                <w:color w:val="auto"/>
                <w:szCs w:val="21"/>
              </w:rPr>
            </w:pPr>
            <w:r>
              <w:rPr>
                <w:color w:val="auto"/>
                <w:szCs w:val="21"/>
              </w:rPr>
              <w:t xml:space="preserve">第三方施工破坏专项</w:t>
            </w:r>
            <w:r/>
          </w:p>
        </w:tc>
        <w:tc>
          <w:tcPr>
            <w:tcW w:w="1560" w:type="pct"/>
            <w:vAlign w:val="center"/>
            <w:vMerge w:val="restart"/>
            <w:textDirection w:val="lrTb"/>
            <w:noWrap w:val="false"/>
          </w:tcPr>
          <w:p>
            <w:pPr>
              <w:jc w:val="center"/>
              <w:widowControl/>
              <w:rPr>
                <w:color w:val="auto"/>
                <w:szCs w:val="21"/>
              </w:rPr>
            </w:pPr>
            <w:r>
              <w:rPr>
                <w:color w:val="auto"/>
                <w:szCs w:val="21"/>
              </w:rPr>
              <w:t xml:space="preserve">第三方施工一张图</w:t>
            </w:r>
            <w:r/>
          </w:p>
        </w:tc>
        <w:tc>
          <w:tcPr>
            <w:tcW w:w="2046" w:type="pct"/>
            <w:vAlign w:val="center"/>
            <w:textDirection w:val="lrTb"/>
            <w:noWrap w:val="false"/>
          </w:tcPr>
          <w:p>
            <w:pPr>
              <w:jc w:val="center"/>
              <w:widowControl/>
              <w:rPr>
                <w:color w:val="auto"/>
                <w:szCs w:val="21"/>
              </w:rPr>
            </w:pPr>
            <w:r>
              <w:rPr>
                <w:color w:val="auto"/>
                <w:szCs w:val="21"/>
              </w:rPr>
              <w:t xml:space="preserve">第三方施工总览子图</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2</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第三方施工项目子图</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3</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第三方施工管线破坏子图</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4</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第三方施工巡检巡查子图</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5</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restart"/>
            <w:textDirection w:val="lrTb"/>
            <w:noWrap/>
          </w:tcPr>
          <w:p>
            <w:pPr>
              <w:jc w:val="center"/>
              <w:widowControl/>
              <w:rPr>
                <w:color w:val="auto"/>
                <w:szCs w:val="21"/>
              </w:rPr>
            </w:pPr>
            <w:r>
              <w:rPr>
                <w:color w:val="auto"/>
                <w:szCs w:val="21"/>
              </w:rPr>
              <w:t xml:space="preserve">综合监管</w:t>
            </w:r>
            <w:r/>
          </w:p>
        </w:tc>
        <w:tc>
          <w:tcPr>
            <w:tcW w:w="2046" w:type="pct"/>
            <w:vAlign w:val="center"/>
            <w:textDirection w:val="lrTb"/>
            <w:noWrap w:val="false"/>
          </w:tcPr>
          <w:p>
            <w:pPr>
              <w:jc w:val="center"/>
              <w:widowControl/>
              <w:rPr>
                <w:color w:val="auto"/>
                <w:szCs w:val="21"/>
              </w:rPr>
            </w:pPr>
            <w:r>
              <w:rPr>
                <w:color w:val="auto"/>
                <w:szCs w:val="21"/>
              </w:rPr>
              <w:t xml:space="preserve">综合监管统计分析</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6</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tcPr>
          <w:p>
            <w:pPr>
              <w:jc w:val="center"/>
              <w:widowControl/>
              <w:rPr>
                <w:color w:val="auto"/>
                <w:szCs w:val="21"/>
              </w:rPr>
            </w:pPr>
            <w:r>
              <w:rPr>
                <w:color w:val="auto"/>
                <w:szCs w:val="21"/>
              </w:rPr>
              <w:t xml:space="preserve">施工项目管理</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7</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四方交底管理</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8</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巡检巡查管理</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9</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管线破坏事件管理</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10</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联合惩戒管理</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11</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典型档案案例库管理</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12</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restart"/>
            <w:textDirection w:val="lrTb"/>
            <w:noWrap w:val="false"/>
          </w:tcPr>
          <w:p>
            <w:pPr>
              <w:jc w:val="center"/>
              <w:widowControl/>
              <w:rPr>
                <w:color w:val="auto"/>
                <w:szCs w:val="21"/>
              </w:rPr>
            </w:pPr>
            <w:r>
              <w:rPr>
                <w:color w:val="auto"/>
                <w:szCs w:val="21"/>
              </w:rPr>
              <w:t xml:space="preserve">智慧监测</w:t>
            </w:r>
            <w:r/>
          </w:p>
        </w:tc>
        <w:tc>
          <w:tcPr>
            <w:tcW w:w="2046" w:type="pct"/>
            <w:vAlign w:val="center"/>
            <w:textDirection w:val="lrTb"/>
            <w:noWrap w:val="false"/>
          </w:tcPr>
          <w:p>
            <w:pPr>
              <w:jc w:val="center"/>
              <w:widowControl/>
              <w:rPr>
                <w:color w:val="auto"/>
                <w:szCs w:val="21"/>
              </w:rPr>
            </w:pPr>
            <w:r>
              <w:rPr>
                <w:color w:val="auto"/>
                <w:szCs w:val="21"/>
              </w:rPr>
              <w:t xml:space="preserve">施工监测设备管理</w:t>
            </w:r>
            <w:r/>
          </w:p>
        </w:tc>
      </w:tr>
      <w:tr>
        <w:trPr>
          <w:trHeight w:val="20"/>
        </w:trPr>
        <w:tc>
          <w:tcPr>
            <w:tcW w:w="524" w:type="pct"/>
            <w:vAlign w:val="center"/>
            <w:textDirection w:val="lrTb"/>
            <w:noWrap w:val="false"/>
          </w:tcPr>
          <w:p>
            <w:pPr>
              <w:jc w:val="center"/>
              <w:widowControl/>
              <w:rPr>
                <w:color w:val="auto"/>
                <w:szCs w:val="21"/>
              </w:rPr>
            </w:pPr>
            <w:r>
              <w:rPr>
                <w:rFonts w:hint="eastAsia"/>
                <w:color w:val="auto"/>
                <w:szCs w:val="21"/>
              </w:rPr>
              <w:t xml:space="preserve">13</w:t>
            </w:r>
            <w:r/>
          </w:p>
        </w:tc>
        <w:tc>
          <w:tcPr>
            <w:tcW w:w="870" w:type="pct"/>
            <w:vAlign w:val="center"/>
            <w:vMerge w:val="continue"/>
            <w:textDirection w:val="lrTb"/>
            <w:noWrap w:val="false"/>
          </w:tcPr>
          <w:p>
            <w:pPr>
              <w:jc w:val="center"/>
              <w:widowControl/>
              <w:rPr>
                <w:color w:val="auto"/>
                <w:szCs w:val="21"/>
              </w:rPr>
            </w:pPr>
            <w:r>
              <w:rPr>
                <w:color w:val="auto"/>
                <w:szCs w:val="21"/>
              </w:rPr>
            </w:r>
            <w:r/>
          </w:p>
        </w:tc>
        <w:tc>
          <w:tcPr>
            <w:tcW w:w="1560" w:type="pct"/>
            <w:vAlign w:val="center"/>
            <w:vMerge w:val="continue"/>
            <w:textDirection w:val="lrTb"/>
            <w:noWrap w:val="false"/>
          </w:tcPr>
          <w:p>
            <w:pPr>
              <w:jc w:val="center"/>
              <w:widowControl/>
              <w:rPr>
                <w:color w:val="auto"/>
                <w:szCs w:val="21"/>
              </w:rPr>
            </w:pPr>
            <w:r>
              <w:rPr>
                <w:color w:val="auto"/>
                <w:szCs w:val="21"/>
              </w:rPr>
            </w:r>
            <w:r/>
          </w:p>
        </w:tc>
        <w:tc>
          <w:tcPr>
            <w:tcW w:w="2046" w:type="pct"/>
            <w:vAlign w:val="center"/>
            <w:textDirection w:val="lrTb"/>
            <w:noWrap w:val="false"/>
          </w:tcPr>
          <w:p>
            <w:pPr>
              <w:jc w:val="center"/>
              <w:widowControl/>
              <w:rPr>
                <w:color w:val="auto"/>
                <w:szCs w:val="21"/>
              </w:rPr>
            </w:pPr>
            <w:r>
              <w:rPr>
                <w:color w:val="auto"/>
                <w:szCs w:val="21"/>
              </w:rPr>
              <w:t xml:space="preserve">施工现场监测管理</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a.第三方施工一张图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汇聚丹阳市第三方施工项目，总览丹阳市第三方施工项目信息、施工四方交底信息、施工巡检巡查信息、因第三方施工造成的管线破坏事件信息、施工现场监测报警信息、联合惩戒信息等，建立“第三方施工一张图”。需包括：第三方施工总览子图、第三方施工项目子图、第三方施工管线破坏子图、第三方施工巡检巡查子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b.综合监管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建设综合监管模块，建立对丹阳市第三方施工全流程的监管体系。需包括：施工项目管理、道路挖掘审批、四方交底管理、巡检巡查管理、管线破坏事件管理、联合惩戒管理、典型档案案例库管理、综合监管统计分析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c.智慧监测</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利用智慧监测手段，实时高效监测第三方施工过程中的人员、设备、环境、管线等对象，当地块内施工出现可能会影响管线安全的异常监测情况或路域施工监测到管线异常振动时，及时将预警消息推送给管线权属单位进行应急处置。需包括：施工监测设备管理、施工现场监测管理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9）</w:t>
      </w:r>
      <w:r>
        <w:rPr>
          <w:rFonts w:hint="eastAsia" w:ascii="宋体" w:hAnsi="宋体" w:cs="宋体"/>
          <w:color w:val="auto"/>
          <w:sz w:val="24"/>
        </w:rPr>
        <w:t xml:space="preserve">地下管线交互专项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镇江市监管系统的部署实施、联调配置和二次开发，建设丹阳市城市生命线监管系统地下管线交互专项应用。地下管线交互场景旨在汇聚整合燃气、供水、雨水、污水等地下管线数据，而打造的综合数据管理平台，实现管线信息的集中管理、动态维护、数据质检、综合供图、共建共享、多元应用，并开展城市地下管线交互场景平台建设、交互风险分析识别、交互信息共建共享、交互功能拓展应用等，补短板、强基础，助力打造共建共治的城市安全治理格局。分为综合数据管理平台和地下管线交互风险分析与辅助决策系统</w:t>
      </w:r>
      <w:r>
        <w:rPr>
          <w:rFonts w:ascii="宋体" w:hAnsi="宋体" w:cs="宋体"/>
          <w:color w:val="auto"/>
          <w:sz w:val="24"/>
        </w:rPr>
        <w:t xml:space="preserve">（功能动态需适配江苏省、镇江市最新监管及数据上报要求），具体如下：</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2"/>
        <w:gridCol w:w="2084"/>
        <w:gridCol w:w="2211"/>
        <w:gridCol w:w="3682"/>
      </w:tblGrid>
      <w:tr>
        <w:trPr>
          <w:trHeight w:val="20"/>
          <w:tblHeader/>
        </w:trPr>
        <w:tc>
          <w:tcPr>
            <w:tcW w:w="858" w:type="pct"/>
            <w:vAlign w:val="center"/>
            <w:textDirection w:val="lrTb"/>
            <w:noWrap w:val="false"/>
          </w:tcPr>
          <w:p>
            <w:pPr>
              <w:jc w:val="center"/>
              <w:widowControl/>
              <w:rPr>
                <w:rFonts w:eastAsia="等线"/>
                <w:color w:val="auto"/>
                <w:szCs w:val="21"/>
              </w:rPr>
            </w:pPr>
            <w:r>
              <w:rPr>
                <w:rFonts w:ascii="宋体" w:hAnsi="宋体"/>
                <w:color w:val="auto"/>
                <w:szCs w:val="21"/>
              </w:rPr>
              <w:t xml:space="preserve">序号</w:t>
            </w:r>
            <w:r/>
          </w:p>
        </w:tc>
        <w:tc>
          <w:tcPr>
            <w:tcW w:w="1082" w:type="pct"/>
            <w:vAlign w:val="center"/>
            <w:textDirection w:val="lrTb"/>
            <w:noWrap w:val="false"/>
          </w:tcPr>
          <w:p>
            <w:pPr>
              <w:jc w:val="center"/>
              <w:widowControl/>
              <w:rPr>
                <w:rFonts w:eastAsia="等线"/>
                <w:color w:val="auto"/>
                <w:szCs w:val="21"/>
              </w:rPr>
            </w:pPr>
            <w:r>
              <w:rPr>
                <w:rFonts w:ascii="宋体" w:hAnsi="宋体"/>
                <w:color w:val="auto"/>
                <w:szCs w:val="21"/>
              </w:rPr>
              <w:t xml:space="preserve">系统名称</w:t>
            </w:r>
            <w:r/>
          </w:p>
        </w:tc>
        <w:tc>
          <w:tcPr>
            <w:tcW w:w="1148" w:type="pct"/>
            <w:vAlign w:val="center"/>
            <w:textDirection w:val="lrTb"/>
            <w:noWrap w:val="false"/>
          </w:tcPr>
          <w:p>
            <w:pPr>
              <w:jc w:val="center"/>
              <w:widowControl/>
              <w:rPr>
                <w:rFonts w:eastAsia="等线"/>
                <w:color w:val="auto"/>
                <w:szCs w:val="21"/>
              </w:rPr>
            </w:pPr>
            <w:r>
              <w:rPr>
                <w:rFonts w:ascii="宋体" w:hAnsi="宋体"/>
                <w:color w:val="auto"/>
                <w:szCs w:val="21"/>
              </w:rPr>
              <w:t xml:space="preserve">系统功能</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系统子功能</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w:t>
            </w:r>
            <w:r/>
          </w:p>
        </w:tc>
        <w:tc>
          <w:tcPr>
            <w:tcW w:w="1082"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综合数据管理平台</w:t>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数据管理</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数据导入</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数据质检</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数据入库</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数据导出</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5</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数据备份</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6</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数据还原</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7</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档案管理</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8</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数据编辑</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要素选择</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9</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切换编辑模式</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10</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新建</w:t>
            </w:r>
            <w:r>
              <w:rPr>
                <w:rFonts w:eastAsia="等线"/>
                <w:color w:val="auto"/>
                <w:szCs w:val="21"/>
              </w:rPr>
              <w:t xml:space="preserve"> shp</w:t>
            </w:r>
            <w:r>
              <w:rPr>
                <w:rFonts w:ascii="宋体" w:hAnsi="宋体"/>
                <w:color w:val="auto"/>
                <w:szCs w:val="21"/>
              </w:rPr>
              <w:t xml:space="preserve">图层</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11</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添加要素</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12</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修改要素属性</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13</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复制并移动要素</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14</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移动要素</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15</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删除要素</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16</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查询统计</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点击查询</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17</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拉线查询</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18</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矩形查询</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19</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多边形查询</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20</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圆形查询</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21</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条件查询</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22</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全部统计</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23</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选定范围统计</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24</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普查单元统计</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26</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gridSpan w:val="2"/>
            <w:tcW w:w="3060" w:type="pct"/>
            <w:vAlign w:val="center"/>
            <w:textDirection w:val="lrTb"/>
            <w:noWrap w:val="false"/>
          </w:tcPr>
          <w:p>
            <w:pPr>
              <w:jc w:val="center"/>
              <w:widowControl/>
              <w:rPr>
                <w:rFonts w:eastAsia="等线"/>
                <w:color w:val="auto"/>
                <w:szCs w:val="21"/>
              </w:rPr>
            </w:pPr>
            <w:r>
              <w:rPr>
                <w:rFonts w:ascii="宋体" w:hAnsi="宋体"/>
                <w:color w:val="auto"/>
                <w:szCs w:val="21"/>
              </w:rPr>
              <w:t xml:space="preserve">数据发布</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27</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系统工具</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测量</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28</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定位</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29</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图层处理</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30</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标注</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31</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图元管理</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32</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清屏</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33</w:t>
            </w:r>
            <w:r/>
          </w:p>
        </w:tc>
        <w:tc>
          <w:tcPr>
            <w:tcW w:w="1082"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地下管线交互风险分析与辅助决策系统</w:t>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管线一张图</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基础信息一张图</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34</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风险一张图</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35</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隐患一张图</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36</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监管一张图</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38</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风险管控</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风险分析</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39</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风险清单</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40</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导出清单</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41</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风险详情</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42</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防治措施</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43</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隐患治理</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隐患台账</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44</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治理措施</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45</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辅助决策</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开挖分析</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46</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施工破坏</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47</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周边风险</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48</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restart"/>
            <w:textDirection w:val="lrTb"/>
            <w:noWrap w:val="false"/>
          </w:tcPr>
          <w:p>
            <w:pPr>
              <w:jc w:val="center"/>
              <w:widowControl/>
              <w:rPr>
                <w:rFonts w:eastAsia="等线"/>
                <w:color w:val="auto"/>
                <w:szCs w:val="21"/>
              </w:rPr>
            </w:pPr>
            <w:r>
              <w:rPr>
                <w:rFonts w:ascii="宋体" w:hAnsi="宋体"/>
                <w:color w:val="auto"/>
                <w:szCs w:val="21"/>
              </w:rPr>
              <w:t xml:space="preserve">规划审批</w:t>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业务台账</w:t>
            </w:r>
            <w:r/>
          </w:p>
        </w:tc>
      </w:tr>
      <w:tr>
        <w:trPr>
          <w:trHeight w:val="20"/>
        </w:trPr>
        <w:tc>
          <w:tcPr>
            <w:tcW w:w="858" w:type="pct"/>
            <w:vAlign w:val="center"/>
            <w:textDirection w:val="lrTb"/>
            <w:noWrap w:val="false"/>
          </w:tcPr>
          <w:p>
            <w:pPr>
              <w:jc w:val="center"/>
              <w:widowControl/>
              <w:rPr>
                <w:rFonts w:eastAsia="等线"/>
                <w:color w:val="auto"/>
                <w:szCs w:val="21"/>
              </w:rPr>
            </w:pPr>
            <w:r>
              <w:rPr>
                <w:rFonts w:eastAsia="等线"/>
                <w:color w:val="auto"/>
                <w:szCs w:val="21"/>
              </w:rPr>
              <w:t xml:space="preserve">49</w:t>
            </w:r>
            <w:r/>
          </w:p>
        </w:tc>
        <w:tc>
          <w:tcPr>
            <w:tcW w:w="1082"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148" w:type="pct"/>
            <w:vAlign w:val="center"/>
            <w:vMerge w:val="continue"/>
            <w:textDirection w:val="lrTb"/>
            <w:noWrap w:val="false"/>
          </w:tcPr>
          <w:p>
            <w:pPr>
              <w:jc w:val="left"/>
              <w:widowControl/>
              <w:rPr>
                <w:rFonts w:eastAsia="等线"/>
                <w:color w:val="auto"/>
                <w:szCs w:val="21"/>
              </w:rPr>
            </w:pPr>
            <w:r>
              <w:rPr>
                <w:rFonts w:eastAsia="等线"/>
                <w:color w:val="auto"/>
                <w:szCs w:val="21"/>
              </w:rPr>
            </w:r>
            <w:r/>
          </w:p>
        </w:tc>
        <w:tc>
          <w:tcPr>
            <w:tcW w:w="1912" w:type="pct"/>
            <w:vAlign w:val="center"/>
            <w:textDirection w:val="lrTb"/>
            <w:noWrap w:val="false"/>
          </w:tcPr>
          <w:p>
            <w:pPr>
              <w:jc w:val="center"/>
              <w:widowControl/>
              <w:rPr>
                <w:rFonts w:eastAsia="等线"/>
                <w:color w:val="auto"/>
                <w:szCs w:val="21"/>
              </w:rPr>
            </w:pPr>
            <w:r>
              <w:rPr>
                <w:rFonts w:ascii="宋体" w:hAnsi="宋体"/>
                <w:color w:val="auto"/>
                <w:szCs w:val="21"/>
              </w:rPr>
              <w:t xml:space="preserve">查询统计</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A.综合数据管理平台包括：数据管理、数据编辑、查询统计、数据发布、系统工具等模块。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a.数据管理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实现数据导入GDB、导入更新范围、数据质检、拓扑检查、数据入库、导出GDB、导出Shp、导出DXF、数据备份、数据还原等。需包括：数据导入、数据质检、数据入库、数据导出、数据备份、数据还原、档案管理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b.数据编辑</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实现对管线数据的多种编辑操作，需包括：要素选择、切换编辑模式、新建shp图层、添加要素、修改要素属性、复制并移动要素、移动要素、删除要素等功能。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c.查询统计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用于对界面中的要素进行查询统计，需包括：点击查询、拉线查询、矩形查询、多边形查询、圆形查询、条件查询、全部统计、选定范围统计、普查单元统计等功能。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d.数据发布</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支持三维管线、矢量点线面、矢量拉伸体等的快速发布，使其能更好在三维平台上进行加载和显示，方便应用系统的调用。</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e.系统工具</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需包括：测量、定位、图层处理、标注、图元管理、清屏等功能。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B.地下管线交互风险分析与辅助决策系统需包括：管线一张图、风险管控、隐患治理、辅助决策、规划审批等模块。</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a.管线一张图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一张图的方式，实现对燃气、雨水、污水、供水等各类地下管线及附属设施的基础信息综合统计和可视化展示,并展示风险即隐患，并通过打造监管信息数据看板，直观呈现汇交更新信息、供图信息等内容。需包括：基础信息一张图、风险一张图、隐患一张图、监管一张图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b.风险管控</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系统识别和管控地下管线相关各类安全风险，需包括：风险分析、风险清单、导出清单、风险详情、防治措施等功能。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c.隐患治理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实现隐患发现、整改、验收留痕与动态跟踪，需包括：隐患台账、治理措施等功能。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d.辅助决策</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实现基于数据分析的辅助研判能力，支撑风险应对与应急处置的科学决策，需包括：开挖分析、施工破坏、周边风险等功能。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e.规划审批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实现地下管线相关建设项目规划审批的电子化管理，需包括：业务台账、查询统计等功能。</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4.</w:t>
      </w:r>
      <w:r>
        <w:rPr>
          <w:rFonts w:ascii="宋体" w:hAnsi="宋体" w:cs="宋体"/>
          <w:b/>
          <w:bCs/>
          <w:color w:val="auto"/>
          <w:sz w:val="24"/>
        </w:rPr>
        <w:t xml:space="preserve">智慧监测硬件设备要求</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立足丹阳市实际，坚持集约化、科学化、实用化原则，在丹阳市城市生命线安全工程项目中配套建设排水、桥梁专项监测设备，道路专项开展设施健康检测，基于初步设计方案中确定的监测点位开展设施部署及设施健康检测，具体点位安装实施、检测前需经相关监管部门确认。投标人报价除应包含设备购置费用外，还包含设备辅材、设备安装与集成、设备调试等内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投标人需提供各专项对应监测设备安装调试及运维方案，内容包括：建设内容、布点依据、布点方案、感知设备清单、设备安装方案和运维方案、数据采集与存储等。</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排水专项</w:t>
      </w:r>
      <w:r/>
    </w:p>
    <w:p>
      <w:pPr>
        <w:ind w:firstLine="480"/>
        <w:rPr>
          <w:color w:val="auto"/>
        </w:rPr>
      </w:pPr>
      <w:r>
        <w:rPr>
          <w:rFonts w:hint="eastAsia"/>
          <w:color w:val="auto"/>
        </w:rPr>
        <w:t xml:space="preserve">a.监测点位（</w:t>
      </w:r>
      <w:r>
        <w:rPr>
          <w:color w:val="auto"/>
        </w:rPr>
        <w:t xml:space="preserve">设备点位以实施为准</w:t>
      </w:r>
      <w:r>
        <w:rPr>
          <w:rFonts w:hint="eastAsia"/>
          <w:color w:val="auto"/>
        </w:rPr>
        <w:t xml:space="preserve">）</w:t>
      </w:r>
      <w:r/>
    </w:p>
    <w:tbl>
      <w:tblPr>
        <w:tblStyle w:val="61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22"/>
        <w:gridCol w:w="2519"/>
        <w:gridCol w:w="5688"/>
      </w:tblGrid>
      <w:tr>
        <w:trPr>
          <w:trHeight w:val="277"/>
          <w:tblHeader/>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序号</w:t>
            </w:r>
            <w:r/>
          </w:p>
        </w:tc>
        <w:tc>
          <w:tcPr>
            <w:tcBorders>
              <w:top w:val="single" w:color="000000" w:sz="4" w:space="0"/>
              <w:left w:val="single" w:color="000000" w:sz="4" w:space="0"/>
              <w:bottom w:val="single" w:color="000000" w:sz="4" w:space="0"/>
              <w:right w:val="single" w:color="000000" w:sz="4" w:space="0"/>
            </w:tcBorders>
            <w:tcW w:w="1308" w:type="pct"/>
            <w:vAlign w:val="center"/>
            <w:textDirection w:val="lrTb"/>
            <w:noWrap/>
          </w:tcPr>
          <w:p>
            <w:pPr>
              <w:pStyle w:val="792"/>
              <w:rPr>
                <w:color w:val="auto"/>
              </w:rPr>
            </w:pPr>
            <w:r>
              <w:rPr>
                <w:color w:val="auto"/>
              </w:rPr>
              <w:t xml:space="preserve">监测对象</w:t>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tcPr>
          <w:p>
            <w:pPr>
              <w:pStyle w:val="792"/>
              <w:rPr>
                <w:color w:val="auto"/>
              </w:rPr>
            </w:pPr>
            <w:r>
              <w:rPr>
                <w:color w:val="auto"/>
              </w:rPr>
              <w:t xml:space="preserve">位置</w:t>
            </w:r>
            <w:r/>
          </w:p>
        </w:tc>
      </w:tr>
      <w:tr>
        <w:trPr>
          <w:trHeight w:val="315"/>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w:t>
            </w:r>
            <w:r/>
          </w:p>
        </w:tc>
        <w:tc>
          <w:tcPr>
            <w:tcBorders>
              <w:top w:val="single" w:color="000000" w:sz="4" w:space="0"/>
              <w:left w:val="single" w:color="000000" w:sz="4" w:space="0"/>
              <w:bottom w:val="single" w:color="000000" w:sz="4" w:space="0"/>
              <w:right w:val="single" w:color="000000" w:sz="4" w:space="0"/>
            </w:tcBorders>
            <w:tcW w:w="1308" w:type="pct"/>
            <w:vAlign w:val="center"/>
            <w:vMerge w:val="restart"/>
            <w:textDirection w:val="lrTb"/>
            <w:noWrap/>
          </w:tcPr>
          <w:p>
            <w:pPr>
              <w:pStyle w:val="792"/>
              <w:rPr>
                <w:color w:val="auto"/>
              </w:rPr>
            </w:pPr>
            <w:r>
              <w:rPr>
                <w:color w:val="auto"/>
              </w:rPr>
              <w:t xml:space="preserve">易淹易涝点</w:t>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tcPr>
          <w:p>
            <w:pPr>
              <w:pStyle w:val="792"/>
              <w:rPr>
                <w:color w:val="auto"/>
              </w:rPr>
            </w:pPr>
            <w:r>
              <w:rPr>
                <w:color w:val="auto"/>
              </w:rPr>
              <w:t xml:space="preserve">吾悦片区凤凰路与云阳路交叉口</w:t>
            </w:r>
            <w:r/>
          </w:p>
        </w:tc>
      </w:tr>
      <w:tr>
        <w:trPr>
          <w:trHeight w:val="315"/>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tcPr>
          <w:p>
            <w:pPr>
              <w:pStyle w:val="792"/>
              <w:rPr>
                <w:color w:val="auto"/>
              </w:rPr>
            </w:pPr>
            <w:r>
              <w:rPr>
                <w:color w:val="auto"/>
              </w:rPr>
              <w:t xml:space="preserve">凤凰北路北苑路至银杏路</w:t>
            </w:r>
            <w:r/>
          </w:p>
        </w:tc>
      </w:tr>
      <w:tr>
        <w:trPr>
          <w:trHeight w:val="315"/>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tcPr>
          <w:p>
            <w:pPr>
              <w:pStyle w:val="792"/>
              <w:rPr>
                <w:color w:val="auto"/>
              </w:rPr>
            </w:pPr>
            <w:r>
              <w:rPr>
                <w:color w:val="auto"/>
              </w:rPr>
              <w:t xml:space="preserve">大泊路镇东路至玉泉路</w:t>
            </w:r>
            <w:r/>
          </w:p>
        </w:tc>
      </w:tr>
      <w:tr>
        <w:trPr>
          <w:trHeight w:val="315"/>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tcPr>
          <w:p>
            <w:pPr>
              <w:pStyle w:val="792"/>
              <w:rPr>
                <w:color w:val="auto"/>
              </w:rPr>
            </w:pPr>
            <w:r>
              <w:rPr>
                <w:color w:val="auto"/>
              </w:rPr>
              <w:t xml:space="preserve">玉泉路大泊变电站至开发大道</w:t>
            </w:r>
            <w:r/>
          </w:p>
        </w:tc>
      </w:tr>
      <w:tr>
        <w:trPr>
          <w:trHeight w:val="315"/>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tcPr>
          <w:p>
            <w:pPr>
              <w:pStyle w:val="792"/>
              <w:rPr>
                <w:color w:val="auto"/>
              </w:rPr>
            </w:pPr>
            <w:r>
              <w:rPr>
                <w:color w:val="auto"/>
              </w:rPr>
              <w:t xml:space="preserve">丹桂路齐梁路至玉泉路</w:t>
            </w:r>
            <w:r/>
          </w:p>
        </w:tc>
      </w:tr>
      <w:tr>
        <w:trPr>
          <w:trHeight w:val="375"/>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tcPr>
          <w:p>
            <w:pPr>
              <w:pStyle w:val="792"/>
              <w:rPr>
                <w:color w:val="auto"/>
              </w:rPr>
            </w:pPr>
            <w:r>
              <w:rPr>
                <w:color w:val="auto"/>
              </w:rPr>
              <w:t xml:space="preserve">大泊天波城铁路涵洞</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7</w:t>
            </w:r>
            <w:r/>
          </w:p>
        </w:tc>
        <w:tc>
          <w:tcPr>
            <w:tcBorders>
              <w:top w:val="single" w:color="000000" w:sz="4" w:space="0"/>
              <w:left w:val="single" w:color="000000" w:sz="4" w:space="0"/>
              <w:bottom w:val="single" w:color="000000" w:sz="4" w:space="0"/>
              <w:right w:val="single" w:color="000000" w:sz="4" w:space="0"/>
            </w:tcBorders>
            <w:tcW w:w="1308" w:type="pct"/>
            <w:vAlign w:val="center"/>
            <w:vMerge w:val="restart"/>
            <w:textDirection w:val="lrTb"/>
            <w:noWrap/>
          </w:tcPr>
          <w:p>
            <w:pPr>
              <w:pStyle w:val="792"/>
              <w:rPr>
                <w:color w:val="auto"/>
              </w:rPr>
            </w:pPr>
            <w:r>
              <w:rPr>
                <w:color w:val="auto"/>
              </w:rPr>
              <w:t xml:space="preserve">重要保障对象</w:t>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丹阳市人民政府</w:t>
            </w:r>
            <w:r/>
          </w:p>
        </w:tc>
      </w:tr>
      <w:tr>
        <w:trPr>
          <w:trHeight w:val="33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8</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丹阳市住房和城乡建设局</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9</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丹阳市水利局</w:t>
            </w:r>
            <w:r/>
          </w:p>
        </w:tc>
      </w:tr>
      <w:tr>
        <w:trPr>
          <w:trHeight w:val="330"/>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10</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丹阳市城市管理局</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11</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丹阳市给排水管理处</w:t>
            </w:r>
            <w:r/>
          </w:p>
        </w:tc>
      </w:tr>
      <w:tr>
        <w:trPr>
          <w:trHeight w:val="330"/>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12</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丹阳市人民医院</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13</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中山路下穿立交</w:t>
            </w:r>
            <w:r/>
          </w:p>
        </w:tc>
      </w:tr>
      <w:tr>
        <w:trPr>
          <w:trHeight w:val="330"/>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北二环路下穿立交</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云阳路下穿立交</w:t>
            </w:r>
            <w:r/>
          </w:p>
        </w:tc>
      </w:tr>
      <w:tr>
        <w:trPr>
          <w:trHeight w:val="330"/>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16</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南二环路下穿立交</w:t>
            </w:r>
            <w:r/>
          </w:p>
        </w:tc>
      </w:tr>
      <w:tr>
        <w:trPr>
          <w:trHeight w:val="30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17</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眼镜城城际通道</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18</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110kV东门变</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19</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110kV路巷变</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20</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110kV锦湖变</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21</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江苏省丹阳市华南实验学校</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22</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丹阳市儿童医院</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23</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丹阳市华南实验小学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丹阳汽车客运站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丹阳市云阳学校</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26</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江苏省丹阳市中医院</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27</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丹阳市车站小学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28</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丹阳城东汽车客运站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29</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30</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丹阳市实验小学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31</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江苏省丹阳高级中学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32</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丹阳市老年大学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33</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丹阳市第八中学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马相伯初级中学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丹凤实验小学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36</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丹阳市华南实验小学（高新校区）</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37</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丹阳市华南实验小学（丹凤校区）</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38</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丹阳市第二人民医院（迎春路）</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39</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江苏省正则高级中学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40</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江苏省丹阳高级中学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41</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马相伯高级中学</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42</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吕叔湘中学（新校区）</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43</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丹阳中专</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镇江高专丹阳师范学院</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西门汽车站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46</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善巷水厂</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47</w:t>
            </w:r>
            <w:r/>
          </w:p>
        </w:tc>
        <w:tc>
          <w:tcPr>
            <w:tcBorders>
              <w:top w:val="single" w:color="000000" w:sz="4" w:space="0"/>
              <w:left w:val="single" w:color="000000" w:sz="4" w:space="0"/>
              <w:bottom w:val="single" w:color="000000" w:sz="4" w:space="0"/>
              <w:right w:val="single" w:color="000000" w:sz="4" w:space="0"/>
            </w:tcBorders>
            <w:tcW w:w="1308" w:type="pct"/>
            <w:vAlign w:val="center"/>
            <w:vMerge w:val="restart"/>
            <w:textDirection w:val="lrTb"/>
            <w:noWrap/>
          </w:tcPr>
          <w:p>
            <w:pPr>
              <w:pStyle w:val="792"/>
              <w:rPr>
                <w:color w:val="auto"/>
              </w:rPr>
            </w:pPr>
            <w:r>
              <w:rPr>
                <w:color w:val="auto"/>
              </w:rPr>
              <w:t xml:space="preserve">河道</w:t>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丹金线与振兴路交叉口东南侧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48</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香草路与南环路交叉口东北侧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49</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丹凤南路与东门外大街交叉口东北侧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50</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阜阳路与丹凤北路交叉口东侧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51</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东方路与云阳路交叉口南侧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52</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荆前路与麒麟路交叉口东南侧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53</w:t>
            </w:r>
            <w:r/>
          </w:p>
        </w:tc>
        <w:tc>
          <w:tcPr>
            <w:tcBorders>
              <w:top w:val="single" w:color="000000" w:sz="4" w:space="0"/>
              <w:left w:val="single" w:color="000000" w:sz="4" w:space="0"/>
              <w:bottom w:val="single" w:color="000000" w:sz="4" w:space="0"/>
              <w:right w:val="single" w:color="000000" w:sz="4" w:space="0"/>
            </w:tcBorders>
            <w:tcW w:w="1308" w:type="pct"/>
            <w:vAlign w:val="center"/>
            <w:vMerge w:val="restart"/>
            <w:textDirection w:val="lrTb"/>
            <w:noWrap/>
          </w:tcPr>
          <w:p>
            <w:pPr>
              <w:pStyle w:val="792"/>
              <w:rPr>
                <w:color w:val="auto"/>
              </w:rPr>
            </w:pPr>
            <w:r>
              <w:rPr>
                <w:color w:val="auto"/>
              </w:rPr>
              <w:t xml:space="preserve">泵站</w:t>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南二环排涝泵站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云阳路排涝泵站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北二环东排涝泵站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56</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北二环西排涝泵站</w:t>
            </w:r>
            <w:r/>
          </w:p>
        </w:tc>
      </w:tr>
      <w:tr>
        <w:trPr>
          <w:trHeight w:val="300"/>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57</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中山路铁路排涝泵站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58</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城际眼镜通道排涝泵站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59</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大林沟翻水站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60</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天波城穿铁路埝庙涵</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61</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天颐排涝站</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62</w:t>
            </w:r>
            <w:r/>
          </w:p>
        </w:tc>
        <w:tc>
          <w:tcPr>
            <w:tcBorders>
              <w:top w:val="single" w:color="000000" w:sz="4" w:space="0"/>
              <w:left w:val="single" w:color="000000" w:sz="4" w:space="0"/>
              <w:bottom w:val="single" w:color="000000" w:sz="4" w:space="0"/>
              <w:right w:val="single" w:color="000000" w:sz="4" w:space="0"/>
            </w:tcBorders>
            <w:tcW w:w="1308" w:type="pct"/>
            <w:vAlign w:val="center"/>
            <w:vMerge w:val="restart"/>
            <w:textDirection w:val="lrTb"/>
            <w:noWrap/>
          </w:tcPr>
          <w:p>
            <w:pPr>
              <w:pStyle w:val="792"/>
              <w:rPr>
                <w:color w:val="auto"/>
              </w:rPr>
            </w:pPr>
            <w:r>
              <w:rPr>
                <w:color w:val="auto"/>
              </w:rPr>
              <w:t xml:space="preserve">雨水管渠</w:t>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玉泉路（云阳路至大泊路）中间位置</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63</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东方路（恒大名都片区）</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九曲路（齐梁路至凤凰南路）中间位置</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南二环路（锦尚名都北侧）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66</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丹金路（丹金人家片区西侧）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67</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华南路与紫竹路交叉口北侧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68</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南二环路（华南园中园南侧）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69</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竹林路（新世纪花园东侧）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70</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新民中路与城河路交叉口</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71</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河沿路（阳光花园别墅西侧）</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72</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丹金路与石城路交叉口</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73</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银杏路与九经路交叉口</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74</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庆丰路与伊甸园路交叉口</w:t>
            </w:r>
            <w:r/>
          </w:p>
        </w:tc>
      </w:tr>
      <w:tr>
        <w:trPr>
          <w:trHeight w:val="27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tcPr>
          <w:p>
            <w:pPr>
              <w:pStyle w:val="792"/>
              <w:rPr>
                <w:color w:val="auto"/>
              </w:rPr>
            </w:pPr>
            <w:r>
              <w:rPr>
                <w:color w:val="auto"/>
              </w:rPr>
              <w:t xml:space="preserve">75</w:t>
            </w:r>
            <w:r/>
          </w:p>
        </w:tc>
        <w:tc>
          <w:tcPr>
            <w:tcBorders>
              <w:top w:val="single" w:color="000000" w:sz="4" w:space="0"/>
              <w:left w:val="single" w:color="000000" w:sz="4" w:space="0"/>
              <w:bottom w:val="single" w:color="000000" w:sz="4" w:space="0"/>
              <w:right w:val="single" w:color="000000" w:sz="4" w:space="0"/>
            </w:tcBorders>
            <w:tcW w:w="1308" w:type="pct"/>
            <w:vAlign w:val="center"/>
            <w:vMerge w:val="continue"/>
            <w:textDirection w:val="lrTb"/>
            <w:noWrap w:val="false"/>
          </w:tcPr>
          <w:p>
            <w:pPr>
              <w:pStyle w:val="792"/>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2953" w:type="pct"/>
            <w:vAlign w:val="center"/>
            <w:textDirection w:val="lrTb"/>
            <w:noWrap w:val="false"/>
          </w:tcPr>
          <w:p>
            <w:pPr>
              <w:pStyle w:val="792"/>
              <w:rPr>
                <w:color w:val="auto"/>
              </w:rPr>
            </w:pPr>
            <w:r>
              <w:rPr>
                <w:color w:val="auto"/>
              </w:rPr>
              <w:t xml:space="preserve">凤凰路与云阳路交叉口</w:t>
            </w:r>
            <w:r/>
          </w:p>
        </w:tc>
      </w:tr>
    </w:tbl>
    <w:p>
      <w:pPr>
        <w:ind w:firstLine="480"/>
        <w:rPr>
          <w:color w:val="auto"/>
        </w:rPr>
      </w:pPr>
      <w:r>
        <w:rPr>
          <w:rFonts w:hint="eastAsia"/>
          <w:color w:val="auto"/>
        </w:rPr>
        <w:t xml:space="preserve">b.监测设备数量及技术参数要求</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106"/>
        <w:gridCol w:w="1742"/>
        <w:gridCol w:w="3819"/>
        <w:gridCol w:w="636"/>
        <w:gridCol w:w="690"/>
      </w:tblGrid>
      <w:tr>
        <w:trPr>
          <w:trHeight w:val="20"/>
          <w:tblHeader/>
        </w:trPr>
        <w:tc>
          <w:tcPr>
            <w:tcW w:w="232" w:type="pct"/>
            <w:vAlign w:val="center"/>
            <w:textDirection w:val="lrTb"/>
            <w:noWrap/>
          </w:tcPr>
          <w:p>
            <w:pPr>
              <w:pStyle w:val="792"/>
              <w:rPr>
                <w:color w:val="auto"/>
              </w:rPr>
            </w:pPr>
            <w:r>
              <w:rPr>
                <w:color w:val="auto"/>
              </w:rPr>
              <w:t xml:space="preserve">序号</w:t>
            </w:r>
            <w:r/>
          </w:p>
        </w:tc>
        <w:tc>
          <w:tcPr>
            <w:tcW w:w="676" w:type="pct"/>
            <w:vAlign w:val="center"/>
            <w:textDirection w:val="lrTb"/>
            <w:noWrap/>
          </w:tcPr>
          <w:p>
            <w:pPr>
              <w:pStyle w:val="792"/>
              <w:rPr>
                <w:color w:val="auto"/>
              </w:rPr>
            </w:pPr>
            <w:r>
              <w:rPr>
                <w:color w:val="auto"/>
              </w:rPr>
              <w:t xml:space="preserve">监测对象</w:t>
            </w:r>
            <w:r/>
          </w:p>
        </w:tc>
        <w:tc>
          <w:tcPr>
            <w:tcW w:w="655" w:type="pct"/>
            <w:vAlign w:val="center"/>
            <w:textDirection w:val="lrTb"/>
            <w:noWrap/>
          </w:tcPr>
          <w:p>
            <w:pPr>
              <w:pStyle w:val="792"/>
              <w:rPr>
                <w:color w:val="auto"/>
              </w:rPr>
            </w:pPr>
            <w:r>
              <w:rPr>
                <w:rFonts w:hint="eastAsia"/>
                <w:color w:val="auto"/>
              </w:rPr>
              <w:t xml:space="preserve">设备名称</w:t>
            </w:r>
            <w:r/>
          </w:p>
        </w:tc>
        <w:tc>
          <w:tcPr>
            <w:tcW w:w="2920" w:type="pct"/>
            <w:vAlign w:val="center"/>
            <w:textDirection w:val="lrTb"/>
            <w:noWrap/>
          </w:tcPr>
          <w:p>
            <w:pPr>
              <w:pStyle w:val="792"/>
              <w:rPr>
                <w:color w:val="auto"/>
              </w:rPr>
            </w:pPr>
            <w:r>
              <w:rPr>
                <w:color w:val="auto"/>
              </w:rPr>
              <w:t xml:space="preserve">技术参数</w:t>
            </w:r>
            <w:r/>
          </w:p>
        </w:tc>
        <w:tc>
          <w:tcPr>
            <w:tcW w:w="274" w:type="pct"/>
            <w:vAlign w:val="center"/>
            <w:textDirection w:val="lrTb"/>
            <w:noWrap/>
          </w:tcPr>
          <w:p>
            <w:pPr>
              <w:pStyle w:val="792"/>
              <w:rPr>
                <w:color w:val="auto"/>
              </w:rPr>
            </w:pPr>
            <w:r>
              <w:rPr>
                <w:color w:val="auto"/>
              </w:rPr>
              <w:t xml:space="preserve">数量</w:t>
            </w:r>
            <w:r/>
          </w:p>
        </w:tc>
        <w:tc>
          <w:tcPr>
            <w:tcW w:w="243" w:type="pct"/>
            <w:vAlign w:val="center"/>
            <w:textDirection w:val="lrTb"/>
            <w:noWrap/>
          </w:tcPr>
          <w:p>
            <w:pPr>
              <w:pStyle w:val="792"/>
              <w:rPr>
                <w:color w:val="auto"/>
              </w:rPr>
            </w:pPr>
            <w:r>
              <w:rPr>
                <w:color w:val="auto"/>
              </w:rPr>
              <w:t xml:space="preserve">单位</w:t>
            </w:r>
            <w:r/>
          </w:p>
        </w:tc>
      </w:tr>
      <w:tr>
        <w:trPr>
          <w:trHeight w:val="20"/>
        </w:trPr>
        <w:tc>
          <w:tcPr>
            <w:tcW w:w="232" w:type="pct"/>
            <w:vAlign w:val="center"/>
            <w:vMerge w:val="restart"/>
            <w:textDirection w:val="lrTb"/>
            <w:noWrap/>
          </w:tcPr>
          <w:p>
            <w:pPr>
              <w:pStyle w:val="792"/>
              <w:rPr>
                <w:color w:val="auto"/>
              </w:rPr>
            </w:pPr>
            <w:r>
              <w:rPr>
                <w:color w:val="auto"/>
              </w:rPr>
              <w:t xml:space="preserve">1</w:t>
            </w:r>
            <w:r/>
          </w:p>
        </w:tc>
        <w:tc>
          <w:tcPr>
            <w:tcW w:w="676" w:type="pct"/>
            <w:vAlign w:val="center"/>
            <w:vMerge w:val="restart"/>
            <w:textDirection w:val="lrTb"/>
            <w:noWrap w:val="false"/>
          </w:tcPr>
          <w:p>
            <w:pPr>
              <w:pStyle w:val="792"/>
              <w:rPr>
                <w:color w:val="auto"/>
              </w:rPr>
            </w:pPr>
            <w:r>
              <w:rPr>
                <w:color w:val="auto"/>
              </w:rPr>
              <w:t xml:space="preserve">易淹易涝点、重要保障对象、河道、雨水泵站</w:t>
            </w:r>
            <w:r/>
          </w:p>
        </w:tc>
        <w:tc>
          <w:tcPr>
            <w:tcW w:w="655" w:type="pct"/>
            <w:vAlign w:val="center"/>
            <w:textDirection w:val="lrTb"/>
            <w:noWrap/>
          </w:tcPr>
          <w:p>
            <w:pPr>
              <w:pStyle w:val="792"/>
              <w:rPr>
                <w:color w:val="auto"/>
              </w:rPr>
            </w:pPr>
            <w:r>
              <w:rPr>
                <w:color w:val="auto"/>
              </w:rPr>
              <w:t xml:space="preserve">视频监控</w:t>
            </w:r>
            <w:r/>
          </w:p>
        </w:tc>
        <w:tc>
          <w:tcPr>
            <w:tcW w:w="2920" w:type="pct"/>
            <w:vAlign w:val="center"/>
            <w:textDirection w:val="lrTb"/>
            <w:noWrap w:val="false"/>
          </w:tcPr>
          <w:p>
            <w:pPr>
              <w:pStyle w:val="792"/>
              <w:rPr>
                <w:color w:val="auto"/>
              </w:rPr>
            </w:pPr>
            <w:r>
              <w:rPr>
                <w:color w:val="auto"/>
              </w:rPr>
              <w:t xml:space="preserve">1）400万4寸23倍全彩智能球机</w:t>
            </w:r>
            <w:r>
              <w:rPr>
                <w:color w:val="auto"/>
              </w:rPr>
              <w:br/>
            </w:r>
            <w:r>
              <w:rPr>
                <w:color w:val="auto"/>
              </w:rPr>
              <w:t xml:space="preserve">2）支持1/2.8" 400万23倍光学变焦镜头，采用高效补光阵列，低功耗，红外补光100 m，白光补光30m</w:t>
            </w:r>
            <w:r>
              <w:rPr>
                <w:color w:val="auto"/>
              </w:rPr>
              <w:br/>
            </w:r>
            <w:r>
              <w:rPr>
                <w:color w:val="auto"/>
              </w:rPr>
              <w:t xml:space="preserve">3）传感器类型：1/2.8＂ progressive scan CMOS</w:t>
            </w:r>
            <w:r>
              <w:rPr>
                <w:color w:val="auto"/>
              </w:rPr>
              <w:br/>
            </w:r>
            <w:r>
              <w:rPr>
                <w:color w:val="auto"/>
              </w:rPr>
              <w:t xml:space="preserve">4）最低照度：彩色：0.005Lux @ (F1.6，AGC ON)；黑白：0.001Lux @(F1.6，AGC ON) ；0 Lux with IR</w:t>
            </w:r>
            <w:r>
              <w:rPr>
                <w:color w:val="auto"/>
              </w:rPr>
              <w:br/>
            </w:r>
            <w:r>
              <w:rPr>
                <w:color w:val="auto"/>
              </w:rPr>
              <w:t xml:space="preserve">5）宽动态：支持真宽动态 </w:t>
            </w:r>
            <w:r>
              <w:rPr>
                <w:color w:val="auto"/>
              </w:rPr>
              <w:br/>
            </w:r>
            <w:r>
              <w:rPr>
                <w:color w:val="auto"/>
              </w:rPr>
              <w:t xml:space="preserve">6）补光灯：支持红外补光，白光补光；红外补光距离100m，白光补光距离30m </w:t>
            </w:r>
            <w:r>
              <w:rPr>
                <w:color w:val="auto"/>
              </w:rPr>
              <w:br/>
            </w:r>
            <w:r>
              <w:rPr>
                <w:color w:val="auto"/>
              </w:rPr>
              <w:t xml:space="preserve">7）水平范围：360°</w:t>
            </w:r>
            <w:r>
              <w:rPr>
                <w:color w:val="auto"/>
              </w:rPr>
              <w:br/>
            </w:r>
            <w:r>
              <w:rPr>
                <w:color w:val="auto"/>
              </w:rPr>
              <w:t xml:space="preserve">8）垂直范围：-15°-90°(自动翻转)</w:t>
            </w:r>
            <w:r>
              <w:rPr>
                <w:color w:val="auto"/>
              </w:rPr>
              <w:br/>
            </w:r>
            <w:r>
              <w:rPr>
                <w:color w:val="auto"/>
              </w:rPr>
              <w:t xml:space="preserve">9）主码流帧率分辨率：50 Hz：25 fps（2560 × 1440，1920 × 1080，1280 × 960，1280 × 720）</w:t>
            </w:r>
            <w:r>
              <w:rPr>
                <w:color w:val="auto"/>
              </w:rPr>
              <w:br/>
            </w:r>
            <w:r>
              <w:rPr>
                <w:color w:val="auto"/>
              </w:rPr>
              <w:t xml:space="preserve">60 Hz：30 fps（2560 × 1440，1920 × 1080，1280 × 960，1280 × 720）</w:t>
            </w:r>
            <w:r>
              <w:rPr>
                <w:color w:val="auto"/>
              </w:rPr>
              <w:br/>
            </w:r>
            <w:r>
              <w:rPr>
                <w:color w:val="auto"/>
              </w:rPr>
              <w:t xml:space="preserve">10）视频压缩标准：H.265;H.264;MJPEG </w:t>
            </w:r>
            <w:r>
              <w:rPr>
                <w:color w:val="auto"/>
              </w:rPr>
              <w:br/>
            </w:r>
            <w:r>
              <w:rPr>
                <w:color w:val="auto"/>
              </w:rPr>
              <w:t xml:space="preserve">11）网络接口：RJ45网口，自适应10M/100M网络数据 </w:t>
            </w:r>
            <w:r>
              <w:rPr>
                <w:color w:val="auto"/>
              </w:rPr>
              <w:br/>
            </w:r>
            <w:r>
              <w:rPr>
                <w:color w:val="auto"/>
              </w:rPr>
              <w:t xml:space="preserve">12）SD卡扩展：内置Micro SD卡插槽，最大支持512GB</w:t>
            </w:r>
            <w:r>
              <w:rPr>
                <w:color w:val="auto"/>
              </w:rPr>
              <w:br/>
            </w:r>
            <w:r>
              <w:rPr>
                <w:color w:val="auto"/>
              </w:rPr>
              <w:t xml:space="preserve">13）供电方式：DC12V；PoE+(802.3at)</w:t>
            </w:r>
            <w:r>
              <w:rPr>
                <w:color w:val="auto"/>
              </w:rPr>
              <w:br/>
            </w:r>
            <w:r>
              <w:rPr>
                <w:color w:val="auto"/>
              </w:rPr>
              <w:t xml:space="preserve">14）工作温湿度：-30℃-65℃；湿度小于90%</w:t>
            </w:r>
            <w:r>
              <w:rPr>
                <w:color w:val="auto"/>
              </w:rPr>
              <w:br/>
            </w:r>
            <w:r>
              <w:rPr>
                <w:color w:val="auto"/>
              </w:rPr>
              <w:t xml:space="preserve">15）防护：IP66; 6000V 防雷、防浪涌、防突波，符合GB/T17626.2/3/4/5/6四级标准</w:t>
            </w:r>
            <w:r/>
          </w:p>
        </w:tc>
        <w:tc>
          <w:tcPr>
            <w:tcW w:w="274" w:type="pct"/>
            <w:vAlign w:val="center"/>
            <w:textDirection w:val="lrTb"/>
            <w:noWrap/>
          </w:tcPr>
          <w:p>
            <w:pPr>
              <w:pStyle w:val="792"/>
              <w:rPr>
                <w:color w:val="auto"/>
              </w:rPr>
            </w:pPr>
            <w:r>
              <w:rPr>
                <w:color w:val="auto"/>
              </w:rPr>
              <w:t xml:space="preserve">67</w:t>
            </w:r>
            <w:r/>
          </w:p>
        </w:tc>
        <w:tc>
          <w:tcPr>
            <w:tcW w:w="243" w:type="pct"/>
            <w:vAlign w:val="center"/>
            <w:textDirection w:val="lrTb"/>
            <w:noWrap/>
          </w:tcPr>
          <w:p>
            <w:pPr>
              <w:pStyle w:val="792"/>
              <w:rPr>
                <w:color w:val="auto"/>
              </w:rPr>
            </w:pPr>
            <w:r>
              <w:rPr>
                <w:color w:val="auto"/>
              </w:rPr>
              <w:t xml:space="preserve">套</w:t>
            </w:r>
            <w:r/>
          </w:p>
        </w:tc>
      </w:tr>
      <w:tr>
        <w:trPr>
          <w:trHeight w:val="20"/>
        </w:trPr>
        <w:tc>
          <w:tcPr>
            <w:tcW w:w="232" w:type="pct"/>
            <w:vAlign w:val="center"/>
            <w:vMerge w:val="continue"/>
            <w:textDirection w:val="lrTb"/>
            <w:noWrap w:val="false"/>
          </w:tcPr>
          <w:p>
            <w:pPr>
              <w:pStyle w:val="792"/>
              <w:rPr>
                <w:color w:val="auto"/>
              </w:rPr>
            </w:pPr>
            <w:r>
              <w:rPr>
                <w:color w:val="auto"/>
              </w:rPr>
            </w:r>
            <w:r/>
          </w:p>
        </w:tc>
        <w:tc>
          <w:tcPr>
            <w:tcW w:w="676" w:type="pct"/>
            <w:vAlign w:val="center"/>
            <w:vMerge w:val="continue"/>
            <w:textDirection w:val="lrTb"/>
            <w:noWrap w:val="false"/>
          </w:tcPr>
          <w:p>
            <w:pPr>
              <w:pStyle w:val="792"/>
              <w:rPr>
                <w:color w:val="auto"/>
              </w:rPr>
            </w:pPr>
            <w:r>
              <w:rPr>
                <w:color w:val="auto"/>
              </w:rPr>
            </w:r>
            <w:r/>
          </w:p>
        </w:tc>
        <w:tc>
          <w:tcPr>
            <w:tcW w:w="655" w:type="pct"/>
            <w:vAlign w:val="center"/>
            <w:textDirection w:val="lrTb"/>
            <w:noWrap/>
          </w:tcPr>
          <w:p>
            <w:pPr>
              <w:pStyle w:val="792"/>
              <w:rPr>
                <w:color w:val="auto"/>
              </w:rPr>
            </w:pPr>
            <w:r>
              <w:rPr>
                <w:color w:val="auto"/>
              </w:rPr>
              <w:t xml:space="preserve">64位硬盘录像机</w:t>
            </w:r>
            <w:r/>
          </w:p>
        </w:tc>
        <w:tc>
          <w:tcPr>
            <w:tcW w:w="2920" w:type="pct"/>
            <w:vAlign w:val="center"/>
            <w:textDirection w:val="lrTb"/>
            <w:noWrap w:val="false"/>
          </w:tcPr>
          <w:p>
            <w:pPr>
              <w:pStyle w:val="792"/>
              <w:rPr>
                <w:color w:val="auto"/>
              </w:rPr>
            </w:pPr>
            <w:r>
              <w:rPr>
                <w:color w:val="auto"/>
              </w:rPr>
              <w:t xml:space="preserve">1）视音频输入：</w:t>
            </w:r>
            <w:r>
              <w:rPr>
                <w:color w:val="auto"/>
              </w:rPr>
              <w:br/>
            </w:r>
            <w:r>
              <w:rPr>
                <w:color w:val="auto"/>
              </w:rPr>
              <w:t xml:space="preserve">网络视频输入：64路</w:t>
            </w:r>
            <w:r>
              <w:rPr>
                <w:color w:val="auto"/>
              </w:rPr>
              <w:br/>
            </w:r>
            <w:r>
              <w:rPr>
                <w:color w:val="auto"/>
              </w:rPr>
              <w:t xml:space="preserve">网络输入带宽：400Mbps</w:t>
            </w:r>
            <w:r>
              <w:rPr>
                <w:color w:val="auto"/>
              </w:rPr>
              <w:br/>
            </w:r>
            <w:r>
              <w:rPr>
                <w:color w:val="auto"/>
              </w:rPr>
              <w:t xml:space="preserve">网络输出带宽：256Mbps</w:t>
            </w:r>
            <w:r>
              <w:rPr>
                <w:color w:val="auto"/>
              </w:rPr>
              <w:br/>
            </w:r>
            <w:r>
              <w:rPr>
                <w:color w:val="auto"/>
              </w:rPr>
              <w:t xml:space="preserve">2）视音频输出：</w:t>
            </w:r>
            <w:r>
              <w:rPr>
                <w:color w:val="auto"/>
              </w:rPr>
              <w:br/>
            </w:r>
            <w:r>
              <w:rPr>
                <w:color w:val="auto"/>
              </w:rPr>
              <w:t xml:space="preserve">HDMI输出：2路</w:t>
            </w:r>
            <w:r>
              <w:rPr>
                <w:color w:val="auto"/>
              </w:rPr>
              <w:br/>
            </w:r>
            <w:r>
              <w:rPr>
                <w:color w:val="auto"/>
              </w:rPr>
              <w:t xml:space="preserve">VGA输出：1路</w:t>
            </w:r>
            <w:r>
              <w:rPr>
                <w:color w:val="auto"/>
              </w:rPr>
              <w:br/>
            </w:r>
            <w:r>
              <w:rPr>
                <w:color w:val="auto"/>
              </w:rPr>
              <w:t xml:space="preserve">视频解码格式：H.265,H.264,SVAC,MPEG4,MJPEG,H.264+和H.265+</w:t>
            </w:r>
            <w:r>
              <w:rPr>
                <w:color w:val="auto"/>
              </w:rPr>
              <w:br/>
            </w:r>
            <w:r>
              <w:rPr>
                <w:color w:val="auto"/>
              </w:rPr>
              <w:t xml:space="preserve">解码能力：16路1080P</w:t>
            </w:r>
            <w:r>
              <w:rPr>
                <w:color w:val="auto"/>
              </w:rPr>
              <w:br/>
            </w:r>
            <w:r>
              <w:rPr>
                <w:color w:val="auto"/>
              </w:rPr>
              <w:t xml:space="preserve">同步回放：16路</w:t>
            </w:r>
            <w:r>
              <w:rPr>
                <w:color w:val="auto"/>
              </w:rPr>
              <w:br/>
            </w:r>
            <w:r>
              <w:rPr>
                <w:color w:val="auto"/>
              </w:rPr>
              <w:t xml:space="preserve">网络协议：IPv6, HTTPS, UPnP, SNMP, NTP, SADP, SMTP, NFS, iSCSI, PPPoE, DDNS</w:t>
            </w:r>
            <w:r>
              <w:rPr>
                <w:color w:val="auto"/>
              </w:rPr>
              <w:br/>
            </w:r>
            <w:r>
              <w:rPr>
                <w:color w:val="auto"/>
              </w:rPr>
              <w:t xml:space="preserve">盘位：16个SATA接口，最大支持12TB</w:t>
            </w:r>
            <w:r>
              <w:rPr>
                <w:color w:val="auto"/>
              </w:rPr>
              <w:br/>
            </w:r>
            <w:r>
              <w:rPr>
                <w:color w:val="auto"/>
              </w:rPr>
              <w:t xml:space="preserve">网络接口：2个，RJ4510M/100M/1000M自适应以太网口</w:t>
            </w:r>
            <w:r/>
          </w:p>
        </w:tc>
        <w:tc>
          <w:tcPr>
            <w:tcW w:w="274" w:type="pct"/>
            <w:vAlign w:val="center"/>
            <w:textDirection w:val="lrTb"/>
            <w:noWrap/>
          </w:tcPr>
          <w:p>
            <w:pPr>
              <w:pStyle w:val="792"/>
              <w:rPr>
                <w:color w:val="auto"/>
              </w:rPr>
            </w:pPr>
            <w:r>
              <w:rPr>
                <w:color w:val="auto"/>
              </w:rPr>
              <w:t xml:space="preserve">2</w:t>
            </w:r>
            <w:r/>
          </w:p>
        </w:tc>
        <w:tc>
          <w:tcPr>
            <w:tcW w:w="243" w:type="pct"/>
            <w:vAlign w:val="center"/>
            <w:textDirection w:val="lrTb"/>
            <w:noWrap/>
          </w:tcPr>
          <w:p>
            <w:pPr>
              <w:pStyle w:val="792"/>
              <w:rPr>
                <w:color w:val="auto"/>
              </w:rPr>
            </w:pPr>
            <w:r>
              <w:rPr>
                <w:color w:val="auto"/>
              </w:rPr>
              <w:t xml:space="preserve">台</w:t>
            </w:r>
            <w:r/>
          </w:p>
        </w:tc>
      </w:tr>
      <w:tr>
        <w:trPr>
          <w:trHeight w:val="20"/>
        </w:trPr>
        <w:tc>
          <w:tcPr>
            <w:tcW w:w="232" w:type="pct"/>
            <w:vAlign w:val="center"/>
            <w:vMerge w:val="continue"/>
            <w:textDirection w:val="lrTb"/>
            <w:noWrap w:val="false"/>
          </w:tcPr>
          <w:p>
            <w:pPr>
              <w:pStyle w:val="792"/>
              <w:rPr>
                <w:color w:val="auto"/>
              </w:rPr>
            </w:pPr>
            <w:r>
              <w:rPr>
                <w:color w:val="auto"/>
              </w:rPr>
            </w:r>
            <w:r/>
          </w:p>
        </w:tc>
        <w:tc>
          <w:tcPr>
            <w:tcW w:w="676" w:type="pct"/>
            <w:vAlign w:val="center"/>
            <w:vMerge w:val="continue"/>
            <w:textDirection w:val="lrTb"/>
            <w:noWrap w:val="false"/>
          </w:tcPr>
          <w:p>
            <w:pPr>
              <w:pStyle w:val="792"/>
              <w:rPr>
                <w:color w:val="auto"/>
              </w:rPr>
            </w:pPr>
            <w:r>
              <w:rPr>
                <w:color w:val="auto"/>
              </w:rPr>
            </w:r>
            <w:r/>
          </w:p>
        </w:tc>
        <w:tc>
          <w:tcPr>
            <w:tcW w:w="655" w:type="pct"/>
            <w:vAlign w:val="center"/>
            <w:textDirection w:val="lrTb"/>
            <w:noWrap w:val="false"/>
          </w:tcPr>
          <w:p>
            <w:pPr>
              <w:pStyle w:val="792"/>
              <w:rPr>
                <w:color w:val="auto"/>
              </w:rPr>
            </w:pPr>
            <w:r>
              <w:rPr>
                <w:color w:val="auto"/>
              </w:rPr>
              <w:t xml:space="preserve">监控专用硬盘</w:t>
            </w:r>
            <w:r/>
          </w:p>
        </w:tc>
        <w:tc>
          <w:tcPr>
            <w:tcW w:w="2920" w:type="pct"/>
            <w:vAlign w:val="center"/>
            <w:textDirection w:val="lrTb"/>
            <w:noWrap w:val="false"/>
          </w:tcPr>
          <w:p>
            <w:pPr>
              <w:pStyle w:val="792"/>
              <w:rPr>
                <w:color w:val="auto"/>
              </w:rPr>
            </w:pPr>
            <w:r>
              <w:rPr>
                <w:color w:val="auto"/>
              </w:rPr>
              <w:t xml:space="preserve">4TB，不低于5900转</w:t>
            </w:r>
            <w:r/>
          </w:p>
        </w:tc>
        <w:tc>
          <w:tcPr>
            <w:tcW w:w="274" w:type="pct"/>
            <w:vAlign w:val="center"/>
            <w:textDirection w:val="lrTb"/>
            <w:noWrap/>
          </w:tcPr>
          <w:p>
            <w:pPr>
              <w:pStyle w:val="792"/>
              <w:rPr>
                <w:color w:val="auto"/>
              </w:rPr>
            </w:pPr>
            <w:r>
              <w:rPr>
                <w:color w:val="auto"/>
              </w:rPr>
              <w:t xml:space="preserve">24</w:t>
            </w:r>
            <w:r/>
          </w:p>
        </w:tc>
        <w:tc>
          <w:tcPr>
            <w:tcW w:w="243" w:type="pct"/>
            <w:vAlign w:val="center"/>
            <w:textDirection w:val="lrTb"/>
            <w:noWrap/>
          </w:tcPr>
          <w:p>
            <w:pPr>
              <w:pStyle w:val="792"/>
              <w:rPr>
                <w:color w:val="auto"/>
              </w:rPr>
            </w:pPr>
            <w:r>
              <w:rPr>
                <w:color w:val="auto"/>
              </w:rPr>
              <w:t xml:space="preserve">块</w:t>
            </w:r>
            <w:r/>
          </w:p>
        </w:tc>
      </w:tr>
      <w:tr>
        <w:trPr>
          <w:trHeight w:val="20"/>
        </w:trPr>
        <w:tc>
          <w:tcPr>
            <w:tcW w:w="232" w:type="pct"/>
            <w:vAlign w:val="center"/>
            <w:vMerge w:val="continue"/>
            <w:textDirection w:val="lrTb"/>
            <w:noWrap w:val="false"/>
          </w:tcPr>
          <w:p>
            <w:pPr>
              <w:pStyle w:val="792"/>
              <w:rPr>
                <w:color w:val="auto"/>
              </w:rPr>
            </w:pPr>
            <w:r>
              <w:rPr>
                <w:color w:val="auto"/>
              </w:rPr>
            </w:r>
            <w:r/>
          </w:p>
        </w:tc>
        <w:tc>
          <w:tcPr>
            <w:tcW w:w="676" w:type="pct"/>
            <w:vAlign w:val="center"/>
            <w:vMerge w:val="continue"/>
            <w:textDirection w:val="lrTb"/>
            <w:noWrap w:val="false"/>
          </w:tcPr>
          <w:p>
            <w:pPr>
              <w:pStyle w:val="792"/>
              <w:rPr>
                <w:color w:val="auto"/>
              </w:rPr>
            </w:pPr>
            <w:r>
              <w:rPr>
                <w:color w:val="auto"/>
              </w:rPr>
            </w:r>
            <w:r/>
          </w:p>
        </w:tc>
        <w:tc>
          <w:tcPr>
            <w:tcW w:w="655" w:type="pct"/>
            <w:vAlign w:val="center"/>
            <w:textDirection w:val="lrTb"/>
            <w:noWrap/>
          </w:tcPr>
          <w:p>
            <w:pPr>
              <w:pStyle w:val="792"/>
              <w:rPr>
                <w:color w:val="auto"/>
              </w:rPr>
            </w:pPr>
            <w:r>
              <w:rPr>
                <w:color w:val="auto"/>
              </w:rPr>
              <w:t xml:space="preserve">视频网络专线</w:t>
            </w:r>
            <w:r/>
          </w:p>
        </w:tc>
        <w:tc>
          <w:tcPr>
            <w:tcW w:w="2920" w:type="pct"/>
            <w:vAlign w:val="center"/>
            <w:textDirection w:val="lrTb"/>
            <w:noWrap/>
          </w:tcPr>
          <w:p>
            <w:pPr>
              <w:pStyle w:val="792"/>
              <w:rPr>
                <w:color w:val="auto"/>
              </w:rPr>
            </w:pPr>
            <w:r>
              <w:rPr>
                <w:color w:val="auto"/>
              </w:rPr>
              <w:t xml:space="preserve">带宽20Mbps</w:t>
            </w:r>
            <w:r/>
          </w:p>
        </w:tc>
        <w:tc>
          <w:tcPr>
            <w:tcW w:w="274" w:type="pct"/>
            <w:vAlign w:val="center"/>
            <w:textDirection w:val="lrTb"/>
            <w:noWrap/>
          </w:tcPr>
          <w:p>
            <w:pPr>
              <w:pStyle w:val="792"/>
              <w:rPr>
                <w:color w:val="auto"/>
              </w:rPr>
            </w:pPr>
            <w:r>
              <w:rPr>
                <w:color w:val="auto"/>
              </w:rPr>
              <w:t xml:space="preserve">201</w:t>
            </w:r>
            <w:r/>
          </w:p>
        </w:tc>
        <w:tc>
          <w:tcPr>
            <w:tcW w:w="243" w:type="pct"/>
            <w:vAlign w:val="center"/>
            <w:textDirection w:val="lrTb"/>
            <w:noWrap/>
          </w:tcPr>
          <w:p>
            <w:pPr>
              <w:pStyle w:val="792"/>
              <w:rPr>
                <w:color w:val="auto"/>
              </w:rPr>
            </w:pPr>
            <w:r>
              <w:rPr>
                <w:color w:val="auto"/>
              </w:rPr>
              <w:t xml:space="preserve">路·年</w:t>
            </w:r>
            <w:r/>
          </w:p>
        </w:tc>
      </w:tr>
      <w:tr>
        <w:trPr>
          <w:trHeight w:val="20"/>
        </w:trPr>
        <w:tc>
          <w:tcPr>
            <w:tcW w:w="232" w:type="pct"/>
            <w:vAlign w:val="center"/>
            <w:textDirection w:val="lrTb"/>
            <w:noWrap/>
          </w:tcPr>
          <w:p>
            <w:pPr>
              <w:pStyle w:val="792"/>
              <w:rPr>
                <w:color w:val="auto"/>
              </w:rPr>
            </w:pPr>
            <w:r>
              <w:rPr>
                <w:color w:val="auto"/>
              </w:rPr>
              <w:t xml:space="preserve">2</w:t>
            </w:r>
            <w:r/>
          </w:p>
        </w:tc>
        <w:tc>
          <w:tcPr>
            <w:tcW w:w="676" w:type="pct"/>
            <w:vAlign w:val="center"/>
            <w:textDirection w:val="lrTb"/>
            <w:noWrap w:val="false"/>
          </w:tcPr>
          <w:p>
            <w:pPr>
              <w:pStyle w:val="792"/>
              <w:rPr>
                <w:color w:val="auto"/>
              </w:rPr>
            </w:pPr>
            <w:r>
              <w:rPr>
                <w:color w:val="auto"/>
              </w:rPr>
              <w:t xml:space="preserve">易淹易涝点、重要保障对象</w:t>
            </w:r>
            <w:r/>
          </w:p>
        </w:tc>
        <w:tc>
          <w:tcPr>
            <w:tcW w:w="655" w:type="pct"/>
            <w:vAlign w:val="center"/>
            <w:textDirection w:val="lrTb"/>
            <w:noWrap/>
          </w:tcPr>
          <w:p>
            <w:pPr>
              <w:pStyle w:val="792"/>
              <w:rPr>
                <w:color w:val="auto"/>
              </w:rPr>
            </w:pPr>
            <w:r>
              <w:rPr>
                <w:color w:val="auto"/>
              </w:rPr>
              <w:t xml:space="preserve">电子水尺</w:t>
            </w:r>
            <w:r/>
          </w:p>
        </w:tc>
        <w:tc>
          <w:tcPr>
            <w:tcW w:w="2920" w:type="pct"/>
            <w:vAlign w:val="center"/>
            <w:textDirection w:val="lrTb"/>
            <w:noWrap w:val="false"/>
          </w:tcPr>
          <w:p>
            <w:pPr>
              <w:pStyle w:val="792"/>
              <w:rPr>
                <w:color w:val="auto"/>
              </w:rPr>
            </w:pPr>
            <w:r>
              <w:rPr>
                <w:color w:val="auto"/>
              </w:rPr>
              <w:t xml:space="preserve">1）环境温度：-10℃～55℃；</w:t>
            </w:r>
            <w:r>
              <w:rPr>
                <w:color w:val="auto"/>
              </w:rPr>
              <w:br/>
            </w:r>
            <w:r>
              <w:rPr>
                <w:color w:val="auto"/>
              </w:rPr>
              <w:t xml:space="preserve">2）相对湿度：10%RH～95%RH；</w:t>
            </w:r>
            <w:r>
              <w:rPr>
                <w:color w:val="auto"/>
              </w:rPr>
              <w:br/>
            </w:r>
            <w:r>
              <w:rPr>
                <w:color w:val="auto"/>
              </w:rPr>
              <w:t xml:space="preserve">3）测量量程：0m~2m；</w:t>
            </w:r>
            <w:r>
              <w:rPr>
                <w:color w:val="auto"/>
              </w:rPr>
              <w:br/>
            </w:r>
            <w:r>
              <w:rPr>
                <w:color w:val="auto"/>
              </w:rPr>
              <w:t xml:space="preserve">4）测量精度：±1cm；</w:t>
            </w:r>
            <w:r>
              <w:rPr>
                <w:color w:val="auto"/>
              </w:rPr>
              <w:br/>
            </w:r>
            <w:r>
              <w:rPr>
                <w:color w:val="auto"/>
              </w:rPr>
              <w:t xml:space="preserve">5）防护等级：IP68；</w:t>
            </w:r>
            <w:r>
              <w:rPr>
                <w:color w:val="auto"/>
              </w:rPr>
              <w:br/>
            </w:r>
            <w:r>
              <w:rPr>
                <w:color w:val="auto"/>
              </w:rPr>
              <w:t xml:space="preserve">6）采集、传输频率：可设置，最高频次可设置为1次/1min。</w:t>
            </w:r>
            <w:r/>
          </w:p>
        </w:tc>
        <w:tc>
          <w:tcPr>
            <w:tcW w:w="274" w:type="pct"/>
            <w:vAlign w:val="center"/>
            <w:textDirection w:val="lrTb"/>
            <w:noWrap/>
          </w:tcPr>
          <w:p>
            <w:pPr>
              <w:pStyle w:val="792"/>
              <w:rPr>
                <w:color w:val="auto"/>
              </w:rPr>
            </w:pPr>
            <w:r>
              <w:rPr>
                <w:color w:val="auto"/>
              </w:rPr>
              <w:t xml:space="preserve">18</w:t>
            </w:r>
            <w:r/>
          </w:p>
        </w:tc>
        <w:tc>
          <w:tcPr>
            <w:tcW w:w="243" w:type="pct"/>
            <w:vAlign w:val="center"/>
            <w:textDirection w:val="lrTb"/>
            <w:noWrap/>
          </w:tcPr>
          <w:p>
            <w:pPr>
              <w:pStyle w:val="792"/>
              <w:rPr>
                <w:color w:val="auto"/>
              </w:rPr>
            </w:pPr>
            <w:r>
              <w:rPr>
                <w:color w:val="auto"/>
              </w:rPr>
              <w:t xml:space="preserve">套</w:t>
            </w:r>
            <w:r/>
          </w:p>
        </w:tc>
      </w:tr>
      <w:tr>
        <w:trPr>
          <w:trHeight w:val="20"/>
        </w:trPr>
        <w:tc>
          <w:tcPr>
            <w:tcW w:w="232" w:type="pct"/>
            <w:vAlign w:val="center"/>
            <w:textDirection w:val="lrTb"/>
            <w:noWrap/>
          </w:tcPr>
          <w:p>
            <w:pPr>
              <w:pStyle w:val="792"/>
              <w:rPr>
                <w:color w:val="auto"/>
              </w:rPr>
            </w:pPr>
            <w:r>
              <w:rPr>
                <w:color w:val="auto"/>
              </w:rPr>
              <w:t xml:space="preserve">3</w:t>
            </w:r>
            <w:r/>
          </w:p>
        </w:tc>
        <w:tc>
          <w:tcPr>
            <w:tcW w:w="676" w:type="pct"/>
            <w:vAlign w:val="center"/>
            <w:textDirection w:val="lrTb"/>
            <w:noWrap/>
          </w:tcPr>
          <w:p>
            <w:pPr>
              <w:pStyle w:val="792"/>
              <w:rPr>
                <w:color w:val="auto"/>
              </w:rPr>
            </w:pPr>
            <w:r>
              <w:rPr>
                <w:color w:val="auto"/>
              </w:rPr>
              <w:t xml:space="preserve">河道</w:t>
            </w:r>
            <w:r/>
          </w:p>
        </w:tc>
        <w:tc>
          <w:tcPr>
            <w:tcW w:w="655" w:type="pct"/>
            <w:vAlign w:val="center"/>
            <w:textDirection w:val="lrTb"/>
            <w:noWrap/>
          </w:tcPr>
          <w:p>
            <w:pPr>
              <w:pStyle w:val="792"/>
              <w:rPr>
                <w:color w:val="auto"/>
              </w:rPr>
            </w:pPr>
            <w:r>
              <w:rPr>
                <w:color w:val="auto"/>
              </w:rPr>
              <w:t xml:space="preserve">河道水位计</w:t>
            </w:r>
            <w:r/>
          </w:p>
        </w:tc>
        <w:tc>
          <w:tcPr>
            <w:tcW w:w="2920" w:type="pct"/>
            <w:vAlign w:val="center"/>
            <w:textDirection w:val="lrTb"/>
            <w:noWrap w:val="false"/>
          </w:tcPr>
          <w:p>
            <w:pPr>
              <w:pStyle w:val="792"/>
              <w:rPr>
                <w:color w:val="auto"/>
              </w:rPr>
            </w:pPr>
            <w:r>
              <w:rPr>
                <w:color w:val="auto"/>
              </w:rPr>
              <w:t xml:space="preserve">1）环境温度：-10℃～55℃；</w:t>
            </w:r>
            <w:r>
              <w:rPr>
                <w:color w:val="auto"/>
              </w:rPr>
              <w:br/>
            </w:r>
            <w:r>
              <w:rPr>
                <w:color w:val="auto"/>
              </w:rPr>
              <w:t xml:space="preserve">2）相对湿度：10%RH～95%RH；</w:t>
            </w:r>
            <w:r>
              <w:rPr>
                <w:color w:val="auto"/>
              </w:rPr>
              <w:br/>
            </w:r>
            <w:r>
              <w:rPr>
                <w:color w:val="auto"/>
              </w:rPr>
              <w:t xml:space="preserve">3）测量量程：10cm~30m；</w:t>
            </w:r>
            <w:r>
              <w:rPr>
                <w:color w:val="auto"/>
              </w:rPr>
              <w:br/>
            </w:r>
            <w:r>
              <w:rPr>
                <w:color w:val="auto"/>
              </w:rPr>
              <w:t xml:space="preserve">4）测量精度：±1cm；</w:t>
            </w:r>
            <w:r>
              <w:rPr>
                <w:color w:val="auto"/>
              </w:rPr>
              <w:br/>
            </w:r>
            <w:r>
              <w:rPr>
                <w:color w:val="auto"/>
              </w:rPr>
              <w:t xml:space="preserve">5）响应时间：主机和平台交互5s内100ms级响应，传感器延时20秒后100ms级响应指令；</w:t>
            </w:r>
            <w:r>
              <w:rPr>
                <w:color w:val="auto"/>
              </w:rPr>
              <w:br/>
            </w:r>
            <w:r>
              <w:rPr>
                <w:color w:val="auto"/>
              </w:rPr>
              <w:t xml:space="preserve">6）采集和传输频率：在1~60min/条范围内可设置，最高频次可设置为1次/1min；</w:t>
            </w:r>
            <w:r>
              <w:rPr>
                <w:color w:val="auto"/>
              </w:rPr>
              <w:br/>
            </w:r>
            <w:r>
              <w:rPr>
                <w:color w:val="auto"/>
              </w:rPr>
              <w:t xml:space="preserve">7）使用寿命：4年以上；</w:t>
            </w:r>
            <w:r>
              <w:rPr>
                <w:color w:val="auto"/>
              </w:rPr>
              <w:br/>
            </w:r>
            <w:r>
              <w:rPr>
                <w:color w:val="auto"/>
              </w:rPr>
              <w:t xml:space="preserve">8）平均无故障工作时间：1年以上；</w:t>
            </w:r>
            <w:r>
              <w:rPr>
                <w:color w:val="auto"/>
              </w:rPr>
              <w:br/>
            </w:r>
            <w:r>
              <w:rPr>
                <w:color w:val="auto"/>
              </w:rPr>
              <w:t xml:space="preserve">9）传感器防护等级：IP68；</w:t>
            </w:r>
            <w:r>
              <w:rPr>
                <w:color w:val="auto"/>
              </w:rPr>
              <w:br/>
            </w:r>
            <w:r>
              <w:rPr>
                <w:color w:val="auto"/>
              </w:rPr>
              <w:t xml:space="preserve">10）测量方式：雷达测量。</w:t>
            </w:r>
            <w:r/>
          </w:p>
        </w:tc>
        <w:tc>
          <w:tcPr>
            <w:tcW w:w="274" w:type="pct"/>
            <w:vAlign w:val="center"/>
            <w:textDirection w:val="lrTb"/>
            <w:noWrap/>
          </w:tcPr>
          <w:p>
            <w:pPr>
              <w:pStyle w:val="792"/>
              <w:rPr>
                <w:color w:val="auto"/>
              </w:rPr>
            </w:pPr>
            <w:r>
              <w:rPr>
                <w:color w:val="auto"/>
              </w:rPr>
              <w:t xml:space="preserve">6</w:t>
            </w:r>
            <w:r/>
          </w:p>
        </w:tc>
        <w:tc>
          <w:tcPr>
            <w:tcW w:w="243" w:type="pct"/>
            <w:vAlign w:val="center"/>
            <w:textDirection w:val="lrTb"/>
            <w:noWrap/>
          </w:tcPr>
          <w:p>
            <w:pPr>
              <w:pStyle w:val="792"/>
              <w:rPr>
                <w:color w:val="auto"/>
              </w:rPr>
            </w:pPr>
            <w:r>
              <w:rPr>
                <w:color w:val="auto"/>
              </w:rPr>
              <w:t xml:space="preserve">套</w:t>
            </w:r>
            <w:r/>
          </w:p>
        </w:tc>
      </w:tr>
      <w:tr>
        <w:trPr>
          <w:trHeight w:val="20"/>
        </w:trPr>
        <w:tc>
          <w:tcPr>
            <w:tcW w:w="232" w:type="pct"/>
            <w:vAlign w:val="center"/>
            <w:textDirection w:val="lrTb"/>
            <w:noWrap/>
          </w:tcPr>
          <w:p>
            <w:pPr>
              <w:pStyle w:val="792"/>
              <w:rPr>
                <w:color w:val="auto"/>
              </w:rPr>
            </w:pPr>
            <w:r>
              <w:rPr>
                <w:color w:val="auto"/>
              </w:rPr>
              <w:t xml:space="preserve">4</w:t>
            </w:r>
            <w:r/>
          </w:p>
        </w:tc>
        <w:tc>
          <w:tcPr>
            <w:tcW w:w="676" w:type="pct"/>
            <w:vAlign w:val="center"/>
            <w:textDirection w:val="lrTb"/>
            <w:noWrap/>
          </w:tcPr>
          <w:p>
            <w:pPr>
              <w:pStyle w:val="792"/>
              <w:rPr>
                <w:color w:val="auto"/>
              </w:rPr>
            </w:pPr>
            <w:r>
              <w:rPr>
                <w:color w:val="auto"/>
              </w:rPr>
              <w:t xml:space="preserve">雨水泵站、雨水管渠</w:t>
            </w:r>
            <w:r/>
          </w:p>
        </w:tc>
        <w:tc>
          <w:tcPr>
            <w:tcW w:w="655" w:type="pct"/>
            <w:vAlign w:val="center"/>
            <w:textDirection w:val="lrTb"/>
            <w:noWrap/>
          </w:tcPr>
          <w:p>
            <w:pPr>
              <w:pStyle w:val="792"/>
              <w:rPr>
                <w:color w:val="auto"/>
              </w:rPr>
            </w:pPr>
            <w:r>
              <w:rPr>
                <w:color w:val="auto"/>
              </w:rPr>
              <w:t xml:space="preserve">液位计</w:t>
            </w:r>
            <w:r/>
          </w:p>
        </w:tc>
        <w:tc>
          <w:tcPr>
            <w:tcW w:w="2920" w:type="pct"/>
            <w:vAlign w:val="center"/>
            <w:textDirection w:val="lrTb"/>
            <w:noWrap w:val="false"/>
          </w:tcPr>
          <w:p>
            <w:pPr>
              <w:pStyle w:val="792"/>
              <w:rPr>
                <w:color w:val="auto"/>
              </w:rPr>
            </w:pPr>
            <w:r>
              <w:rPr>
                <w:color w:val="auto"/>
              </w:rPr>
              <w:t xml:space="preserve">1）测量量程：0m~10m；</w:t>
            </w:r>
            <w:r>
              <w:rPr>
                <w:color w:val="auto"/>
              </w:rPr>
              <w:br/>
            </w:r>
            <w:r>
              <w:rPr>
                <w:color w:val="auto"/>
              </w:rPr>
              <w:t xml:space="preserve">2）测量精度：±1cm（其中压力式≤0.5%FS）；</w:t>
            </w:r>
            <w:r>
              <w:rPr>
                <w:color w:val="auto"/>
              </w:rPr>
              <w:br/>
            </w:r>
            <w:r>
              <w:rPr>
                <w:color w:val="auto"/>
              </w:rPr>
              <w:t xml:space="preserve">3）液位分辨率：不低于1mm；</w:t>
            </w:r>
            <w:r>
              <w:rPr>
                <w:color w:val="auto"/>
              </w:rPr>
              <w:br/>
            </w:r>
            <w:r>
              <w:rPr>
                <w:color w:val="auto"/>
              </w:rPr>
              <w:t xml:space="preserve">4）通讯方式：4G/NB网络；</w:t>
            </w:r>
            <w:r>
              <w:rPr>
                <w:color w:val="auto"/>
              </w:rPr>
              <w:br/>
            </w:r>
            <w:r>
              <w:rPr>
                <w:color w:val="auto"/>
              </w:rPr>
              <w:t xml:space="preserve">5）防护等级：IP68；</w:t>
            </w:r>
            <w:r>
              <w:rPr>
                <w:color w:val="auto"/>
              </w:rPr>
              <w:br/>
            </w:r>
            <w:r>
              <w:rPr>
                <w:color w:val="auto"/>
              </w:rPr>
              <w:t xml:space="preserve">6）工作模式：低功耗设计，根据监测周期启动休眠、工作模式；</w:t>
            </w:r>
            <w:r>
              <w:rPr>
                <w:color w:val="auto"/>
              </w:rPr>
              <w:br/>
            </w:r>
            <w:r>
              <w:rPr>
                <w:color w:val="auto"/>
              </w:rPr>
              <w:t xml:space="preserve">7）采集和传输频率：可设置，最高频次可设置为1次/1min；</w:t>
            </w:r>
            <w:r>
              <w:rPr>
                <w:color w:val="auto"/>
              </w:rPr>
              <w:br/>
            </w:r>
            <w:r>
              <w:rPr>
                <w:color w:val="auto"/>
              </w:rPr>
              <w:t xml:space="preserve">8）测量方式：超声波测量。</w:t>
            </w:r>
            <w:r/>
          </w:p>
        </w:tc>
        <w:tc>
          <w:tcPr>
            <w:tcW w:w="274" w:type="pct"/>
            <w:vAlign w:val="center"/>
            <w:textDirection w:val="lrTb"/>
            <w:noWrap/>
          </w:tcPr>
          <w:p>
            <w:pPr>
              <w:pStyle w:val="792"/>
              <w:rPr>
                <w:color w:val="auto"/>
              </w:rPr>
            </w:pPr>
            <w:r>
              <w:rPr>
                <w:color w:val="auto"/>
              </w:rPr>
              <w:t xml:space="preserve">23</w:t>
            </w:r>
            <w:r/>
          </w:p>
        </w:tc>
        <w:tc>
          <w:tcPr>
            <w:tcW w:w="243" w:type="pct"/>
            <w:vAlign w:val="center"/>
            <w:textDirection w:val="lrTb"/>
            <w:noWrap/>
          </w:tcPr>
          <w:p>
            <w:pPr>
              <w:pStyle w:val="792"/>
              <w:rPr>
                <w:color w:val="auto"/>
              </w:rPr>
            </w:pPr>
            <w:r>
              <w:rPr>
                <w:color w:val="auto"/>
              </w:rPr>
              <w:t xml:space="preserve">套</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桥梁专项</w:t>
      </w:r>
      <w:r/>
    </w:p>
    <w:p>
      <w:pPr>
        <w:ind w:firstLine="480"/>
        <w:rPr>
          <w:color w:val="auto"/>
        </w:rPr>
      </w:pPr>
      <w:r>
        <w:rPr>
          <w:rFonts w:hint="eastAsia"/>
          <w:color w:val="auto"/>
        </w:rPr>
        <w:t xml:space="preserve">a.监测点位（设备点位以实施为准）</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45"/>
        <w:gridCol w:w="1521"/>
        <w:gridCol w:w="1672"/>
        <w:gridCol w:w="2318"/>
        <w:gridCol w:w="1121"/>
        <w:gridCol w:w="2246"/>
      </w:tblGrid>
      <w:tr>
        <w:trPr>
          <w:tblHeader/>
        </w:trPr>
        <w:tc>
          <w:tcPr>
            <w:tcW w:w="289" w:type="pct"/>
            <w:vAlign w:val="center"/>
            <w:textDirection w:val="lrTb"/>
            <w:noWrap w:val="false"/>
          </w:tcPr>
          <w:p>
            <w:pPr>
              <w:pStyle w:val="792"/>
              <w:rPr>
                <w:color w:val="auto"/>
              </w:rPr>
            </w:pPr>
            <w:r>
              <w:rPr>
                <w:color w:val="auto"/>
              </w:rPr>
              <w:t xml:space="preserve">序号</w:t>
            </w:r>
            <w:r/>
          </w:p>
        </w:tc>
        <w:tc>
          <w:tcPr>
            <w:tcW w:w="807" w:type="pct"/>
            <w:vAlign w:val="center"/>
            <w:textDirection w:val="lrTb"/>
            <w:noWrap w:val="false"/>
          </w:tcPr>
          <w:p>
            <w:pPr>
              <w:pStyle w:val="792"/>
              <w:rPr>
                <w:color w:val="auto"/>
              </w:rPr>
            </w:pPr>
            <w:r>
              <w:rPr>
                <w:color w:val="auto"/>
              </w:rPr>
              <w:t xml:space="preserve">监测类型</w:t>
            </w:r>
            <w:r/>
          </w:p>
        </w:tc>
        <w:tc>
          <w:tcPr>
            <w:tcW w:w="887" w:type="pct"/>
            <w:vAlign w:val="center"/>
            <w:textDirection w:val="lrTb"/>
            <w:noWrap w:val="false"/>
          </w:tcPr>
          <w:p>
            <w:pPr>
              <w:pStyle w:val="792"/>
              <w:rPr>
                <w:color w:val="auto"/>
              </w:rPr>
            </w:pPr>
            <w:r>
              <w:rPr>
                <w:color w:val="auto"/>
              </w:rPr>
              <w:t xml:space="preserve">桥梁名称</w:t>
            </w:r>
            <w:r/>
          </w:p>
        </w:tc>
        <w:tc>
          <w:tcPr>
            <w:tcW w:w="1230" w:type="pct"/>
            <w:vAlign w:val="center"/>
            <w:textDirection w:val="lrTb"/>
            <w:noWrap w:val="false"/>
          </w:tcPr>
          <w:p>
            <w:pPr>
              <w:pStyle w:val="792"/>
              <w:rPr>
                <w:color w:val="auto"/>
              </w:rPr>
            </w:pPr>
            <w:r>
              <w:rPr>
                <w:color w:val="auto"/>
              </w:rPr>
              <w:t xml:space="preserve">结构形式</w:t>
            </w:r>
            <w:r/>
          </w:p>
        </w:tc>
        <w:tc>
          <w:tcPr>
            <w:tcW w:w="595" w:type="pct"/>
            <w:vAlign w:val="center"/>
            <w:textDirection w:val="lrTb"/>
            <w:noWrap w:val="false"/>
          </w:tcPr>
          <w:p>
            <w:pPr>
              <w:pStyle w:val="792"/>
              <w:rPr>
                <w:color w:val="auto"/>
              </w:rPr>
            </w:pPr>
            <w:r>
              <w:rPr>
                <w:color w:val="auto"/>
              </w:rPr>
              <w:t xml:space="preserve">养护类别</w:t>
            </w:r>
            <w:r/>
          </w:p>
        </w:tc>
        <w:tc>
          <w:tcPr>
            <w:tcW w:w="1192" w:type="pct"/>
            <w:vAlign w:val="center"/>
            <w:textDirection w:val="lrTb"/>
            <w:noWrap w:val="false"/>
          </w:tcPr>
          <w:p>
            <w:pPr>
              <w:pStyle w:val="792"/>
              <w:rPr>
                <w:color w:val="auto"/>
              </w:rPr>
            </w:pPr>
            <w:r>
              <w:rPr>
                <w:color w:val="auto"/>
              </w:rPr>
              <w:t xml:space="preserve">主桥跨径组合</w:t>
            </w:r>
            <w:r/>
          </w:p>
        </w:tc>
      </w:tr>
      <w:tr>
        <w:trPr/>
        <w:tc>
          <w:tcPr>
            <w:tcW w:w="289" w:type="pct"/>
            <w:vAlign w:val="center"/>
            <w:textDirection w:val="lrTb"/>
            <w:noWrap w:val="false"/>
          </w:tcPr>
          <w:p>
            <w:pPr>
              <w:pStyle w:val="792"/>
              <w:rPr>
                <w:color w:val="auto"/>
              </w:rPr>
            </w:pPr>
            <w:r>
              <w:rPr>
                <w:color w:val="auto"/>
              </w:rPr>
              <w:t xml:space="preserve">1</w:t>
            </w:r>
            <w:r/>
          </w:p>
        </w:tc>
        <w:tc>
          <w:tcPr>
            <w:tcW w:w="807" w:type="pct"/>
            <w:vAlign w:val="center"/>
            <w:textDirection w:val="lrTb"/>
            <w:noWrap w:val="false"/>
          </w:tcPr>
          <w:p>
            <w:pPr>
              <w:pStyle w:val="792"/>
              <w:rPr>
                <w:color w:val="auto"/>
              </w:rPr>
            </w:pPr>
            <w:r>
              <w:rPr>
                <w:color w:val="auto"/>
              </w:rPr>
              <w:t xml:space="preserve">标准化监测</w:t>
            </w:r>
            <w:r/>
          </w:p>
        </w:tc>
        <w:tc>
          <w:tcPr>
            <w:tcW w:w="887" w:type="pct"/>
            <w:vAlign w:val="center"/>
            <w:textDirection w:val="lrTb"/>
            <w:noWrap w:val="false"/>
          </w:tcPr>
          <w:p>
            <w:pPr>
              <w:pStyle w:val="792"/>
              <w:rPr>
                <w:color w:val="auto"/>
              </w:rPr>
            </w:pPr>
            <w:r>
              <w:rPr>
                <w:color w:val="auto"/>
              </w:rPr>
              <w:t xml:space="preserve">云阳大桥</w:t>
            </w:r>
            <w:r/>
          </w:p>
        </w:tc>
        <w:tc>
          <w:tcPr>
            <w:tcW w:w="1230" w:type="pct"/>
            <w:vAlign w:val="center"/>
            <w:textDirection w:val="lrTb"/>
            <w:noWrap w:val="false"/>
          </w:tcPr>
          <w:p>
            <w:pPr>
              <w:pStyle w:val="792"/>
              <w:rPr>
                <w:color w:val="auto"/>
              </w:rPr>
            </w:pPr>
            <w:r>
              <w:rPr>
                <w:color w:val="auto"/>
              </w:rPr>
              <w:t xml:space="preserve">系杆拱桥</w:t>
            </w:r>
            <w:r/>
          </w:p>
        </w:tc>
        <w:tc>
          <w:tcPr>
            <w:tcW w:w="595" w:type="pct"/>
            <w:vAlign w:val="center"/>
            <w:textDirection w:val="lrTb"/>
            <w:noWrap w:val="false"/>
          </w:tcPr>
          <w:p>
            <w:pPr>
              <w:pStyle w:val="792"/>
              <w:rPr>
                <w:color w:val="auto"/>
              </w:rPr>
            </w:pPr>
            <w:r>
              <w:rPr>
                <w:color w:val="auto"/>
                <w:lang w:bidi="ar"/>
              </w:rPr>
              <w:t xml:space="preserve">Ⅰ</w:t>
            </w:r>
            <w:r/>
          </w:p>
        </w:tc>
        <w:tc>
          <w:tcPr>
            <w:tcW w:w="1192" w:type="pct"/>
            <w:vAlign w:val="center"/>
            <w:textDirection w:val="lrTb"/>
            <w:noWrap w:val="false"/>
          </w:tcPr>
          <w:p>
            <w:pPr>
              <w:pStyle w:val="792"/>
              <w:rPr>
                <w:color w:val="auto"/>
              </w:rPr>
            </w:pPr>
            <w:r>
              <w:rPr>
                <w:color w:val="auto"/>
              </w:rPr>
              <w:t xml:space="preserve">110</w:t>
            </w:r>
            <w:r/>
          </w:p>
        </w:tc>
      </w:tr>
      <w:tr>
        <w:trPr/>
        <w:tc>
          <w:tcPr>
            <w:tcW w:w="289" w:type="pct"/>
            <w:vAlign w:val="center"/>
            <w:textDirection w:val="lrTb"/>
            <w:noWrap w:val="false"/>
          </w:tcPr>
          <w:p>
            <w:pPr>
              <w:pStyle w:val="792"/>
              <w:rPr>
                <w:color w:val="auto"/>
              </w:rPr>
            </w:pPr>
            <w:r>
              <w:rPr>
                <w:color w:val="auto"/>
              </w:rPr>
              <w:t xml:space="preserve">2</w:t>
            </w:r>
            <w:r/>
          </w:p>
        </w:tc>
        <w:tc>
          <w:tcPr>
            <w:tcW w:w="807" w:type="pct"/>
            <w:vAlign w:val="center"/>
            <w:vMerge w:val="restart"/>
            <w:textDirection w:val="lrTb"/>
            <w:noWrap w:val="false"/>
          </w:tcPr>
          <w:p>
            <w:pPr>
              <w:pStyle w:val="792"/>
              <w:rPr>
                <w:color w:val="auto"/>
              </w:rPr>
            </w:pPr>
            <w:r>
              <w:rPr>
                <w:color w:val="auto"/>
              </w:rPr>
              <w:t xml:space="preserve">轻量化监测</w:t>
            </w:r>
            <w:r/>
          </w:p>
        </w:tc>
        <w:tc>
          <w:tcPr>
            <w:tcW w:w="887" w:type="pct"/>
            <w:vAlign w:val="center"/>
            <w:textDirection w:val="lrTb"/>
            <w:noWrap w:val="false"/>
          </w:tcPr>
          <w:p>
            <w:pPr>
              <w:pStyle w:val="792"/>
              <w:rPr>
                <w:color w:val="auto"/>
              </w:rPr>
            </w:pPr>
            <w:r>
              <w:rPr>
                <w:color w:val="auto"/>
              </w:rPr>
              <w:t xml:space="preserve">向阳桥</w:t>
            </w:r>
            <w:r/>
          </w:p>
        </w:tc>
        <w:tc>
          <w:tcPr>
            <w:tcW w:w="1230" w:type="pct"/>
            <w:vAlign w:val="center"/>
            <w:textDirection w:val="lrTb"/>
            <w:noWrap w:val="false"/>
          </w:tcPr>
          <w:p>
            <w:pPr>
              <w:pStyle w:val="792"/>
              <w:rPr>
                <w:color w:val="auto"/>
              </w:rPr>
            </w:pPr>
            <w:r>
              <w:rPr>
                <w:color w:val="auto"/>
                <w:lang w:bidi="ar"/>
              </w:rPr>
              <w:t xml:space="preserve">简支T梁</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15+20+15</w:t>
            </w:r>
            <w:r/>
          </w:p>
        </w:tc>
      </w:tr>
      <w:tr>
        <w:trPr/>
        <w:tc>
          <w:tcPr>
            <w:tcW w:w="289" w:type="pct"/>
            <w:vAlign w:val="center"/>
            <w:textDirection w:val="lrTb"/>
            <w:noWrap w:val="false"/>
          </w:tcPr>
          <w:p>
            <w:pPr>
              <w:pStyle w:val="792"/>
              <w:rPr>
                <w:color w:val="auto"/>
              </w:rPr>
            </w:pPr>
            <w:r>
              <w:rPr>
                <w:color w:val="auto"/>
              </w:rPr>
              <w:t xml:space="preserve">3</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南门大桥</w:t>
            </w:r>
            <w:r/>
          </w:p>
        </w:tc>
        <w:tc>
          <w:tcPr>
            <w:tcW w:w="1230" w:type="pct"/>
            <w:vAlign w:val="center"/>
            <w:textDirection w:val="lrTb"/>
            <w:noWrap w:val="false"/>
          </w:tcPr>
          <w:p>
            <w:pPr>
              <w:pStyle w:val="792"/>
              <w:rPr>
                <w:color w:val="auto"/>
              </w:rPr>
            </w:pPr>
            <w:r>
              <w:rPr>
                <w:color w:val="auto"/>
                <w:lang w:bidi="ar"/>
              </w:rPr>
              <w:t xml:space="preserve">简支梁</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14.3+18.6+14.3</w:t>
            </w:r>
            <w:r/>
          </w:p>
        </w:tc>
      </w:tr>
      <w:tr>
        <w:trPr>
          <w:trHeight w:val="607"/>
        </w:trPr>
        <w:tc>
          <w:tcPr>
            <w:tcW w:w="289" w:type="pct"/>
            <w:vAlign w:val="center"/>
            <w:textDirection w:val="lrTb"/>
            <w:noWrap w:val="false"/>
          </w:tcPr>
          <w:p>
            <w:pPr>
              <w:pStyle w:val="792"/>
              <w:rPr>
                <w:color w:val="auto"/>
              </w:rPr>
            </w:pPr>
            <w:r>
              <w:rPr>
                <w:color w:val="auto"/>
              </w:rPr>
              <w:t xml:space="preserve">4</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何甲桥</w:t>
            </w:r>
            <w:r/>
          </w:p>
        </w:tc>
        <w:tc>
          <w:tcPr>
            <w:tcW w:w="1230" w:type="pct"/>
            <w:vAlign w:val="center"/>
            <w:textDirection w:val="lrTb"/>
            <w:noWrap w:val="false"/>
          </w:tcPr>
          <w:p>
            <w:pPr>
              <w:pStyle w:val="792"/>
              <w:rPr>
                <w:color w:val="auto"/>
              </w:rPr>
            </w:pPr>
            <w:r>
              <w:rPr>
                <w:color w:val="auto"/>
                <w:lang w:bidi="ar"/>
              </w:rPr>
              <w:t xml:space="preserve">简支T梁</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15+20+15</w:t>
            </w:r>
            <w:r/>
          </w:p>
        </w:tc>
      </w:tr>
      <w:tr>
        <w:trPr/>
        <w:tc>
          <w:tcPr>
            <w:tcW w:w="289" w:type="pct"/>
            <w:vAlign w:val="center"/>
            <w:textDirection w:val="lrTb"/>
            <w:noWrap w:val="false"/>
          </w:tcPr>
          <w:p>
            <w:pPr>
              <w:pStyle w:val="792"/>
              <w:rPr>
                <w:color w:val="auto"/>
              </w:rPr>
            </w:pPr>
            <w:r>
              <w:rPr>
                <w:color w:val="auto"/>
              </w:rPr>
              <w:t xml:space="preserve">5</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南桥</w:t>
            </w:r>
            <w:r/>
          </w:p>
        </w:tc>
        <w:tc>
          <w:tcPr>
            <w:tcW w:w="1230" w:type="pct"/>
            <w:vAlign w:val="center"/>
            <w:textDirection w:val="lrTb"/>
            <w:noWrap w:val="false"/>
          </w:tcPr>
          <w:p>
            <w:pPr>
              <w:pStyle w:val="792"/>
              <w:rPr>
                <w:color w:val="auto"/>
              </w:rPr>
            </w:pPr>
            <w:r>
              <w:rPr>
                <w:color w:val="auto"/>
                <w:lang w:bidi="ar"/>
              </w:rPr>
              <w:t xml:space="preserve">单跨混凝土空心板</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12</w:t>
            </w:r>
            <w:r/>
          </w:p>
        </w:tc>
      </w:tr>
      <w:tr>
        <w:trPr/>
        <w:tc>
          <w:tcPr>
            <w:tcW w:w="289" w:type="pct"/>
            <w:vAlign w:val="center"/>
            <w:textDirection w:val="lrTb"/>
            <w:noWrap w:val="false"/>
          </w:tcPr>
          <w:p>
            <w:pPr>
              <w:pStyle w:val="792"/>
              <w:rPr>
                <w:color w:val="auto"/>
              </w:rPr>
            </w:pPr>
            <w:r>
              <w:rPr>
                <w:color w:val="auto"/>
              </w:rPr>
              <w:t xml:space="preserve">6</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迎春桥</w:t>
            </w:r>
            <w:r/>
          </w:p>
        </w:tc>
        <w:tc>
          <w:tcPr>
            <w:tcW w:w="1230" w:type="pct"/>
            <w:vAlign w:val="center"/>
            <w:textDirection w:val="lrTb"/>
            <w:noWrap w:val="false"/>
          </w:tcPr>
          <w:p>
            <w:pPr>
              <w:pStyle w:val="792"/>
              <w:rPr>
                <w:color w:val="auto"/>
              </w:rPr>
            </w:pPr>
            <w:r>
              <w:rPr>
                <w:color w:val="auto"/>
                <w:lang w:bidi="ar"/>
              </w:rPr>
              <w:t xml:space="preserve">简支混凝土空心板</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rPr>
              <w:t xml:space="preserve">20</w:t>
            </w:r>
            <w:r/>
          </w:p>
        </w:tc>
      </w:tr>
      <w:tr>
        <w:trPr/>
        <w:tc>
          <w:tcPr>
            <w:tcW w:w="289" w:type="pct"/>
            <w:vAlign w:val="center"/>
            <w:textDirection w:val="lrTb"/>
            <w:noWrap w:val="false"/>
          </w:tcPr>
          <w:p>
            <w:pPr>
              <w:pStyle w:val="792"/>
              <w:rPr>
                <w:color w:val="auto"/>
              </w:rPr>
            </w:pPr>
            <w:r>
              <w:rPr>
                <w:color w:val="auto"/>
              </w:rPr>
              <w:t xml:space="preserve">7</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团结桥</w:t>
            </w:r>
            <w:r/>
          </w:p>
        </w:tc>
        <w:tc>
          <w:tcPr>
            <w:tcW w:w="1230" w:type="pct"/>
            <w:vAlign w:val="center"/>
            <w:textDirection w:val="lrTb"/>
            <w:noWrap w:val="false"/>
          </w:tcPr>
          <w:p>
            <w:pPr>
              <w:pStyle w:val="792"/>
              <w:rPr>
                <w:color w:val="auto"/>
              </w:rPr>
            </w:pPr>
            <w:r>
              <w:rPr>
                <w:color w:val="auto"/>
                <w:lang w:bidi="ar"/>
              </w:rPr>
              <w:t xml:space="preserve">简支T梁</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16*2+20</w:t>
            </w:r>
            <w:r/>
          </w:p>
        </w:tc>
      </w:tr>
      <w:tr>
        <w:trPr/>
        <w:tc>
          <w:tcPr>
            <w:tcW w:w="289" w:type="pct"/>
            <w:vAlign w:val="center"/>
            <w:textDirection w:val="lrTb"/>
            <w:noWrap w:val="false"/>
          </w:tcPr>
          <w:p>
            <w:pPr>
              <w:pStyle w:val="792"/>
              <w:rPr>
                <w:color w:val="auto"/>
              </w:rPr>
            </w:pPr>
            <w:r>
              <w:rPr>
                <w:color w:val="auto"/>
              </w:rPr>
              <w:t xml:space="preserve">8</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西门朝阳桥</w:t>
            </w:r>
            <w:r/>
          </w:p>
        </w:tc>
        <w:tc>
          <w:tcPr>
            <w:tcW w:w="1230" w:type="pct"/>
            <w:vAlign w:val="center"/>
            <w:textDirection w:val="lrTb"/>
            <w:noWrap w:val="false"/>
          </w:tcPr>
          <w:p>
            <w:pPr>
              <w:pStyle w:val="792"/>
              <w:rPr>
                <w:color w:val="auto"/>
              </w:rPr>
            </w:pPr>
            <w:r>
              <w:rPr>
                <w:color w:val="auto"/>
                <w:lang w:bidi="ar"/>
              </w:rPr>
              <w:t xml:space="preserve">简支混凝土空心板</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13+13+13</w:t>
            </w:r>
            <w:r/>
          </w:p>
        </w:tc>
      </w:tr>
      <w:tr>
        <w:trPr/>
        <w:tc>
          <w:tcPr>
            <w:tcW w:w="289" w:type="pct"/>
            <w:vAlign w:val="center"/>
            <w:textDirection w:val="lrTb"/>
            <w:noWrap w:val="false"/>
          </w:tcPr>
          <w:p>
            <w:pPr>
              <w:pStyle w:val="792"/>
              <w:rPr>
                <w:color w:val="auto"/>
              </w:rPr>
            </w:pPr>
            <w:r>
              <w:rPr>
                <w:color w:val="auto"/>
              </w:rPr>
              <w:t xml:space="preserve">9</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西开泰桥</w:t>
            </w:r>
            <w:r/>
          </w:p>
        </w:tc>
        <w:tc>
          <w:tcPr>
            <w:tcW w:w="1230" w:type="pct"/>
            <w:vAlign w:val="center"/>
            <w:textDirection w:val="lrTb"/>
            <w:noWrap w:val="false"/>
          </w:tcPr>
          <w:p>
            <w:pPr>
              <w:pStyle w:val="792"/>
              <w:rPr>
                <w:color w:val="auto"/>
              </w:rPr>
            </w:pPr>
            <w:r>
              <w:rPr>
                <w:color w:val="auto"/>
                <w:lang w:bidi="ar"/>
              </w:rPr>
              <w:t xml:space="preserve">桁架拱</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rPr>
              <w:t xml:space="preserve">30</w:t>
            </w:r>
            <w:r/>
          </w:p>
        </w:tc>
      </w:tr>
      <w:tr>
        <w:trPr/>
        <w:tc>
          <w:tcPr>
            <w:tcW w:w="289" w:type="pct"/>
            <w:vAlign w:val="center"/>
            <w:textDirection w:val="lrTb"/>
            <w:noWrap w:val="false"/>
          </w:tcPr>
          <w:p>
            <w:pPr>
              <w:pStyle w:val="792"/>
              <w:rPr>
                <w:color w:val="auto"/>
              </w:rPr>
            </w:pPr>
            <w:r>
              <w:rPr>
                <w:color w:val="auto"/>
              </w:rPr>
              <w:t xml:space="preserve">10</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八中桥</w:t>
            </w:r>
            <w:r/>
          </w:p>
        </w:tc>
        <w:tc>
          <w:tcPr>
            <w:tcW w:w="1230" w:type="pct"/>
            <w:vAlign w:val="center"/>
            <w:textDirection w:val="lrTb"/>
            <w:noWrap w:val="false"/>
          </w:tcPr>
          <w:p>
            <w:pPr>
              <w:pStyle w:val="792"/>
              <w:rPr>
                <w:color w:val="auto"/>
              </w:rPr>
            </w:pPr>
            <w:r>
              <w:rPr>
                <w:color w:val="auto"/>
                <w:lang w:bidi="ar"/>
              </w:rPr>
              <w:t xml:space="preserve">梁式桥</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10+12+10</w:t>
            </w:r>
            <w:r/>
          </w:p>
        </w:tc>
      </w:tr>
      <w:tr>
        <w:trPr/>
        <w:tc>
          <w:tcPr>
            <w:tcW w:w="289" w:type="pct"/>
            <w:vAlign w:val="center"/>
            <w:textDirection w:val="lrTb"/>
            <w:noWrap w:val="false"/>
          </w:tcPr>
          <w:p>
            <w:pPr>
              <w:pStyle w:val="792"/>
              <w:rPr>
                <w:color w:val="auto"/>
              </w:rPr>
            </w:pPr>
            <w:r>
              <w:rPr>
                <w:color w:val="auto"/>
              </w:rPr>
              <w:t xml:space="preserve">11</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东方皮革城桥</w:t>
            </w:r>
            <w:r/>
          </w:p>
        </w:tc>
        <w:tc>
          <w:tcPr>
            <w:tcW w:w="1230" w:type="pct"/>
            <w:vAlign w:val="center"/>
            <w:textDirection w:val="lrTb"/>
            <w:noWrap w:val="false"/>
          </w:tcPr>
          <w:p>
            <w:pPr>
              <w:pStyle w:val="792"/>
              <w:rPr>
                <w:color w:val="auto"/>
              </w:rPr>
            </w:pPr>
            <w:r>
              <w:rPr>
                <w:color w:val="auto"/>
                <w:lang w:bidi="ar"/>
              </w:rPr>
              <w:t xml:space="preserve">梁式桥</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rPr>
              <w:t xml:space="preserve">25</w:t>
            </w:r>
            <w:r/>
          </w:p>
        </w:tc>
      </w:tr>
      <w:tr>
        <w:trPr/>
        <w:tc>
          <w:tcPr>
            <w:tcW w:w="289" w:type="pct"/>
            <w:vAlign w:val="center"/>
            <w:textDirection w:val="lrTb"/>
            <w:noWrap w:val="false"/>
          </w:tcPr>
          <w:p>
            <w:pPr>
              <w:pStyle w:val="792"/>
              <w:rPr>
                <w:color w:val="auto"/>
              </w:rPr>
            </w:pPr>
            <w:r>
              <w:rPr>
                <w:color w:val="auto"/>
              </w:rPr>
              <w:t xml:space="preserve">12</w:t>
            </w:r>
            <w:r/>
          </w:p>
        </w:tc>
        <w:tc>
          <w:tcPr>
            <w:tcW w:w="807" w:type="pct"/>
            <w:vAlign w:val="center"/>
            <w:vMerge w:val="continue"/>
            <w:textDirection w:val="lrTb"/>
            <w:noWrap w:val="false"/>
          </w:tcPr>
          <w:p>
            <w:pPr>
              <w:pStyle w:val="792"/>
              <w:rPr>
                <w:color w:val="auto"/>
              </w:rPr>
            </w:pPr>
            <w:r>
              <w:rPr>
                <w:color w:val="auto"/>
              </w:rPr>
            </w:r>
            <w:r/>
          </w:p>
        </w:tc>
        <w:tc>
          <w:tcPr>
            <w:tcW w:w="887" w:type="pct"/>
            <w:vAlign w:val="center"/>
            <w:textDirection w:val="lrTb"/>
            <w:noWrap w:val="false"/>
          </w:tcPr>
          <w:p>
            <w:pPr>
              <w:pStyle w:val="792"/>
              <w:rPr>
                <w:color w:val="auto"/>
              </w:rPr>
            </w:pPr>
            <w:r>
              <w:rPr>
                <w:color w:val="auto"/>
              </w:rPr>
              <w:t xml:space="preserve">锦湖桥（北环路大桥）</w:t>
            </w:r>
            <w:r/>
          </w:p>
        </w:tc>
        <w:tc>
          <w:tcPr>
            <w:tcW w:w="1230" w:type="pct"/>
            <w:vAlign w:val="center"/>
            <w:textDirection w:val="lrTb"/>
            <w:noWrap w:val="false"/>
          </w:tcPr>
          <w:p>
            <w:pPr>
              <w:pStyle w:val="792"/>
              <w:rPr>
                <w:color w:val="auto"/>
              </w:rPr>
            </w:pPr>
            <w:r>
              <w:rPr>
                <w:color w:val="auto"/>
                <w:lang w:bidi="ar"/>
              </w:rPr>
              <w:t xml:space="preserve">梁式桥</w:t>
            </w:r>
            <w:r/>
          </w:p>
        </w:tc>
        <w:tc>
          <w:tcPr>
            <w:tcW w:w="595" w:type="pct"/>
            <w:vAlign w:val="center"/>
            <w:textDirection w:val="lrTb"/>
            <w:noWrap w:val="false"/>
          </w:tcPr>
          <w:p>
            <w:pPr>
              <w:pStyle w:val="792"/>
              <w:rPr>
                <w:color w:val="auto"/>
              </w:rPr>
            </w:pPr>
            <w:r>
              <w:rPr>
                <w:color w:val="auto"/>
                <w:lang w:bidi="ar"/>
              </w:rPr>
              <w:t xml:space="preserve">Ⅱ</w:t>
            </w:r>
            <w:r/>
          </w:p>
        </w:tc>
        <w:tc>
          <w:tcPr>
            <w:tcW w:w="1192" w:type="pct"/>
            <w:vAlign w:val="center"/>
            <w:textDirection w:val="lrTb"/>
            <w:noWrap w:val="false"/>
          </w:tcPr>
          <w:p>
            <w:pPr>
              <w:pStyle w:val="792"/>
              <w:rPr>
                <w:color w:val="auto"/>
              </w:rPr>
            </w:pPr>
            <w:r>
              <w:rPr>
                <w:color w:val="auto"/>
                <w:lang w:bidi="ar"/>
              </w:rPr>
              <w:t xml:space="preserve">10+20+10</w:t>
            </w:r>
            <w:r/>
          </w:p>
        </w:tc>
      </w:tr>
    </w:tbl>
    <w:p>
      <w:pPr>
        <w:ind w:firstLine="480"/>
        <w:rPr>
          <w:rFonts w:hint="eastAsia" w:ascii="宋体" w:hAnsi="宋体" w:cs="宋体"/>
          <w:color w:val="auto"/>
        </w:rPr>
      </w:pPr>
      <w:r>
        <w:rPr>
          <w:rFonts w:hint="eastAsia" w:ascii="宋体" w:hAnsi="宋体" w:cs="宋体"/>
          <w:color w:val="auto"/>
        </w:rPr>
        <w:t xml:space="preserve">b.监测设备数量及技术参数要求</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511"/>
        <w:gridCol w:w="1605"/>
        <w:gridCol w:w="4899"/>
        <w:gridCol w:w="525"/>
        <w:gridCol w:w="564"/>
      </w:tblGrid>
      <w:tr>
        <w:trPr>
          <w:trHeight w:val="20"/>
          <w:tblHeader/>
        </w:trPr>
        <w:tc>
          <w:tcPr>
            <w:tcW w:w="291" w:type="pct"/>
            <w:vAlign w:val="center"/>
            <w:textDirection w:val="lrTb"/>
            <w:noWrap/>
          </w:tcPr>
          <w:p>
            <w:pPr>
              <w:jc w:val="center"/>
              <w:widowControl/>
              <w:rPr>
                <w:color w:val="auto"/>
                <w:szCs w:val="21"/>
              </w:rPr>
            </w:pPr>
            <w:r>
              <w:rPr>
                <w:color w:val="auto"/>
                <w:szCs w:val="21"/>
              </w:rPr>
              <w:t xml:space="preserve">序号</w:t>
            </w:r>
            <w:r/>
          </w:p>
        </w:tc>
        <w:tc>
          <w:tcPr>
            <w:tcW w:w="610" w:type="pct"/>
            <w:vAlign w:val="center"/>
            <w:textDirection w:val="lrTb"/>
            <w:noWrap/>
          </w:tcPr>
          <w:p>
            <w:pPr>
              <w:jc w:val="center"/>
              <w:widowControl/>
              <w:rPr>
                <w:color w:val="auto"/>
                <w:szCs w:val="21"/>
              </w:rPr>
            </w:pPr>
            <w:r>
              <w:rPr>
                <w:color w:val="auto"/>
                <w:szCs w:val="21"/>
              </w:rPr>
              <w:t xml:space="preserve">监测对象</w:t>
            </w:r>
            <w:r/>
          </w:p>
        </w:tc>
        <w:tc>
          <w:tcPr>
            <w:tcW w:w="1069" w:type="pct"/>
            <w:vAlign w:val="center"/>
            <w:textDirection w:val="lrTb"/>
            <w:noWrap/>
          </w:tcPr>
          <w:p>
            <w:pPr>
              <w:jc w:val="center"/>
              <w:widowControl/>
              <w:rPr>
                <w:color w:val="auto"/>
                <w:szCs w:val="21"/>
              </w:rPr>
            </w:pPr>
            <w:r>
              <w:rPr>
                <w:rFonts w:hint="eastAsia"/>
                <w:color w:val="auto"/>
                <w:szCs w:val="21"/>
              </w:rPr>
              <w:t xml:space="preserve">设备名称</w:t>
            </w:r>
            <w:r/>
          </w:p>
        </w:tc>
        <w:tc>
          <w:tcPr>
            <w:tcW w:w="2422" w:type="pct"/>
            <w:vAlign w:val="center"/>
            <w:textDirection w:val="lrTb"/>
            <w:noWrap/>
          </w:tcPr>
          <w:p>
            <w:pPr>
              <w:jc w:val="center"/>
              <w:widowControl/>
              <w:rPr>
                <w:color w:val="auto"/>
                <w:szCs w:val="21"/>
              </w:rPr>
            </w:pPr>
            <w:r>
              <w:rPr>
                <w:color w:val="auto"/>
                <w:szCs w:val="21"/>
              </w:rPr>
              <w:t xml:space="preserve">技术参数</w:t>
            </w:r>
            <w:r/>
          </w:p>
        </w:tc>
        <w:tc>
          <w:tcPr>
            <w:tcW w:w="290" w:type="pct"/>
            <w:vAlign w:val="center"/>
            <w:textDirection w:val="lrTb"/>
            <w:noWrap/>
          </w:tcPr>
          <w:p>
            <w:pPr>
              <w:jc w:val="center"/>
              <w:widowControl/>
              <w:rPr>
                <w:color w:val="auto"/>
                <w:szCs w:val="21"/>
              </w:rPr>
            </w:pPr>
            <w:r>
              <w:rPr>
                <w:color w:val="auto"/>
                <w:szCs w:val="21"/>
              </w:rPr>
              <w:t xml:space="preserve">数量</w:t>
            </w:r>
            <w:r/>
          </w:p>
        </w:tc>
        <w:tc>
          <w:tcPr>
            <w:tcW w:w="318" w:type="pct"/>
            <w:vAlign w:val="center"/>
            <w:textDirection w:val="lrTb"/>
            <w:noWrap/>
          </w:tcPr>
          <w:p>
            <w:pPr>
              <w:jc w:val="center"/>
              <w:widowControl/>
              <w:rPr>
                <w:color w:val="auto"/>
                <w:szCs w:val="21"/>
              </w:rPr>
            </w:pPr>
            <w:r>
              <w:rPr>
                <w:color w:val="auto"/>
                <w:szCs w:val="21"/>
              </w:rPr>
              <w:t xml:space="preserve">单位</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1</w:t>
            </w:r>
            <w:r/>
          </w:p>
        </w:tc>
        <w:tc>
          <w:tcPr>
            <w:tcW w:w="610" w:type="pct"/>
            <w:vAlign w:val="center"/>
            <w:vMerge w:val="restart"/>
            <w:textDirection w:val="lrTb"/>
            <w:noWrap w:val="false"/>
          </w:tcPr>
          <w:p>
            <w:pPr>
              <w:jc w:val="center"/>
              <w:widowControl/>
              <w:rPr>
                <w:color w:val="auto"/>
                <w:szCs w:val="21"/>
              </w:rPr>
            </w:pPr>
            <w:r>
              <w:rPr>
                <w:color w:val="auto"/>
                <w:szCs w:val="21"/>
              </w:rPr>
              <w:t xml:space="preserve">主梁竖向向位移</w:t>
            </w:r>
            <w:r/>
          </w:p>
        </w:tc>
        <w:tc>
          <w:tcPr>
            <w:tcW w:w="1069" w:type="pct"/>
            <w:vAlign w:val="center"/>
            <w:textDirection w:val="lrTb"/>
            <w:noWrap/>
          </w:tcPr>
          <w:p>
            <w:pPr>
              <w:jc w:val="center"/>
              <w:widowControl/>
              <w:rPr>
                <w:color w:val="auto"/>
                <w:szCs w:val="21"/>
              </w:rPr>
            </w:pPr>
            <w:r>
              <w:rPr>
                <w:color w:val="auto"/>
                <w:szCs w:val="21"/>
              </w:rPr>
              <w:t xml:space="preserve">光电挠度仪</w:t>
            </w:r>
            <w:r/>
          </w:p>
        </w:tc>
        <w:tc>
          <w:tcPr>
            <w:tcW w:w="2422" w:type="pct"/>
            <w:vAlign w:val="center"/>
            <w:textDirection w:val="lrTb"/>
            <w:noWrap w:val="false"/>
          </w:tcPr>
          <w:p>
            <w:pPr>
              <w:jc w:val="center"/>
              <w:widowControl/>
              <w:rPr>
                <w:color w:val="auto"/>
                <w:szCs w:val="21"/>
              </w:rPr>
            </w:pPr>
            <w:r>
              <w:rPr>
                <w:color w:val="auto"/>
                <w:szCs w:val="21"/>
              </w:rPr>
              <w:t xml:space="preserve">最大测点数：30个；</w:t>
            </w:r>
            <w:r>
              <w:rPr>
                <w:color w:val="auto"/>
                <w:szCs w:val="21"/>
              </w:rPr>
              <w:br/>
            </w:r>
            <w:r>
              <w:rPr>
                <w:color w:val="auto"/>
                <w:szCs w:val="21"/>
              </w:rPr>
              <w:t xml:space="preserve">最高采样率：50Hz（单个靶标）；</w:t>
            </w:r>
            <w:r>
              <w:rPr>
                <w:color w:val="auto"/>
                <w:szCs w:val="21"/>
              </w:rPr>
              <w:br/>
            </w:r>
            <w:r>
              <w:rPr>
                <w:color w:val="auto"/>
                <w:szCs w:val="21"/>
              </w:rPr>
              <w:t xml:space="preserve">分辨率：1/100000 FOV（视场范围）；</w:t>
            </w:r>
            <w:r>
              <w:rPr>
                <w:color w:val="auto"/>
                <w:szCs w:val="21"/>
              </w:rPr>
              <w:br/>
            </w:r>
            <w:r>
              <w:rPr>
                <w:color w:val="auto"/>
                <w:szCs w:val="21"/>
              </w:rPr>
              <w:t xml:space="preserve">最大测试距离：400米（超出范围可定制）；</w:t>
            </w:r>
            <w:r>
              <w:rPr>
                <w:color w:val="auto"/>
                <w:szCs w:val="21"/>
              </w:rPr>
              <w:br/>
            </w:r>
            <w:r>
              <w:rPr>
                <w:color w:val="auto"/>
                <w:szCs w:val="21"/>
              </w:rPr>
              <w:t xml:space="preserve">测量精度：0~50米：±0.2mm；50~200米：±1mm；200~400米：±1.5mm</w:t>
            </w:r>
            <w:r/>
          </w:p>
          <w:p>
            <w:pPr>
              <w:pStyle w:val="615"/>
              <w:rPr>
                <w:color w:val="auto"/>
                <w:szCs w:val="21"/>
              </w:rPr>
            </w:pPr>
            <w:r>
              <w:rPr>
                <w:color w:val="auto"/>
                <w:szCs w:val="21"/>
              </w:rPr>
              <w:t xml:space="preserve">工作温度：-40℃~+85℃</w:t>
            </w:r>
            <w:r/>
          </w:p>
        </w:tc>
        <w:tc>
          <w:tcPr>
            <w:tcW w:w="290" w:type="pct"/>
            <w:vAlign w:val="center"/>
            <w:textDirection w:val="lrTb"/>
            <w:noWrap/>
          </w:tcPr>
          <w:p>
            <w:pPr>
              <w:jc w:val="center"/>
              <w:widowControl/>
              <w:rPr>
                <w:color w:val="auto"/>
                <w:szCs w:val="21"/>
              </w:rPr>
            </w:pPr>
            <w:r>
              <w:rPr>
                <w:color w:val="auto"/>
                <w:szCs w:val="21"/>
              </w:rPr>
              <w:t xml:space="preserve">13</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2</w:t>
            </w:r>
            <w:r/>
          </w:p>
        </w:tc>
        <w:tc>
          <w:tcPr>
            <w:tcW w:w="610" w:type="pct"/>
            <w:vAlign w:val="center"/>
            <w:vMerge w:val="continue"/>
            <w:textDirection w:val="lrTb"/>
            <w:noWrap w:val="false"/>
          </w:tcPr>
          <w:p>
            <w:pPr>
              <w:jc w:val="left"/>
              <w:widowControl/>
              <w:rPr>
                <w:color w:val="auto"/>
                <w:szCs w:val="21"/>
              </w:rPr>
            </w:pPr>
            <w:r>
              <w:rPr>
                <w:color w:val="auto"/>
                <w:szCs w:val="21"/>
              </w:rPr>
            </w:r>
            <w:r/>
          </w:p>
        </w:tc>
        <w:tc>
          <w:tcPr>
            <w:tcW w:w="1069" w:type="pct"/>
            <w:vAlign w:val="center"/>
            <w:textDirection w:val="lrTb"/>
            <w:noWrap/>
          </w:tcPr>
          <w:p>
            <w:pPr>
              <w:jc w:val="center"/>
              <w:widowControl/>
              <w:rPr>
                <w:color w:val="auto"/>
                <w:szCs w:val="21"/>
              </w:rPr>
            </w:pPr>
            <w:r>
              <w:rPr>
                <w:color w:val="auto"/>
                <w:szCs w:val="21"/>
              </w:rPr>
              <w:t xml:space="preserve">靶标</w:t>
            </w:r>
            <w:r/>
          </w:p>
        </w:tc>
        <w:tc>
          <w:tcPr>
            <w:tcW w:w="2422" w:type="pct"/>
            <w:vAlign w:val="center"/>
            <w:textDirection w:val="lrTb"/>
            <w:noWrap/>
          </w:tcPr>
          <w:p>
            <w:pPr>
              <w:jc w:val="center"/>
              <w:widowControl/>
              <w:rPr>
                <w:color w:val="auto"/>
                <w:szCs w:val="21"/>
              </w:rPr>
            </w:pPr>
            <w:r>
              <w:rPr>
                <w:color w:val="auto"/>
                <w:szCs w:val="21"/>
              </w:rPr>
              <w:t xml:space="preserve">有源靶标；可市电或太阳能加锂电池供电</w:t>
            </w:r>
            <w:r>
              <w:rPr>
                <w:rFonts w:hint="eastAsia"/>
                <w:color w:val="auto"/>
                <w:szCs w:val="21"/>
              </w:rPr>
              <w:t xml:space="preserve">；</w:t>
            </w:r>
            <w:r>
              <w:rPr>
                <w:color w:val="auto"/>
                <w:szCs w:val="21"/>
              </w:rPr>
              <w:t xml:space="preserve">工作温度：-40℃~+85℃；</w:t>
            </w:r>
            <w:r/>
          </w:p>
        </w:tc>
        <w:tc>
          <w:tcPr>
            <w:tcW w:w="290" w:type="pct"/>
            <w:vAlign w:val="center"/>
            <w:textDirection w:val="lrTb"/>
            <w:noWrap/>
          </w:tcPr>
          <w:p>
            <w:pPr>
              <w:jc w:val="center"/>
              <w:widowControl/>
              <w:rPr>
                <w:color w:val="auto"/>
                <w:szCs w:val="21"/>
              </w:rPr>
            </w:pPr>
            <w:r>
              <w:rPr>
                <w:color w:val="auto"/>
                <w:szCs w:val="21"/>
              </w:rPr>
              <w:t xml:space="preserve">50</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3</w:t>
            </w:r>
            <w:r/>
          </w:p>
        </w:tc>
        <w:tc>
          <w:tcPr>
            <w:tcW w:w="610" w:type="pct"/>
            <w:vAlign w:val="center"/>
            <w:vMerge w:val="restart"/>
            <w:textDirection w:val="lrTb"/>
            <w:noWrap/>
          </w:tcPr>
          <w:p>
            <w:pPr>
              <w:jc w:val="center"/>
              <w:widowControl/>
              <w:rPr>
                <w:color w:val="auto"/>
                <w:szCs w:val="21"/>
              </w:rPr>
            </w:pPr>
            <w:r>
              <w:rPr>
                <w:color w:val="auto"/>
                <w:szCs w:val="21"/>
              </w:rPr>
              <w:t xml:space="preserve">结构应变/温度</w:t>
            </w:r>
            <w:r/>
          </w:p>
        </w:tc>
        <w:tc>
          <w:tcPr>
            <w:tcW w:w="1069" w:type="pct"/>
            <w:vAlign w:val="center"/>
            <w:textDirection w:val="lrTb"/>
            <w:noWrap/>
          </w:tcPr>
          <w:p>
            <w:pPr>
              <w:jc w:val="center"/>
              <w:widowControl/>
              <w:rPr>
                <w:color w:val="auto"/>
                <w:szCs w:val="21"/>
              </w:rPr>
            </w:pPr>
            <w:r>
              <w:rPr>
                <w:color w:val="auto"/>
                <w:szCs w:val="21"/>
              </w:rPr>
              <w:t xml:space="preserve">振弦式应变计</w:t>
            </w:r>
            <w:r/>
          </w:p>
        </w:tc>
        <w:tc>
          <w:tcPr>
            <w:tcW w:w="2422" w:type="pct"/>
            <w:vAlign w:val="center"/>
            <w:textDirection w:val="lrTb"/>
            <w:noWrap/>
          </w:tcPr>
          <w:p>
            <w:pPr>
              <w:jc w:val="center"/>
              <w:widowControl/>
              <w:rPr>
                <w:color w:val="auto"/>
                <w:szCs w:val="21"/>
              </w:rPr>
            </w:pPr>
            <w:r>
              <w:rPr>
                <w:color w:val="auto"/>
                <w:szCs w:val="21"/>
              </w:rPr>
              <w:t xml:space="preserve">标距150mm，±1500με（分辨率≤0.125%FS）</w:t>
            </w:r>
            <w:r/>
          </w:p>
          <w:p>
            <w:pPr>
              <w:jc w:val="center"/>
              <w:widowControl/>
              <w:rPr>
                <w:color w:val="auto"/>
                <w:szCs w:val="21"/>
              </w:rPr>
            </w:pPr>
            <w:r>
              <w:rPr>
                <w:color w:val="auto"/>
                <w:szCs w:val="21"/>
              </w:rPr>
              <w:t xml:space="preserve">工作温度：-40℃~+85℃；</w:t>
            </w:r>
            <w:r/>
          </w:p>
        </w:tc>
        <w:tc>
          <w:tcPr>
            <w:tcW w:w="290" w:type="pct"/>
            <w:vAlign w:val="center"/>
            <w:textDirection w:val="lrTb"/>
            <w:noWrap/>
          </w:tcPr>
          <w:p>
            <w:pPr>
              <w:jc w:val="center"/>
              <w:widowControl/>
              <w:rPr>
                <w:color w:val="auto"/>
                <w:szCs w:val="21"/>
              </w:rPr>
            </w:pPr>
            <w:r>
              <w:rPr>
                <w:color w:val="auto"/>
                <w:szCs w:val="21"/>
              </w:rPr>
              <w:t xml:space="preserve">6</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4</w:t>
            </w:r>
            <w:r/>
          </w:p>
        </w:tc>
        <w:tc>
          <w:tcPr>
            <w:tcW w:w="610" w:type="pct"/>
            <w:vAlign w:val="center"/>
            <w:vMerge w:val="continue"/>
            <w:textDirection w:val="lrTb"/>
            <w:noWrap w:val="false"/>
          </w:tcPr>
          <w:p>
            <w:pPr>
              <w:jc w:val="left"/>
              <w:widowControl/>
              <w:rPr>
                <w:color w:val="auto"/>
                <w:szCs w:val="21"/>
              </w:rPr>
            </w:pPr>
            <w:r>
              <w:rPr>
                <w:color w:val="auto"/>
                <w:szCs w:val="21"/>
              </w:rPr>
            </w:r>
            <w:r/>
          </w:p>
        </w:tc>
        <w:tc>
          <w:tcPr>
            <w:tcW w:w="1069" w:type="pct"/>
            <w:vAlign w:val="center"/>
            <w:textDirection w:val="lrTb"/>
            <w:noWrap/>
          </w:tcPr>
          <w:p>
            <w:pPr>
              <w:jc w:val="center"/>
              <w:widowControl/>
              <w:rPr>
                <w:color w:val="auto"/>
                <w:szCs w:val="21"/>
              </w:rPr>
            </w:pPr>
            <w:r>
              <w:rPr>
                <w:color w:val="auto"/>
                <w:szCs w:val="21"/>
              </w:rPr>
              <w:t xml:space="preserve">振弦智能采集终端</w:t>
            </w:r>
            <w:r/>
          </w:p>
        </w:tc>
        <w:tc>
          <w:tcPr>
            <w:tcW w:w="2422" w:type="pct"/>
            <w:vAlign w:val="center"/>
            <w:textDirection w:val="lrTb"/>
            <w:noWrap w:val="false"/>
          </w:tcPr>
          <w:p>
            <w:pPr>
              <w:jc w:val="center"/>
              <w:widowControl/>
              <w:rPr>
                <w:color w:val="auto"/>
                <w:szCs w:val="21"/>
              </w:rPr>
            </w:pPr>
            <w:r>
              <w:rPr>
                <w:color w:val="auto"/>
                <w:szCs w:val="21"/>
              </w:rPr>
              <w:t xml:space="preserve">振弦信号采集，振弦&lt;3 秒，差阻&lt;4 秒、IP65</w:t>
            </w:r>
            <w:r>
              <w:rPr>
                <w:color w:val="auto"/>
                <w:szCs w:val="21"/>
              </w:rPr>
              <w:br/>
            </w:r>
            <w:r>
              <w:rPr>
                <w:color w:val="auto"/>
                <w:szCs w:val="21"/>
              </w:rPr>
              <w:t xml:space="preserve">单模块通道数：8通道</w:t>
            </w:r>
            <w:r/>
          </w:p>
          <w:p>
            <w:pPr>
              <w:jc w:val="center"/>
              <w:widowControl/>
              <w:rPr>
                <w:color w:val="auto"/>
                <w:szCs w:val="21"/>
              </w:rPr>
            </w:pPr>
            <w:r>
              <w:rPr>
                <w:color w:val="auto"/>
                <w:szCs w:val="21"/>
              </w:rPr>
              <w:t xml:space="preserve">工作温度：-40℃~+85℃；</w:t>
            </w:r>
            <w:r/>
          </w:p>
        </w:tc>
        <w:tc>
          <w:tcPr>
            <w:tcW w:w="290" w:type="pct"/>
            <w:vAlign w:val="center"/>
            <w:textDirection w:val="lrTb"/>
            <w:noWrap/>
          </w:tcPr>
          <w:p>
            <w:pPr>
              <w:jc w:val="center"/>
              <w:widowControl/>
              <w:rPr>
                <w:color w:val="auto"/>
                <w:szCs w:val="21"/>
              </w:rPr>
            </w:pPr>
            <w:r>
              <w:rPr>
                <w:color w:val="auto"/>
                <w:szCs w:val="21"/>
              </w:rPr>
              <w:t xml:space="preserve">1</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5</w:t>
            </w:r>
            <w:r/>
          </w:p>
        </w:tc>
        <w:tc>
          <w:tcPr>
            <w:tcW w:w="610" w:type="pct"/>
            <w:vAlign w:val="center"/>
            <w:vMerge w:val="restart"/>
            <w:textDirection w:val="lrTb"/>
            <w:noWrap/>
          </w:tcPr>
          <w:p>
            <w:pPr>
              <w:jc w:val="center"/>
              <w:widowControl/>
              <w:rPr>
                <w:color w:val="auto"/>
                <w:szCs w:val="21"/>
              </w:rPr>
            </w:pPr>
            <w:r>
              <w:rPr>
                <w:color w:val="auto"/>
                <w:szCs w:val="21"/>
              </w:rPr>
              <w:t xml:space="preserve">系杆力</w:t>
            </w:r>
            <w:r/>
          </w:p>
        </w:tc>
        <w:tc>
          <w:tcPr>
            <w:tcW w:w="1069" w:type="pct"/>
            <w:vAlign w:val="center"/>
            <w:textDirection w:val="lrTb"/>
            <w:noWrap/>
          </w:tcPr>
          <w:p>
            <w:pPr>
              <w:jc w:val="center"/>
              <w:widowControl/>
              <w:rPr>
                <w:color w:val="auto"/>
                <w:szCs w:val="21"/>
              </w:rPr>
            </w:pPr>
            <w:r>
              <w:rPr>
                <w:color w:val="auto"/>
                <w:szCs w:val="21"/>
              </w:rPr>
              <w:t xml:space="preserve">索力振动传感器</w:t>
            </w:r>
            <w:r/>
          </w:p>
        </w:tc>
        <w:tc>
          <w:tcPr>
            <w:tcW w:w="2422" w:type="pct"/>
            <w:vAlign w:val="center"/>
            <w:textDirection w:val="lrTb"/>
            <w:noWrap w:val="false"/>
          </w:tcPr>
          <w:p>
            <w:pPr>
              <w:jc w:val="center"/>
              <w:widowControl/>
              <w:rPr>
                <w:color w:val="auto"/>
                <w:szCs w:val="21"/>
              </w:rPr>
            </w:pPr>
            <w:r>
              <w:rPr>
                <w:rFonts w:hint="eastAsia"/>
                <w:color w:val="auto"/>
                <w:szCs w:val="21"/>
              </w:rPr>
              <w:t xml:space="preserve">灵敏度：3 V/g；</w:t>
            </w:r>
            <w:r/>
          </w:p>
          <w:p>
            <w:pPr>
              <w:jc w:val="center"/>
              <w:widowControl/>
              <w:rPr>
                <w:color w:val="auto"/>
                <w:szCs w:val="21"/>
              </w:rPr>
            </w:pPr>
            <w:r>
              <w:rPr>
                <w:rFonts w:hint="eastAsia"/>
                <w:color w:val="auto"/>
                <w:szCs w:val="21"/>
              </w:rPr>
              <w:t xml:space="preserve">量程：±2g；</w:t>
            </w:r>
            <w:r/>
          </w:p>
          <w:p>
            <w:pPr>
              <w:jc w:val="center"/>
              <w:widowControl/>
              <w:rPr>
                <w:color w:val="auto"/>
                <w:szCs w:val="21"/>
              </w:rPr>
            </w:pPr>
            <w:r>
              <w:rPr>
                <w:color w:val="auto"/>
                <w:szCs w:val="21"/>
              </w:rPr>
              <w:t xml:space="preserve">工作温度：-40℃~+85℃</w:t>
            </w:r>
            <w:r/>
          </w:p>
        </w:tc>
        <w:tc>
          <w:tcPr>
            <w:tcW w:w="290" w:type="pct"/>
            <w:vAlign w:val="center"/>
            <w:textDirection w:val="lrTb"/>
            <w:noWrap/>
          </w:tcPr>
          <w:p>
            <w:pPr>
              <w:jc w:val="center"/>
              <w:widowControl/>
              <w:rPr>
                <w:color w:val="auto"/>
                <w:szCs w:val="21"/>
              </w:rPr>
            </w:pPr>
            <w:r>
              <w:rPr>
                <w:color w:val="auto"/>
                <w:szCs w:val="21"/>
              </w:rPr>
              <w:t xml:space="preserve">12</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6</w:t>
            </w:r>
            <w:r/>
          </w:p>
        </w:tc>
        <w:tc>
          <w:tcPr>
            <w:tcW w:w="610" w:type="pct"/>
            <w:vAlign w:val="center"/>
            <w:vMerge w:val="continue"/>
            <w:textDirection w:val="lrTb"/>
            <w:noWrap w:val="false"/>
          </w:tcPr>
          <w:p>
            <w:pPr>
              <w:jc w:val="left"/>
              <w:widowControl/>
              <w:rPr>
                <w:color w:val="auto"/>
                <w:szCs w:val="21"/>
              </w:rPr>
            </w:pPr>
            <w:r>
              <w:rPr>
                <w:color w:val="auto"/>
                <w:szCs w:val="21"/>
              </w:rPr>
            </w:r>
            <w:r/>
          </w:p>
        </w:tc>
        <w:tc>
          <w:tcPr>
            <w:tcW w:w="1069" w:type="pct"/>
            <w:vAlign w:val="center"/>
            <w:textDirection w:val="lrTb"/>
            <w:noWrap/>
          </w:tcPr>
          <w:p>
            <w:pPr>
              <w:jc w:val="center"/>
              <w:widowControl/>
              <w:rPr>
                <w:color w:val="auto"/>
                <w:szCs w:val="21"/>
              </w:rPr>
            </w:pPr>
            <w:r>
              <w:rPr>
                <w:color w:val="auto"/>
                <w:szCs w:val="21"/>
              </w:rPr>
              <w:t xml:space="preserve">振动信号采集模块</w:t>
            </w:r>
            <w:r/>
          </w:p>
        </w:tc>
        <w:tc>
          <w:tcPr>
            <w:tcW w:w="2422" w:type="pct"/>
            <w:vAlign w:val="center"/>
            <w:textDirection w:val="lrTb"/>
            <w:noWrap w:val="false"/>
          </w:tcPr>
          <w:p>
            <w:pPr>
              <w:jc w:val="center"/>
              <w:widowControl/>
              <w:rPr>
                <w:color w:val="auto"/>
                <w:szCs w:val="21"/>
              </w:rPr>
            </w:pPr>
            <w:r>
              <w:rPr>
                <w:color w:val="auto"/>
                <w:szCs w:val="21"/>
              </w:rPr>
              <w:t xml:space="preserve">灵敏度  0.3V/m·s</w:t>
            </w:r>
            <w:r>
              <w:rPr>
                <w:color w:val="auto"/>
                <w:szCs w:val="21"/>
                <w:vertAlign w:val="superscript"/>
              </w:rPr>
              <w:t xml:space="preserve">-2</w:t>
            </w:r>
            <w:r>
              <w:rPr>
                <w:color w:val="auto"/>
                <w:szCs w:val="21"/>
              </w:rPr>
              <w:br/>
            </w:r>
            <w:r>
              <w:rPr>
                <w:color w:val="auto"/>
                <w:szCs w:val="21"/>
              </w:rPr>
              <w:t xml:space="preserve">量程  20m·s</w:t>
            </w:r>
            <w:r>
              <w:rPr>
                <w:color w:val="auto"/>
                <w:szCs w:val="21"/>
                <w:vertAlign w:val="superscript"/>
              </w:rPr>
              <w:t xml:space="preserve">-2</w:t>
            </w:r>
            <w:r>
              <w:rPr>
                <w:color w:val="auto"/>
                <w:szCs w:val="21"/>
              </w:rPr>
              <w:br/>
            </w:r>
            <w:r>
              <w:rPr>
                <w:color w:val="auto"/>
                <w:szCs w:val="21"/>
              </w:rPr>
              <w:t xml:space="preserve">频率响应  0.5 ～ 40Hz （±10%）</w:t>
            </w:r>
            <w:r/>
          </w:p>
          <w:p>
            <w:pPr>
              <w:jc w:val="center"/>
              <w:widowControl/>
              <w:rPr>
                <w:color w:val="auto"/>
                <w:szCs w:val="21"/>
              </w:rPr>
            </w:pPr>
            <w:r>
              <w:rPr>
                <w:color w:val="auto"/>
                <w:szCs w:val="21"/>
              </w:rPr>
              <w:t xml:space="preserve">工作温度：-30℃~+70℃;防护等级：IP65</w:t>
            </w:r>
            <w:r/>
          </w:p>
        </w:tc>
        <w:tc>
          <w:tcPr>
            <w:tcW w:w="290" w:type="pct"/>
            <w:vAlign w:val="center"/>
            <w:textDirection w:val="lrTb"/>
            <w:noWrap/>
          </w:tcPr>
          <w:p>
            <w:pPr>
              <w:jc w:val="center"/>
              <w:widowControl/>
              <w:rPr>
                <w:color w:val="auto"/>
                <w:szCs w:val="21"/>
              </w:rPr>
            </w:pPr>
            <w:r>
              <w:rPr>
                <w:color w:val="auto"/>
                <w:szCs w:val="21"/>
              </w:rPr>
              <w:t xml:space="preserve">1</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7</w:t>
            </w:r>
            <w:r/>
          </w:p>
        </w:tc>
        <w:tc>
          <w:tcPr>
            <w:tcW w:w="610" w:type="pct"/>
            <w:vAlign w:val="center"/>
            <w:textDirection w:val="lrTb"/>
            <w:noWrap/>
          </w:tcPr>
          <w:p>
            <w:pPr>
              <w:jc w:val="center"/>
              <w:widowControl/>
              <w:rPr>
                <w:color w:val="auto"/>
                <w:szCs w:val="21"/>
              </w:rPr>
            </w:pPr>
            <w:r>
              <w:rPr>
                <w:color w:val="auto"/>
                <w:szCs w:val="21"/>
              </w:rPr>
              <w:t xml:space="preserve">温湿度</w:t>
            </w:r>
            <w:r/>
          </w:p>
        </w:tc>
        <w:tc>
          <w:tcPr>
            <w:tcW w:w="1069" w:type="pct"/>
            <w:vAlign w:val="center"/>
            <w:textDirection w:val="lrTb"/>
            <w:noWrap/>
          </w:tcPr>
          <w:p>
            <w:pPr>
              <w:jc w:val="center"/>
              <w:widowControl/>
              <w:rPr>
                <w:color w:val="auto"/>
                <w:szCs w:val="21"/>
              </w:rPr>
            </w:pPr>
            <w:r>
              <w:rPr>
                <w:color w:val="auto"/>
                <w:szCs w:val="21"/>
              </w:rPr>
              <w:t xml:space="preserve">温湿度计</w:t>
            </w:r>
            <w:r/>
          </w:p>
        </w:tc>
        <w:tc>
          <w:tcPr>
            <w:tcW w:w="2422" w:type="pct"/>
            <w:vAlign w:val="center"/>
            <w:textDirection w:val="lrTb"/>
            <w:noWrap w:val="false"/>
          </w:tcPr>
          <w:p>
            <w:pPr>
              <w:jc w:val="center"/>
              <w:widowControl/>
              <w:rPr>
                <w:color w:val="auto"/>
                <w:szCs w:val="21"/>
              </w:rPr>
            </w:pPr>
            <w:r>
              <w:rPr>
                <w:color w:val="auto"/>
                <w:szCs w:val="21"/>
              </w:rPr>
              <w:t xml:space="preserve">温度测量范围：-40℃~+85℃测量精度：±0.2℃分辨率：0.1℃</w:t>
            </w:r>
            <w:r>
              <w:rPr>
                <w:color w:val="auto"/>
                <w:szCs w:val="21"/>
              </w:rPr>
              <w:br/>
            </w:r>
            <w:r>
              <w:rPr>
                <w:color w:val="auto"/>
                <w:szCs w:val="21"/>
              </w:rPr>
              <w:t xml:space="preserve">湿度测量范围：0~100%RH测量精度：±2%RH分辨率：0.1%</w:t>
            </w:r>
            <w:r/>
          </w:p>
        </w:tc>
        <w:tc>
          <w:tcPr>
            <w:tcW w:w="290" w:type="pct"/>
            <w:vAlign w:val="center"/>
            <w:textDirection w:val="lrTb"/>
            <w:noWrap/>
          </w:tcPr>
          <w:p>
            <w:pPr>
              <w:jc w:val="center"/>
              <w:widowControl/>
              <w:rPr>
                <w:color w:val="auto"/>
                <w:szCs w:val="21"/>
              </w:rPr>
            </w:pPr>
            <w:r>
              <w:rPr>
                <w:color w:val="auto"/>
                <w:szCs w:val="21"/>
              </w:rPr>
              <w:t xml:space="preserve">3</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8</w:t>
            </w:r>
            <w:r/>
          </w:p>
        </w:tc>
        <w:tc>
          <w:tcPr>
            <w:tcW w:w="610" w:type="pct"/>
            <w:vAlign w:val="center"/>
            <w:textDirection w:val="lrTb"/>
            <w:noWrap/>
          </w:tcPr>
          <w:p>
            <w:pPr>
              <w:jc w:val="center"/>
              <w:widowControl/>
              <w:rPr>
                <w:color w:val="auto"/>
                <w:szCs w:val="21"/>
              </w:rPr>
            </w:pPr>
            <w:r>
              <w:rPr>
                <w:color w:val="auto"/>
                <w:szCs w:val="21"/>
              </w:rPr>
              <w:t xml:space="preserve">视频图像</w:t>
            </w:r>
            <w:r/>
          </w:p>
        </w:tc>
        <w:tc>
          <w:tcPr>
            <w:tcW w:w="1069" w:type="pct"/>
            <w:vAlign w:val="center"/>
            <w:textDirection w:val="lrTb"/>
            <w:noWrap/>
          </w:tcPr>
          <w:p>
            <w:pPr>
              <w:jc w:val="center"/>
              <w:widowControl/>
              <w:rPr>
                <w:color w:val="auto"/>
                <w:szCs w:val="21"/>
              </w:rPr>
            </w:pPr>
            <w:r>
              <w:rPr>
                <w:color w:val="auto"/>
                <w:szCs w:val="21"/>
              </w:rPr>
              <w:t xml:space="preserve">高清球机</w:t>
            </w:r>
            <w:r/>
          </w:p>
        </w:tc>
        <w:tc>
          <w:tcPr>
            <w:tcW w:w="2422" w:type="pct"/>
            <w:vAlign w:val="center"/>
            <w:textDirection w:val="lrTb"/>
            <w:noWrap/>
          </w:tcPr>
          <w:p>
            <w:pPr>
              <w:jc w:val="center"/>
              <w:widowControl/>
              <w:rPr>
                <w:color w:val="auto"/>
                <w:szCs w:val="21"/>
              </w:rPr>
            </w:pPr>
            <w:r>
              <w:rPr>
                <w:color w:val="auto"/>
                <w:szCs w:val="21"/>
              </w:rPr>
              <w:t xml:space="preserve">像素：400万；帧率：≥25 FPS；动态范围：≥55dB；防护：IP66</w:t>
            </w:r>
            <w:r>
              <w:rPr>
                <w:rFonts w:hint="eastAsia"/>
                <w:color w:val="auto"/>
                <w:szCs w:val="21"/>
              </w:rPr>
              <w:t xml:space="preserve">；</w:t>
            </w:r>
            <w:r/>
          </w:p>
          <w:p>
            <w:pPr>
              <w:jc w:val="center"/>
              <w:widowControl/>
              <w:rPr>
                <w:color w:val="auto"/>
                <w:szCs w:val="21"/>
              </w:rPr>
            </w:pPr>
            <w:r>
              <w:rPr>
                <w:color w:val="auto"/>
                <w:szCs w:val="21"/>
              </w:rPr>
              <w:t xml:space="preserve">标准协议：GB/T 28181-2022；</w:t>
            </w:r>
            <w:r/>
          </w:p>
        </w:tc>
        <w:tc>
          <w:tcPr>
            <w:tcW w:w="290" w:type="pct"/>
            <w:vAlign w:val="center"/>
            <w:textDirection w:val="lrTb"/>
            <w:noWrap/>
          </w:tcPr>
          <w:p>
            <w:pPr>
              <w:jc w:val="center"/>
              <w:widowControl/>
              <w:rPr>
                <w:color w:val="auto"/>
                <w:szCs w:val="21"/>
              </w:rPr>
            </w:pPr>
            <w:r>
              <w:rPr>
                <w:color w:val="auto"/>
                <w:szCs w:val="21"/>
              </w:rPr>
              <w:t xml:space="preserve">14</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9</w:t>
            </w:r>
            <w:r/>
          </w:p>
        </w:tc>
        <w:tc>
          <w:tcPr>
            <w:tcW w:w="610" w:type="pct"/>
            <w:vAlign w:val="center"/>
            <w:textDirection w:val="lrTb"/>
            <w:noWrap/>
          </w:tcPr>
          <w:p>
            <w:pPr>
              <w:jc w:val="center"/>
              <w:widowControl/>
              <w:rPr>
                <w:color w:val="auto"/>
                <w:szCs w:val="21"/>
              </w:rPr>
            </w:pPr>
            <w:r>
              <w:rPr>
                <w:color w:val="auto"/>
                <w:szCs w:val="21"/>
              </w:rPr>
              <w:t xml:space="preserve">船撞/剐蹭振动监测</w:t>
            </w:r>
            <w:r/>
          </w:p>
        </w:tc>
        <w:tc>
          <w:tcPr>
            <w:tcW w:w="1069" w:type="pct"/>
            <w:vAlign w:val="center"/>
            <w:textDirection w:val="lrTb"/>
            <w:noWrap/>
          </w:tcPr>
          <w:p>
            <w:pPr>
              <w:jc w:val="center"/>
              <w:widowControl/>
              <w:rPr>
                <w:color w:val="auto"/>
                <w:szCs w:val="21"/>
              </w:rPr>
            </w:pPr>
            <w:r>
              <w:rPr>
                <w:color w:val="auto"/>
                <w:szCs w:val="21"/>
              </w:rPr>
              <w:t xml:space="preserve">低频振动加速度计</w:t>
            </w:r>
            <w:r/>
          </w:p>
        </w:tc>
        <w:tc>
          <w:tcPr>
            <w:tcW w:w="2422" w:type="pct"/>
            <w:vAlign w:val="center"/>
            <w:textDirection w:val="lrTb"/>
            <w:noWrap w:val="false"/>
          </w:tcPr>
          <w:p>
            <w:pPr>
              <w:jc w:val="center"/>
              <w:widowControl/>
              <w:rPr>
                <w:color w:val="auto"/>
                <w:szCs w:val="21"/>
              </w:rPr>
            </w:pPr>
            <w:r>
              <w:rPr>
                <w:rFonts w:hint="eastAsia"/>
                <w:color w:val="auto"/>
                <w:szCs w:val="21"/>
              </w:rPr>
              <w:t xml:space="preserve">灵敏度：0.3（V·s²）/m</w:t>
            </w:r>
            <w:r/>
          </w:p>
          <w:p>
            <w:pPr>
              <w:jc w:val="center"/>
              <w:widowControl/>
              <w:rPr>
                <w:color w:val="auto"/>
                <w:szCs w:val="21"/>
              </w:rPr>
            </w:pPr>
            <w:r>
              <w:rPr>
                <w:rFonts w:hint="eastAsia"/>
                <w:color w:val="auto"/>
                <w:szCs w:val="21"/>
              </w:rPr>
              <w:t xml:space="preserve">量程：</w:t>
            </w:r>
            <w:r>
              <w:rPr>
                <w:color w:val="auto"/>
                <w:szCs w:val="21"/>
              </w:rPr>
              <w:t xml:space="preserve">20m·s</w:t>
            </w:r>
            <w:r>
              <w:rPr>
                <w:color w:val="auto"/>
                <w:szCs w:val="21"/>
                <w:vertAlign w:val="superscript"/>
              </w:rPr>
              <w:t xml:space="preserve">2</w:t>
            </w:r>
            <w:r/>
          </w:p>
          <w:p>
            <w:pPr>
              <w:jc w:val="center"/>
              <w:widowControl/>
              <w:rPr>
                <w:color w:val="auto"/>
                <w:szCs w:val="21"/>
              </w:rPr>
            </w:pPr>
            <w:r>
              <w:rPr>
                <w:rFonts w:hint="eastAsia"/>
                <w:color w:val="auto"/>
                <w:szCs w:val="21"/>
              </w:rPr>
              <w:t xml:space="preserve">频率响应：0.5 ～ 40Hz （±10%）</w:t>
            </w:r>
            <w:r/>
          </w:p>
          <w:p>
            <w:pPr>
              <w:jc w:val="center"/>
              <w:widowControl/>
              <w:rPr>
                <w:color w:val="auto"/>
                <w:szCs w:val="21"/>
              </w:rPr>
            </w:pPr>
            <w:r>
              <w:rPr>
                <w:color w:val="auto"/>
                <w:szCs w:val="21"/>
              </w:rPr>
              <w:t xml:space="preserve">工作温度：-30℃~+70℃;防护等级：IP65</w:t>
            </w:r>
            <w:r/>
          </w:p>
        </w:tc>
        <w:tc>
          <w:tcPr>
            <w:tcW w:w="290" w:type="pct"/>
            <w:vAlign w:val="center"/>
            <w:textDirection w:val="lrTb"/>
            <w:noWrap/>
          </w:tcPr>
          <w:p>
            <w:pPr>
              <w:jc w:val="center"/>
              <w:widowControl/>
              <w:rPr>
                <w:color w:val="auto"/>
                <w:szCs w:val="21"/>
              </w:rPr>
            </w:pPr>
            <w:r>
              <w:rPr>
                <w:color w:val="auto"/>
                <w:szCs w:val="21"/>
              </w:rPr>
              <w:t xml:space="preserve">4</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color w:val="auto"/>
                <w:szCs w:val="21"/>
              </w:rPr>
              <w:t xml:space="preserve">1</w:t>
            </w:r>
            <w:r>
              <w:rPr>
                <w:rFonts w:hint="eastAsia"/>
                <w:color w:val="auto"/>
                <w:szCs w:val="21"/>
              </w:rPr>
              <w:t xml:space="preserve">0</w:t>
            </w:r>
            <w:r/>
          </w:p>
        </w:tc>
        <w:tc>
          <w:tcPr>
            <w:tcW w:w="610" w:type="pct"/>
            <w:vAlign w:val="center"/>
            <w:vMerge w:val="restart"/>
            <w:textDirection w:val="lrTb"/>
            <w:noWrap/>
          </w:tcPr>
          <w:p>
            <w:pPr>
              <w:jc w:val="center"/>
              <w:widowControl/>
              <w:rPr>
                <w:color w:val="auto"/>
                <w:szCs w:val="21"/>
              </w:rPr>
            </w:pPr>
            <w:r>
              <w:rPr>
                <w:color w:val="auto"/>
                <w:szCs w:val="21"/>
              </w:rPr>
              <w:t xml:space="preserve">其他</w:t>
            </w:r>
            <w:r/>
          </w:p>
        </w:tc>
        <w:tc>
          <w:tcPr>
            <w:tcW w:w="1069" w:type="pct"/>
            <w:vAlign w:val="center"/>
            <w:textDirection w:val="lrTb"/>
            <w:noWrap/>
          </w:tcPr>
          <w:p>
            <w:pPr>
              <w:jc w:val="center"/>
              <w:widowControl/>
              <w:rPr>
                <w:color w:val="auto"/>
                <w:szCs w:val="21"/>
              </w:rPr>
            </w:pPr>
            <w:r>
              <w:rPr>
                <w:color w:val="auto"/>
                <w:szCs w:val="21"/>
              </w:rPr>
              <w:t xml:space="preserve">工控机（云阳大桥）</w:t>
            </w:r>
            <w:r/>
          </w:p>
        </w:tc>
        <w:tc>
          <w:tcPr>
            <w:tcW w:w="2422" w:type="pct"/>
            <w:vAlign w:val="center"/>
            <w:textDirection w:val="lrTb"/>
            <w:noWrap/>
          </w:tcPr>
          <w:p>
            <w:pPr>
              <w:jc w:val="center"/>
              <w:widowControl/>
              <w:rPr>
                <w:color w:val="auto"/>
                <w:szCs w:val="21"/>
              </w:rPr>
            </w:pPr>
            <w:r>
              <w:rPr>
                <w:color w:val="auto"/>
                <w:szCs w:val="21"/>
              </w:rPr>
              <w:t xml:space="preserve">16G+1T </w:t>
            </w:r>
            <w:r/>
          </w:p>
          <w:p>
            <w:pPr>
              <w:jc w:val="center"/>
              <w:widowControl/>
              <w:rPr>
                <w:color w:val="auto"/>
                <w:szCs w:val="21"/>
              </w:rPr>
            </w:pPr>
            <w:r>
              <w:rPr>
                <w:color w:val="auto"/>
                <w:szCs w:val="21"/>
              </w:rPr>
              <w:t xml:space="preserve">工作温度：-40℃~70℃</w:t>
            </w:r>
            <w:r>
              <w:rPr>
                <w:rFonts w:hint="eastAsia"/>
                <w:color w:val="auto"/>
                <w:szCs w:val="21"/>
              </w:rPr>
              <w:t xml:space="preserve">；</w:t>
            </w:r>
            <w:r>
              <w:rPr>
                <w:color w:val="auto"/>
                <w:szCs w:val="21"/>
              </w:rPr>
              <w:t xml:space="preserve">防护等级：≥IP65</w:t>
            </w:r>
            <w:r/>
          </w:p>
        </w:tc>
        <w:tc>
          <w:tcPr>
            <w:tcW w:w="290" w:type="pct"/>
            <w:vAlign w:val="center"/>
            <w:textDirection w:val="lrTb"/>
            <w:noWrap/>
          </w:tcPr>
          <w:p>
            <w:pPr>
              <w:jc w:val="center"/>
              <w:widowControl/>
              <w:rPr>
                <w:color w:val="auto"/>
                <w:szCs w:val="21"/>
              </w:rPr>
            </w:pPr>
            <w:r>
              <w:rPr>
                <w:color w:val="auto"/>
                <w:szCs w:val="21"/>
              </w:rPr>
              <w:t xml:space="preserve">1</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color w:val="auto"/>
                <w:szCs w:val="21"/>
              </w:rPr>
              <w:t xml:space="preserve">1</w:t>
            </w:r>
            <w:r>
              <w:rPr>
                <w:rFonts w:hint="eastAsia"/>
                <w:color w:val="auto"/>
                <w:szCs w:val="21"/>
              </w:rPr>
              <w:t xml:space="preserve">1</w:t>
            </w:r>
            <w:r/>
          </w:p>
        </w:tc>
        <w:tc>
          <w:tcPr>
            <w:tcW w:w="610" w:type="pct"/>
            <w:vAlign w:val="center"/>
            <w:vMerge w:val="continue"/>
            <w:textDirection w:val="lrTb"/>
            <w:noWrap w:val="false"/>
          </w:tcPr>
          <w:p>
            <w:pPr>
              <w:jc w:val="left"/>
              <w:widowControl/>
              <w:rPr>
                <w:color w:val="auto"/>
                <w:szCs w:val="21"/>
              </w:rPr>
            </w:pPr>
            <w:r>
              <w:rPr>
                <w:color w:val="auto"/>
                <w:szCs w:val="21"/>
              </w:rPr>
            </w:r>
            <w:r/>
          </w:p>
        </w:tc>
        <w:tc>
          <w:tcPr>
            <w:tcW w:w="1069" w:type="pct"/>
            <w:vAlign w:val="center"/>
            <w:textDirection w:val="lrTb"/>
            <w:noWrap/>
          </w:tcPr>
          <w:p>
            <w:pPr>
              <w:jc w:val="center"/>
              <w:widowControl/>
              <w:rPr>
                <w:color w:val="auto"/>
                <w:szCs w:val="21"/>
              </w:rPr>
            </w:pPr>
            <w:r>
              <w:rPr>
                <w:color w:val="auto"/>
                <w:szCs w:val="21"/>
              </w:rPr>
              <w:t xml:space="preserve">工控机（其他）</w:t>
            </w:r>
            <w:r/>
          </w:p>
        </w:tc>
        <w:tc>
          <w:tcPr>
            <w:tcW w:w="2422" w:type="pct"/>
            <w:vAlign w:val="center"/>
            <w:textDirection w:val="lrTb"/>
            <w:noWrap/>
          </w:tcPr>
          <w:p>
            <w:pPr>
              <w:jc w:val="center"/>
              <w:widowControl/>
              <w:rPr>
                <w:color w:val="auto"/>
                <w:szCs w:val="21"/>
              </w:rPr>
            </w:pPr>
            <w:r>
              <w:rPr>
                <w:color w:val="auto"/>
                <w:szCs w:val="21"/>
              </w:rPr>
              <w:t xml:space="preserve">16G+512G</w:t>
            </w:r>
            <w:r/>
          </w:p>
          <w:p>
            <w:pPr>
              <w:jc w:val="center"/>
              <w:widowControl/>
              <w:rPr>
                <w:color w:val="auto"/>
                <w:szCs w:val="21"/>
              </w:rPr>
            </w:pPr>
            <w:r>
              <w:rPr>
                <w:color w:val="auto"/>
                <w:szCs w:val="21"/>
              </w:rPr>
              <w:t xml:space="preserve">工作温度：-40℃~70℃</w:t>
            </w:r>
            <w:r>
              <w:rPr>
                <w:rFonts w:hint="eastAsia"/>
                <w:color w:val="auto"/>
                <w:szCs w:val="21"/>
              </w:rPr>
              <w:t xml:space="preserve">；</w:t>
            </w:r>
            <w:r>
              <w:rPr>
                <w:color w:val="auto"/>
                <w:szCs w:val="21"/>
              </w:rPr>
              <w:t xml:space="preserve">防护等级：≥IP65</w:t>
            </w:r>
            <w:r/>
          </w:p>
        </w:tc>
        <w:tc>
          <w:tcPr>
            <w:tcW w:w="290" w:type="pct"/>
            <w:vAlign w:val="center"/>
            <w:textDirection w:val="lrTb"/>
            <w:noWrap/>
          </w:tcPr>
          <w:p>
            <w:pPr>
              <w:jc w:val="center"/>
              <w:widowControl/>
              <w:rPr>
                <w:color w:val="auto"/>
                <w:szCs w:val="21"/>
              </w:rPr>
            </w:pPr>
            <w:r>
              <w:rPr>
                <w:color w:val="auto"/>
                <w:szCs w:val="21"/>
              </w:rPr>
              <w:t xml:space="preserve">11</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color w:val="auto"/>
                <w:szCs w:val="21"/>
              </w:rPr>
              <w:t xml:space="preserve">1</w:t>
            </w:r>
            <w:r>
              <w:rPr>
                <w:rFonts w:hint="eastAsia"/>
                <w:color w:val="auto"/>
                <w:szCs w:val="21"/>
              </w:rPr>
              <w:t xml:space="preserve">2</w:t>
            </w:r>
            <w:r/>
          </w:p>
        </w:tc>
        <w:tc>
          <w:tcPr>
            <w:tcW w:w="610" w:type="pct"/>
            <w:vAlign w:val="center"/>
            <w:vMerge w:val="continue"/>
            <w:textDirection w:val="lrTb"/>
            <w:noWrap w:val="false"/>
          </w:tcPr>
          <w:p>
            <w:pPr>
              <w:jc w:val="left"/>
              <w:widowControl/>
              <w:rPr>
                <w:color w:val="auto"/>
                <w:szCs w:val="21"/>
              </w:rPr>
            </w:pPr>
            <w:r>
              <w:rPr>
                <w:color w:val="auto"/>
                <w:szCs w:val="21"/>
              </w:rPr>
            </w:r>
            <w:r/>
          </w:p>
        </w:tc>
        <w:tc>
          <w:tcPr>
            <w:tcW w:w="1069" w:type="pct"/>
            <w:vAlign w:val="center"/>
            <w:textDirection w:val="lrTb"/>
            <w:noWrap/>
          </w:tcPr>
          <w:p>
            <w:pPr>
              <w:jc w:val="center"/>
              <w:widowControl/>
              <w:rPr>
                <w:color w:val="auto"/>
                <w:szCs w:val="21"/>
              </w:rPr>
            </w:pPr>
            <w:r>
              <w:rPr>
                <w:color w:val="auto"/>
                <w:szCs w:val="21"/>
              </w:rPr>
              <w:t xml:space="preserve">综合采集站</w:t>
            </w:r>
            <w:r/>
          </w:p>
        </w:tc>
        <w:tc>
          <w:tcPr>
            <w:tcW w:w="2422" w:type="pct"/>
            <w:vAlign w:val="center"/>
            <w:textDirection w:val="lrTb"/>
            <w:noWrap w:val="false"/>
          </w:tcPr>
          <w:p>
            <w:pPr>
              <w:jc w:val="center"/>
              <w:widowControl/>
              <w:rPr>
                <w:color w:val="auto"/>
                <w:szCs w:val="21"/>
              </w:rPr>
            </w:pPr>
            <w:r>
              <w:rPr>
                <w:rFonts w:hint="eastAsia"/>
                <w:color w:val="auto"/>
                <w:szCs w:val="21"/>
              </w:rPr>
              <w:t xml:space="preserve">通道数：可在8、20、32通道之间灵活设置；</w:t>
            </w:r>
            <w:r/>
          </w:p>
          <w:p>
            <w:pPr>
              <w:jc w:val="center"/>
              <w:widowControl/>
              <w:rPr>
                <w:color w:val="auto"/>
                <w:szCs w:val="21"/>
              </w:rPr>
            </w:pPr>
            <w:r>
              <w:rPr>
                <w:rFonts w:hint="eastAsia"/>
                <w:color w:val="auto"/>
                <w:szCs w:val="21"/>
              </w:rPr>
              <w:t xml:space="preserve">传输方式：RS485兼容无线；</w:t>
            </w:r>
            <w:r/>
          </w:p>
          <w:p>
            <w:pPr>
              <w:jc w:val="center"/>
              <w:widowControl/>
              <w:rPr>
                <w:color w:val="auto"/>
                <w:szCs w:val="21"/>
              </w:rPr>
            </w:pPr>
            <w:r>
              <w:rPr>
                <w:rFonts w:hint="eastAsia"/>
                <w:color w:val="auto"/>
                <w:szCs w:val="21"/>
              </w:rPr>
              <w:t xml:space="preserve">测量范围：频率：400Hz～6000Hz；</w:t>
            </w:r>
            <w:r/>
          </w:p>
        </w:tc>
        <w:tc>
          <w:tcPr>
            <w:tcW w:w="290" w:type="pct"/>
            <w:vAlign w:val="center"/>
            <w:textDirection w:val="lrTb"/>
            <w:noWrap/>
          </w:tcPr>
          <w:p>
            <w:pPr>
              <w:jc w:val="center"/>
              <w:widowControl/>
              <w:rPr>
                <w:color w:val="auto"/>
                <w:szCs w:val="21"/>
              </w:rPr>
            </w:pPr>
            <w:r>
              <w:rPr>
                <w:color w:val="auto"/>
                <w:szCs w:val="21"/>
              </w:rPr>
              <w:t xml:space="preserve">2</w:t>
            </w:r>
            <w:r/>
          </w:p>
        </w:tc>
        <w:tc>
          <w:tcPr>
            <w:tcW w:w="318" w:type="pct"/>
            <w:vAlign w:val="center"/>
            <w:textDirection w:val="lrTb"/>
            <w:noWrap/>
          </w:tcPr>
          <w:p>
            <w:pPr>
              <w:jc w:val="center"/>
              <w:widowControl/>
              <w:rPr>
                <w:color w:val="auto"/>
                <w:szCs w:val="21"/>
              </w:rPr>
            </w:pPr>
            <w:r>
              <w:rPr>
                <w:color w:val="auto"/>
                <w:szCs w:val="21"/>
              </w:rPr>
              <w:t xml:space="preserve">套</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13</w:t>
            </w:r>
            <w:r/>
          </w:p>
        </w:tc>
        <w:tc>
          <w:tcPr>
            <w:tcW w:w="610" w:type="pct"/>
            <w:vAlign w:val="center"/>
            <w:vMerge w:val="continue"/>
            <w:textDirection w:val="lrTb"/>
            <w:noWrap w:val="false"/>
          </w:tcPr>
          <w:p>
            <w:pPr>
              <w:jc w:val="left"/>
              <w:widowControl/>
              <w:rPr>
                <w:color w:val="auto"/>
                <w:szCs w:val="21"/>
              </w:rPr>
            </w:pPr>
            <w:r>
              <w:rPr>
                <w:color w:val="auto"/>
                <w:szCs w:val="21"/>
              </w:rPr>
            </w:r>
            <w:r/>
          </w:p>
        </w:tc>
        <w:tc>
          <w:tcPr>
            <w:tcW w:w="1069" w:type="pct"/>
            <w:vAlign w:val="center"/>
            <w:textDirection w:val="lrTb"/>
            <w:noWrap/>
          </w:tcPr>
          <w:p>
            <w:pPr>
              <w:jc w:val="center"/>
              <w:widowControl/>
              <w:rPr>
                <w:color w:val="auto"/>
                <w:szCs w:val="21"/>
              </w:rPr>
            </w:pPr>
            <w:r>
              <w:rPr>
                <w:color w:val="auto"/>
                <w:szCs w:val="21"/>
              </w:rPr>
              <w:t xml:space="preserve">数据传输</w:t>
            </w:r>
            <w:r/>
          </w:p>
        </w:tc>
        <w:tc>
          <w:tcPr>
            <w:tcW w:w="2422" w:type="pct"/>
            <w:vAlign w:val="center"/>
            <w:textDirection w:val="lrTb"/>
            <w:noWrap/>
          </w:tcPr>
          <w:p>
            <w:pPr>
              <w:jc w:val="center"/>
              <w:widowControl/>
              <w:rPr>
                <w:color w:val="auto"/>
                <w:szCs w:val="21"/>
              </w:rPr>
            </w:pPr>
            <w:r>
              <w:rPr>
                <w:color w:val="auto"/>
                <w:szCs w:val="21"/>
              </w:rPr>
              <w:t xml:space="preserve">带宽</w:t>
            </w:r>
            <w:r>
              <w:rPr>
                <w:rFonts w:hint="eastAsia"/>
                <w:color w:val="auto"/>
                <w:szCs w:val="21"/>
              </w:rPr>
              <w:t xml:space="preserve">1</w:t>
            </w:r>
            <w:r>
              <w:rPr>
                <w:color w:val="auto"/>
                <w:szCs w:val="21"/>
              </w:rPr>
              <w:t xml:space="preserve">00Mbps</w:t>
            </w:r>
            <w:r/>
          </w:p>
        </w:tc>
        <w:tc>
          <w:tcPr>
            <w:tcW w:w="290" w:type="pct"/>
            <w:vAlign w:val="center"/>
            <w:textDirection w:val="lrTb"/>
            <w:noWrap/>
          </w:tcPr>
          <w:p>
            <w:pPr>
              <w:jc w:val="center"/>
              <w:widowControl/>
              <w:rPr>
                <w:color w:val="auto"/>
                <w:szCs w:val="21"/>
              </w:rPr>
            </w:pPr>
            <w:r>
              <w:rPr>
                <w:color w:val="auto"/>
                <w:szCs w:val="21"/>
              </w:rPr>
              <w:t xml:space="preserve">3</w:t>
            </w:r>
            <w:r/>
          </w:p>
        </w:tc>
        <w:tc>
          <w:tcPr>
            <w:tcW w:w="318" w:type="pct"/>
            <w:vAlign w:val="center"/>
            <w:textDirection w:val="lrTb"/>
            <w:noWrap/>
          </w:tcPr>
          <w:p>
            <w:pPr>
              <w:jc w:val="center"/>
              <w:widowControl/>
              <w:rPr>
                <w:color w:val="auto"/>
                <w:szCs w:val="21"/>
              </w:rPr>
            </w:pPr>
            <w:r>
              <w:rPr>
                <w:color w:val="auto"/>
                <w:szCs w:val="21"/>
              </w:rPr>
              <w:t xml:space="preserve">路·年</w:t>
            </w:r>
            <w:r/>
          </w:p>
        </w:tc>
      </w:tr>
      <w:tr>
        <w:trPr>
          <w:trHeight w:val="20"/>
        </w:trPr>
        <w:tc>
          <w:tcPr>
            <w:tcW w:w="291" w:type="pct"/>
            <w:vAlign w:val="center"/>
            <w:textDirection w:val="lrTb"/>
            <w:noWrap/>
          </w:tcPr>
          <w:p>
            <w:pPr>
              <w:jc w:val="center"/>
              <w:widowControl/>
              <w:rPr>
                <w:color w:val="auto"/>
                <w:szCs w:val="21"/>
              </w:rPr>
            </w:pPr>
            <w:r>
              <w:rPr>
                <w:rFonts w:hint="eastAsia"/>
                <w:color w:val="auto"/>
                <w:szCs w:val="21"/>
              </w:rPr>
              <w:t xml:space="preserve">14</w:t>
            </w:r>
            <w:r/>
          </w:p>
        </w:tc>
        <w:tc>
          <w:tcPr>
            <w:tcW w:w="610" w:type="pct"/>
            <w:vAlign w:val="center"/>
            <w:vMerge w:val="continue"/>
            <w:textDirection w:val="lrTb"/>
            <w:noWrap w:val="false"/>
          </w:tcPr>
          <w:p>
            <w:pPr>
              <w:jc w:val="left"/>
              <w:widowControl/>
              <w:rPr>
                <w:color w:val="auto"/>
                <w:szCs w:val="21"/>
              </w:rPr>
            </w:pPr>
            <w:r>
              <w:rPr>
                <w:color w:val="auto"/>
                <w:szCs w:val="21"/>
              </w:rPr>
            </w:r>
            <w:r/>
          </w:p>
        </w:tc>
        <w:tc>
          <w:tcPr>
            <w:tcW w:w="1069" w:type="pct"/>
            <w:vAlign w:val="center"/>
            <w:textDirection w:val="lrTb"/>
            <w:noWrap/>
          </w:tcPr>
          <w:p>
            <w:pPr>
              <w:jc w:val="center"/>
              <w:widowControl/>
              <w:rPr>
                <w:color w:val="auto"/>
                <w:szCs w:val="21"/>
              </w:rPr>
            </w:pPr>
            <w:r>
              <w:rPr>
                <w:color w:val="auto"/>
                <w:szCs w:val="21"/>
              </w:rPr>
              <w:t xml:space="preserve">数据传输</w:t>
            </w:r>
            <w:r/>
          </w:p>
        </w:tc>
        <w:tc>
          <w:tcPr>
            <w:tcW w:w="2422" w:type="pct"/>
            <w:vAlign w:val="center"/>
            <w:textDirection w:val="lrTb"/>
            <w:noWrap/>
          </w:tcPr>
          <w:p>
            <w:pPr>
              <w:jc w:val="center"/>
              <w:widowControl/>
              <w:rPr>
                <w:color w:val="auto"/>
                <w:szCs w:val="21"/>
              </w:rPr>
            </w:pPr>
            <w:r>
              <w:rPr>
                <w:color w:val="auto"/>
                <w:szCs w:val="21"/>
              </w:rPr>
              <w:t xml:space="preserve">带宽20Mbps</w:t>
            </w:r>
            <w:r/>
          </w:p>
        </w:tc>
        <w:tc>
          <w:tcPr>
            <w:tcW w:w="290" w:type="pct"/>
            <w:vAlign w:val="center"/>
            <w:textDirection w:val="lrTb"/>
            <w:noWrap/>
          </w:tcPr>
          <w:p>
            <w:pPr>
              <w:jc w:val="center"/>
              <w:widowControl/>
              <w:rPr>
                <w:color w:val="auto"/>
                <w:szCs w:val="21"/>
              </w:rPr>
            </w:pPr>
            <w:r>
              <w:rPr>
                <w:color w:val="auto"/>
                <w:szCs w:val="21"/>
              </w:rPr>
              <w:t xml:space="preserve">33</w:t>
            </w:r>
            <w:r/>
          </w:p>
        </w:tc>
        <w:tc>
          <w:tcPr>
            <w:tcW w:w="318" w:type="pct"/>
            <w:vAlign w:val="center"/>
            <w:textDirection w:val="lrTb"/>
            <w:noWrap/>
          </w:tcPr>
          <w:p>
            <w:pPr>
              <w:jc w:val="center"/>
              <w:widowControl/>
              <w:rPr>
                <w:color w:val="auto"/>
                <w:szCs w:val="21"/>
              </w:rPr>
            </w:pPr>
            <w:r>
              <w:rPr>
                <w:color w:val="auto"/>
                <w:szCs w:val="21"/>
              </w:rPr>
              <w:t xml:space="preserve">路·年</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道路专项</w:t>
      </w:r>
      <w:r/>
    </w:p>
    <w:p>
      <w:pPr>
        <w:ind w:firstLine="480"/>
        <w:rPr>
          <w:color w:val="auto"/>
        </w:rPr>
      </w:pPr>
      <w:r>
        <w:rPr>
          <w:rFonts w:hint="eastAsia"/>
          <w:color w:val="auto"/>
        </w:rPr>
        <w:t xml:space="preserve">a.检测路段（</w:t>
      </w:r>
      <w:r>
        <w:rPr>
          <w:color w:val="auto"/>
        </w:rPr>
        <w:t xml:space="preserve">具体路段以实施为准</w:t>
      </w:r>
      <w:r>
        <w:rPr>
          <w:rFonts w:hint="eastAsia"/>
          <w:color w:val="auto"/>
        </w:rPr>
        <w:t xml:space="preserve">）</w:t>
      </w:r>
      <w:r/>
    </w:p>
    <w:tbl>
      <w:tblPr>
        <w:tblStyle w:val="6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58"/>
        <w:gridCol w:w="6471"/>
      </w:tblGrid>
      <w:tr>
        <w:trPr>
          <w:tblHeader/>
        </w:trPr>
        <w:tc>
          <w:tcPr>
            <w:tcW w:w="1640" w:type="pct"/>
            <w:textDirection w:val="lrTb"/>
            <w:noWrap w:val="false"/>
          </w:tcPr>
          <w:p>
            <w:pPr>
              <w:pStyle w:val="792"/>
              <w:spacing w:after="0" w:line="240" w:lineRule="auto"/>
              <w:rPr>
                <w:rFonts w:ascii="Calibri" w:hAnsi="Calibri"/>
                <w:color w:val="auto"/>
              </w:rPr>
            </w:pPr>
            <w:r>
              <w:rPr>
                <w:rFonts w:ascii="Calibri" w:hAnsi="Calibri"/>
                <w:color w:val="auto"/>
              </w:rPr>
              <w:t xml:space="preserve">序号</w:t>
            </w:r>
            <w:r/>
          </w:p>
        </w:tc>
        <w:tc>
          <w:tcPr>
            <w:tcW w:w="336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路段名称</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1</w:t>
            </w:r>
            <w:r/>
          </w:p>
        </w:tc>
        <w:tc>
          <w:tcPr>
            <w:tcW w:w="3360" w:type="pct"/>
            <w:vAlign w:val="bottom"/>
            <w:textDirection w:val="lrTb"/>
            <w:noWrap w:val="false"/>
          </w:tcPr>
          <w:p>
            <w:pPr>
              <w:pStyle w:val="792"/>
              <w:spacing w:after="0" w:line="240" w:lineRule="auto"/>
              <w:rPr>
                <w:rFonts w:ascii="Calibri" w:hAnsi="Calibri"/>
                <w:color w:val="auto"/>
              </w:rPr>
            </w:pPr>
            <w:r>
              <w:rPr>
                <w:rFonts w:ascii="Calibri" w:hAnsi="Calibri"/>
                <w:color w:val="auto"/>
              </w:rPr>
              <w:t xml:space="preserve">水关路（西二环路—新民路）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2</w:t>
            </w:r>
            <w:r/>
          </w:p>
        </w:tc>
        <w:tc>
          <w:tcPr>
            <w:tcW w:w="3360" w:type="pct"/>
            <w:vAlign w:val="bottom"/>
            <w:textDirection w:val="lrTb"/>
            <w:noWrap w:val="false"/>
          </w:tcPr>
          <w:p>
            <w:pPr>
              <w:pStyle w:val="792"/>
              <w:spacing w:after="0" w:line="240" w:lineRule="auto"/>
              <w:rPr>
                <w:rFonts w:ascii="Calibri" w:hAnsi="Calibri"/>
                <w:color w:val="auto"/>
              </w:rPr>
            </w:pPr>
            <w:r>
              <w:rPr>
                <w:rFonts w:ascii="Calibri" w:hAnsi="Calibri"/>
                <w:color w:val="auto"/>
              </w:rPr>
              <w:t xml:space="preserve">城河路（北二环路—中山路）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3</w:t>
            </w:r>
            <w:r/>
          </w:p>
        </w:tc>
        <w:tc>
          <w:tcPr>
            <w:tcW w:w="3360" w:type="pct"/>
            <w:vAlign w:val="bottom"/>
            <w:textDirection w:val="lrTb"/>
            <w:noWrap w:val="false"/>
          </w:tcPr>
          <w:p>
            <w:pPr>
              <w:pStyle w:val="792"/>
              <w:spacing w:after="0" w:line="240" w:lineRule="auto"/>
              <w:rPr>
                <w:rFonts w:ascii="Calibri" w:hAnsi="Calibri"/>
                <w:color w:val="auto"/>
              </w:rPr>
            </w:pPr>
            <w:r>
              <w:rPr>
                <w:rFonts w:ascii="Calibri" w:hAnsi="Calibri"/>
                <w:color w:val="auto"/>
              </w:rPr>
              <w:t xml:space="preserve">城河路（中山路—丹凤路）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4</w:t>
            </w:r>
            <w:r/>
          </w:p>
        </w:tc>
        <w:tc>
          <w:tcPr>
            <w:tcW w:w="3360" w:type="pct"/>
            <w:vAlign w:val="bottom"/>
            <w:textDirection w:val="lrTb"/>
            <w:noWrap w:val="false"/>
          </w:tcPr>
          <w:p>
            <w:pPr>
              <w:pStyle w:val="792"/>
              <w:spacing w:after="0" w:line="240" w:lineRule="auto"/>
              <w:rPr>
                <w:rFonts w:ascii="Calibri" w:hAnsi="Calibri"/>
                <w:color w:val="auto"/>
              </w:rPr>
            </w:pPr>
            <w:r>
              <w:rPr>
                <w:rFonts w:ascii="Calibri" w:hAnsi="Calibri"/>
                <w:color w:val="auto"/>
              </w:rPr>
              <w:t xml:space="preserve">北环路（城河路—丹凤路）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5</w:t>
            </w:r>
            <w:r/>
          </w:p>
        </w:tc>
        <w:tc>
          <w:tcPr>
            <w:tcW w:w="3360" w:type="pct"/>
            <w:vAlign w:val="bottom"/>
            <w:textDirection w:val="lrTb"/>
            <w:noWrap w:val="false"/>
          </w:tcPr>
          <w:p>
            <w:pPr>
              <w:pStyle w:val="792"/>
              <w:spacing w:after="0" w:line="240" w:lineRule="auto"/>
              <w:rPr>
                <w:rFonts w:ascii="Calibri" w:hAnsi="Calibri"/>
                <w:color w:val="auto"/>
              </w:rPr>
            </w:pPr>
            <w:r>
              <w:rPr>
                <w:rFonts w:ascii="Calibri" w:hAnsi="Calibri"/>
                <w:color w:val="auto"/>
              </w:rPr>
              <w:t xml:space="preserve">丹金路（北二环路—中山路）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6</w:t>
            </w:r>
            <w:r/>
          </w:p>
        </w:tc>
        <w:tc>
          <w:tcPr>
            <w:tcW w:w="3360" w:type="pct"/>
            <w:vAlign w:val="bottom"/>
            <w:textDirection w:val="lrTb"/>
            <w:noWrap w:val="false"/>
          </w:tcPr>
          <w:p>
            <w:pPr>
              <w:pStyle w:val="792"/>
              <w:spacing w:after="0" w:line="240" w:lineRule="auto"/>
              <w:rPr>
                <w:rFonts w:ascii="Calibri" w:hAnsi="Calibri"/>
                <w:color w:val="auto"/>
              </w:rPr>
            </w:pPr>
            <w:r>
              <w:rPr>
                <w:rFonts w:ascii="Calibri" w:hAnsi="Calibri"/>
                <w:color w:val="auto"/>
              </w:rPr>
              <w:t xml:space="preserve">丹凤路（北二环路—中山路）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7</w:t>
            </w:r>
            <w:r/>
          </w:p>
        </w:tc>
        <w:tc>
          <w:tcPr>
            <w:tcW w:w="3360" w:type="pct"/>
            <w:vAlign w:val="bottom"/>
            <w:textDirection w:val="lrTb"/>
            <w:noWrap w:val="false"/>
          </w:tcPr>
          <w:p>
            <w:pPr>
              <w:pStyle w:val="792"/>
              <w:spacing w:after="0" w:line="240" w:lineRule="auto"/>
              <w:rPr>
                <w:rFonts w:ascii="Calibri" w:hAnsi="Calibri"/>
                <w:color w:val="auto"/>
              </w:rPr>
            </w:pPr>
            <w:r>
              <w:rPr>
                <w:rFonts w:ascii="Calibri" w:hAnsi="Calibri"/>
                <w:color w:val="auto"/>
              </w:rPr>
              <w:t xml:space="preserve">丹金路（南环路—振兴路）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8</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车站路（北二环路—中山路）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9</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迎春路（迎宾路—凤凰路）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10</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中山路（白云街—丹凤路）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11</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迎春路（凤凰路—永兴路）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12</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水关路（新民路—人民公园）</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13</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丹凤路（中山路—南环路）</w:t>
            </w:r>
            <w:r/>
          </w:p>
        </w:tc>
      </w:tr>
      <w:tr>
        <w:trPr/>
        <w:tc>
          <w:tcPr>
            <w:tcW w:w="1640" w:type="pct"/>
            <w:vAlign w:val="center"/>
            <w:textDirection w:val="lrTb"/>
            <w:noWrap w:val="false"/>
          </w:tcPr>
          <w:p>
            <w:pPr>
              <w:pStyle w:val="792"/>
              <w:spacing w:after="0" w:line="240" w:lineRule="auto"/>
              <w:rPr>
                <w:rFonts w:ascii="Calibri" w:hAnsi="Calibri"/>
                <w:color w:val="auto"/>
              </w:rPr>
            </w:pPr>
            <w:r>
              <w:rPr>
                <w:rFonts w:ascii="Calibri" w:hAnsi="Calibri"/>
                <w:color w:val="auto"/>
              </w:rPr>
              <w:t xml:space="preserve">14</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新民路（西环路—迎宾路）</w:t>
            </w:r>
            <w:r/>
          </w:p>
        </w:tc>
      </w:tr>
      <w:tr>
        <w:trPr/>
        <w:tc>
          <w:tcPr>
            <w:tcW w:w="1640" w:type="pct"/>
            <w:textDirection w:val="lrTb"/>
            <w:noWrap w:val="false"/>
          </w:tcPr>
          <w:p>
            <w:pPr>
              <w:pStyle w:val="792"/>
              <w:spacing w:after="0" w:line="240" w:lineRule="auto"/>
              <w:rPr>
                <w:rFonts w:ascii="Calibri" w:hAnsi="Calibri"/>
                <w:color w:val="auto"/>
              </w:rPr>
            </w:pPr>
            <w:r>
              <w:rPr>
                <w:rFonts w:hint="eastAsia" w:ascii="Calibri" w:hAnsi="Calibri"/>
                <w:color w:val="auto"/>
              </w:rPr>
              <w:t xml:space="preserve">15</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西环路（北二环路—姜家园路）</w:t>
            </w:r>
            <w:r/>
          </w:p>
        </w:tc>
      </w:tr>
      <w:tr>
        <w:trPr/>
        <w:tc>
          <w:tcPr>
            <w:tcW w:w="1640" w:type="pct"/>
            <w:textDirection w:val="lrTb"/>
            <w:noWrap w:val="false"/>
          </w:tcPr>
          <w:p>
            <w:pPr>
              <w:pStyle w:val="792"/>
              <w:spacing w:after="0" w:line="240" w:lineRule="auto"/>
              <w:rPr>
                <w:rFonts w:ascii="Calibri" w:hAnsi="Calibri"/>
                <w:color w:val="auto"/>
              </w:rPr>
            </w:pPr>
            <w:r>
              <w:rPr>
                <w:rFonts w:hint="eastAsia" w:ascii="Calibri" w:hAnsi="Calibri"/>
                <w:color w:val="auto"/>
              </w:rPr>
              <w:t xml:space="preserve">16</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西环路（姜家园路—水关路）</w:t>
            </w:r>
            <w:r/>
          </w:p>
        </w:tc>
      </w:tr>
      <w:tr>
        <w:trPr/>
        <w:tc>
          <w:tcPr>
            <w:tcW w:w="1640" w:type="pct"/>
            <w:textDirection w:val="lrTb"/>
            <w:noWrap w:val="false"/>
          </w:tcPr>
          <w:p>
            <w:pPr>
              <w:pStyle w:val="792"/>
              <w:spacing w:after="0" w:line="240" w:lineRule="auto"/>
              <w:rPr>
                <w:rFonts w:ascii="Calibri" w:hAnsi="Calibri"/>
                <w:color w:val="auto"/>
              </w:rPr>
            </w:pPr>
            <w:r>
              <w:rPr>
                <w:rFonts w:hint="eastAsia" w:ascii="Calibri" w:hAnsi="Calibri"/>
                <w:color w:val="auto"/>
              </w:rPr>
              <w:t xml:space="preserve">17</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南环路（水关路—丹凤路）</w:t>
            </w:r>
            <w:r/>
          </w:p>
        </w:tc>
      </w:tr>
      <w:tr>
        <w:trPr/>
        <w:tc>
          <w:tcPr>
            <w:tcW w:w="1640" w:type="pct"/>
            <w:textDirection w:val="lrTb"/>
            <w:noWrap w:val="false"/>
          </w:tcPr>
          <w:p>
            <w:pPr>
              <w:pStyle w:val="792"/>
              <w:spacing w:after="0" w:line="240" w:lineRule="auto"/>
              <w:rPr>
                <w:rFonts w:ascii="Calibri" w:hAnsi="Calibri"/>
                <w:color w:val="auto"/>
              </w:rPr>
            </w:pPr>
            <w:r>
              <w:rPr>
                <w:rFonts w:hint="eastAsia" w:ascii="Calibri" w:hAnsi="Calibri"/>
                <w:color w:val="auto"/>
              </w:rPr>
              <w:t xml:space="preserve">18</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北环路（西环路—城河路）</w:t>
            </w:r>
            <w:r/>
          </w:p>
        </w:tc>
      </w:tr>
      <w:tr>
        <w:trPr/>
        <w:tc>
          <w:tcPr>
            <w:tcW w:w="1640" w:type="pct"/>
            <w:textDirection w:val="lrTb"/>
            <w:noWrap w:val="false"/>
          </w:tcPr>
          <w:p>
            <w:pPr>
              <w:pStyle w:val="792"/>
              <w:spacing w:after="0" w:line="240" w:lineRule="auto"/>
              <w:rPr>
                <w:rFonts w:ascii="Calibri" w:hAnsi="Calibri"/>
                <w:color w:val="auto"/>
              </w:rPr>
            </w:pPr>
            <w:r>
              <w:rPr>
                <w:rFonts w:hint="eastAsia" w:ascii="Calibri" w:hAnsi="Calibri"/>
                <w:color w:val="auto"/>
              </w:rPr>
              <w:t xml:space="preserve">19</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华南路（南环路—庆丰路）</w:t>
            </w:r>
            <w:r/>
          </w:p>
        </w:tc>
      </w:tr>
      <w:tr>
        <w:trPr/>
        <w:tc>
          <w:tcPr>
            <w:tcW w:w="1640" w:type="pct"/>
            <w:textDirection w:val="lrTb"/>
            <w:noWrap w:val="false"/>
          </w:tcPr>
          <w:p>
            <w:pPr>
              <w:pStyle w:val="792"/>
              <w:spacing w:after="0" w:line="240" w:lineRule="auto"/>
              <w:rPr>
                <w:rFonts w:ascii="Calibri" w:hAnsi="Calibri"/>
                <w:color w:val="auto"/>
              </w:rPr>
            </w:pPr>
            <w:r>
              <w:rPr>
                <w:rFonts w:hint="eastAsia" w:ascii="Calibri" w:hAnsi="Calibri"/>
                <w:color w:val="auto"/>
              </w:rPr>
              <w:t xml:space="preserve">20</w:t>
            </w:r>
            <w:r/>
          </w:p>
        </w:tc>
        <w:tc>
          <w:tcPr>
            <w:tcW w:w="3360" w:type="pct"/>
            <w:textDirection w:val="lrTb"/>
            <w:noWrap w:val="false"/>
          </w:tcPr>
          <w:p>
            <w:pPr>
              <w:pStyle w:val="792"/>
              <w:spacing w:after="0" w:line="240" w:lineRule="auto"/>
              <w:rPr>
                <w:rFonts w:ascii="Calibri" w:hAnsi="Calibri"/>
                <w:color w:val="auto"/>
              </w:rPr>
            </w:pPr>
            <w:r>
              <w:rPr>
                <w:rFonts w:ascii="Calibri" w:hAnsi="Calibri"/>
                <w:color w:val="auto"/>
              </w:rPr>
              <w:t xml:space="preserve">振兴路（西二环路—丹金溧漕河）</w:t>
            </w:r>
            <w:r/>
          </w:p>
        </w:tc>
      </w:tr>
    </w:tbl>
    <w:p>
      <w:pPr>
        <w:ind w:firstLine="480"/>
        <w:rPr>
          <w:rFonts w:hint="eastAsia" w:ascii="宋体" w:hAnsi="宋体" w:cs="宋体"/>
          <w:color w:val="auto"/>
        </w:rPr>
      </w:pPr>
      <w:r>
        <w:rPr>
          <w:rFonts w:hint="eastAsia" w:ascii="宋体" w:hAnsi="宋体" w:cs="宋体"/>
          <w:color w:val="auto"/>
        </w:rPr>
        <w:t xml:space="preserve">b.检测长度及技术要求</w:t>
      </w:r>
      <w:r/>
    </w:p>
    <w:tbl>
      <w:tblPr>
        <w:tblStyle w:val="6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292"/>
        <w:gridCol w:w="1056"/>
        <w:gridCol w:w="4180"/>
        <w:gridCol w:w="960"/>
        <w:gridCol w:w="1382"/>
      </w:tblGrid>
      <w:tr>
        <w:trPr>
          <w:trHeight w:val="20"/>
          <w:tblHeader/>
        </w:trPr>
        <w:tc>
          <w:tcPr>
            <w:tcW w:w="420" w:type="pct"/>
            <w:vAlign w:val="center"/>
            <w:textDirection w:val="lrTb"/>
            <w:noWrap/>
          </w:tcPr>
          <w:p>
            <w:pPr>
              <w:jc w:val="center"/>
              <w:widowControl/>
              <w:rPr>
                <w:color w:val="auto"/>
                <w:szCs w:val="21"/>
              </w:rPr>
            </w:pPr>
            <w:r>
              <w:rPr>
                <w:color w:val="auto"/>
                <w:szCs w:val="21"/>
              </w:rPr>
              <w:t xml:space="preserve">序号</w:t>
            </w:r>
            <w:r/>
          </w:p>
        </w:tc>
        <w:tc>
          <w:tcPr>
            <w:tcW w:w="697" w:type="pct"/>
            <w:vAlign w:val="center"/>
            <w:textDirection w:val="lrTb"/>
            <w:noWrap/>
          </w:tcPr>
          <w:p>
            <w:pPr>
              <w:jc w:val="center"/>
              <w:widowControl/>
              <w:rPr>
                <w:color w:val="auto"/>
                <w:szCs w:val="21"/>
              </w:rPr>
            </w:pPr>
            <w:r>
              <w:rPr>
                <w:rFonts w:hint="eastAsia"/>
                <w:color w:val="auto"/>
                <w:szCs w:val="21"/>
              </w:rPr>
              <w:t xml:space="preserve">检测</w:t>
            </w:r>
            <w:r>
              <w:rPr>
                <w:color w:val="auto"/>
                <w:szCs w:val="21"/>
              </w:rPr>
              <w:t xml:space="preserve">对象</w:t>
            </w:r>
            <w:r/>
          </w:p>
        </w:tc>
        <w:tc>
          <w:tcPr>
            <w:tcW w:w="420" w:type="pct"/>
            <w:vAlign w:val="center"/>
            <w:textDirection w:val="lrTb"/>
            <w:noWrap/>
          </w:tcPr>
          <w:p>
            <w:pPr>
              <w:widowControl/>
              <w:rPr>
                <w:color w:val="auto"/>
                <w:szCs w:val="21"/>
              </w:rPr>
            </w:pPr>
            <w:r>
              <w:rPr>
                <w:rFonts w:hint="eastAsia"/>
                <w:color w:val="auto"/>
                <w:szCs w:val="21"/>
              </w:rPr>
              <w:t xml:space="preserve">设备名称</w:t>
            </w:r>
            <w:r/>
          </w:p>
        </w:tc>
        <w:tc>
          <w:tcPr>
            <w:tcW w:w="2196" w:type="pct"/>
            <w:vAlign w:val="center"/>
            <w:textDirection w:val="lrTb"/>
            <w:noWrap/>
          </w:tcPr>
          <w:p>
            <w:pPr>
              <w:jc w:val="center"/>
              <w:widowControl/>
              <w:rPr>
                <w:color w:val="auto"/>
                <w:szCs w:val="21"/>
              </w:rPr>
            </w:pPr>
            <w:r>
              <w:rPr>
                <w:color w:val="auto"/>
                <w:szCs w:val="21"/>
              </w:rPr>
              <w:t xml:space="preserve">技术参数</w:t>
            </w:r>
            <w:r/>
          </w:p>
        </w:tc>
        <w:tc>
          <w:tcPr>
            <w:tcW w:w="524" w:type="pct"/>
            <w:vAlign w:val="center"/>
            <w:textDirection w:val="lrTb"/>
            <w:noWrap/>
          </w:tcPr>
          <w:p>
            <w:pPr>
              <w:jc w:val="center"/>
              <w:widowControl/>
              <w:rPr>
                <w:color w:val="auto"/>
                <w:szCs w:val="21"/>
              </w:rPr>
            </w:pPr>
            <w:r>
              <w:rPr>
                <w:color w:val="auto"/>
                <w:szCs w:val="21"/>
              </w:rPr>
              <w:t xml:space="preserve">数量</w:t>
            </w:r>
            <w:r/>
          </w:p>
        </w:tc>
        <w:tc>
          <w:tcPr>
            <w:tcW w:w="743" w:type="pct"/>
            <w:vAlign w:val="center"/>
            <w:textDirection w:val="lrTb"/>
            <w:noWrap/>
          </w:tcPr>
          <w:p>
            <w:pPr>
              <w:jc w:val="center"/>
              <w:widowControl/>
              <w:rPr>
                <w:color w:val="auto"/>
                <w:szCs w:val="21"/>
              </w:rPr>
            </w:pPr>
            <w:r>
              <w:rPr>
                <w:color w:val="auto"/>
                <w:szCs w:val="21"/>
              </w:rPr>
              <w:t xml:space="preserve">单位</w:t>
            </w:r>
            <w:r/>
          </w:p>
        </w:tc>
      </w:tr>
      <w:tr>
        <w:trPr>
          <w:trHeight w:val="20"/>
        </w:trPr>
        <w:tc>
          <w:tcPr>
            <w:tcW w:w="420" w:type="pct"/>
            <w:vAlign w:val="center"/>
            <w:textDirection w:val="lrTb"/>
            <w:noWrap/>
          </w:tcPr>
          <w:p>
            <w:pPr>
              <w:jc w:val="center"/>
              <w:widowControl/>
              <w:rPr>
                <w:color w:val="auto"/>
                <w:szCs w:val="21"/>
              </w:rPr>
            </w:pPr>
            <w:r>
              <w:rPr>
                <w:rFonts w:hint="eastAsia"/>
                <w:color w:val="auto"/>
                <w:szCs w:val="21"/>
              </w:rPr>
              <w:t xml:space="preserve">1</w:t>
            </w:r>
            <w:r/>
          </w:p>
        </w:tc>
        <w:tc>
          <w:tcPr>
            <w:tcW w:w="697" w:type="pct"/>
            <w:vAlign w:val="center"/>
            <w:textDirection w:val="lrTb"/>
            <w:noWrap w:val="false"/>
          </w:tcPr>
          <w:p>
            <w:pPr>
              <w:jc w:val="center"/>
              <w:widowControl/>
              <w:rPr>
                <w:color w:val="auto"/>
                <w:szCs w:val="21"/>
              </w:rPr>
            </w:pPr>
            <w:r>
              <w:rPr>
                <w:color w:val="auto"/>
                <w:szCs w:val="21"/>
              </w:rPr>
              <w:t xml:space="preserve">道路地下空洞</w:t>
            </w:r>
            <w:r/>
          </w:p>
        </w:tc>
        <w:tc>
          <w:tcPr>
            <w:tcW w:w="420" w:type="pct"/>
            <w:vAlign w:val="center"/>
            <w:textDirection w:val="lrTb"/>
            <w:noWrap w:val="false"/>
          </w:tcPr>
          <w:p>
            <w:pPr>
              <w:jc w:val="center"/>
              <w:widowControl/>
              <w:rPr>
                <w:color w:val="auto"/>
                <w:szCs w:val="21"/>
              </w:rPr>
            </w:pPr>
            <w:r>
              <w:rPr>
                <w:color w:val="auto"/>
                <w:szCs w:val="21"/>
              </w:rPr>
              <w:t xml:space="preserve">探地雷达设备（购买检测服务）</w:t>
            </w:r>
            <w:r/>
          </w:p>
        </w:tc>
        <w:tc>
          <w:tcPr>
            <w:tcW w:w="2196" w:type="pct"/>
            <w:vAlign w:val="center"/>
            <w:textDirection w:val="lrTb"/>
            <w:noWrap w:val="false"/>
          </w:tcPr>
          <w:p>
            <w:pPr>
              <w:jc w:val="center"/>
              <w:widowControl/>
              <w:rPr>
                <w:color w:val="auto"/>
                <w:szCs w:val="21"/>
              </w:rPr>
            </w:pPr>
            <w:r>
              <w:rPr>
                <w:color w:val="auto"/>
                <w:szCs w:val="21"/>
              </w:rPr>
              <w:t xml:space="preserve">雷达主机：探测深度：0~5m</w:t>
            </w:r>
            <w:r>
              <w:rPr>
                <w:color w:val="auto"/>
                <w:szCs w:val="21"/>
              </w:rPr>
              <w:br/>
            </w:r>
            <w:r>
              <w:rPr>
                <w:color w:val="auto"/>
                <w:szCs w:val="21"/>
              </w:rPr>
              <w:t xml:space="preserve">采用双频组合式雷达，低频天线的中心频率范围为150MHz~200MHz之间，高频天线的中心频率范围为400MHz~600MHz之间；</w:t>
            </w:r>
            <w:r>
              <w:rPr>
                <w:color w:val="auto"/>
                <w:szCs w:val="21"/>
              </w:rPr>
              <w:br/>
            </w:r>
            <w:r>
              <w:rPr>
                <w:color w:val="auto"/>
                <w:szCs w:val="21"/>
              </w:rPr>
              <w:t xml:space="preserve">通道：不少于18个通道；</w:t>
            </w:r>
            <w:r>
              <w:rPr>
                <w:color w:val="auto"/>
                <w:szCs w:val="21"/>
              </w:rPr>
              <w:br/>
            </w:r>
            <w:r>
              <w:rPr>
                <w:color w:val="auto"/>
                <w:szCs w:val="21"/>
              </w:rPr>
              <w:t xml:space="preserve">脉冲重复频率：不低于160KHz；</w:t>
            </w:r>
            <w:r>
              <w:rPr>
                <w:color w:val="auto"/>
                <w:szCs w:val="21"/>
              </w:rPr>
              <w:br/>
            </w:r>
            <w:r>
              <w:rPr>
                <w:color w:val="auto"/>
                <w:szCs w:val="21"/>
              </w:rPr>
              <w:t xml:space="preserve">数据位数：≥16bit；</w:t>
            </w:r>
            <w:r>
              <w:rPr>
                <w:color w:val="auto"/>
                <w:szCs w:val="21"/>
              </w:rPr>
              <w:br/>
            </w:r>
            <w:r>
              <w:rPr>
                <w:color w:val="auto"/>
                <w:szCs w:val="21"/>
              </w:rPr>
              <w:t xml:space="preserve">外接高精度，可连接北斗系统定位；</w:t>
            </w:r>
            <w:r>
              <w:rPr>
                <w:color w:val="auto"/>
                <w:szCs w:val="21"/>
              </w:rPr>
              <w:br/>
            </w:r>
            <w:r>
              <w:rPr>
                <w:color w:val="auto"/>
                <w:szCs w:val="21"/>
              </w:rPr>
              <w:t xml:space="preserve">配备“数据采集软件”和“数据处理与解译软件”，软件可对采集1的雷达回波数据进行处理与分析，圈定并判定引起道路塌陷的空洞、脱空等安全隐患，通过隐患的净深与面积等属性参数，对空洞、脱空等隐患进行等级评定，从而实现道路安全隐患预警功能。支持数据的黑白或彩色显示，支持显示任意方向的水平、垂向和纵向切片。</w:t>
            </w:r>
            <w:r>
              <w:rPr>
                <w:color w:val="auto"/>
                <w:szCs w:val="21"/>
              </w:rPr>
              <w:br/>
            </w:r>
            <w:r>
              <w:rPr>
                <w:color w:val="auto"/>
                <w:szCs w:val="21"/>
              </w:rPr>
              <w:t xml:space="preserve">配备手推式二维雷达对三维雷达检测疑问点进行复核、精确复测。</w:t>
            </w:r>
            <w:r/>
          </w:p>
        </w:tc>
        <w:tc>
          <w:tcPr>
            <w:tcW w:w="524" w:type="pct"/>
            <w:vAlign w:val="center"/>
            <w:textDirection w:val="lrTb"/>
            <w:noWrap/>
          </w:tcPr>
          <w:p>
            <w:pPr>
              <w:jc w:val="center"/>
              <w:widowControl/>
              <w:rPr>
                <w:color w:val="auto"/>
                <w:szCs w:val="21"/>
              </w:rPr>
            </w:pPr>
            <w:r>
              <w:rPr>
                <w:color w:val="auto"/>
                <w:szCs w:val="21"/>
              </w:rPr>
              <w:t xml:space="preserve">210.96</w:t>
            </w:r>
            <w:r/>
          </w:p>
        </w:tc>
        <w:tc>
          <w:tcPr>
            <w:tcW w:w="743" w:type="pct"/>
            <w:vAlign w:val="center"/>
            <w:textDirection w:val="lrTb"/>
            <w:noWrap/>
          </w:tcPr>
          <w:p>
            <w:pPr>
              <w:jc w:val="center"/>
              <w:widowControl/>
              <w:rPr>
                <w:color w:val="auto"/>
                <w:szCs w:val="21"/>
              </w:rPr>
            </w:pPr>
            <w:r>
              <w:rPr>
                <w:color w:val="auto"/>
                <w:szCs w:val="21"/>
              </w:rPr>
              <w:t xml:space="preserve">车道·公里</w:t>
            </w:r>
            <w:r/>
          </w:p>
        </w:tc>
      </w:tr>
    </w:tbl>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5.</w:t>
      </w:r>
      <w:r>
        <w:rPr>
          <w:rFonts w:ascii="宋体" w:hAnsi="宋体" w:cs="宋体"/>
          <w:b/>
          <w:bCs/>
          <w:color w:val="auto"/>
          <w:sz w:val="24"/>
        </w:rPr>
        <w:t xml:space="preserve">数据汇聚治理要求</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本项目需提供详细的数据资源梳理、数据标准建设、数据汇聚实施、数据质量与治理、数据融合开发、数据资产管理、数据服务与运维等数据治理服务方案，为上层业务应用提供数据支持和服务支撑。</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数据资源梳理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制定业务数据需求模板，通过梳理、调研对接、会议评审等方式完成业务数据需求清单，需包括：调研方案制定、业务需求调研、数据资源梳理、数据资源目录编制、任务书下发等工作。</w:t>
      </w:r>
      <w:r/>
    </w:p>
    <w:tbl>
      <w:tblPr>
        <w:tblStyle w:val="6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976"/>
        <w:gridCol w:w="6979"/>
      </w:tblGrid>
      <w:tr>
        <w:trPr>
          <w:jc w:val="center"/>
          <w:trHeight w:val="20"/>
          <w:tblHeader/>
        </w:trPr>
        <w:tc>
          <w:tcPr>
            <w:tcW w:w="362" w:type="pct"/>
            <w:vAlign w:val="center"/>
            <w:textDirection w:val="lrTb"/>
            <w:noWrap/>
          </w:tcPr>
          <w:p>
            <w:pPr>
              <w:pStyle w:val="793"/>
              <w:jc w:val="center"/>
              <w:rPr>
                <w:color w:val="auto"/>
              </w:rPr>
            </w:pPr>
            <w:r>
              <w:rPr>
                <w:color w:val="auto"/>
              </w:rPr>
              <w:t xml:space="preserve">序号</w:t>
            </w:r>
            <w:r/>
          </w:p>
        </w:tc>
        <w:tc>
          <w:tcPr>
            <w:tcW w:w="999" w:type="pct"/>
            <w:vAlign w:val="center"/>
            <w:textDirection w:val="lrTb"/>
            <w:noWrap/>
          </w:tcPr>
          <w:p>
            <w:pPr>
              <w:pStyle w:val="793"/>
              <w:jc w:val="center"/>
              <w:rPr>
                <w:color w:val="auto"/>
              </w:rPr>
            </w:pPr>
            <w:r>
              <w:rPr>
                <w:color w:val="auto"/>
              </w:rPr>
              <w:t xml:space="preserve">治理任务</w:t>
            </w:r>
            <w:r/>
          </w:p>
        </w:tc>
        <w:tc>
          <w:tcPr>
            <w:tcW w:w="3638" w:type="pct"/>
            <w:vAlign w:val="center"/>
            <w:textDirection w:val="lrTb"/>
            <w:noWrap/>
          </w:tcPr>
          <w:p>
            <w:pPr>
              <w:pStyle w:val="793"/>
              <w:jc w:val="center"/>
              <w:rPr>
                <w:color w:val="auto"/>
              </w:rPr>
            </w:pPr>
            <w:r>
              <w:rPr>
                <w:color w:val="auto"/>
              </w:rPr>
              <w:t xml:space="preserve">工作内容</w:t>
            </w:r>
            <w:r/>
          </w:p>
        </w:tc>
      </w:tr>
      <w:tr>
        <w:trPr>
          <w:jc w:val="center"/>
          <w:trHeight w:val="20"/>
          <w:tblHeader/>
        </w:trPr>
        <w:tc>
          <w:tcPr>
            <w:tcW w:w="362" w:type="pct"/>
            <w:vAlign w:val="center"/>
            <w:textDirection w:val="lrTb"/>
            <w:noWrap/>
          </w:tcPr>
          <w:p>
            <w:pPr>
              <w:pStyle w:val="793"/>
              <w:jc w:val="center"/>
              <w:rPr>
                <w:color w:val="auto"/>
              </w:rPr>
            </w:pPr>
            <w:r>
              <w:rPr>
                <w:color w:val="auto"/>
              </w:rPr>
              <w:t xml:space="preserve">1</w:t>
            </w:r>
            <w:r/>
          </w:p>
        </w:tc>
        <w:tc>
          <w:tcPr>
            <w:tcW w:w="999" w:type="pct"/>
            <w:vAlign w:val="center"/>
            <w:textDirection w:val="lrTb"/>
            <w:noWrap/>
          </w:tcPr>
          <w:p>
            <w:pPr>
              <w:pStyle w:val="793"/>
              <w:jc w:val="center"/>
              <w:rPr>
                <w:color w:val="auto"/>
              </w:rPr>
            </w:pPr>
            <w:r>
              <w:rPr>
                <w:color w:val="auto"/>
              </w:rPr>
              <w:t xml:space="preserve">调研方案制定</w:t>
            </w:r>
            <w:r/>
          </w:p>
        </w:tc>
        <w:tc>
          <w:tcPr>
            <w:tcW w:w="3638" w:type="pct"/>
            <w:vAlign w:val="center"/>
            <w:textDirection w:val="lrTb"/>
            <w:noWrap w:val="false"/>
          </w:tcPr>
          <w:p>
            <w:pPr>
              <w:pStyle w:val="793"/>
              <w:jc w:val="center"/>
              <w:rPr>
                <w:color w:val="auto"/>
              </w:rPr>
            </w:pPr>
            <w:r>
              <w:rPr>
                <w:color w:val="auto"/>
              </w:rPr>
              <w:t xml:space="preserve">编制项目调研实施计划，完成各类业务、数据调研模板的设计工作。</w:t>
            </w:r>
            <w:r/>
          </w:p>
        </w:tc>
      </w:tr>
      <w:tr>
        <w:trPr>
          <w:jc w:val="center"/>
          <w:trHeight w:val="20"/>
          <w:tblHeader/>
        </w:trPr>
        <w:tc>
          <w:tcPr>
            <w:tcW w:w="362" w:type="pct"/>
            <w:vAlign w:val="center"/>
            <w:textDirection w:val="lrTb"/>
            <w:noWrap/>
          </w:tcPr>
          <w:p>
            <w:pPr>
              <w:pStyle w:val="793"/>
              <w:jc w:val="center"/>
              <w:rPr>
                <w:color w:val="auto"/>
              </w:rPr>
            </w:pPr>
            <w:r>
              <w:rPr>
                <w:color w:val="auto"/>
              </w:rPr>
              <w:t xml:space="preserve">2</w:t>
            </w:r>
            <w:r/>
          </w:p>
        </w:tc>
        <w:tc>
          <w:tcPr>
            <w:tcW w:w="999" w:type="pct"/>
            <w:vAlign w:val="center"/>
            <w:textDirection w:val="lrTb"/>
            <w:noWrap/>
          </w:tcPr>
          <w:p>
            <w:pPr>
              <w:pStyle w:val="793"/>
              <w:jc w:val="center"/>
              <w:rPr>
                <w:color w:val="auto"/>
              </w:rPr>
            </w:pPr>
            <w:r>
              <w:rPr>
                <w:color w:val="auto"/>
              </w:rPr>
              <w:t xml:space="preserve">业务需求调研</w:t>
            </w:r>
            <w:r/>
          </w:p>
        </w:tc>
        <w:tc>
          <w:tcPr>
            <w:tcW w:w="3638" w:type="pct"/>
            <w:vAlign w:val="center"/>
            <w:textDirection w:val="lrTb"/>
            <w:noWrap w:val="false"/>
          </w:tcPr>
          <w:p>
            <w:pPr>
              <w:pStyle w:val="793"/>
              <w:jc w:val="center"/>
              <w:rPr>
                <w:color w:val="auto"/>
              </w:rPr>
            </w:pPr>
            <w:r>
              <w:rPr>
                <w:color w:val="auto"/>
              </w:rPr>
              <w:t xml:space="preserve">开展各相关部门访谈，梳理形成业务需求清单。</w:t>
            </w:r>
            <w:r/>
          </w:p>
        </w:tc>
      </w:tr>
      <w:tr>
        <w:trPr>
          <w:jc w:val="center"/>
          <w:trHeight w:val="20"/>
          <w:tblHeader/>
        </w:trPr>
        <w:tc>
          <w:tcPr>
            <w:tcW w:w="362" w:type="pct"/>
            <w:vAlign w:val="center"/>
            <w:textDirection w:val="lrTb"/>
            <w:noWrap/>
          </w:tcPr>
          <w:p>
            <w:pPr>
              <w:pStyle w:val="793"/>
              <w:jc w:val="center"/>
              <w:rPr>
                <w:color w:val="auto"/>
              </w:rPr>
            </w:pPr>
            <w:r>
              <w:rPr>
                <w:color w:val="auto"/>
              </w:rPr>
              <w:t xml:space="preserve">3</w:t>
            </w:r>
            <w:r/>
          </w:p>
        </w:tc>
        <w:tc>
          <w:tcPr>
            <w:tcW w:w="999" w:type="pct"/>
            <w:vAlign w:val="center"/>
            <w:textDirection w:val="lrTb"/>
            <w:noWrap/>
          </w:tcPr>
          <w:p>
            <w:pPr>
              <w:pStyle w:val="793"/>
              <w:jc w:val="center"/>
              <w:rPr>
                <w:color w:val="auto"/>
              </w:rPr>
            </w:pPr>
            <w:r>
              <w:rPr>
                <w:color w:val="auto"/>
              </w:rPr>
              <w:t xml:space="preserve">数据资源梳理</w:t>
            </w:r>
            <w:r/>
          </w:p>
        </w:tc>
        <w:tc>
          <w:tcPr>
            <w:tcW w:w="3638" w:type="pct"/>
            <w:vAlign w:val="center"/>
            <w:textDirection w:val="lrTb"/>
            <w:noWrap w:val="false"/>
          </w:tcPr>
          <w:p>
            <w:pPr>
              <w:pStyle w:val="793"/>
              <w:jc w:val="center"/>
              <w:rPr>
                <w:color w:val="auto"/>
              </w:rPr>
            </w:pPr>
            <w:r>
              <w:rPr>
                <w:color w:val="auto"/>
              </w:rPr>
              <w:t xml:space="preserve">全面摸排各类数据源，编制数据源清单与数据资源映射表并完成核对确认。</w:t>
            </w:r>
            <w:r/>
          </w:p>
        </w:tc>
      </w:tr>
      <w:tr>
        <w:trPr>
          <w:jc w:val="center"/>
          <w:trHeight w:val="20"/>
          <w:tblHeader/>
        </w:trPr>
        <w:tc>
          <w:tcPr>
            <w:tcW w:w="362" w:type="pct"/>
            <w:vAlign w:val="center"/>
            <w:textDirection w:val="lrTb"/>
            <w:noWrap/>
          </w:tcPr>
          <w:p>
            <w:pPr>
              <w:pStyle w:val="793"/>
              <w:jc w:val="center"/>
              <w:rPr>
                <w:color w:val="auto"/>
              </w:rPr>
            </w:pPr>
            <w:r>
              <w:rPr>
                <w:color w:val="auto"/>
              </w:rPr>
              <w:t xml:space="preserve">4</w:t>
            </w:r>
            <w:r/>
          </w:p>
        </w:tc>
        <w:tc>
          <w:tcPr>
            <w:tcW w:w="999" w:type="pct"/>
            <w:vAlign w:val="center"/>
            <w:textDirection w:val="lrTb"/>
            <w:noWrap/>
          </w:tcPr>
          <w:p>
            <w:pPr>
              <w:pStyle w:val="793"/>
              <w:jc w:val="center"/>
              <w:rPr>
                <w:color w:val="auto"/>
              </w:rPr>
            </w:pPr>
            <w:r>
              <w:rPr>
                <w:color w:val="auto"/>
              </w:rPr>
              <w:t xml:space="preserve">数据资源目录编制</w:t>
            </w:r>
            <w:r/>
          </w:p>
        </w:tc>
        <w:tc>
          <w:tcPr>
            <w:tcW w:w="3638" w:type="pct"/>
            <w:vAlign w:val="center"/>
            <w:textDirection w:val="lrTb"/>
            <w:noWrap w:val="false"/>
          </w:tcPr>
          <w:p>
            <w:pPr>
              <w:pStyle w:val="793"/>
              <w:jc w:val="center"/>
              <w:rPr>
                <w:color w:val="auto"/>
              </w:rPr>
            </w:pPr>
            <w:r>
              <w:rPr>
                <w:color w:val="auto"/>
              </w:rPr>
              <w:t xml:space="preserve">开展目录分类设计，编制形成完整的数据资源目录清单。</w:t>
            </w:r>
            <w:r/>
          </w:p>
        </w:tc>
      </w:tr>
      <w:tr>
        <w:trPr>
          <w:jc w:val="center"/>
          <w:trHeight w:val="20"/>
          <w:tblHeader/>
        </w:trPr>
        <w:tc>
          <w:tcPr>
            <w:tcW w:w="362" w:type="pct"/>
            <w:vAlign w:val="center"/>
            <w:textDirection w:val="lrTb"/>
            <w:noWrap/>
          </w:tcPr>
          <w:p>
            <w:pPr>
              <w:pStyle w:val="793"/>
              <w:jc w:val="center"/>
              <w:rPr>
                <w:color w:val="auto"/>
              </w:rPr>
            </w:pPr>
            <w:r>
              <w:rPr>
                <w:color w:val="auto"/>
              </w:rPr>
              <w:t xml:space="preserve">5</w:t>
            </w:r>
            <w:r/>
          </w:p>
        </w:tc>
        <w:tc>
          <w:tcPr>
            <w:tcW w:w="999" w:type="pct"/>
            <w:vAlign w:val="center"/>
            <w:textDirection w:val="lrTb"/>
            <w:noWrap/>
          </w:tcPr>
          <w:p>
            <w:pPr>
              <w:pStyle w:val="793"/>
              <w:jc w:val="center"/>
              <w:rPr>
                <w:color w:val="auto"/>
              </w:rPr>
            </w:pPr>
            <w:r>
              <w:rPr>
                <w:color w:val="auto"/>
              </w:rPr>
              <w:t xml:space="preserve">任务书下发</w:t>
            </w:r>
            <w:r/>
          </w:p>
        </w:tc>
        <w:tc>
          <w:tcPr>
            <w:tcW w:w="3638" w:type="pct"/>
            <w:vAlign w:val="center"/>
            <w:textDirection w:val="lrTb"/>
            <w:noWrap w:val="false"/>
          </w:tcPr>
          <w:p>
            <w:pPr>
              <w:pStyle w:val="793"/>
              <w:jc w:val="center"/>
              <w:rPr>
                <w:color w:val="auto"/>
              </w:rPr>
            </w:pPr>
            <w:r>
              <w:rPr>
                <w:color w:val="auto"/>
              </w:rPr>
              <w:t xml:space="preserve">起草数据治理任务书，完成任务书下发并取得各方确认。</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数据标准建设</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使用数据标准管理工具结合数据标准体系构建</w:t>
      </w:r>
      <w:r>
        <w:rPr>
          <w:rFonts w:hint="eastAsia" w:ascii="宋体" w:hAnsi="宋体" w:cs="宋体"/>
          <w:color w:val="auto"/>
          <w:sz w:val="24"/>
        </w:rPr>
        <w:t xml:space="preserve">丹阳</w:t>
      </w:r>
      <w:r>
        <w:rPr>
          <w:rFonts w:ascii="宋体" w:hAnsi="宋体" w:cs="宋体"/>
          <w:color w:val="auto"/>
          <w:sz w:val="24"/>
        </w:rPr>
        <w:t xml:space="preserve">市级监管系统的数据标准</w:t>
      </w:r>
      <w:r>
        <w:rPr>
          <w:rFonts w:hint="eastAsia" w:ascii="宋体" w:hAnsi="宋体" w:cs="宋体"/>
          <w:color w:val="auto"/>
          <w:sz w:val="24"/>
        </w:rPr>
        <w:t xml:space="preserve">，需包括标准梳理、参考数据设计、数据探查、标准落库等工作。</w:t>
      </w:r>
      <w:r/>
    </w:p>
    <w:tbl>
      <w:tblPr>
        <w:tblStyle w:val="6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923"/>
        <w:gridCol w:w="7005"/>
      </w:tblGrid>
      <w:tr>
        <w:trPr>
          <w:trHeight w:val="20"/>
          <w:tblHeader/>
        </w:trPr>
        <w:tc>
          <w:tcPr>
            <w:tcW w:w="362" w:type="pct"/>
            <w:vAlign w:val="center"/>
            <w:textDirection w:val="lrTb"/>
            <w:noWrap/>
          </w:tcPr>
          <w:p>
            <w:pPr>
              <w:pStyle w:val="793"/>
              <w:jc w:val="center"/>
              <w:rPr>
                <w:color w:val="auto"/>
              </w:rPr>
            </w:pPr>
            <w:r>
              <w:rPr>
                <w:color w:val="auto"/>
              </w:rPr>
              <w:t xml:space="preserve">序号</w:t>
            </w:r>
            <w:r/>
          </w:p>
        </w:tc>
        <w:tc>
          <w:tcPr>
            <w:tcW w:w="999" w:type="pct"/>
            <w:vAlign w:val="center"/>
            <w:textDirection w:val="lrTb"/>
            <w:noWrap/>
          </w:tcPr>
          <w:p>
            <w:pPr>
              <w:pStyle w:val="793"/>
              <w:jc w:val="center"/>
              <w:rPr>
                <w:color w:val="auto"/>
              </w:rPr>
            </w:pPr>
            <w:r>
              <w:rPr>
                <w:color w:val="auto"/>
              </w:rPr>
              <w:t xml:space="preserve">治理</w:t>
            </w:r>
            <w:r>
              <w:rPr>
                <w:rFonts w:hint="eastAsia"/>
                <w:color w:val="auto"/>
              </w:rPr>
              <w:t xml:space="preserve">任务</w:t>
            </w:r>
            <w:r/>
          </w:p>
        </w:tc>
        <w:tc>
          <w:tcPr>
            <w:tcW w:w="3638" w:type="pct"/>
            <w:vAlign w:val="center"/>
            <w:textDirection w:val="lrTb"/>
            <w:noWrap/>
          </w:tcPr>
          <w:p>
            <w:pPr>
              <w:pStyle w:val="793"/>
              <w:jc w:val="center"/>
              <w:rPr>
                <w:color w:val="auto"/>
              </w:rPr>
            </w:pPr>
            <w:r>
              <w:rPr>
                <w:color w:val="auto"/>
              </w:rPr>
              <w:t xml:space="preserve">工作内容</w:t>
            </w:r>
            <w:r/>
          </w:p>
        </w:tc>
      </w:tr>
      <w:tr>
        <w:trPr>
          <w:trHeight w:val="20"/>
          <w:tblHeader/>
        </w:trPr>
        <w:tc>
          <w:tcPr>
            <w:tcW w:w="362" w:type="pct"/>
            <w:vAlign w:val="center"/>
            <w:textDirection w:val="lrTb"/>
            <w:noWrap/>
          </w:tcPr>
          <w:p>
            <w:pPr>
              <w:pStyle w:val="793"/>
              <w:jc w:val="center"/>
              <w:rPr>
                <w:color w:val="auto"/>
              </w:rPr>
            </w:pPr>
            <w:r>
              <w:rPr>
                <w:color w:val="auto"/>
              </w:rPr>
              <w:t xml:space="preserve">1</w:t>
            </w:r>
            <w:r/>
          </w:p>
        </w:tc>
        <w:tc>
          <w:tcPr>
            <w:tcW w:w="999" w:type="pct"/>
            <w:vAlign w:val="center"/>
            <w:textDirection w:val="lrTb"/>
            <w:noWrap/>
          </w:tcPr>
          <w:p>
            <w:pPr>
              <w:pStyle w:val="793"/>
              <w:jc w:val="center"/>
              <w:rPr>
                <w:color w:val="auto"/>
              </w:rPr>
            </w:pPr>
            <w:r>
              <w:rPr>
                <w:rFonts w:hint="eastAsia" w:ascii="宋体" w:hAnsi="宋体" w:cs="宋体"/>
                <w:color w:val="auto"/>
              </w:rPr>
              <w:t xml:space="preserve">标准梳理</w:t>
            </w:r>
            <w:r/>
          </w:p>
        </w:tc>
        <w:tc>
          <w:tcPr>
            <w:tcW w:w="3638" w:type="pct"/>
            <w:vAlign w:val="center"/>
            <w:textDirection w:val="lrTb"/>
            <w:noWrap w:val="false"/>
          </w:tcPr>
          <w:p>
            <w:pPr>
              <w:pStyle w:val="793"/>
              <w:jc w:val="center"/>
              <w:rPr>
                <w:color w:val="auto"/>
              </w:rPr>
            </w:pPr>
            <w:r>
              <w:rPr>
                <w:color w:val="auto"/>
              </w:rPr>
              <w:t xml:space="preserve">收集国家、省、市生命线相关标准，开展标准差异分析，编制项目数据标准体系。</w:t>
            </w:r>
            <w:r/>
          </w:p>
        </w:tc>
      </w:tr>
      <w:tr>
        <w:trPr>
          <w:trHeight w:val="20"/>
          <w:tblHeader/>
        </w:trPr>
        <w:tc>
          <w:tcPr>
            <w:tcW w:w="362" w:type="pct"/>
            <w:vAlign w:val="center"/>
            <w:textDirection w:val="lrTb"/>
            <w:noWrap/>
          </w:tcPr>
          <w:p>
            <w:pPr>
              <w:pStyle w:val="793"/>
              <w:jc w:val="center"/>
              <w:rPr>
                <w:color w:val="auto"/>
              </w:rPr>
            </w:pPr>
            <w:r>
              <w:rPr>
                <w:color w:val="auto"/>
              </w:rPr>
              <w:t xml:space="preserve">2</w:t>
            </w:r>
            <w:r/>
          </w:p>
        </w:tc>
        <w:tc>
          <w:tcPr>
            <w:tcW w:w="999" w:type="pct"/>
            <w:vAlign w:val="center"/>
            <w:textDirection w:val="lrTb"/>
            <w:noWrap/>
          </w:tcPr>
          <w:p>
            <w:pPr>
              <w:pStyle w:val="793"/>
              <w:jc w:val="center"/>
              <w:rPr>
                <w:color w:val="auto"/>
              </w:rPr>
            </w:pPr>
            <w:r>
              <w:rPr>
                <w:rFonts w:hint="eastAsia" w:ascii="宋体" w:hAnsi="宋体" w:cs="宋体"/>
                <w:color w:val="auto"/>
              </w:rPr>
              <w:t xml:space="preserve">参考数据设计</w:t>
            </w:r>
            <w:r/>
          </w:p>
        </w:tc>
        <w:tc>
          <w:tcPr>
            <w:tcW w:w="3638" w:type="pct"/>
            <w:vAlign w:val="center"/>
            <w:textDirection w:val="lrTb"/>
            <w:noWrap w:val="false"/>
          </w:tcPr>
          <w:p>
            <w:pPr>
              <w:pStyle w:val="793"/>
              <w:jc w:val="center"/>
              <w:rPr>
                <w:color w:val="auto"/>
              </w:rPr>
            </w:pPr>
            <w:r>
              <w:rPr>
                <w:color w:val="auto"/>
              </w:rPr>
              <w:t xml:space="preserve">梳理并编制项目所需各类参考数据集。</w:t>
            </w:r>
            <w:r/>
          </w:p>
        </w:tc>
      </w:tr>
      <w:tr>
        <w:trPr>
          <w:trHeight w:val="20"/>
          <w:tblHeader/>
        </w:trPr>
        <w:tc>
          <w:tcPr>
            <w:tcW w:w="362" w:type="pct"/>
            <w:vAlign w:val="center"/>
            <w:textDirection w:val="lrTb"/>
            <w:noWrap/>
          </w:tcPr>
          <w:p>
            <w:pPr>
              <w:pStyle w:val="793"/>
              <w:jc w:val="center"/>
              <w:rPr>
                <w:color w:val="auto"/>
              </w:rPr>
            </w:pPr>
            <w:r>
              <w:rPr>
                <w:color w:val="auto"/>
              </w:rPr>
              <w:t xml:space="preserve">3</w:t>
            </w:r>
            <w:r/>
          </w:p>
        </w:tc>
        <w:tc>
          <w:tcPr>
            <w:tcW w:w="999" w:type="pct"/>
            <w:vAlign w:val="center"/>
            <w:textDirection w:val="lrTb"/>
            <w:noWrap/>
          </w:tcPr>
          <w:p>
            <w:pPr>
              <w:pStyle w:val="793"/>
              <w:jc w:val="center"/>
              <w:rPr>
                <w:color w:val="auto"/>
              </w:rPr>
            </w:pPr>
            <w:r>
              <w:rPr>
                <w:rFonts w:hint="eastAsia" w:ascii="宋体" w:hAnsi="宋体" w:cs="宋体"/>
                <w:color w:val="auto"/>
              </w:rPr>
              <w:t xml:space="preserve">数据探查</w:t>
            </w:r>
            <w:r/>
          </w:p>
        </w:tc>
        <w:tc>
          <w:tcPr>
            <w:tcW w:w="3638" w:type="pct"/>
            <w:vAlign w:val="center"/>
            <w:textDirection w:val="lrTb"/>
            <w:noWrap w:val="false"/>
          </w:tcPr>
          <w:p>
            <w:pPr>
              <w:pStyle w:val="793"/>
              <w:jc w:val="center"/>
              <w:rPr>
                <w:color w:val="auto"/>
              </w:rPr>
            </w:pPr>
            <w:r>
              <w:rPr>
                <w:color w:val="auto"/>
              </w:rPr>
              <w:t xml:space="preserve">设计数据探查方案，开发探查脚本，执行全量数据探查任务。</w:t>
            </w:r>
            <w:r/>
          </w:p>
        </w:tc>
      </w:tr>
      <w:tr>
        <w:trPr>
          <w:trHeight w:val="20"/>
          <w:tblHeader/>
        </w:trPr>
        <w:tc>
          <w:tcPr>
            <w:tcW w:w="362" w:type="pct"/>
            <w:vAlign w:val="center"/>
            <w:textDirection w:val="lrTb"/>
            <w:noWrap/>
          </w:tcPr>
          <w:p>
            <w:pPr>
              <w:pStyle w:val="793"/>
              <w:jc w:val="center"/>
              <w:rPr>
                <w:color w:val="auto"/>
              </w:rPr>
            </w:pPr>
            <w:r>
              <w:rPr>
                <w:color w:val="auto"/>
              </w:rPr>
              <w:t xml:space="preserve">4</w:t>
            </w:r>
            <w:r/>
          </w:p>
        </w:tc>
        <w:tc>
          <w:tcPr>
            <w:tcW w:w="999" w:type="pct"/>
            <w:vAlign w:val="center"/>
            <w:textDirection w:val="lrTb"/>
            <w:noWrap/>
          </w:tcPr>
          <w:p>
            <w:pPr>
              <w:pStyle w:val="793"/>
              <w:jc w:val="center"/>
              <w:rPr>
                <w:color w:val="auto"/>
              </w:rPr>
            </w:pPr>
            <w:r>
              <w:rPr>
                <w:rFonts w:hint="eastAsia" w:ascii="宋体" w:hAnsi="宋体" w:cs="宋体"/>
                <w:color w:val="auto"/>
              </w:rPr>
              <w:t xml:space="preserve">标准落库</w:t>
            </w:r>
            <w:r/>
          </w:p>
        </w:tc>
        <w:tc>
          <w:tcPr>
            <w:tcW w:w="3638" w:type="pct"/>
            <w:vAlign w:val="center"/>
            <w:textDirection w:val="lrTb"/>
            <w:noWrap w:val="false"/>
          </w:tcPr>
          <w:p>
            <w:pPr>
              <w:pStyle w:val="793"/>
              <w:jc w:val="center"/>
              <w:rPr>
                <w:color w:val="auto"/>
              </w:rPr>
            </w:pPr>
            <w:r>
              <w:rPr>
                <w:color w:val="auto"/>
              </w:rPr>
              <w:t xml:space="preserve">完成标准映射配置，将数据标准落地部署到业务库。</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数据汇聚实施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定义数据汇聚环节的流程、方法和流转机制，确定丹阳市城市生命线汇聚数据的范围、信息分类、信息项、信息源头等数据描述，汇聚住建局等各部门行业监管系统，燃气公司、水务集团等权属单位信息系统数据，需包括：前置环境准备、燃气专项归集、供水专项归集、排水专项归集、道路专项归集、桥梁专项归集、第三方施工归集、地下管线归集、其他部门归集、省级回流数据接入、前置库维护等内容。</w:t>
      </w:r>
      <w:r/>
    </w:p>
    <w:tbl>
      <w:tblPr>
        <w:tblStyle w:val="6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143"/>
        <w:gridCol w:w="6763"/>
      </w:tblGrid>
      <w:tr>
        <w:trPr>
          <w:jc w:val="center"/>
          <w:trHeight w:val="20"/>
          <w:tblHeader/>
        </w:trPr>
        <w:tc>
          <w:tcPr>
            <w:tcW w:w="374" w:type="pct"/>
            <w:vAlign w:val="center"/>
            <w:textDirection w:val="lrTb"/>
            <w:noWrap/>
          </w:tcPr>
          <w:p>
            <w:pPr>
              <w:pStyle w:val="793"/>
              <w:jc w:val="center"/>
              <w:rPr>
                <w:color w:val="auto"/>
              </w:rPr>
            </w:pPr>
            <w:r>
              <w:rPr>
                <w:color w:val="auto"/>
              </w:rPr>
              <w:t xml:space="preserve">序号</w:t>
            </w:r>
            <w:r/>
          </w:p>
        </w:tc>
        <w:tc>
          <w:tcPr>
            <w:tcW w:w="1113" w:type="pct"/>
            <w:vAlign w:val="center"/>
            <w:textDirection w:val="lrTb"/>
            <w:noWrap/>
          </w:tcPr>
          <w:p>
            <w:pPr>
              <w:pStyle w:val="793"/>
              <w:jc w:val="center"/>
              <w:rPr>
                <w:color w:val="auto"/>
              </w:rPr>
            </w:pPr>
            <w:r>
              <w:rPr>
                <w:color w:val="auto"/>
              </w:rPr>
              <w:t xml:space="preserve">治理</w:t>
            </w:r>
            <w:r>
              <w:rPr>
                <w:rFonts w:hint="eastAsia"/>
                <w:color w:val="auto"/>
              </w:rPr>
              <w:t xml:space="preserve">任务</w:t>
            </w:r>
            <w:r/>
          </w:p>
        </w:tc>
        <w:tc>
          <w:tcPr>
            <w:tcW w:w="3513" w:type="pct"/>
            <w:vAlign w:val="center"/>
            <w:textDirection w:val="lrTb"/>
            <w:noWrap/>
          </w:tcPr>
          <w:p>
            <w:pPr>
              <w:pStyle w:val="793"/>
              <w:jc w:val="center"/>
              <w:rPr>
                <w:color w:val="auto"/>
              </w:rPr>
            </w:pPr>
            <w:r>
              <w:rPr>
                <w:color w:val="auto"/>
              </w:rPr>
              <w:t xml:space="preserve">工作内容</w:t>
            </w:r>
            <w:r/>
          </w:p>
        </w:tc>
      </w:tr>
      <w:tr>
        <w:trPr>
          <w:jc w:val="center"/>
          <w:trHeight w:val="20"/>
          <w:tblHeader/>
        </w:trPr>
        <w:tc>
          <w:tcPr>
            <w:tcW w:w="374" w:type="pct"/>
            <w:vAlign w:val="center"/>
            <w:textDirection w:val="lrTb"/>
            <w:noWrap/>
          </w:tcPr>
          <w:p>
            <w:pPr>
              <w:pStyle w:val="793"/>
              <w:jc w:val="center"/>
              <w:rPr>
                <w:color w:val="auto"/>
              </w:rPr>
            </w:pPr>
            <w:r>
              <w:rPr>
                <w:color w:val="auto"/>
              </w:rPr>
              <w:t xml:space="preserve">1</w:t>
            </w:r>
            <w:r/>
          </w:p>
        </w:tc>
        <w:tc>
          <w:tcPr>
            <w:tcW w:w="1113" w:type="pct"/>
            <w:vAlign w:val="center"/>
            <w:textDirection w:val="lrTb"/>
            <w:noWrap/>
          </w:tcPr>
          <w:p>
            <w:pPr>
              <w:pStyle w:val="793"/>
              <w:jc w:val="center"/>
              <w:rPr>
                <w:color w:val="auto"/>
              </w:rPr>
            </w:pPr>
            <w:r>
              <w:rPr>
                <w:color w:val="auto"/>
              </w:rPr>
              <w:t xml:space="preserve">前置环境准备</w:t>
            </w:r>
            <w:r/>
          </w:p>
        </w:tc>
        <w:tc>
          <w:tcPr>
            <w:tcW w:w="3513" w:type="pct"/>
            <w:vAlign w:val="center"/>
            <w:textDirection w:val="lrTb"/>
            <w:noWrap w:val="false"/>
          </w:tcPr>
          <w:p>
            <w:pPr>
              <w:pStyle w:val="793"/>
              <w:jc w:val="center"/>
              <w:rPr>
                <w:color w:val="auto"/>
              </w:rPr>
            </w:pPr>
            <w:r>
              <w:rPr>
                <w:color w:val="auto"/>
              </w:rPr>
              <w:t xml:space="preserve">完成前置机申请部署，配置网络接入，搭建数据汇聚硬件网络环境。</w:t>
            </w:r>
            <w:r/>
          </w:p>
        </w:tc>
      </w:tr>
      <w:tr>
        <w:trPr>
          <w:jc w:val="center"/>
          <w:trHeight w:val="20"/>
          <w:tblHeader/>
        </w:trPr>
        <w:tc>
          <w:tcPr>
            <w:tcW w:w="374" w:type="pct"/>
            <w:vAlign w:val="center"/>
            <w:textDirection w:val="lrTb"/>
            <w:noWrap/>
          </w:tcPr>
          <w:p>
            <w:pPr>
              <w:pStyle w:val="793"/>
              <w:jc w:val="center"/>
              <w:rPr>
                <w:color w:val="auto"/>
              </w:rPr>
            </w:pPr>
            <w:r>
              <w:rPr>
                <w:color w:val="auto"/>
              </w:rPr>
              <w:t xml:space="preserve">2</w:t>
            </w:r>
            <w:r/>
          </w:p>
        </w:tc>
        <w:tc>
          <w:tcPr>
            <w:tcW w:w="1113" w:type="pct"/>
            <w:vAlign w:val="center"/>
            <w:textDirection w:val="lrTb"/>
            <w:noWrap/>
          </w:tcPr>
          <w:p>
            <w:pPr>
              <w:pStyle w:val="793"/>
              <w:jc w:val="center"/>
              <w:rPr>
                <w:color w:val="auto"/>
              </w:rPr>
            </w:pPr>
            <w:r>
              <w:rPr>
                <w:color w:val="auto"/>
              </w:rPr>
              <w:t xml:space="preserve">燃气专项归集</w:t>
            </w:r>
            <w:r/>
          </w:p>
        </w:tc>
        <w:tc>
          <w:tcPr>
            <w:tcW w:w="3513" w:type="pct"/>
            <w:vAlign w:val="center"/>
            <w:textDirection w:val="lrTb"/>
            <w:noWrap w:val="false"/>
          </w:tcPr>
          <w:p>
            <w:pPr>
              <w:pStyle w:val="793"/>
              <w:jc w:val="center"/>
              <w:rPr>
                <w:color w:val="auto"/>
              </w:rPr>
            </w:pPr>
            <w:r>
              <w:rPr>
                <w:color w:val="auto"/>
              </w:rPr>
              <w:t xml:space="preserve">对接港华燃气多套业务系统，完成燃气相关业务数据归集接入。</w:t>
            </w:r>
            <w:r/>
          </w:p>
        </w:tc>
      </w:tr>
      <w:tr>
        <w:trPr>
          <w:jc w:val="center"/>
          <w:trHeight w:val="20"/>
          <w:tblHeader/>
        </w:trPr>
        <w:tc>
          <w:tcPr>
            <w:tcW w:w="374" w:type="pct"/>
            <w:vAlign w:val="center"/>
            <w:textDirection w:val="lrTb"/>
            <w:noWrap/>
          </w:tcPr>
          <w:p>
            <w:pPr>
              <w:pStyle w:val="793"/>
              <w:jc w:val="center"/>
              <w:rPr>
                <w:color w:val="auto"/>
              </w:rPr>
            </w:pPr>
            <w:r>
              <w:rPr>
                <w:color w:val="auto"/>
              </w:rPr>
              <w:t xml:space="preserve">3</w:t>
            </w:r>
            <w:r/>
          </w:p>
        </w:tc>
        <w:tc>
          <w:tcPr>
            <w:tcW w:w="1113" w:type="pct"/>
            <w:vAlign w:val="center"/>
            <w:textDirection w:val="lrTb"/>
            <w:noWrap/>
          </w:tcPr>
          <w:p>
            <w:pPr>
              <w:pStyle w:val="793"/>
              <w:jc w:val="center"/>
              <w:rPr>
                <w:color w:val="auto"/>
              </w:rPr>
            </w:pPr>
            <w:r>
              <w:rPr>
                <w:color w:val="auto"/>
              </w:rPr>
              <w:t xml:space="preserve">供水专项归集</w:t>
            </w:r>
            <w:r/>
          </w:p>
        </w:tc>
        <w:tc>
          <w:tcPr>
            <w:tcW w:w="3513" w:type="pct"/>
            <w:vAlign w:val="center"/>
            <w:textDirection w:val="lrTb"/>
            <w:noWrap w:val="false"/>
          </w:tcPr>
          <w:p>
            <w:pPr>
              <w:pStyle w:val="793"/>
              <w:jc w:val="center"/>
              <w:rPr>
                <w:color w:val="auto"/>
              </w:rPr>
            </w:pPr>
            <w:r>
              <w:rPr>
                <w:color w:val="auto"/>
              </w:rPr>
              <w:t xml:space="preserve">对接智慧水务、管网 GIS、客户服务平台，实现供水业务数据汇聚。</w:t>
            </w:r>
            <w:r/>
          </w:p>
        </w:tc>
      </w:tr>
      <w:tr>
        <w:trPr>
          <w:jc w:val="center"/>
          <w:trHeight w:val="20"/>
          <w:tblHeader/>
        </w:trPr>
        <w:tc>
          <w:tcPr>
            <w:tcW w:w="374" w:type="pct"/>
            <w:vAlign w:val="center"/>
            <w:textDirection w:val="lrTb"/>
            <w:noWrap/>
          </w:tcPr>
          <w:p>
            <w:pPr>
              <w:pStyle w:val="793"/>
              <w:jc w:val="center"/>
              <w:rPr>
                <w:color w:val="auto"/>
              </w:rPr>
            </w:pPr>
            <w:r>
              <w:rPr>
                <w:color w:val="auto"/>
              </w:rPr>
              <w:t xml:space="preserve">4</w:t>
            </w:r>
            <w:r/>
          </w:p>
        </w:tc>
        <w:tc>
          <w:tcPr>
            <w:tcW w:w="1113" w:type="pct"/>
            <w:vAlign w:val="center"/>
            <w:textDirection w:val="lrTb"/>
            <w:noWrap/>
          </w:tcPr>
          <w:p>
            <w:pPr>
              <w:pStyle w:val="793"/>
              <w:jc w:val="center"/>
              <w:rPr>
                <w:color w:val="auto"/>
              </w:rPr>
            </w:pPr>
            <w:r>
              <w:rPr>
                <w:color w:val="auto"/>
              </w:rPr>
              <w:t xml:space="preserve">排水专项归集</w:t>
            </w:r>
            <w:r/>
          </w:p>
        </w:tc>
        <w:tc>
          <w:tcPr>
            <w:tcW w:w="3513" w:type="pct"/>
            <w:vAlign w:val="center"/>
            <w:textDirection w:val="lrTb"/>
            <w:noWrap w:val="false"/>
          </w:tcPr>
          <w:p>
            <w:pPr>
              <w:pStyle w:val="793"/>
              <w:jc w:val="center"/>
              <w:rPr>
                <w:color w:val="auto"/>
              </w:rPr>
            </w:pPr>
            <w:r>
              <w:rPr>
                <w:color w:val="auto"/>
              </w:rPr>
              <w:t xml:space="preserve">对接排水</w:t>
            </w:r>
            <w:r>
              <w:rPr>
                <w:rFonts w:hint="eastAsia"/>
                <w:color w:val="auto"/>
              </w:rPr>
              <w:t xml:space="preserve">厂网站一体化平台</w:t>
            </w:r>
            <w:r>
              <w:rPr>
                <w:color w:val="auto"/>
              </w:rPr>
              <w:t xml:space="preserve">，完成排水管网、设施相关数据归集。</w:t>
            </w:r>
            <w:r/>
          </w:p>
        </w:tc>
      </w:tr>
      <w:tr>
        <w:trPr>
          <w:jc w:val="center"/>
          <w:trHeight w:val="20"/>
          <w:tblHeader/>
        </w:trPr>
        <w:tc>
          <w:tcPr>
            <w:tcW w:w="374" w:type="pct"/>
            <w:vAlign w:val="center"/>
            <w:textDirection w:val="lrTb"/>
            <w:noWrap/>
          </w:tcPr>
          <w:p>
            <w:pPr>
              <w:pStyle w:val="793"/>
              <w:jc w:val="center"/>
              <w:rPr>
                <w:color w:val="auto"/>
              </w:rPr>
            </w:pPr>
            <w:r>
              <w:rPr>
                <w:rFonts w:hint="eastAsia"/>
                <w:color w:val="auto"/>
              </w:rPr>
              <w:t xml:space="preserve">5</w:t>
            </w:r>
            <w:r/>
          </w:p>
        </w:tc>
        <w:tc>
          <w:tcPr>
            <w:tcW w:w="1113" w:type="pct"/>
            <w:vAlign w:val="center"/>
            <w:textDirection w:val="lrTb"/>
            <w:noWrap/>
          </w:tcPr>
          <w:p>
            <w:pPr>
              <w:pStyle w:val="793"/>
              <w:jc w:val="center"/>
              <w:rPr>
                <w:rFonts w:hint="eastAsia" w:ascii="宋体" w:hAnsi="宋体" w:cs="宋体"/>
                <w:color w:val="auto"/>
              </w:rPr>
            </w:pPr>
            <w:r>
              <w:rPr>
                <w:rFonts w:ascii="宋体" w:hAnsi="宋体" w:cs="宋体"/>
                <w:color w:val="auto"/>
              </w:rPr>
              <w:t xml:space="preserve">道路专项归集</w:t>
            </w:r>
            <w:r/>
          </w:p>
        </w:tc>
        <w:tc>
          <w:tcPr>
            <w:tcW w:w="3513" w:type="pct"/>
            <w:vAlign w:val="center"/>
            <w:textDirection w:val="lrTb"/>
            <w:noWrap w:val="false"/>
          </w:tcPr>
          <w:p>
            <w:pPr>
              <w:pStyle w:val="793"/>
              <w:jc w:val="center"/>
              <w:rPr>
                <w:color w:val="auto"/>
              </w:rPr>
            </w:pPr>
            <w:r>
              <w:rPr>
                <w:color w:val="auto"/>
              </w:rPr>
              <w:t xml:space="preserve">对接属地多单位道路管理</w:t>
            </w:r>
            <w:r>
              <w:rPr>
                <w:rFonts w:hint="eastAsia"/>
                <w:color w:val="auto"/>
              </w:rPr>
              <w:t xml:space="preserve">数据</w:t>
            </w:r>
            <w:r>
              <w:rPr>
                <w:color w:val="auto"/>
              </w:rPr>
              <w:t xml:space="preserve">，采集道路设施相关业务数据。</w:t>
            </w:r>
            <w:r/>
          </w:p>
        </w:tc>
      </w:tr>
      <w:tr>
        <w:trPr>
          <w:jc w:val="center"/>
          <w:trHeight w:val="20"/>
          <w:tblHeader/>
        </w:trPr>
        <w:tc>
          <w:tcPr>
            <w:tcW w:w="374" w:type="pct"/>
            <w:vAlign w:val="center"/>
            <w:textDirection w:val="lrTb"/>
            <w:noWrap/>
          </w:tcPr>
          <w:p>
            <w:pPr>
              <w:pStyle w:val="793"/>
              <w:jc w:val="center"/>
              <w:rPr>
                <w:color w:val="auto"/>
              </w:rPr>
            </w:pPr>
            <w:r>
              <w:rPr>
                <w:rFonts w:hint="eastAsia"/>
                <w:color w:val="auto"/>
              </w:rPr>
              <w:t xml:space="preserve">6</w:t>
            </w:r>
            <w:r/>
          </w:p>
        </w:tc>
        <w:tc>
          <w:tcPr>
            <w:tcW w:w="1113" w:type="pct"/>
            <w:vAlign w:val="center"/>
            <w:textDirection w:val="lrTb"/>
            <w:noWrap/>
          </w:tcPr>
          <w:p>
            <w:pPr>
              <w:pStyle w:val="793"/>
              <w:jc w:val="center"/>
              <w:rPr>
                <w:rFonts w:hint="eastAsia" w:ascii="宋体" w:hAnsi="宋体" w:cs="宋体"/>
                <w:color w:val="auto"/>
              </w:rPr>
            </w:pPr>
            <w:r>
              <w:rPr>
                <w:rFonts w:ascii="宋体" w:hAnsi="宋体" w:cs="宋体"/>
                <w:color w:val="auto"/>
              </w:rPr>
              <w:t xml:space="preserve">桥梁专项归集</w:t>
            </w:r>
            <w:r/>
          </w:p>
        </w:tc>
        <w:tc>
          <w:tcPr>
            <w:tcW w:w="3513" w:type="pct"/>
            <w:vAlign w:val="center"/>
            <w:textDirection w:val="lrTb"/>
            <w:noWrap w:val="false"/>
          </w:tcPr>
          <w:p>
            <w:pPr>
              <w:pStyle w:val="793"/>
              <w:jc w:val="center"/>
              <w:rPr>
                <w:color w:val="auto"/>
              </w:rPr>
            </w:pPr>
            <w:r>
              <w:rPr>
                <w:color w:val="auto"/>
              </w:rPr>
              <w:t xml:space="preserve">对接</w:t>
            </w:r>
            <w:r>
              <w:rPr>
                <w:rFonts w:hint="eastAsia"/>
                <w:color w:val="auto"/>
              </w:rPr>
              <w:t xml:space="preserve">省级</w:t>
            </w:r>
            <w:r>
              <w:rPr>
                <w:color w:val="auto"/>
              </w:rPr>
              <w:t xml:space="preserve">桥梁管理系统，完成</w:t>
            </w:r>
            <w:r>
              <w:rPr>
                <w:rFonts w:hint="eastAsia"/>
                <w:color w:val="auto"/>
              </w:rPr>
              <w:t xml:space="preserve">属地</w:t>
            </w:r>
            <w:r>
              <w:rPr>
                <w:color w:val="auto"/>
              </w:rPr>
              <w:t xml:space="preserve">桥梁基础与监测数据归集。</w:t>
            </w:r>
            <w:r/>
          </w:p>
        </w:tc>
      </w:tr>
      <w:tr>
        <w:trPr>
          <w:jc w:val="center"/>
          <w:trHeight w:val="20"/>
          <w:tblHeader/>
        </w:trPr>
        <w:tc>
          <w:tcPr>
            <w:tcW w:w="374" w:type="pct"/>
            <w:vAlign w:val="center"/>
            <w:textDirection w:val="lrTb"/>
            <w:noWrap/>
          </w:tcPr>
          <w:p>
            <w:pPr>
              <w:pStyle w:val="793"/>
              <w:jc w:val="center"/>
              <w:rPr>
                <w:color w:val="auto"/>
              </w:rPr>
            </w:pPr>
            <w:r>
              <w:rPr>
                <w:rFonts w:hint="eastAsia"/>
                <w:color w:val="auto"/>
              </w:rPr>
              <w:t xml:space="preserve">7</w:t>
            </w:r>
            <w:r/>
          </w:p>
        </w:tc>
        <w:tc>
          <w:tcPr>
            <w:tcW w:w="1113" w:type="pct"/>
            <w:vAlign w:val="center"/>
            <w:textDirection w:val="lrTb"/>
            <w:noWrap/>
          </w:tcPr>
          <w:p>
            <w:pPr>
              <w:pStyle w:val="793"/>
              <w:jc w:val="center"/>
              <w:rPr>
                <w:rFonts w:hint="eastAsia" w:ascii="宋体" w:hAnsi="宋体" w:cs="宋体"/>
                <w:color w:val="auto"/>
              </w:rPr>
            </w:pPr>
            <w:r>
              <w:rPr>
                <w:rFonts w:ascii="宋体" w:hAnsi="宋体" w:cs="宋体"/>
                <w:color w:val="auto"/>
              </w:rPr>
              <w:t xml:space="preserve">第三方施工归集</w:t>
            </w:r>
            <w:r/>
          </w:p>
        </w:tc>
        <w:tc>
          <w:tcPr>
            <w:tcW w:w="3513" w:type="pct"/>
            <w:vAlign w:val="center"/>
            <w:textDirection w:val="lrTb"/>
            <w:noWrap w:val="false"/>
          </w:tcPr>
          <w:p>
            <w:pPr>
              <w:pStyle w:val="793"/>
              <w:jc w:val="center"/>
              <w:rPr>
                <w:color w:val="auto"/>
              </w:rPr>
            </w:pPr>
            <w:r>
              <w:rPr>
                <w:color w:val="auto"/>
              </w:rPr>
              <w:t xml:space="preserve">对接智慧工地、数字化城管平台，获取第三方施工监管相关数据。</w:t>
            </w:r>
            <w:r/>
          </w:p>
        </w:tc>
      </w:tr>
      <w:tr>
        <w:trPr>
          <w:jc w:val="center"/>
          <w:trHeight w:val="20"/>
          <w:tblHeader/>
        </w:trPr>
        <w:tc>
          <w:tcPr>
            <w:tcW w:w="374" w:type="pct"/>
            <w:vAlign w:val="center"/>
            <w:textDirection w:val="lrTb"/>
            <w:noWrap/>
          </w:tcPr>
          <w:p>
            <w:pPr>
              <w:pStyle w:val="793"/>
              <w:jc w:val="center"/>
              <w:rPr>
                <w:color w:val="auto"/>
              </w:rPr>
            </w:pPr>
            <w:r>
              <w:rPr>
                <w:rFonts w:hint="eastAsia"/>
                <w:color w:val="auto"/>
              </w:rPr>
              <w:t xml:space="preserve">8</w:t>
            </w:r>
            <w:r/>
          </w:p>
        </w:tc>
        <w:tc>
          <w:tcPr>
            <w:tcW w:w="1113" w:type="pct"/>
            <w:vAlign w:val="center"/>
            <w:textDirection w:val="lrTb"/>
            <w:noWrap/>
          </w:tcPr>
          <w:p>
            <w:pPr>
              <w:pStyle w:val="793"/>
              <w:jc w:val="center"/>
              <w:rPr>
                <w:rFonts w:hint="eastAsia" w:ascii="宋体" w:hAnsi="宋体" w:cs="宋体"/>
                <w:color w:val="auto"/>
              </w:rPr>
            </w:pPr>
            <w:r>
              <w:rPr>
                <w:rFonts w:ascii="宋体" w:hAnsi="宋体" w:cs="宋体"/>
                <w:color w:val="auto"/>
              </w:rPr>
              <w:t xml:space="preserve">地下管线归集</w:t>
            </w:r>
            <w:r/>
          </w:p>
        </w:tc>
        <w:tc>
          <w:tcPr>
            <w:tcW w:w="3513" w:type="pct"/>
            <w:vAlign w:val="center"/>
            <w:textDirection w:val="lrTb"/>
            <w:noWrap w:val="false"/>
          </w:tcPr>
          <w:p>
            <w:pPr>
              <w:pStyle w:val="793"/>
              <w:jc w:val="center"/>
              <w:rPr>
                <w:color w:val="auto"/>
              </w:rPr>
            </w:pPr>
            <w:r>
              <w:rPr>
                <w:color w:val="auto"/>
              </w:rPr>
              <w:t xml:space="preserve">对接地下管线地理信息</w:t>
            </w:r>
            <w:r>
              <w:rPr>
                <w:rFonts w:hint="eastAsia"/>
                <w:color w:val="auto"/>
              </w:rPr>
              <w:t xml:space="preserve">数据</w:t>
            </w:r>
            <w:r>
              <w:rPr>
                <w:color w:val="auto"/>
              </w:rPr>
              <w:t xml:space="preserve">，完成管线基础地理数据汇聚。</w:t>
            </w:r>
            <w:r/>
          </w:p>
        </w:tc>
      </w:tr>
      <w:tr>
        <w:trPr>
          <w:jc w:val="center"/>
          <w:trHeight w:val="20"/>
          <w:tblHeader/>
        </w:trPr>
        <w:tc>
          <w:tcPr>
            <w:tcW w:w="374" w:type="pct"/>
            <w:vAlign w:val="center"/>
            <w:textDirection w:val="lrTb"/>
            <w:noWrap/>
          </w:tcPr>
          <w:p>
            <w:pPr>
              <w:pStyle w:val="793"/>
              <w:jc w:val="center"/>
              <w:rPr>
                <w:color w:val="auto"/>
              </w:rPr>
            </w:pPr>
            <w:r>
              <w:rPr>
                <w:rFonts w:hint="eastAsia"/>
                <w:color w:val="auto"/>
              </w:rPr>
              <w:t xml:space="preserve">9</w:t>
            </w:r>
            <w:r/>
          </w:p>
        </w:tc>
        <w:tc>
          <w:tcPr>
            <w:tcW w:w="1113" w:type="pct"/>
            <w:vAlign w:val="center"/>
            <w:textDirection w:val="lrTb"/>
            <w:noWrap/>
          </w:tcPr>
          <w:p>
            <w:pPr>
              <w:pStyle w:val="793"/>
              <w:jc w:val="center"/>
              <w:rPr>
                <w:rFonts w:hint="eastAsia" w:ascii="宋体" w:hAnsi="宋体" w:cs="宋体"/>
                <w:color w:val="auto"/>
              </w:rPr>
            </w:pPr>
            <w:r>
              <w:rPr>
                <w:rFonts w:ascii="宋体" w:hAnsi="宋体" w:cs="宋体"/>
                <w:color w:val="auto"/>
              </w:rPr>
              <w:t xml:space="preserve">其他部门归集</w:t>
            </w:r>
            <w:r/>
          </w:p>
        </w:tc>
        <w:tc>
          <w:tcPr>
            <w:tcW w:w="3513" w:type="pct"/>
            <w:vAlign w:val="center"/>
            <w:textDirection w:val="lrTb"/>
            <w:noWrap w:val="false"/>
          </w:tcPr>
          <w:p>
            <w:pPr>
              <w:pStyle w:val="793"/>
              <w:jc w:val="center"/>
              <w:rPr>
                <w:color w:val="auto"/>
              </w:rPr>
            </w:pPr>
            <w:r>
              <w:rPr>
                <w:color w:val="auto"/>
              </w:rPr>
              <w:t xml:space="preserve">对接应急、市监、</w:t>
            </w:r>
            <w:r>
              <w:rPr>
                <w:rFonts w:hint="eastAsia"/>
                <w:color w:val="auto"/>
              </w:rPr>
              <w:t xml:space="preserve">行政</w:t>
            </w:r>
            <w:r>
              <w:rPr>
                <w:color w:val="auto"/>
              </w:rPr>
              <w:t xml:space="preserve">审批等部门相关业务数据。</w:t>
            </w:r>
            <w:r/>
          </w:p>
        </w:tc>
      </w:tr>
      <w:tr>
        <w:trPr>
          <w:jc w:val="center"/>
          <w:trHeight w:val="20"/>
          <w:tblHeader/>
        </w:trPr>
        <w:tc>
          <w:tcPr>
            <w:tcW w:w="374" w:type="pct"/>
            <w:vAlign w:val="center"/>
            <w:textDirection w:val="lrTb"/>
            <w:noWrap/>
          </w:tcPr>
          <w:p>
            <w:pPr>
              <w:pStyle w:val="793"/>
              <w:jc w:val="center"/>
              <w:rPr>
                <w:color w:val="auto"/>
              </w:rPr>
            </w:pPr>
            <w:r>
              <w:rPr>
                <w:rFonts w:hint="eastAsia"/>
                <w:color w:val="auto"/>
              </w:rPr>
              <w:t xml:space="preserve">10</w:t>
            </w:r>
            <w:r/>
          </w:p>
        </w:tc>
        <w:tc>
          <w:tcPr>
            <w:tcW w:w="1113" w:type="pct"/>
            <w:vAlign w:val="center"/>
            <w:textDirection w:val="lrTb"/>
            <w:noWrap/>
          </w:tcPr>
          <w:p>
            <w:pPr>
              <w:pStyle w:val="793"/>
              <w:jc w:val="center"/>
              <w:rPr>
                <w:rFonts w:hint="eastAsia" w:ascii="宋体" w:hAnsi="宋体" w:cs="宋体"/>
                <w:color w:val="auto"/>
              </w:rPr>
            </w:pPr>
            <w:r>
              <w:rPr>
                <w:rFonts w:ascii="宋体" w:hAnsi="宋体" w:cs="宋体"/>
                <w:color w:val="auto"/>
              </w:rPr>
              <w:t xml:space="preserve">省级回流数据接入</w:t>
            </w:r>
            <w:r/>
          </w:p>
        </w:tc>
        <w:tc>
          <w:tcPr>
            <w:tcW w:w="3513" w:type="pct"/>
            <w:vAlign w:val="center"/>
            <w:textDirection w:val="lrTb"/>
            <w:noWrap w:val="false"/>
          </w:tcPr>
          <w:p>
            <w:pPr>
              <w:pStyle w:val="793"/>
              <w:jc w:val="center"/>
              <w:rPr>
                <w:color w:val="auto"/>
              </w:rPr>
            </w:pPr>
            <w:r>
              <w:rPr>
                <w:color w:val="auto"/>
              </w:rPr>
              <w:t xml:space="preserve">对接多套省级业务系统，接收省级回流共享数据。</w:t>
            </w:r>
            <w:r/>
          </w:p>
        </w:tc>
      </w:tr>
      <w:tr>
        <w:trPr>
          <w:jc w:val="center"/>
          <w:trHeight w:val="20"/>
          <w:tblHeader/>
        </w:trPr>
        <w:tc>
          <w:tcPr>
            <w:tcW w:w="374" w:type="pct"/>
            <w:vAlign w:val="center"/>
            <w:textDirection w:val="lrTb"/>
            <w:noWrap/>
          </w:tcPr>
          <w:p>
            <w:pPr>
              <w:pStyle w:val="793"/>
              <w:jc w:val="center"/>
              <w:rPr>
                <w:color w:val="auto"/>
              </w:rPr>
            </w:pPr>
            <w:r>
              <w:rPr>
                <w:rFonts w:hint="eastAsia"/>
                <w:color w:val="auto"/>
              </w:rPr>
              <w:t xml:space="preserve">11</w:t>
            </w:r>
            <w:r/>
          </w:p>
        </w:tc>
        <w:tc>
          <w:tcPr>
            <w:tcW w:w="1113" w:type="pct"/>
            <w:vAlign w:val="center"/>
            <w:textDirection w:val="lrTb"/>
            <w:noWrap/>
          </w:tcPr>
          <w:p>
            <w:pPr>
              <w:pStyle w:val="793"/>
              <w:jc w:val="center"/>
              <w:rPr>
                <w:rFonts w:hint="eastAsia" w:ascii="宋体" w:hAnsi="宋体" w:cs="宋体"/>
                <w:color w:val="auto"/>
              </w:rPr>
            </w:pPr>
            <w:r>
              <w:rPr>
                <w:rFonts w:ascii="宋体" w:hAnsi="宋体" w:cs="宋体"/>
                <w:color w:val="auto"/>
              </w:rPr>
              <w:t xml:space="preserve">前置库维护</w:t>
            </w:r>
            <w:r/>
          </w:p>
        </w:tc>
        <w:tc>
          <w:tcPr>
            <w:tcW w:w="3513" w:type="pct"/>
            <w:vAlign w:val="center"/>
            <w:textDirection w:val="lrTb"/>
            <w:noWrap w:val="false"/>
          </w:tcPr>
          <w:p>
            <w:pPr>
              <w:pStyle w:val="793"/>
              <w:jc w:val="center"/>
              <w:rPr>
                <w:color w:val="auto"/>
              </w:rPr>
            </w:pPr>
            <w:r>
              <w:rPr>
                <w:color w:val="auto"/>
              </w:rPr>
              <w:t xml:space="preserve">开展前置库性能、安全监测，按需完成系统优化调整。</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4.</w:t>
      </w:r>
      <w:r>
        <w:rPr>
          <w:rFonts w:ascii="宋体" w:hAnsi="宋体" w:cs="宋体"/>
          <w:color w:val="auto"/>
          <w:sz w:val="24"/>
        </w:rPr>
        <w:t xml:space="preserve">数据质量与治理</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使用数据质量管理工具对数据仓中的数据从数据一致性、完整性、关联性、唯一性、时效性、正确性等维度进行质量指标检测，利用工作流机制，对数据质量问题进行分析、解决，并对过程进行跟踪，解决数据质量问题，形成闭环管理</w:t>
      </w:r>
      <w:r>
        <w:rPr>
          <w:rFonts w:hint="eastAsia" w:ascii="宋体" w:hAnsi="宋体" w:cs="宋体"/>
          <w:color w:val="auto"/>
          <w:sz w:val="24"/>
        </w:rPr>
        <w:t xml:space="preserve">。需包括：质量规则设计、质量任务开发、质量分析、质量报告、治理实施等内容。</w:t>
      </w:r>
      <w:r/>
    </w:p>
    <w:tbl>
      <w:tblPr>
        <w:tblStyle w:val="6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143"/>
        <w:gridCol w:w="6763"/>
      </w:tblGrid>
      <w:tr>
        <w:trPr>
          <w:jc w:val="center"/>
          <w:trHeight w:val="20"/>
          <w:tblHeader/>
        </w:trPr>
        <w:tc>
          <w:tcPr>
            <w:tcW w:w="374" w:type="pct"/>
            <w:vAlign w:val="center"/>
            <w:textDirection w:val="lrTb"/>
            <w:noWrap/>
          </w:tcPr>
          <w:p>
            <w:pPr>
              <w:pStyle w:val="793"/>
              <w:rPr>
                <w:color w:val="auto"/>
              </w:rPr>
            </w:pPr>
            <w:r>
              <w:rPr>
                <w:color w:val="auto"/>
              </w:rPr>
              <w:t xml:space="preserve">序号</w:t>
            </w:r>
            <w:r/>
          </w:p>
        </w:tc>
        <w:tc>
          <w:tcPr>
            <w:tcW w:w="1113" w:type="pct"/>
            <w:vAlign w:val="center"/>
            <w:textDirection w:val="lrTb"/>
            <w:noWrap/>
          </w:tcPr>
          <w:p>
            <w:pPr>
              <w:pStyle w:val="793"/>
              <w:rPr>
                <w:color w:val="auto"/>
              </w:rPr>
            </w:pPr>
            <w:r>
              <w:rPr>
                <w:color w:val="auto"/>
              </w:rPr>
              <w:t xml:space="preserve">治理</w:t>
            </w:r>
            <w:r>
              <w:rPr>
                <w:rFonts w:hint="eastAsia"/>
                <w:color w:val="auto"/>
              </w:rPr>
              <w:t xml:space="preserve">任务</w:t>
            </w:r>
            <w:r/>
          </w:p>
        </w:tc>
        <w:tc>
          <w:tcPr>
            <w:tcW w:w="3513" w:type="pct"/>
            <w:vAlign w:val="center"/>
            <w:textDirection w:val="lrTb"/>
            <w:noWrap/>
          </w:tcPr>
          <w:p>
            <w:pPr>
              <w:pStyle w:val="793"/>
              <w:rPr>
                <w:color w:val="auto"/>
              </w:rPr>
            </w:pPr>
            <w:r>
              <w:rPr>
                <w:color w:val="auto"/>
              </w:rPr>
              <w:t xml:space="preserve">工作内容</w:t>
            </w:r>
            <w:r/>
          </w:p>
        </w:tc>
      </w:tr>
      <w:tr>
        <w:trPr>
          <w:jc w:val="center"/>
          <w:trHeight w:val="20"/>
          <w:tblHeader/>
        </w:trPr>
        <w:tc>
          <w:tcPr>
            <w:tcW w:w="374" w:type="pct"/>
            <w:vAlign w:val="center"/>
            <w:textDirection w:val="lrTb"/>
            <w:noWrap/>
          </w:tcPr>
          <w:p>
            <w:pPr>
              <w:pStyle w:val="793"/>
              <w:rPr>
                <w:color w:val="auto"/>
              </w:rPr>
            </w:pPr>
            <w:r>
              <w:rPr>
                <w:color w:val="auto"/>
              </w:rPr>
              <w:t xml:space="preserve">1</w:t>
            </w:r>
            <w:r/>
          </w:p>
        </w:tc>
        <w:tc>
          <w:tcPr>
            <w:tcW w:w="1113" w:type="pct"/>
            <w:vAlign w:val="center"/>
            <w:textDirection w:val="lrTb"/>
            <w:noWrap/>
          </w:tcPr>
          <w:p>
            <w:pPr>
              <w:pStyle w:val="793"/>
              <w:rPr>
                <w:color w:val="auto"/>
              </w:rPr>
            </w:pPr>
            <w:r>
              <w:rPr>
                <w:rFonts w:hint="eastAsia" w:ascii="宋体" w:hAnsi="宋体" w:cs="宋体"/>
                <w:color w:val="auto"/>
              </w:rPr>
              <w:t xml:space="preserve">质量规则设计</w:t>
            </w:r>
            <w:r/>
          </w:p>
        </w:tc>
        <w:tc>
          <w:tcPr>
            <w:tcW w:w="3513" w:type="pct"/>
            <w:vAlign w:val="center"/>
            <w:textDirection w:val="lrTb"/>
            <w:noWrap w:val="false"/>
          </w:tcPr>
          <w:p>
            <w:pPr>
              <w:pStyle w:val="793"/>
              <w:rPr>
                <w:color w:val="auto"/>
              </w:rPr>
            </w:pPr>
            <w:r>
              <w:rPr>
                <w:color w:val="auto"/>
              </w:rPr>
              <w:t xml:space="preserve">设计数据完整性、准确性、一致性、唯一性、时效性、关联性全套质量校验规则。</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2</w:t>
            </w:r>
            <w:r/>
          </w:p>
        </w:tc>
        <w:tc>
          <w:tcPr>
            <w:tcW w:w="1113" w:type="pct"/>
            <w:vAlign w:val="center"/>
            <w:textDirection w:val="lrTb"/>
            <w:noWrap/>
          </w:tcPr>
          <w:p>
            <w:pPr>
              <w:pStyle w:val="793"/>
              <w:rPr>
                <w:color w:val="auto"/>
              </w:rPr>
            </w:pPr>
            <w:r>
              <w:rPr>
                <w:rFonts w:hint="eastAsia" w:ascii="宋体" w:hAnsi="宋体" w:cs="宋体"/>
                <w:color w:val="auto"/>
              </w:rPr>
              <w:t xml:space="preserve">质量任务开发</w:t>
            </w:r>
            <w:r/>
          </w:p>
        </w:tc>
        <w:tc>
          <w:tcPr>
            <w:tcW w:w="3513" w:type="pct"/>
            <w:vAlign w:val="center"/>
            <w:textDirection w:val="lrTb"/>
            <w:noWrap w:val="false"/>
          </w:tcPr>
          <w:p>
            <w:pPr>
              <w:pStyle w:val="793"/>
              <w:rPr>
                <w:color w:val="auto"/>
              </w:rPr>
            </w:pPr>
            <w:r>
              <w:rPr>
                <w:color w:val="auto"/>
              </w:rPr>
              <w:t xml:space="preserve">开发库表、消息类数据质量校验任务，完成调度参数配置。</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3</w:t>
            </w:r>
            <w:r/>
          </w:p>
        </w:tc>
        <w:tc>
          <w:tcPr>
            <w:tcW w:w="1113" w:type="pct"/>
            <w:vAlign w:val="center"/>
            <w:textDirection w:val="lrTb"/>
            <w:noWrap/>
          </w:tcPr>
          <w:p>
            <w:pPr>
              <w:pStyle w:val="793"/>
              <w:rPr>
                <w:color w:val="auto"/>
              </w:rPr>
            </w:pPr>
            <w:r>
              <w:rPr>
                <w:rFonts w:hint="eastAsia" w:ascii="宋体" w:hAnsi="宋体" w:cs="宋体"/>
                <w:color w:val="auto"/>
              </w:rPr>
              <w:t xml:space="preserve">质量分析</w:t>
            </w:r>
            <w:r/>
          </w:p>
        </w:tc>
        <w:tc>
          <w:tcPr>
            <w:tcW w:w="3513" w:type="pct"/>
            <w:vAlign w:val="center"/>
            <w:textDirection w:val="lrTb"/>
            <w:noWrap w:val="false"/>
          </w:tcPr>
          <w:p>
            <w:pPr>
              <w:pStyle w:val="793"/>
              <w:rPr>
                <w:color w:val="auto"/>
              </w:rPr>
            </w:pPr>
            <w:r>
              <w:rPr>
                <w:color w:val="auto"/>
              </w:rPr>
              <w:t xml:space="preserve">执行质量校验，识别各类数据问题，开展问题根因分析。</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4</w:t>
            </w:r>
            <w:r/>
          </w:p>
        </w:tc>
        <w:tc>
          <w:tcPr>
            <w:tcW w:w="1113" w:type="pct"/>
            <w:vAlign w:val="center"/>
            <w:textDirection w:val="lrTb"/>
            <w:noWrap/>
          </w:tcPr>
          <w:p>
            <w:pPr>
              <w:pStyle w:val="793"/>
              <w:rPr>
                <w:color w:val="auto"/>
              </w:rPr>
            </w:pPr>
            <w:r>
              <w:rPr>
                <w:rFonts w:hint="eastAsia" w:ascii="宋体" w:hAnsi="宋体" w:cs="宋体"/>
                <w:color w:val="auto"/>
              </w:rPr>
              <w:t xml:space="preserve">质量报告</w:t>
            </w:r>
            <w:r/>
          </w:p>
        </w:tc>
        <w:tc>
          <w:tcPr>
            <w:tcW w:w="3513" w:type="pct"/>
            <w:vAlign w:val="center"/>
            <w:textDirection w:val="lrTb"/>
            <w:noWrap w:val="false"/>
          </w:tcPr>
          <w:p>
            <w:pPr>
              <w:pStyle w:val="793"/>
              <w:rPr>
                <w:color w:val="auto"/>
              </w:rPr>
            </w:pPr>
            <w:r>
              <w:rPr>
                <w:color w:val="auto"/>
              </w:rPr>
              <w:t xml:space="preserve">设计报告模板，编制项目阶段性及整体数据质量分析报告。</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5</w:t>
            </w:r>
            <w:r/>
          </w:p>
        </w:tc>
        <w:tc>
          <w:tcPr>
            <w:tcW w:w="1113" w:type="pct"/>
            <w:vAlign w:val="center"/>
            <w:textDirection w:val="lrTb"/>
            <w:noWrap/>
          </w:tcPr>
          <w:p>
            <w:pPr>
              <w:pStyle w:val="793"/>
              <w:rPr>
                <w:color w:val="auto"/>
              </w:rPr>
            </w:pPr>
            <w:r>
              <w:rPr>
                <w:rFonts w:hint="eastAsia" w:ascii="宋体" w:hAnsi="宋体" w:cs="宋体"/>
                <w:color w:val="auto"/>
              </w:rPr>
              <w:t xml:space="preserve">治理实施</w:t>
            </w:r>
            <w:r/>
          </w:p>
        </w:tc>
        <w:tc>
          <w:tcPr>
            <w:tcW w:w="3513" w:type="pct"/>
            <w:vAlign w:val="center"/>
            <w:textDirection w:val="lrTb"/>
            <w:noWrap w:val="false"/>
          </w:tcPr>
          <w:p>
            <w:pPr>
              <w:pStyle w:val="793"/>
              <w:rPr>
                <w:color w:val="auto"/>
              </w:rPr>
            </w:pPr>
            <w:r>
              <w:rPr>
                <w:color w:val="auto"/>
              </w:rPr>
              <w:t xml:space="preserve">开展数据清洗、标准化、整合加工，完成问题数据治理整改。</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5.</w:t>
      </w:r>
      <w:r>
        <w:rPr>
          <w:rFonts w:ascii="宋体" w:hAnsi="宋体" w:cs="宋体"/>
          <w:color w:val="auto"/>
          <w:sz w:val="24"/>
        </w:rPr>
        <w:t xml:space="preserve">数据融合开发</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按照数据标准要求，统一规划资源，通过对数据资源进行标准统一、流程规范的组织与挖掘，整合城市生命线基础设施数据、监测数据、监管数据，依托数据中台等数据治理中心工具，建设数据库及数据表，为综合展示、数据服务、领导决策等提供数据支撑</w:t>
      </w:r>
      <w:r>
        <w:rPr>
          <w:rFonts w:hint="eastAsia" w:ascii="宋体" w:hAnsi="宋体" w:cs="宋体"/>
          <w:color w:val="auto"/>
          <w:sz w:val="24"/>
        </w:rPr>
        <w:t xml:space="preserve">，需包括：归集库开发、主题库开发、专题库开发等内容。</w:t>
      </w:r>
      <w:r/>
    </w:p>
    <w:tbl>
      <w:tblPr>
        <w:tblStyle w:val="6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143"/>
        <w:gridCol w:w="6763"/>
      </w:tblGrid>
      <w:tr>
        <w:trPr>
          <w:jc w:val="center"/>
          <w:trHeight w:val="20"/>
          <w:tblHeader/>
        </w:trPr>
        <w:tc>
          <w:tcPr>
            <w:tcW w:w="374" w:type="pct"/>
            <w:vAlign w:val="center"/>
            <w:textDirection w:val="lrTb"/>
            <w:noWrap/>
          </w:tcPr>
          <w:p>
            <w:pPr>
              <w:pStyle w:val="793"/>
              <w:rPr>
                <w:color w:val="auto"/>
              </w:rPr>
            </w:pPr>
            <w:r>
              <w:rPr>
                <w:color w:val="auto"/>
              </w:rPr>
              <w:t xml:space="preserve">序号</w:t>
            </w:r>
            <w:r/>
          </w:p>
        </w:tc>
        <w:tc>
          <w:tcPr>
            <w:tcW w:w="1113" w:type="pct"/>
            <w:vAlign w:val="center"/>
            <w:textDirection w:val="lrTb"/>
            <w:noWrap/>
          </w:tcPr>
          <w:p>
            <w:pPr>
              <w:pStyle w:val="793"/>
              <w:rPr>
                <w:color w:val="auto"/>
              </w:rPr>
            </w:pPr>
            <w:r>
              <w:rPr>
                <w:color w:val="auto"/>
              </w:rPr>
              <w:t xml:space="preserve">治理</w:t>
            </w:r>
            <w:r>
              <w:rPr>
                <w:rFonts w:hint="eastAsia"/>
                <w:color w:val="auto"/>
              </w:rPr>
              <w:t xml:space="preserve">任务</w:t>
            </w:r>
            <w:r/>
          </w:p>
        </w:tc>
        <w:tc>
          <w:tcPr>
            <w:tcW w:w="3513" w:type="pct"/>
            <w:vAlign w:val="center"/>
            <w:textDirection w:val="lrTb"/>
            <w:noWrap/>
          </w:tcPr>
          <w:p>
            <w:pPr>
              <w:pStyle w:val="793"/>
              <w:rPr>
                <w:color w:val="auto"/>
              </w:rPr>
            </w:pPr>
            <w:r>
              <w:rPr>
                <w:color w:val="auto"/>
              </w:rPr>
              <w:t xml:space="preserve">工作内容</w:t>
            </w:r>
            <w:r/>
          </w:p>
        </w:tc>
      </w:tr>
      <w:tr>
        <w:trPr>
          <w:jc w:val="center"/>
          <w:trHeight w:val="20"/>
          <w:tblHeader/>
        </w:trPr>
        <w:tc>
          <w:tcPr>
            <w:tcW w:w="374" w:type="pct"/>
            <w:vAlign w:val="center"/>
            <w:textDirection w:val="lrTb"/>
            <w:noWrap/>
          </w:tcPr>
          <w:p>
            <w:pPr>
              <w:pStyle w:val="793"/>
              <w:rPr>
                <w:color w:val="auto"/>
              </w:rPr>
            </w:pPr>
            <w:r>
              <w:rPr>
                <w:color w:val="auto"/>
              </w:rPr>
              <w:t xml:space="preserve">1</w:t>
            </w:r>
            <w:r/>
          </w:p>
        </w:tc>
        <w:tc>
          <w:tcPr>
            <w:tcW w:w="1113" w:type="pct"/>
            <w:vAlign w:val="center"/>
            <w:textDirection w:val="lrTb"/>
            <w:noWrap/>
          </w:tcPr>
          <w:p>
            <w:pPr>
              <w:pStyle w:val="793"/>
              <w:rPr>
                <w:color w:val="auto"/>
              </w:rPr>
            </w:pPr>
            <w:r>
              <w:rPr>
                <w:rFonts w:hint="eastAsia" w:ascii="宋体" w:hAnsi="宋体" w:cs="宋体"/>
                <w:color w:val="auto"/>
              </w:rPr>
              <w:t xml:space="preserve">归集库开发</w:t>
            </w:r>
            <w:r/>
          </w:p>
        </w:tc>
        <w:tc>
          <w:tcPr>
            <w:tcW w:w="3513" w:type="pct"/>
            <w:vAlign w:val="center"/>
            <w:textDirection w:val="lrTb"/>
            <w:noWrap w:val="false"/>
          </w:tcPr>
          <w:p>
            <w:pPr>
              <w:pStyle w:val="793"/>
              <w:rPr>
                <w:color w:val="auto"/>
              </w:rPr>
            </w:pPr>
            <w:r>
              <w:rPr>
                <w:color w:val="auto"/>
              </w:rPr>
              <w:t xml:space="preserve">遵循一源一库原则，完成燃气、供水、排水、道路、桥梁等九大类归集库建设。</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2</w:t>
            </w:r>
            <w:r/>
          </w:p>
        </w:tc>
        <w:tc>
          <w:tcPr>
            <w:tcW w:w="1113" w:type="pct"/>
            <w:vAlign w:val="center"/>
            <w:textDirection w:val="lrTb"/>
            <w:noWrap/>
          </w:tcPr>
          <w:p>
            <w:pPr>
              <w:pStyle w:val="793"/>
              <w:rPr>
                <w:color w:val="auto"/>
              </w:rPr>
            </w:pPr>
            <w:r>
              <w:rPr>
                <w:rFonts w:hint="eastAsia" w:ascii="宋体" w:hAnsi="宋体" w:cs="宋体"/>
                <w:color w:val="auto"/>
              </w:rPr>
              <w:t xml:space="preserve">主题库开发</w:t>
            </w:r>
            <w:r/>
          </w:p>
        </w:tc>
        <w:tc>
          <w:tcPr>
            <w:tcW w:w="3513" w:type="pct"/>
            <w:vAlign w:val="center"/>
            <w:textDirection w:val="lrTb"/>
            <w:noWrap w:val="false"/>
          </w:tcPr>
          <w:p>
            <w:pPr>
              <w:pStyle w:val="793"/>
              <w:rPr>
                <w:color w:val="auto"/>
              </w:rPr>
            </w:pPr>
            <w:r>
              <w:rPr>
                <w:color w:val="auto"/>
              </w:rPr>
              <w:t xml:space="preserve">建设公共基础、综合应用及各生命线专项业务主题库。</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3</w:t>
            </w:r>
            <w:r/>
          </w:p>
        </w:tc>
        <w:tc>
          <w:tcPr>
            <w:tcW w:w="1113" w:type="pct"/>
            <w:vAlign w:val="center"/>
            <w:textDirection w:val="lrTb"/>
            <w:noWrap/>
          </w:tcPr>
          <w:p>
            <w:pPr>
              <w:pStyle w:val="793"/>
              <w:rPr>
                <w:color w:val="auto"/>
              </w:rPr>
            </w:pPr>
            <w:r>
              <w:rPr>
                <w:rFonts w:hint="eastAsia" w:ascii="宋体" w:hAnsi="宋体" w:cs="宋体"/>
                <w:color w:val="auto"/>
              </w:rPr>
              <w:t xml:space="preserve">专题库开发</w:t>
            </w:r>
            <w:r/>
          </w:p>
        </w:tc>
        <w:tc>
          <w:tcPr>
            <w:tcW w:w="3513" w:type="pct"/>
            <w:vAlign w:val="center"/>
            <w:textDirection w:val="lrTb"/>
            <w:noWrap w:val="false"/>
          </w:tcPr>
          <w:p>
            <w:pPr>
              <w:pStyle w:val="793"/>
              <w:rPr>
                <w:color w:val="auto"/>
              </w:rPr>
            </w:pPr>
            <w:r>
              <w:rPr>
                <w:color w:val="auto"/>
              </w:rPr>
              <w:t xml:space="preserve">建设桥梁倒塌、道路塌陷风险研判相关业务专题库。</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6.</w:t>
      </w:r>
      <w:r>
        <w:rPr>
          <w:rFonts w:ascii="宋体" w:hAnsi="宋体" w:cs="宋体"/>
          <w:color w:val="auto"/>
          <w:sz w:val="24"/>
        </w:rPr>
        <w:t xml:space="preserve">数据资产管理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基于</w:t>
      </w:r>
      <w:r>
        <w:rPr>
          <w:rFonts w:ascii="宋体" w:hAnsi="宋体" w:cs="宋体"/>
          <w:color w:val="auto"/>
          <w:sz w:val="24"/>
        </w:rPr>
        <w:t xml:space="preserve">数据治理及开发形成</w:t>
      </w:r>
      <w:r>
        <w:rPr>
          <w:rFonts w:hint="eastAsia" w:ascii="宋体" w:hAnsi="宋体" w:cs="宋体"/>
          <w:color w:val="auto"/>
          <w:sz w:val="24"/>
        </w:rPr>
        <w:t xml:space="preserve">丹阳</w:t>
      </w:r>
      <w:r>
        <w:rPr>
          <w:rFonts w:ascii="宋体" w:hAnsi="宋体" w:cs="宋体"/>
          <w:color w:val="auto"/>
          <w:sz w:val="24"/>
        </w:rPr>
        <w:t xml:space="preserve">市级生命线业务系统的数据资产</w:t>
      </w:r>
      <w:r>
        <w:rPr>
          <w:rFonts w:hint="eastAsia" w:ascii="宋体" w:hAnsi="宋体" w:cs="宋体"/>
          <w:color w:val="auto"/>
          <w:sz w:val="24"/>
        </w:rPr>
        <w:t xml:space="preserve">，</w:t>
      </w:r>
      <w:r>
        <w:rPr>
          <w:rFonts w:ascii="宋体" w:hAnsi="宋体" w:cs="宋体"/>
          <w:color w:val="auto"/>
          <w:sz w:val="24"/>
        </w:rPr>
        <w:t xml:space="preserve">将所有数据</w:t>
      </w:r>
      <w:r>
        <w:rPr>
          <w:rFonts w:hint="eastAsia" w:ascii="宋体" w:hAnsi="宋体" w:cs="宋体"/>
          <w:color w:val="auto"/>
          <w:sz w:val="24"/>
        </w:rPr>
        <w:t xml:space="preserve">资产</w:t>
      </w:r>
      <w:r>
        <w:rPr>
          <w:rFonts w:ascii="宋体" w:hAnsi="宋体" w:cs="宋体"/>
          <w:color w:val="auto"/>
          <w:sz w:val="24"/>
        </w:rPr>
        <w:t xml:space="preserve">纳入系统管理</w:t>
      </w:r>
      <w:r>
        <w:rPr>
          <w:rFonts w:hint="eastAsia" w:ascii="宋体" w:hAnsi="宋体" w:cs="宋体"/>
          <w:color w:val="auto"/>
          <w:sz w:val="24"/>
        </w:rPr>
        <w:t xml:space="preserve">，需包括：元数据管理、资产目录编制、指标管理、标签管理等内容。</w:t>
      </w:r>
      <w:r/>
    </w:p>
    <w:tbl>
      <w:tblPr>
        <w:tblStyle w:val="6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143"/>
        <w:gridCol w:w="6763"/>
      </w:tblGrid>
      <w:tr>
        <w:trPr>
          <w:jc w:val="center"/>
          <w:trHeight w:val="20"/>
          <w:tblHeader/>
        </w:trPr>
        <w:tc>
          <w:tcPr>
            <w:tcW w:w="374" w:type="pct"/>
            <w:vAlign w:val="center"/>
            <w:textDirection w:val="lrTb"/>
            <w:noWrap/>
          </w:tcPr>
          <w:p>
            <w:pPr>
              <w:pStyle w:val="793"/>
              <w:rPr>
                <w:color w:val="auto"/>
              </w:rPr>
            </w:pPr>
            <w:r>
              <w:rPr>
                <w:color w:val="auto"/>
              </w:rPr>
              <w:t xml:space="preserve">序号</w:t>
            </w:r>
            <w:r/>
          </w:p>
        </w:tc>
        <w:tc>
          <w:tcPr>
            <w:tcW w:w="1113" w:type="pct"/>
            <w:vAlign w:val="center"/>
            <w:textDirection w:val="lrTb"/>
            <w:noWrap/>
          </w:tcPr>
          <w:p>
            <w:pPr>
              <w:pStyle w:val="793"/>
              <w:rPr>
                <w:color w:val="auto"/>
              </w:rPr>
            </w:pPr>
            <w:r>
              <w:rPr>
                <w:color w:val="auto"/>
              </w:rPr>
              <w:t xml:space="preserve">治理</w:t>
            </w:r>
            <w:r>
              <w:rPr>
                <w:rFonts w:hint="eastAsia"/>
                <w:color w:val="auto"/>
              </w:rPr>
              <w:t xml:space="preserve">任务</w:t>
            </w:r>
            <w:r/>
          </w:p>
        </w:tc>
        <w:tc>
          <w:tcPr>
            <w:tcW w:w="3513" w:type="pct"/>
            <w:vAlign w:val="center"/>
            <w:textDirection w:val="lrTb"/>
            <w:noWrap/>
          </w:tcPr>
          <w:p>
            <w:pPr>
              <w:pStyle w:val="793"/>
              <w:rPr>
                <w:color w:val="auto"/>
              </w:rPr>
            </w:pPr>
            <w:r>
              <w:rPr>
                <w:color w:val="auto"/>
              </w:rPr>
              <w:t xml:space="preserve">工作内容</w:t>
            </w:r>
            <w:r/>
          </w:p>
        </w:tc>
      </w:tr>
      <w:tr>
        <w:trPr>
          <w:jc w:val="center"/>
          <w:trHeight w:val="20"/>
          <w:tblHeader/>
        </w:trPr>
        <w:tc>
          <w:tcPr>
            <w:tcW w:w="374" w:type="pct"/>
            <w:vAlign w:val="center"/>
            <w:textDirection w:val="lrTb"/>
            <w:noWrap/>
          </w:tcPr>
          <w:p>
            <w:pPr>
              <w:pStyle w:val="793"/>
              <w:rPr>
                <w:color w:val="auto"/>
              </w:rPr>
            </w:pPr>
            <w:r>
              <w:rPr>
                <w:color w:val="auto"/>
              </w:rPr>
              <w:t xml:space="preserve">1</w:t>
            </w:r>
            <w:r/>
          </w:p>
        </w:tc>
        <w:tc>
          <w:tcPr>
            <w:tcW w:w="1113" w:type="pct"/>
            <w:vAlign w:val="center"/>
            <w:textDirection w:val="lrTb"/>
            <w:noWrap/>
          </w:tcPr>
          <w:p>
            <w:pPr>
              <w:pStyle w:val="793"/>
              <w:rPr>
                <w:color w:val="auto"/>
              </w:rPr>
            </w:pPr>
            <w:r>
              <w:rPr>
                <w:rFonts w:hint="eastAsia" w:ascii="宋体" w:hAnsi="宋体" w:cs="宋体"/>
                <w:color w:val="auto"/>
              </w:rPr>
              <w:t xml:space="preserve">元数据管理</w:t>
            </w:r>
            <w:r/>
          </w:p>
        </w:tc>
        <w:tc>
          <w:tcPr>
            <w:tcW w:w="3513" w:type="pct"/>
            <w:vAlign w:val="center"/>
            <w:textDirection w:val="lrTb"/>
            <w:noWrap w:val="false"/>
          </w:tcPr>
          <w:p>
            <w:pPr>
              <w:pStyle w:val="793"/>
              <w:rPr>
                <w:color w:val="auto"/>
              </w:rPr>
            </w:pPr>
            <w:r>
              <w:rPr>
                <w:color w:val="auto"/>
              </w:rPr>
              <w:t xml:space="preserve">开展元数据采集梳理，完成元数据常态化更新维护。</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2</w:t>
            </w:r>
            <w:r/>
          </w:p>
        </w:tc>
        <w:tc>
          <w:tcPr>
            <w:tcW w:w="1113" w:type="pct"/>
            <w:vAlign w:val="center"/>
            <w:textDirection w:val="lrTb"/>
            <w:noWrap/>
          </w:tcPr>
          <w:p>
            <w:pPr>
              <w:pStyle w:val="793"/>
              <w:rPr>
                <w:color w:val="auto"/>
              </w:rPr>
            </w:pPr>
            <w:r>
              <w:rPr>
                <w:rFonts w:hint="eastAsia" w:ascii="宋体" w:hAnsi="宋体" w:cs="宋体"/>
                <w:color w:val="auto"/>
              </w:rPr>
              <w:t xml:space="preserve">资产目录编制</w:t>
            </w:r>
            <w:r/>
          </w:p>
        </w:tc>
        <w:tc>
          <w:tcPr>
            <w:tcW w:w="3513" w:type="pct"/>
            <w:vAlign w:val="center"/>
            <w:textDirection w:val="lrTb"/>
            <w:noWrap w:val="false"/>
          </w:tcPr>
          <w:p>
            <w:pPr>
              <w:pStyle w:val="793"/>
              <w:rPr>
                <w:color w:val="auto"/>
              </w:rPr>
            </w:pPr>
            <w:r>
              <w:rPr>
                <w:color w:val="auto"/>
              </w:rPr>
              <w:t xml:space="preserve">设计数据资产分类体系，编制完整的数据资产目录清单。</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3</w:t>
            </w:r>
            <w:r/>
          </w:p>
        </w:tc>
        <w:tc>
          <w:tcPr>
            <w:tcW w:w="1113" w:type="pct"/>
            <w:vAlign w:val="center"/>
            <w:textDirection w:val="lrTb"/>
            <w:noWrap/>
          </w:tcPr>
          <w:p>
            <w:pPr>
              <w:pStyle w:val="793"/>
              <w:rPr>
                <w:color w:val="auto"/>
              </w:rPr>
            </w:pPr>
            <w:r>
              <w:rPr>
                <w:rFonts w:hint="eastAsia" w:ascii="宋体" w:hAnsi="宋体" w:cs="宋体"/>
                <w:color w:val="auto"/>
              </w:rPr>
              <w:t xml:space="preserve">指标管理</w:t>
            </w:r>
            <w:r/>
          </w:p>
        </w:tc>
        <w:tc>
          <w:tcPr>
            <w:tcW w:w="3513" w:type="pct"/>
            <w:vAlign w:val="center"/>
            <w:textDirection w:val="lrTb"/>
            <w:noWrap w:val="false"/>
          </w:tcPr>
          <w:p>
            <w:pPr>
              <w:pStyle w:val="793"/>
              <w:rPr>
                <w:color w:val="auto"/>
              </w:rPr>
            </w:pPr>
            <w:r>
              <w:rPr>
                <w:color w:val="auto"/>
              </w:rPr>
              <w:t xml:space="preserve">完成业务指标定义、建模，实现指标固化入库。</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4</w:t>
            </w:r>
            <w:r/>
          </w:p>
        </w:tc>
        <w:tc>
          <w:tcPr>
            <w:tcW w:w="1113" w:type="pct"/>
            <w:vAlign w:val="center"/>
            <w:textDirection w:val="lrTb"/>
            <w:noWrap/>
          </w:tcPr>
          <w:p>
            <w:pPr>
              <w:pStyle w:val="793"/>
              <w:rPr>
                <w:rFonts w:hint="eastAsia" w:ascii="宋体" w:hAnsi="宋体" w:cs="宋体"/>
                <w:color w:val="auto"/>
              </w:rPr>
            </w:pPr>
            <w:r>
              <w:rPr>
                <w:rFonts w:hint="eastAsia" w:ascii="宋体" w:hAnsi="宋体" w:cs="宋体"/>
                <w:color w:val="auto"/>
              </w:rPr>
              <w:t xml:space="preserve">标签管理</w:t>
            </w:r>
            <w:r/>
          </w:p>
        </w:tc>
        <w:tc>
          <w:tcPr>
            <w:tcW w:w="3513" w:type="pct"/>
            <w:vAlign w:val="center"/>
            <w:textDirection w:val="lrTb"/>
            <w:noWrap w:val="false"/>
          </w:tcPr>
          <w:p>
            <w:pPr>
              <w:pStyle w:val="793"/>
              <w:rPr>
                <w:color w:val="auto"/>
              </w:rPr>
            </w:pPr>
            <w:r>
              <w:rPr>
                <w:color w:val="auto"/>
              </w:rPr>
              <w:t xml:space="preserve">设计业务标签体系，构建标签模型并落地执行打标。</w:t>
            </w:r>
            <w:r/>
          </w:p>
        </w:tc>
      </w:tr>
    </w:tbl>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7.</w:t>
      </w:r>
      <w:r>
        <w:rPr>
          <w:rFonts w:ascii="宋体" w:hAnsi="宋体" w:cs="宋体"/>
          <w:color w:val="auto"/>
          <w:sz w:val="24"/>
        </w:rPr>
        <w:t xml:space="preserve">数据服务</w:t>
      </w:r>
      <w:r>
        <w:rPr>
          <w:rFonts w:hint="eastAsia" w:ascii="宋体" w:hAnsi="宋体" w:cs="宋体"/>
          <w:color w:val="auto"/>
          <w:sz w:val="24"/>
        </w:rPr>
        <w:t xml:space="preserve">与运维</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依托数据中台等数据服务工具，开发各类数据接口并组织整合。根据最新数据对接规范要求，将丹阳市城市生命线库表、消息、文件、离线拷贝、视频等类型数据上报至镇江市级城市生命线安全工程综合监管平台。根据最新数据对接规范要求，对属地上报的数据进行稽查。在项目建设期内</w:t>
      </w:r>
      <w:r>
        <w:rPr>
          <w:rFonts w:ascii="宋体" w:hAnsi="宋体" w:cs="宋体"/>
          <w:color w:val="auto"/>
          <w:sz w:val="24"/>
        </w:rPr>
        <w:t xml:space="preserve">，对</w:t>
      </w:r>
      <w:r>
        <w:rPr>
          <w:rFonts w:hint="eastAsia" w:ascii="宋体" w:hAnsi="宋体" w:cs="宋体"/>
          <w:color w:val="auto"/>
          <w:sz w:val="24"/>
        </w:rPr>
        <w:t xml:space="preserve">数据</w:t>
      </w:r>
      <w:r>
        <w:rPr>
          <w:rFonts w:ascii="宋体" w:hAnsi="宋体" w:cs="宋体"/>
          <w:color w:val="auto"/>
          <w:sz w:val="24"/>
        </w:rPr>
        <w:t xml:space="preserve">异常状态进行告警和处置，实现对数据治理各个环节的实时监控和管理。</w:t>
      </w:r>
      <w:r>
        <w:rPr>
          <w:rFonts w:hint="eastAsia" w:ascii="宋体" w:hAnsi="宋体" w:cs="宋体"/>
          <w:color w:val="auto"/>
          <w:sz w:val="24"/>
        </w:rPr>
        <w:t xml:space="preserve">需包括：数据服务封装、省市县数据对接、属地数据接收、任务监控运维、运维报告输出等内容。</w:t>
      </w:r>
      <w:r/>
    </w:p>
    <w:tbl>
      <w:tblPr>
        <w:tblStyle w:val="6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2143"/>
        <w:gridCol w:w="6763"/>
      </w:tblGrid>
      <w:tr>
        <w:trPr>
          <w:jc w:val="center"/>
          <w:trHeight w:val="20"/>
          <w:tblHeader/>
        </w:trPr>
        <w:tc>
          <w:tcPr>
            <w:tcW w:w="374" w:type="pct"/>
            <w:vAlign w:val="center"/>
            <w:textDirection w:val="lrTb"/>
            <w:noWrap/>
          </w:tcPr>
          <w:p>
            <w:pPr>
              <w:pStyle w:val="793"/>
              <w:rPr>
                <w:color w:val="auto"/>
              </w:rPr>
            </w:pPr>
            <w:r>
              <w:rPr>
                <w:color w:val="auto"/>
              </w:rPr>
              <w:t xml:space="preserve">序号</w:t>
            </w:r>
            <w:r/>
          </w:p>
        </w:tc>
        <w:tc>
          <w:tcPr>
            <w:tcW w:w="1113" w:type="pct"/>
            <w:vAlign w:val="center"/>
            <w:textDirection w:val="lrTb"/>
            <w:noWrap/>
          </w:tcPr>
          <w:p>
            <w:pPr>
              <w:pStyle w:val="793"/>
              <w:rPr>
                <w:color w:val="auto"/>
              </w:rPr>
            </w:pPr>
            <w:r>
              <w:rPr>
                <w:color w:val="auto"/>
              </w:rPr>
              <w:t xml:space="preserve">治理</w:t>
            </w:r>
            <w:r>
              <w:rPr>
                <w:rFonts w:hint="eastAsia"/>
                <w:color w:val="auto"/>
              </w:rPr>
              <w:t xml:space="preserve">任务</w:t>
            </w:r>
            <w:r/>
          </w:p>
        </w:tc>
        <w:tc>
          <w:tcPr>
            <w:tcW w:w="3513" w:type="pct"/>
            <w:vAlign w:val="center"/>
            <w:textDirection w:val="lrTb"/>
            <w:noWrap/>
          </w:tcPr>
          <w:p>
            <w:pPr>
              <w:pStyle w:val="793"/>
              <w:rPr>
                <w:color w:val="auto"/>
              </w:rPr>
            </w:pPr>
            <w:r>
              <w:rPr>
                <w:color w:val="auto"/>
              </w:rPr>
              <w:t xml:space="preserve">工作内容</w:t>
            </w:r>
            <w:r/>
          </w:p>
        </w:tc>
      </w:tr>
      <w:tr>
        <w:trPr>
          <w:jc w:val="center"/>
          <w:trHeight w:val="20"/>
          <w:tblHeader/>
        </w:trPr>
        <w:tc>
          <w:tcPr>
            <w:tcW w:w="374" w:type="pct"/>
            <w:vAlign w:val="center"/>
            <w:textDirection w:val="lrTb"/>
            <w:noWrap/>
          </w:tcPr>
          <w:p>
            <w:pPr>
              <w:pStyle w:val="793"/>
              <w:rPr>
                <w:color w:val="auto"/>
              </w:rPr>
            </w:pPr>
            <w:r>
              <w:rPr>
                <w:color w:val="auto"/>
              </w:rPr>
              <w:t xml:space="preserve">1</w:t>
            </w:r>
            <w:r/>
          </w:p>
        </w:tc>
        <w:tc>
          <w:tcPr>
            <w:tcW w:w="1113" w:type="pct"/>
            <w:vAlign w:val="center"/>
            <w:textDirection w:val="lrTb"/>
            <w:noWrap/>
          </w:tcPr>
          <w:p>
            <w:pPr>
              <w:pStyle w:val="793"/>
              <w:rPr>
                <w:color w:val="auto"/>
              </w:rPr>
            </w:pPr>
            <w:r>
              <w:rPr>
                <w:color w:val="auto"/>
              </w:rPr>
              <w:t xml:space="preserve">数据服务封装</w:t>
            </w:r>
            <w:r/>
          </w:p>
        </w:tc>
        <w:tc>
          <w:tcPr>
            <w:tcW w:w="3513" w:type="pct"/>
            <w:vAlign w:val="center"/>
            <w:textDirection w:val="lrTb"/>
            <w:noWrap w:val="false"/>
          </w:tcPr>
          <w:p>
            <w:pPr>
              <w:pStyle w:val="793"/>
              <w:rPr>
                <w:color w:val="auto"/>
              </w:rPr>
            </w:pPr>
            <w:r>
              <w:rPr>
                <w:color w:val="auto"/>
              </w:rPr>
              <w:t xml:space="preserve">开发API、消息、文件类数据服务，完成服务编目管理。</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2</w:t>
            </w:r>
            <w:r/>
          </w:p>
        </w:tc>
        <w:tc>
          <w:tcPr>
            <w:tcW w:w="1113" w:type="pct"/>
            <w:vAlign w:val="center"/>
            <w:textDirection w:val="lrTb"/>
            <w:noWrap/>
          </w:tcPr>
          <w:p>
            <w:pPr>
              <w:pStyle w:val="793"/>
              <w:rPr>
                <w:color w:val="auto"/>
              </w:rPr>
            </w:pPr>
            <w:r>
              <w:rPr>
                <w:color w:val="auto"/>
              </w:rPr>
              <w:t xml:space="preserve">省市县数据对接</w:t>
            </w:r>
            <w:r/>
          </w:p>
        </w:tc>
        <w:tc>
          <w:tcPr>
            <w:tcW w:w="3513" w:type="pct"/>
            <w:vAlign w:val="center"/>
            <w:textDirection w:val="lrTb"/>
            <w:noWrap w:val="false"/>
          </w:tcPr>
          <w:p>
            <w:pPr>
              <w:pStyle w:val="793"/>
              <w:rPr>
                <w:color w:val="auto"/>
              </w:rPr>
            </w:pPr>
            <w:r>
              <w:rPr>
                <w:color w:val="auto"/>
              </w:rPr>
              <w:t xml:space="preserve">实施库表、消息、文件、视频等多类型数据向市级平台上报对接。</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3</w:t>
            </w:r>
            <w:r/>
          </w:p>
        </w:tc>
        <w:tc>
          <w:tcPr>
            <w:tcW w:w="1113" w:type="pct"/>
            <w:vAlign w:val="center"/>
            <w:textDirection w:val="lrTb"/>
            <w:noWrap/>
          </w:tcPr>
          <w:p>
            <w:pPr>
              <w:pStyle w:val="793"/>
              <w:rPr>
                <w:color w:val="auto"/>
              </w:rPr>
            </w:pPr>
            <w:r>
              <w:rPr>
                <w:rFonts w:hint="eastAsia"/>
                <w:color w:val="auto"/>
              </w:rPr>
              <w:t xml:space="preserve">属地</w:t>
            </w:r>
            <w:r>
              <w:rPr>
                <w:color w:val="auto"/>
              </w:rPr>
              <w:t xml:space="preserve">数据接收</w:t>
            </w:r>
            <w:r/>
          </w:p>
        </w:tc>
        <w:tc>
          <w:tcPr>
            <w:tcW w:w="3513" w:type="pct"/>
            <w:vAlign w:val="center"/>
            <w:textDirection w:val="lrTb"/>
            <w:noWrap w:val="false"/>
          </w:tcPr>
          <w:p>
            <w:pPr>
              <w:pStyle w:val="793"/>
              <w:rPr>
                <w:color w:val="auto"/>
              </w:rPr>
            </w:pPr>
            <w:r>
              <w:rPr>
                <w:color w:val="auto"/>
              </w:rPr>
              <w:t xml:space="preserve">开发</w:t>
            </w:r>
            <w:r>
              <w:rPr>
                <w:rFonts w:hint="eastAsia"/>
                <w:color w:val="auto"/>
              </w:rPr>
              <w:t xml:space="preserve">属地</w:t>
            </w:r>
            <w:r>
              <w:rPr>
                <w:color w:val="auto"/>
              </w:rPr>
              <w:t xml:space="preserve">数据归集任务，开展数据质量稽核并指导</w:t>
            </w:r>
            <w:r>
              <w:rPr>
                <w:rFonts w:hint="eastAsia"/>
                <w:color w:val="auto"/>
              </w:rPr>
              <w:t xml:space="preserve">属地</w:t>
            </w:r>
            <w:r>
              <w:rPr>
                <w:color w:val="auto"/>
              </w:rPr>
              <w:t xml:space="preserve">数据质量提升。</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4</w:t>
            </w:r>
            <w:r/>
          </w:p>
        </w:tc>
        <w:tc>
          <w:tcPr>
            <w:tcW w:w="1113" w:type="pct"/>
            <w:vAlign w:val="center"/>
            <w:textDirection w:val="lrTb"/>
            <w:noWrap/>
          </w:tcPr>
          <w:p>
            <w:pPr>
              <w:pStyle w:val="793"/>
              <w:rPr>
                <w:rFonts w:hint="eastAsia" w:ascii="宋体" w:hAnsi="宋体" w:cs="宋体"/>
                <w:color w:val="auto"/>
              </w:rPr>
            </w:pPr>
            <w:r>
              <w:rPr>
                <w:rFonts w:ascii="宋体" w:hAnsi="宋体" w:cs="宋体"/>
                <w:color w:val="auto"/>
              </w:rPr>
              <w:t xml:space="preserve">任务监控运维</w:t>
            </w:r>
            <w:r/>
          </w:p>
        </w:tc>
        <w:tc>
          <w:tcPr>
            <w:tcW w:w="3513" w:type="pct"/>
            <w:vAlign w:val="center"/>
            <w:textDirection w:val="lrTb"/>
            <w:noWrap w:val="false"/>
          </w:tcPr>
          <w:p>
            <w:pPr>
              <w:pStyle w:val="793"/>
              <w:rPr>
                <w:color w:val="auto"/>
              </w:rPr>
            </w:pPr>
            <w:r>
              <w:rPr>
                <w:color w:val="auto"/>
              </w:rPr>
              <w:t xml:space="preserve">对归集、开发、资产、服务全链路任务进行调度与运行状态监控。</w:t>
            </w:r>
            <w:r/>
          </w:p>
        </w:tc>
      </w:tr>
      <w:tr>
        <w:trPr>
          <w:jc w:val="center"/>
          <w:trHeight w:val="20"/>
          <w:tblHeader/>
        </w:trPr>
        <w:tc>
          <w:tcPr>
            <w:tcW w:w="374" w:type="pct"/>
            <w:vAlign w:val="center"/>
            <w:textDirection w:val="lrTb"/>
            <w:noWrap/>
          </w:tcPr>
          <w:p>
            <w:pPr>
              <w:pStyle w:val="793"/>
              <w:rPr>
                <w:color w:val="auto"/>
              </w:rPr>
            </w:pPr>
            <w:r>
              <w:rPr>
                <w:rFonts w:hint="eastAsia"/>
                <w:color w:val="auto"/>
              </w:rPr>
              <w:t xml:space="preserve">5</w:t>
            </w:r>
            <w:r/>
          </w:p>
        </w:tc>
        <w:tc>
          <w:tcPr>
            <w:tcW w:w="1113" w:type="pct"/>
            <w:vAlign w:val="center"/>
            <w:textDirection w:val="lrTb"/>
            <w:noWrap/>
          </w:tcPr>
          <w:p>
            <w:pPr>
              <w:pStyle w:val="793"/>
              <w:rPr>
                <w:rFonts w:hint="eastAsia" w:ascii="宋体" w:hAnsi="宋体" w:cs="宋体"/>
                <w:color w:val="auto"/>
              </w:rPr>
            </w:pPr>
            <w:r>
              <w:rPr>
                <w:rFonts w:ascii="宋体" w:hAnsi="宋体" w:cs="宋体"/>
                <w:color w:val="auto"/>
              </w:rPr>
              <w:t xml:space="preserve">运维报告输出</w:t>
            </w:r>
            <w:r/>
          </w:p>
        </w:tc>
        <w:tc>
          <w:tcPr>
            <w:tcW w:w="3513" w:type="pct"/>
            <w:vAlign w:val="center"/>
            <w:textDirection w:val="lrTb"/>
            <w:noWrap w:val="false"/>
          </w:tcPr>
          <w:p>
            <w:pPr>
              <w:pStyle w:val="793"/>
              <w:rPr>
                <w:color w:val="auto"/>
              </w:rPr>
            </w:pPr>
            <w:r>
              <w:rPr>
                <w:color w:val="auto"/>
              </w:rPr>
              <w:t xml:space="preserve">处理分析数据质量情况，定期编制输出数据治理运维报告。</w:t>
            </w:r>
            <w:r/>
          </w:p>
        </w:tc>
      </w:tr>
    </w:tbl>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6.</w:t>
      </w:r>
      <w:r>
        <w:rPr>
          <w:rFonts w:ascii="宋体" w:hAnsi="宋体" w:cs="宋体"/>
          <w:b/>
          <w:bCs/>
          <w:color w:val="auto"/>
          <w:sz w:val="24"/>
        </w:rPr>
        <w:t xml:space="preserve">基础软件购置要求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国产软件运行系统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采购符合镇江市级监管平台复用要求的国产软件运行系统，部署在市级政务云平台中，全面适配丹阳市生命线监管平台中的各相关业务系统及支撑平台，以满足市县复用需求以及国产化要求。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数据管理系统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采购符合镇江市级监管平台复用要求的数据管理系统，部署在市级政务云平台中，以满足市县复用需求以及国产化要求。数据管理系统应具备强大的数据安全功能、高可用性、可扩展性和容错性，能够保护数据免受未经授权的访问、篡改或丢失，并保障数据业务连续性的关键数据存储和访问。</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管线数据脱密脱敏要求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数据脱密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国家保密部门、自然资源部门及住房和城乡建设部门关于秘密数据管理和使用要求，依据《江苏省城市生命线安全建设一期工程管线数据处理方案》和《城市基础设施安全运行智慧监管系统-数据标准》，委托江苏省测绘档案馆（全省唯一涉密数据脱密单位）将丹阳市既有普查完成的主城区范围内公共空间地下管线数据进行管线位置精度的解密，以确保在政务网中的安全共享与使用，数据脱密后应确保能与丹阳市天地图叠加。</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数据脱敏</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江苏省城市生命线安全建设一期工程管线数据处理方案》v2.0、《江苏省城市地下管线数据标准》要求，采用“先规范化、标准化治理、再依规则脱敏”的方式对丹阳市既有普查完成的主城区范围内公共空间地下管线数据属性表进行脱敏，建立地下管线数据库。本期项目涉及面积约44.5平方公里。</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信息系统安全要求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网络安全</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信息安全技术网络安全等级保护基本要求》(GB/T22239-2019)以及《信息安全技术—网络安全等级保护安全设计技术要求》（GB/T25070-2019）标准第三级的安全保护能力，结合系统的业务安全需求特点，使丹阳市城市生命线信息系统不仅达到网络安全等级保护“第三级基本要求”和“第三级安全保护能力”，而且符合其自身业务特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三级等保要求基础性指标、常规性指标、重点保护和安全保障能力的综合实力都要达到国家规定的标准，可以有效提升信息系统的安全性和可靠性。其要求主要包括以下几个方面：</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A.基础设施防护：包括网络安全设备、操作系统、数据库、应用服务器等方面的安全防护，确保信息系统的基础设施不被攻击或破坏。</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B.数据安全防护：包括数据的加密、备份、恢复等方面的安全措施，防止数据泄露、损坏或被篡改。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C.用户身份认证和访问控制：确定用户身份，并根据其权限分配访问控制，防止未授权人员访问系统或数据。</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D.安全监测与应急响应：包括安全漏洞扫描、恶意代码检测、入侵检测等方面的安全监测与事件响应，能够及时识别和处理安全事件。</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数据安全</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按照《中华人民共和国数据安全法》《中华人民共和国个人信息保护法》《信息安全技术网络安全等级保护基本要求》(GB/T222</w:t>
      </w:r>
      <w:r>
        <w:rPr>
          <w:rFonts w:hint="eastAsia" w:ascii="宋体" w:hAnsi="宋体" w:cs="宋体"/>
          <w:color w:val="auto"/>
          <w:sz w:val="24"/>
        </w:rPr>
        <w:t xml:space="preserve">39-2019)、《信息安全技术—政务信息共享—数据安全技术要求》（GB/T39477-2020）等标准的要求，以技术保障为基础、以监测预警为核心、以协同响应为目标，围绕国家数据安全防护体系核心合规性标准要求，在数据、人、工具、管理安全等方面进行积极防御，全面建成全方位数据安全体系。根据数据安全的相关需求，经过专业化实施，采用独立的生产数据脱敏环境，实现数据脱敏的自动化及可视化，保障数据安全，加强数据调用管理，提升操作效率，建设一套高安全、高性能、高可靠、易管理、易操作的数据安全系统及数据安全风险评估办法。</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密码应用安全</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待市数据局密钥管理系统、商用密码机等密码安全类软硬件部署落实后，另行开展密码池对接实施与密码应用安全性评估两项工作，以上内容不列入本次采购范围。</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其他建设要求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需委托专业的第三方检测机构对系统进行跟踪测评（包括数据安全风险评估、软件第三方评测、信息系统安全等级测评），并在每次测评后于规定时间内完成整改，必须通过系统测评并取得测评报告后方可验收。</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ascii="宋体" w:hAnsi="宋体" w:cs="宋体"/>
          <w:color w:val="auto"/>
          <w:sz w:val="24"/>
        </w:rPr>
        <w:t xml:space="preserve">数据安全风险评估</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根据《中华人民共和国数据安全法》</w:t>
      </w:r>
      <w:r>
        <w:rPr>
          <w:rFonts w:hint="eastAsia" w:ascii="宋体" w:hAnsi="宋体" w:cs="宋体"/>
          <w:color w:val="auto"/>
          <w:sz w:val="24"/>
        </w:rPr>
        <w:t xml:space="preserve">规定要求，对</w:t>
      </w:r>
      <w:r>
        <w:rPr>
          <w:rFonts w:ascii="宋体" w:hAnsi="宋体" w:cs="宋体"/>
          <w:color w:val="auto"/>
          <w:sz w:val="24"/>
        </w:rPr>
        <w:t xml:space="preserve">重要数据定期开展风险评估，报告需涵盖数据处理种类、数量、风险及应对措施等要素。</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ascii="宋体" w:hAnsi="宋体" w:cs="宋体"/>
          <w:color w:val="auto"/>
          <w:sz w:val="24"/>
        </w:rPr>
        <w:t xml:space="preserve">软件第三方评测</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依据软件测试相关国家及行业标准规范</w:t>
      </w:r>
      <w:r>
        <w:rPr>
          <w:rFonts w:hint="eastAsia" w:ascii="宋体" w:hAnsi="宋体" w:cs="宋体"/>
          <w:color w:val="auto"/>
          <w:sz w:val="24"/>
        </w:rPr>
        <w:t xml:space="preserve">等的要求，</w:t>
      </w:r>
      <w:r>
        <w:rPr>
          <w:rFonts w:ascii="宋体" w:hAnsi="宋体" w:cs="宋体"/>
          <w:color w:val="auto"/>
          <w:sz w:val="24"/>
        </w:rPr>
        <w:t xml:space="preserve">对软件功能、性能、安全性、可靠性及兼容性等进行全面检测，提供客观公正的质量评估报告</w:t>
      </w:r>
      <w:r>
        <w:rPr>
          <w:rFonts w:hint="eastAsia" w:ascii="宋体" w:hAnsi="宋体" w:cs="宋体"/>
          <w:color w:val="auto"/>
          <w:sz w:val="24"/>
        </w:rPr>
        <w:t xml:space="preserve">，</w:t>
      </w:r>
      <w:r>
        <w:rPr>
          <w:rFonts w:ascii="宋体" w:hAnsi="宋体" w:cs="宋体"/>
          <w:color w:val="auto"/>
          <w:sz w:val="24"/>
        </w:rPr>
        <w:t xml:space="preserve">测试范围覆盖需求分析审查、设计审查、代码审查等内容</w:t>
      </w:r>
      <w:r>
        <w:rPr>
          <w:rFonts w:hint="eastAsia" w:ascii="宋体" w:hAnsi="宋体" w:cs="宋体"/>
          <w:color w:val="auto"/>
          <w:sz w:val="24"/>
        </w:rPr>
        <w:t xml:space="preserve">。</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ascii="宋体" w:hAnsi="宋体" w:cs="宋体"/>
          <w:color w:val="auto"/>
          <w:sz w:val="24"/>
        </w:rPr>
        <w:t xml:space="preserve">信息系统安全等级测评</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依据网络安全等级保护相关国家标准规范开展等级保护测评，对系统物理环境、网络通信、设备计算、应用业务、数据安全以及管理制度等方面实施全面安全检测，输出等级测评报告，报告包含安全现状、安全漏洞、风险问题及安全整改建议等核心内容</w:t>
      </w:r>
      <w:r>
        <w:rPr>
          <w:rFonts w:hint="eastAsia" w:ascii="宋体" w:hAnsi="宋体" w:cs="宋体"/>
          <w:color w:val="auto"/>
          <w:sz w:val="24"/>
        </w:rPr>
        <w:t xml:space="preserve">。</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演示要求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为保障综合应用、燃气、供水、排水、道路、桥梁、第三方施工破坏、地下管线交互风险等8项子系统的履约能力，要求进行demo系统演示，每个专项子系统需满足以下功能。</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综合应用，至少需包括：监管一张图、行业综合监管功能模块。其中，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a.监管一张图，至少需包括：综合总览子图、运行监测子图、风险隐患子图、巡检养护子图、基础设施子图。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b.行业综合监管，至少需包括：项目信息管理、事件管理、资料中心。</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燃气专项，至少需包括：燃气一张图、燃气运行监测管理、燃气运行处置管理功能模块。其中，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a.燃气一张图，至少需包括：总览子图、风险隐患子图、运行监测子图。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b.燃气运行监测管理，至少需包括：监测设备管理、阈值管理。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c.燃气运行处置管理，至少需包括：风险评估信息管理、隐患整改。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供水专项，至少需包括：供水一张图、供水运行监测管理、供水运行处置管理功能模块。其中，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a.供水一张图，至少需包括：总览子图、运行监测子图。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b.供水运行监测管理，至少需包括：预警报警信息、预警报警处置信息。</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c.供水运行处置管理，至少需包括：风险评估信息管理、事件管理。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排水专项，包括排水防涝和污水监管。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A.排水防涝，至少需包括：排水防涝一张图、排水防涝运行监测管理、排水防涝设施巡检养护管理功能模块。其中，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a.排水防涝一张图，至少需包括：总览子图、运行监测子图、巡检养护子图。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b.排水防涝运行监测管理，至少需包括：站点管理、实时预警。</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c.排水防涝设施巡检养护管理，至少需包括：养护经费管理。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B.污水监管，至少需包括：污水一张图、污水运行监测管理、污水设施巡检养护管理等功能模块。其中，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a.污水一张图，至少需包括：总览子图、运行监测子图、提升改造子图。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b.污水运行监测管理，至少需包括：站点管理、实时预警。</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c.污水设施巡检养护管理，至少需包括：养护经费管理。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第三方施工破坏专项，至少需包括：第三方施工一张图、综合监管、智慧监测功能模块。其中，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a.第三方施工一张图，至少需包括：第三方施工总览子图、第三方施工管线破坏子图。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b.综合监管，至少需包括：道路挖掘审批、四方交底管理、管线破坏事件管理。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c.智慧监测，至少需包括：施工现场监测管理、施工监测设备管理。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道路专项，至少需包括：道路塌陷管理一张图、塌陷隐患探测管理、塌陷隐患处置管理功能模块。其中，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a.道路塌陷管理一张图，至少需包括：总体风险评估子图、道路塌陷隐患子图。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b.塌陷隐患探测管理，至少需包括：探测记录管理。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c.塌陷隐患处置管理，至少需包括：处置计划管理、处置信息管理、统计分析。</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桥梁专项，至少需包括：桥梁一张图、智慧监测、综合监管功能模块。其中，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a.桥梁一张图，至少需包括：桥梁总览子图、风险隐患子图、桥梁运行监测子图。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b.智慧监测，至少需包括：监测报警管理、报警处置管理。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c.综合监管，至少需包括：检查检测、专项整治。</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8）</w:t>
      </w:r>
      <w:r>
        <w:rPr>
          <w:rFonts w:hint="eastAsia" w:ascii="宋体" w:hAnsi="宋体" w:cs="宋体"/>
          <w:color w:val="auto"/>
          <w:sz w:val="24"/>
        </w:rPr>
        <w:t xml:space="preserve">地下管线交互风险专项，至少需包括：管线一张图、风险管控功能模块。其中，</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a.管线一张图，至少需包括：基础信息一张图。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b.风险管控，至少需包括：风险分析、风险清单、风险详情。</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11.</w:t>
      </w:r>
      <w:r>
        <w:rPr>
          <w:rFonts w:hint="eastAsia" w:ascii="宋体" w:hAnsi="宋体" w:cs="宋体"/>
          <w:b/>
          <w:bCs/>
          <w:color w:val="auto"/>
          <w:sz w:val="24"/>
        </w:rPr>
        <w:t xml:space="preserve">技术培训要求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1.</w:t>
      </w:r>
      <w:r>
        <w:rPr>
          <w:rFonts w:ascii="宋体" w:hAnsi="宋体" w:cs="宋体"/>
          <w:color w:val="auto"/>
          <w:sz w:val="24"/>
        </w:rPr>
        <w:t xml:space="preserve">中标人应负责对用户进行全面的技术培训（培训费用包含在总报价中），使用户能独立进行日常维护管理和简易故障处理等工作，以便用户所使用的软件产品能够正常、安全地运行</w:t>
      </w:r>
      <w:r>
        <w:rPr>
          <w:rFonts w:hint="eastAsia" w:ascii="宋体" w:hAnsi="宋体" w:cs="宋体"/>
          <w:color w:val="auto"/>
          <w:sz w:val="24"/>
        </w:rPr>
        <w:t xml:space="preserve">。</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ascii="宋体" w:hAnsi="宋体" w:cs="宋体"/>
          <w:color w:val="auto"/>
          <w:sz w:val="24"/>
        </w:rPr>
        <w:t xml:space="preserve">中标人的培训对象为系统管理员和系统使用人员，中标人需提供培训教材</w:t>
      </w:r>
      <w:r>
        <w:rPr>
          <w:rFonts w:hint="eastAsia" w:ascii="宋体" w:hAnsi="宋体" w:cs="宋体"/>
          <w:color w:val="auto"/>
          <w:sz w:val="24"/>
        </w:rPr>
        <w:t xml:space="preserve">。</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12.</w:t>
      </w:r>
      <w:r>
        <w:rPr>
          <w:rFonts w:hint="eastAsia" w:ascii="宋体" w:hAnsi="宋体" w:cs="宋体"/>
          <w:b/>
          <w:bCs/>
          <w:color w:val="auto"/>
          <w:sz w:val="24"/>
        </w:rPr>
        <w:t xml:space="preserve">项目实施要求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投标人应建立规范化项目实施管理体系，严格按照合同及相关技术标准组织项目实施，落实各阶段工作任务；应强化进度管理，编制细化的项目实施计划，明确各阶段关键工作内容、时间节点与交付成果，建立进度跟踪、偏差分析及纠偏机制，保障项目按期完成建设及验收。</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13.</w:t>
      </w:r>
      <w:r>
        <w:rPr>
          <w:rFonts w:hint="eastAsia" w:ascii="宋体" w:hAnsi="宋体" w:cs="宋体"/>
          <w:b/>
          <w:bCs/>
          <w:color w:val="auto"/>
          <w:sz w:val="24"/>
        </w:rPr>
        <w:t xml:space="preserve">售后及运维服务要求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服务期内需配合甲方完成上级主管部门对丹阳市城市生命线安全工程一期建设的最新工作要求；针对省、市发布的新增及修订技术标准，及时完成数据更新、系统适配调整。服务期内如丹阳市新建应用支撑平台，需配合将相关数据汇聚至新建平台。</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自系统通过竣工验收之日起计算，本项目应提供软件和硬件周期为3年的免费质保运维服务。需支撑响应设备巡检与维护、故障处置及平台运行等运维要求和数据分析、辅助决策等技术支持。需根据主管部门要求对系统进行维护和升级，根据国家、省、市接口调整变更软件调整。驻场人员在采购人指定的工作地点进行系统及数据的安全运行保障、异常情况配合处理以及软硬件维护等工作。详细运维工作如下：</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硬件设备</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运维期内对城市生命线建设的硬件监测设备进行维护，确保设备的正常运行。</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系统软件</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包括1个门户、1个综合应用系统、7个专项应用系统、基础软件以及8大支撑平台等。要求应用软件系统能够正常运行，当这些系统出现问题时，能发现并提出解决方案，可以协助专业解决人员解决故障或进行对应的变更、升级等操作。</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数据运维</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运维期内提供针对本工程中所涉及的全生命周期的数据治理、数据对接、数据开发、数据报送、数据更新的运维服务，保证数据在使用、共享时高质量和及时响应。</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监测值守服务</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提供7*24小时监测值守服务，包含系统各类报警信息的快速上报、系统在线巡查巡检、工单派发、信息咨询以及数据统计管理等。</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技术服务承诺</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投标人需承诺在本项目建设期内完成与江苏省燃气经营企业从业人员电子证书管理系统、镇江市智慧燃气监管平台、镇江市气瓶质量安全追溯系统、丹阳港华燃气公司相关信息化系统、丹阳市水务集团相关信息化系统、丹阳市“厂-站-网”一体化管控平台等平台的城市生命线需求数据对接工作。（提供承诺函并加盖投标人公章，格式自拟）。</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rPr>
        <w:t xml:space="preserve">b.投标人需承诺所投产品需满足招标文件硬件设备技术要求，并包含设备辅材、设备安装与集成、设备调试等内</w:t>
      </w:r>
      <w:r>
        <w:rPr>
          <w:rFonts w:hint="eastAsia" w:ascii="宋体" w:hAnsi="宋体" w:cs="宋体"/>
          <w:color w:val="auto"/>
          <w:sz w:val="24"/>
          <w:highlight w:val="none"/>
        </w:rPr>
        <w:t xml:space="preserve">容，投标人</w:t>
      </w:r>
      <w:r>
        <w:rPr>
          <w:rFonts w:ascii="宋体" w:hAnsi="宋体" w:cs="宋体"/>
          <w:color w:val="auto"/>
          <w:sz w:val="24"/>
          <w:highlight w:val="none"/>
        </w:rPr>
        <w:t xml:space="preserve">所投产品初步验收时必须提供符合</w:t>
      </w:r>
      <w:r>
        <w:rPr>
          <w:rFonts w:hint="eastAsia" w:ascii="宋体" w:hAnsi="宋体" w:cs="宋体"/>
          <w:color w:val="auto"/>
          <w:sz w:val="24"/>
          <w:highlight w:val="none"/>
        </w:rPr>
        <w:t xml:space="preserve">招标参数</w:t>
      </w:r>
      <w:r>
        <w:rPr>
          <w:rFonts w:ascii="宋体" w:hAnsi="宋体" w:cs="宋体"/>
          <w:color w:val="auto"/>
          <w:sz w:val="24"/>
          <w:highlight w:val="none"/>
        </w:rPr>
        <w:t xml:space="preserve">要求的</w:t>
      </w:r>
      <w:r>
        <w:rPr>
          <w:rFonts w:hint="eastAsia" w:ascii="宋体" w:hAnsi="宋体" w:cs="宋体"/>
          <w:color w:val="auto"/>
          <w:sz w:val="24"/>
          <w:highlight w:val="none"/>
        </w:rPr>
        <w:t xml:space="preserve">相关证明材料</w:t>
      </w:r>
      <w:r>
        <w:rPr>
          <w:rFonts w:ascii="宋体" w:hAnsi="宋体" w:cs="宋体"/>
          <w:color w:val="auto"/>
          <w:sz w:val="24"/>
          <w:highlight w:val="none"/>
        </w:rPr>
        <w:t xml:space="preserve">，否则</w:t>
      </w:r>
      <w:r>
        <w:rPr>
          <w:rFonts w:hint="eastAsia" w:ascii="宋体" w:hAnsi="宋体" w:cs="宋体"/>
          <w:color w:val="auto"/>
          <w:sz w:val="24"/>
          <w:highlight w:val="none"/>
        </w:rPr>
        <w:t xml:space="preserve">验收</w:t>
      </w:r>
      <w:r>
        <w:rPr>
          <w:rFonts w:ascii="宋体" w:hAnsi="宋体" w:cs="宋体"/>
          <w:color w:val="auto"/>
          <w:sz w:val="24"/>
          <w:highlight w:val="none"/>
        </w:rPr>
        <w:t xml:space="preserve">不予通过</w:t>
      </w:r>
      <w:r>
        <w:rPr>
          <w:rFonts w:hint="eastAsia" w:ascii="宋体" w:hAnsi="宋体" w:cs="宋体"/>
          <w:color w:val="auto"/>
          <w:sz w:val="24"/>
          <w:highlight w:val="none"/>
        </w:rPr>
        <w:t xml:space="preserve">。（提供承诺函并加盖投标人公章，格式自拟）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highlight w:val="none"/>
        </w:rPr>
        <w:t xml:space="preserve">c.投标人需承诺在服务有效期内，对平台进</w:t>
      </w:r>
      <w:r>
        <w:rPr>
          <w:rFonts w:hint="eastAsia" w:ascii="宋体" w:hAnsi="宋体" w:cs="宋体"/>
          <w:color w:val="auto"/>
          <w:sz w:val="24"/>
        </w:rPr>
        <w:t xml:space="preserve">行正常运行的保障服务。投标人应具备与本项目匹配的服务能力，明确做出服务承诺。（提供承诺函并加盖投标人公章，格式自拟）。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d.投标人需承诺自系统通过竣工验收之日起计算，本项目应提供软件和硬件周期为3年的免费质保运维服务。（提供承诺函并加盖投标人公章，格式自拟）。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e.项目在实施期间中标人需提供不少于2人的开发人员驻场服务。（提供承诺函并加盖投标人公章，格式自拟）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f.投标人需承诺在免费运行维护服务内，3小时内到达现场响应</w:t>
      </w:r>
      <w:r>
        <w:rPr>
          <w:rFonts w:hint="eastAsia" w:ascii="宋体" w:hAnsi="宋体" w:cs="宋体"/>
          <w:color w:val="auto"/>
          <w:sz w:val="24"/>
          <w:lang w:val="en-US" w:eastAsia="zh-CN"/>
        </w:rPr>
        <w:t xml:space="preserve">并提供不少于2人的运维人员驻场服务</w:t>
      </w:r>
      <w:r>
        <w:rPr>
          <w:rFonts w:hint="eastAsia" w:ascii="宋体" w:hAnsi="宋体" w:cs="宋体"/>
          <w:color w:val="auto"/>
          <w:sz w:val="24"/>
        </w:rPr>
        <w:t xml:space="preserve">的承诺函。（提供承诺函并加盖投标人公章，格式自拟）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g.投标人需承诺因中标人提交测评的系统质量问题导致项目延期或第三方测评次数增多并产生额外费用的，均由中标人承担责任和费用。（提供承诺函并加盖投标人公章，格式自拟）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h,投标人需承诺严格遵循本项目市县复用建设要求（满足市级平台对接要求），承诺本项目中综合应用系统、专项应用系统（燃气、供水、排水、道路、桥梁、第三方施工、地下管线）基于镇江市城市生命线安全工程建设成果基础上结合丹阳市需求进行定制化开发。（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i.中标人必须保证投标所涉及的软件不涉及版权问题，否则一切后果由中标人承担。（提供承诺函并加盖投标人公章，格式自拟）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j.中标人在项目实施期间须严格对标并满足省住建厅和镇江市住建局高质量考核的各项指标与要求。（提供承诺函并加盖投标人公章，格式自拟）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k.本项目系统平台及数据产权归属采购人所有，经采购人同意，中标人向政府机构无偿提供并移交。（提供承诺函并加盖投标人公章，格式自拟）</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15.</w:t>
      </w:r>
      <w:r>
        <w:rPr>
          <w:rFonts w:hint="eastAsia" w:ascii="宋体" w:hAnsi="宋体" w:cs="宋体"/>
          <w:b/>
          <w:bCs/>
          <w:color w:val="auto"/>
          <w:sz w:val="24"/>
        </w:rPr>
        <w:t xml:space="preserve">保密要求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由于项目包含城市基础地理数据及地下管线数据，数据安全要求较高，中标人需在采购人指定的区域、使用专用网络环境下处理项目数据；并坚持科学的态度和实事求是的原则，确保信息数据的安全性，维护采购方合法权益。</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同时，中标人驻场人员及与本项目有关的工作人员应签订保密承诺书，承诺内容需得到采购人认可。若中标人驻场及与本项目有关的工作人员因岗位或工作活动发生调整，中标人应将变动调整情况及时告知采购人，并保证上述人员仍应履行保密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中标人应将合同、保密协议一并提交给采购人。因中标人泄密给采购人造成的损失，由中标人承担所有赔偿及连带责任。</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16.</w:t>
      </w:r>
      <w:r>
        <w:rPr>
          <w:rFonts w:hint="eastAsia" w:ascii="宋体" w:hAnsi="宋体" w:cs="宋体"/>
          <w:b/>
          <w:bCs/>
          <w:color w:val="auto"/>
          <w:sz w:val="24"/>
        </w:rPr>
        <w:t xml:space="preserve">知识产权要求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中标人应保证采购人在使用、接受本合同中服务或其任何一部分时不受第三方提出侵犯其专利权、版权、商标权和工业设计权等知识产权的起诉。一旦出现侵权，由中标人负全部责任，既包括第三方的索赔责任，也包括第三方索赔给采购人造成的损失。</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本项目中建设的所有软件系统知识产权（包括但不限于著作权、专利权）归采购人所有，系统验收后中标人应向采购人移交中标人针对本项目自主开发部分的全部源代码，未经采购人书面同意，中标人不得将本项目相关源代码用于其他项目。</w:t>
      </w:r>
      <w:r/>
    </w:p>
    <w:p>
      <w:pPr>
        <w:jc w:val="left"/>
        <w:spacing w:line="560" w:lineRule="exact"/>
        <w:rPr>
          <w:rFonts w:hint="eastAsia" w:ascii="宋体" w:hAnsi="宋体" w:cs="宋体"/>
          <w:color w:val="auto"/>
          <w:sz w:val="24"/>
        </w:rPr>
      </w:pPr>
      <w:r>
        <w:rPr>
          <w:rFonts w:hint="eastAsia" w:ascii="宋体" w:hAnsi="宋体" w:cs="宋体"/>
          <w:color w:val="auto"/>
          <w:sz w:val="24"/>
        </w:rPr>
      </w:r>
      <w:r/>
    </w:p>
    <w:p>
      <w:pPr>
        <w:ind w:firstLine="643"/>
        <w:jc w:val="left"/>
        <w:spacing w:line="560" w:lineRule="exact"/>
        <w:rPr>
          <w:rFonts w:hint="eastAsia" w:ascii="仿宋" w:hAnsi="仿宋" w:eastAsia="仿宋"/>
          <w:b/>
          <w:bCs/>
          <w:color w:val="auto"/>
          <w:sz w:val="32"/>
          <w:szCs w:val="32"/>
        </w:rPr>
      </w:pPr>
      <w:r>
        <w:rPr>
          <w:rFonts w:hint="eastAsia" w:ascii="仿宋" w:hAnsi="仿宋" w:eastAsia="仿宋"/>
          <w:b/>
          <w:bCs/>
          <w:color w:val="auto"/>
          <w:sz w:val="32"/>
          <w:szCs w:val="32"/>
          <w:lang w:val="en-US" w:eastAsia="zh-CN"/>
        </w:rPr>
        <w:t xml:space="preserve">三、</w:t>
      </w:r>
      <w:r>
        <w:rPr>
          <w:rFonts w:hint="eastAsia" w:ascii="仿宋" w:hAnsi="仿宋" w:eastAsia="仿宋"/>
          <w:b/>
          <w:bCs/>
          <w:color w:val="auto"/>
          <w:sz w:val="32"/>
          <w:szCs w:val="32"/>
        </w:rPr>
        <w:t xml:space="preserve">商务要求</w:t>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1.完工期</w:t>
      </w:r>
      <w:r>
        <w:rPr>
          <w:rFonts w:hint="eastAsia" w:ascii="宋体" w:hAnsi="宋体" w:cs="宋体"/>
          <w:b/>
          <w:bCs/>
          <w:color w:val="auto"/>
          <w:sz w:val="24"/>
          <w:highlight w:val="none"/>
        </w:rPr>
        <w:t xml:space="preserve">及交货地点</w:t>
      </w:r>
      <w:r/>
    </w:p>
    <w:p>
      <w:pPr>
        <w:pStyle w:val="617"/>
        <w:ind w:firstLine="480"/>
        <w:rPr>
          <w:rFonts w:hint="default" w:eastAsiaTheme="minorEastAsia"/>
          <w:b w:val="0"/>
          <w:bCs w:val="0"/>
          <w:color w:val="auto"/>
          <w:highlight w:val="none"/>
          <w:lang w:val="en-US" w:eastAsia="zh-CN"/>
        </w:rPr>
      </w:pPr>
      <w:r>
        <w:rPr>
          <w:rFonts w:ascii="宋体" w:hAnsi="宋体" w:cs="宋体"/>
          <w:b w:val="0"/>
          <w:bCs w:val="0"/>
          <w:color w:val="auto"/>
          <w:sz w:val="24"/>
          <w:highlight w:val="none"/>
        </w:rPr>
        <w:t xml:space="preserve">合同</w:t>
      </w:r>
      <w:r>
        <w:rPr>
          <w:rFonts w:hint="eastAsia" w:ascii="宋体" w:hAnsi="宋体" w:cs="宋体"/>
          <w:b w:val="0"/>
          <w:bCs w:val="0"/>
          <w:color w:val="auto"/>
          <w:sz w:val="24"/>
          <w:highlight w:val="none"/>
        </w:rPr>
        <w:t xml:space="preserve">签订</w:t>
      </w:r>
      <w:r>
        <w:rPr>
          <w:rFonts w:ascii="宋体" w:hAnsi="宋体" w:cs="宋体"/>
          <w:b w:val="0"/>
          <w:bCs w:val="0"/>
          <w:color w:val="auto"/>
          <w:sz w:val="24"/>
          <w:highlight w:val="none"/>
        </w:rPr>
        <w:t xml:space="preserve">后9个月内完成采购需求中所规定的工作任务，试运行6个月</w:t>
      </w:r>
      <w:r>
        <w:rPr>
          <w:rFonts w:hint="eastAsia" w:ascii="宋体" w:hAnsi="宋体" w:cs="宋体"/>
          <w:b w:val="0"/>
          <w:bCs w:val="0"/>
          <w:color w:val="auto"/>
          <w:sz w:val="24"/>
          <w:highlight w:val="none"/>
          <w:lang w:val="en-US" w:eastAsia="zh-CN"/>
        </w:rPr>
        <w:t xml:space="preserve">后进入竣工验收</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竣工验收结束后</w:t>
      </w:r>
      <w:r>
        <w:rPr>
          <w:rFonts w:ascii="宋体" w:hAnsi="宋体" w:cs="宋体"/>
          <w:b w:val="0"/>
          <w:bCs w:val="0"/>
          <w:color w:val="auto"/>
          <w:sz w:val="24"/>
          <w:highlight w:val="none"/>
        </w:rPr>
        <w:t xml:space="preserve">进入3年运维期</w:t>
      </w:r>
      <w:r>
        <w:rPr>
          <w:rFonts w:hint="eastAsia" w:ascii="宋体" w:hAnsi="宋体" w:cs="宋体"/>
          <w:b w:val="0"/>
          <w:bCs w:val="0"/>
          <w:color w:val="auto"/>
          <w:sz w:val="24"/>
          <w:highlight w:val="none"/>
        </w:rPr>
        <w:t xml:space="preserve">。</w:t>
      </w:r>
      <w:r/>
    </w:p>
    <w:p>
      <w:pPr>
        <w:ind w:firstLine="420"/>
        <w:jc w:val="left"/>
        <w:spacing w:line="560" w:lineRule="exact"/>
        <w:rPr>
          <w:rFonts w:hint="eastAsia"/>
          <w:color w:val="auto"/>
        </w:rPr>
      </w:pPr>
      <w:r>
        <w:rPr>
          <w:rFonts w:hint="eastAsia"/>
          <w:color w:val="auto"/>
        </w:rPr>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付款方式：</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合同签订后，甲方在收到乙方提供的相应金额的正规发票后10个工作日内支付合同价10%的预付款；</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系统上线并通过初验后，甲方在收到乙方提供的相应金额的正规发票后10个工作日内付至合同总价款的30%；</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系统试运行结束，竣工验收合格经甲方同意后，甲方在收到乙方提供的相应金额的正规发票后10个工作日内付至合同总价款的60%；</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一年运维服务结束并经甲方同意后，甲方在收到乙方提供的相应金额的正规发票后10个工作日内付至合同总价款的75%；</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两年运维服务结束并经甲方同意后，甲方在收到乙方提供的相应金额的正规发票后10个工作日内付至合同总价款的90%；</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三年运维服务结束并经甲方同意后，甲方在收到乙方提供的相应金额的正规发票后10个工作日内付至合同总价款的100%。</w:t>
      </w:r>
      <w:r/>
    </w:p>
    <w:p>
      <w:pPr>
        <w:ind w:firstLine="482"/>
        <w:jc w:val="left"/>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投标人</w:t>
      </w:r>
      <w:r>
        <w:rPr>
          <w:rFonts w:hint="eastAsia" w:ascii="宋体" w:hAnsi="宋体" w:cs="宋体"/>
          <w:b/>
          <w:bCs/>
          <w:color w:val="auto"/>
          <w:sz w:val="24"/>
          <w:highlight w:val="none"/>
          <w:lang w:val="en-US" w:eastAsia="zh-CN"/>
        </w:rPr>
        <w:t xml:space="preserve">综合能力</w:t>
      </w:r>
      <w:r>
        <w:rPr>
          <w:rFonts w:hint="eastAsia" w:ascii="宋体" w:hAnsi="宋体" w:cs="宋体"/>
          <w:b/>
          <w:bCs/>
          <w:color w:val="auto"/>
          <w:sz w:val="24"/>
          <w:highlight w:val="none"/>
        </w:rPr>
        <w:t xml:space="preserve">要求</w:t>
      </w:r>
      <w:r/>
    </w:p>
    <w:p>
      <w:pPr>
        <w:ind w:firstLine="480"/>
        <w:jc w:val="left"/>
        <w:spacing w:line="560" w:lineRule="exact"/>
        <w:rPr>
          <w:rFonts w:hint="eastAsia" w:ascii="宋体" w:hAnsi="宋体" w:cs="宋体"/>
          <w:b/>
          <w:bCs/>
          <w:color w:val="auto"/>
          <w:sz w:val="24"/>
          <w:highlight w:val="none"/>
        </w:rPr>
      </w:pPr>
      <w:r>
        <w:rPr>
          <w:rFonts w:hint="eastAsia" w:ascii="宋体" w:hAnsi="宋体" w:cs="宋体"/>
          <w:color w:val="auto"/>
          <w:sz w:val="24"/>
          <w:lang w:val="en-US" w:eastAsia="zh-CN"/>
        </w:rPr>
        <w:t xml:space="preserve">本项目实施过程中涉及到信息数据处理、信息技术服务交付、项目质量管控、业务连续性保障、现场环境管理。为保障项目交付质量、信息安全稳定、应急处置与环境合规，供应商应具备相应的综合管理能力、</w:t>
      </w:r>
      <w:r>
        <w:rPr>
          <w:rFonts w:hint="default" w:ascii="宋体" w:hAnsi="宋体" w:cs="宋体"/>
          <w:color w:val="auto"/>
          <w:sz w:val="24"/>
          <w:lang w:val="en-US" w:eastAsia="zh-CN"/>
        </w:rPr>
        <w:t xml:space="preserve">自主研发能力</w:t>
      </w:r>
      <w:r>
        <w:rPr>
          <w:rFonts w:hint="eastAsia" w:ascii="宋体" w:hAnsi="宋体" w:cs="宋体"/>
          <w:color w:val="auto"/>
          <w:sz w:val="24"/>
          <w:lang w:val="en-US" w:eastAsia="zh-CN"/>
        </w:rPr>
        <w:t xml:space="preserve">。</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人员配备要求</w:t>
      </w:r>
      <w:r/>
    </w:p>
    <w:p>
      <w:pPr>
        <w:ind w:firstLine="480"/>
        <w:jc w:val="left"/>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实施期：投标人须安排专职项目负责人1名、技术负责人1名，项目组须提供不少于10人（须包含开发驻场2人）为本项目提供技术支撑及服务。</w:t>
      </w:r>
      <w:r/>
    </w:p>
    <w:p>
      <w:pPr>
        <w:ind w:firstLine="480"/>
        <w:jc w:val="left"/>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运维期：投标人在运维期内，提供不少于2人的驻场服务。</w:t>
      </w:r>
      <w:r/>
    </w:p>
    <w:p>
      <w:pPr>
        <w:ind w:firstLine="482"/>
        <w:jc w:val="left"/>
        <w:spacing w:line="560" w:lineRule="exact"/>
        <w:rPr>
          <w:rFonts w:hint="eastAsia" w:ascii="宋体" w:hAnsi="宋体" w:cs="宋体"/>
          <w:b/>
          <w:bCs/>
          <w:color w:val="auto"/>
          <w:sz w:val="24"/>
        </w:rPr>
      </w:pP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验收标准及要求</w:t>
      </w:r>
      <w:r/>
    </w:p>
    <w:p>
      <w:pPr>
        <w:ind w:firstLine="480"/>
        <w:jc w:val="left"/>
        <w:spacing w:line="560" w:lineRule="exact"/>
        <w:rPr>
          <w:rFonts w:hint="eastAsia" w:ascii="宋体" w:hAnsi="宋体" w:cs="宋体"/>
          <w:color w:val="auto"/>
          <w:sz w:val="24"/>
        </w:rPr>
      </w:pPr>
      <w:r>
        <w:rPr>
          <w:rFonts w:ascii="宋体" w:hAnsi="宋体" w:cs="宋体"/>
          <w:color w:val="auto"/>
          <w:sz w:val="24"/>
        </w:rPr>
        <w:t xml:space="preserve">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供应商承担。供应商要接受采购人确认的具有客观、公平、公正、具有良好职业操守的监理单位的监督管理</w:t>
      </w:r>
      <w:r>
        <w:rPr>
          <w:rFonts w:hint="eastAsia" w:ascii="宋体" w:hAnsi="宋体" w:cs="宋体"/>
          <w:color w:val="auto"/>
          <w:sz w:val="24"/>
        </w:rPr>
        <w:t xml:space="preserve">。</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验收标准：</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a.确定项目实施的范围和目标，确保项目符合采购人实际需求和规划，明确项目的主要内容和目标。核实项目实施过程中涉及的采购物品、服务是否符合国家法律法规和政策规定。</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b.检查项目实施过程中涉及的采购文档，包括采购计划、采购合同、采购公告、验收报告等是否齐全、规范。核查项目实施过程是否符合国家有关法律法规和政策规定，有关文件和记录是否保存完整。</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c.确认项目成果是否符合采购单位的需求和目标，是否具备相应的功能和性能。对项目成果进行测试和验证，确保其质量和性能达到预期要求。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d.对项目成果进行测试，包括性能测试、安全测试、功能测试等，确保其符合预期要求。组织专业验收小组对项目成果进行验收，确保其符合采购单位的需求和目标。</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e.检查项目实施过程中的管理措施是否得当，协调机制是否有效。核实项目实施过程中各方的协作和配合是否密切，工作进展是否顺利。</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f.评估项目实施对采购单位的影响和效果，包括提高采购效率、降低成本、提高管理水平等方面的收益。分析项目的经济效益和社会效益，评估其对社会发展、经济增长等方面的贡献。</w:t>
      </w:r>
      <w:r/>
    </w:p>
    <w:p>
      <w:pPr>
        <w:ind w:firstLine="480"/>
        <w:jc w:val="left"/>
        <w:spacing w:line="56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验收要求：</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a.初步验收</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中标供应商应合同签定后9个月内完成采购需求中所规定的工作任务，初验内容为软件、硬件、数据和相关资料。</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初验前供应商应先完成自测，自测完成后需提交招标人组织项目初验。招标人应在收到中标供应商提交的验收申请后，在满足合同约定验收条件情况下，15日内组织初验，初验通过后进入试运行。</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b.竣工验收</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项目初验完成后试运行6个月，未出现故障或问题，或故障问题已排除的，由中标供应商提出终验申请，招标人应在收到中标供应商提交的终验申请后15日内组织竣工验收。竣工验收时中标供应商应提供（包含但不限于）竣工验收文档、试运行报告、用户操作手册、系统维护手册等资料。</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c.运维期</w:t>
      </w:r>
      <w:r/>
    </w:p>
    <w:p>
      <w:pPr>
        <w:ind w:firstLine="480"/>
        <w:jc w:val="left"/>
        <w:spacing w:line="560" w:lineRule="exact"/>
        <w:rPr>
          <w:rFonts w:hint="eastAsia" w:ascii="宋体" w:hAnsi="宋体" w:cs="宋体"/>
          <w:color w:val="auto"/>
          <w:sz w:val="24"/>
        </w:rPr>
      </w:pPr>
      <w:r>
        <w:rPr>
          <w:rFonts w:hint="eastAsia" w:ascii="宋体" w:hAnsi="宋体" w:cs="宋体"/>
          <w:color w:val="auto"/>
          <w:sz w:val="24"/>
        </w:rPr>
        <w:t xml:space="preserve">通过竣工验收后进入运维期，通过验收日期为运维期起始时间，期限3年。在运维期内，中标供应商保证在出现应用系统故障、设备故障、网络安全事件时应及时、积极响应，达到运维的基本要求和招标人认可。</w:t>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ascii="宋体" w:hAnsi="宋体" w:eastAsia="宋体" w:cs="楷体"/>
          <w:b/>
          <w:color w:val="auto"/>
          <w:sz w:val="24"/>
          <w:szCs w:val="24"/>
          <w:highlight w:val="none"/>
        </w:rPr>
      </w:pPr>
      <w:r>
        <w:rPr>
          <w:rFonts w:hint="eastAsia" w:ascii="宋体" w:hAnsi="宋体" w:eastAsia="宋体" w:cs="宋体"/>
          <w:b/>
          <w:bCs/>
          <w:color w:val="auto"/>
          <w:sz w:val="32"/>
          <w:szCs w:val="32"/>
          <w:highlight w:val="none"/>
        </w:rPr>
        <w:t xml:space="preserve">第五部分    </w:t>
      </w:r>
      <w:bookmarkStart w:id="71" w:name="_Toc100386076"/>
      <w:r/>
      <w:bookmarkStart w:id="72" w:name="_Toc98669730"/>
      <w:r/>
      <w:bookmarkStart w:id="73" w:name="_Toc76955302"/>
      <w:r/>
      <w:bookmarkStart w:id="74" w:name="_Toc98669372"/>
      <w:r/>
      <w:bookmarkStart w:id="75" w:name="_Toc20821546"/>
      <w:r>
        <w:rPr>
          <w:rFonts w:hint="eastAsia" w:ascii="宋体" w:hAnsi="宋体" w:eastAsia="宋体" w:cs="宋体"/>
          <w:b/>
          <w:bCs/>
          <w:color w:val="auto"/>
          <w:sz w:val="32"/>
          <w:szCs w:val="32"/>
          <w:highlight w:val="none"/>
        </w:rPr>
        <w:t xml:space="preserve">评标办法和标准</w:t>
      </w:r>
      <w:r/>
    </w:p>
    <w:p>
      <w:pPr>
        <w:ind w:firstLine="357"/>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1.采购代理机构职责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1.1 采购代理机构负责组织评标工作，并履行下列职责：</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（2）宣布评标纪律；</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（3）公布投标人名单，告知评审专家应当回避的情形；</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（4）组织评标委员会推选评标组长，采购人代表不得担任组长；</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（5）在评标期间采取必要的通讯管理措施，保证评标活动不受外界干扰；</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（6）根据评标委员会的要求介绍政府采购相关政策法规、招标文件；</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36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（10）处理与评标有关的其他事项。</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2.评标委员会职责</w:t>
      </w:r>
      <w:r/>
    </w:p>
    <w:p>
      <w:pPr>
        <w:ind w:firstLine="480"/>
        <w:spacing w:line="360" w:lineRule="auto"/>
        <w:rPr>
          <w:rFonts w:ascii="宋体" w:hAnsi="宋体" w:eastAsia="宋体" w:cs="楷体"/>
          <w:b/>
          <w:color w:val="auto"/>
          <w:sz w:val="24"/>
          <w:szCs w:val="24"/>
          <w:highlight w:val="none"/>
        </w:rPr>
        <w:outlineLvl w:val="2"/>
      </w:pPr>
      <w:r>
        <w:rPr>
          <w:rFonts w:hint="eastAsia" w:ascii="宋体" w:hAnsi="宋体" w:eastAsia="宋体" w:cs="楷体"/>
          <w:color w:val="auto"/>
          <w:sz w:val="24"/>
          <w:szCs w:val="24"/>
          <w:highlight w:val="none"/>
        </w:rPr>
        <w:t xml:space="preserve">2.1 评标委员会负责具体评标事务，并独立履行下列职责：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（1）审查、评价投标文件是否符合招标文件的商务、技术等实质性要求；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（2）要求投标人对投标文件有关事项作出澄清或者说明；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（3）对投标文件进行比较和评价；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（4）确定中标候选人名单，以及根据采购人委托直接确定中标人；  </w:t>
      </w:r>
      <w:r/>
    </w:p>
    <w:p>
      <w:pPr>
        <w:ind w:firstLine="42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（5）向采购人、采购代理机构或者有关部门报告评标中发现的违法行为。</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3.评标注意事项</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3.1评标时，评标委员会各成员应当独立对每个投标人的投标文件进行评价，并汇总每个投标人的得分。</w:t>
      </w:r>
      <w:r/>
    </w:p>
    <w:p>
      <w:pPr>
        <w:ind w:left="1" w:firstLine="480"/>
        <w:spacing w:line="360" w:lineRule="auto"/>
        <w:rPr>
          <w:rFonts w:ascii="宋体" w:hAnsi="宋体" w:eastAsia="宋体" w:cs="楷体"/>
          <w:b/>
          <w:color w:val="auto"/>
          <w:sz w:val="24"/>
          <w:szCs w:val="24"/>
          <w:highlight w:val="none"/>
          <w:u w:val="single"/>
        </w:rPr>
      </w:pPr>
      <w:r>
        <w:rPr>
          <w:rFonts w:hint="eastAsia" w:ascii="宋体" w:hAnsi="宋体" w:eastAsia="宋体" w:cs="楷体"/>
          <w:color w:val="auto"/>
          <w:sz w:val="24"/>
          <w:szCs w:val="24"/>
          <w:highlight w:val="none"/>
        </w:rPr>
        <w:t xml:space="preserve">3.2</w:t>
      </w:r>
      <w:r>
        <w:rPr>
          <w:rFonts w:hint="eastAsia" w:ascii="宋体" w:hAnsi="宋体" w:eastAsia="宋体" w:cs="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3.5评标委员会及其成员不得有下列行为：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（1）确定参与评标至评标结束前私自接触投标人；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（3）违反评标纪律发表倾向性意见或者征询采购人的倾向性意见；</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（4）对需要专业判断的主观评审因素协商评分；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（5）在评标过程中擅离职守，影响评标程序正常进行；</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（6）记录、复制或者带走任何评标资料；</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（7）其他不遵守评标纪律的行为。</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4.评标过程的保密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eastAsia="宋体" w:cs="楷体"/>
          <w:color w:val="auto"/>
          <w:sz w:val="24"/>
          <w:szCs w:val="24"/>
          <w:highlight w:val="none"/>
          <w:u w:val="single"/>
        </w:rPr>
      </w:pPr>
      <w:r>
        <w:rPr>
          <w:rFonts w:hint="eastAsia" w:ascii="宋体" w:hAnsi="宋体" w:eastAsia="宋体" w:cs="楷体"/>
          <w:color w:val="auto"/>
          <w:sz w:val="24"/>
          <w:szCs w:val="24"/>
          <w:highlight w:val="none"/>
        </w:rPr>
        <w:t xml:space="preserve">4.3</w:t>
      </w:r>
      <w:r>
        <w:rPr>
          <w:rFonts w:hint="eastAsia" w:ascii="宋体" w:hAnsi="宋体" w:eastAsia="宋体" w:cs="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5.报价前后不一致的处理原则</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5.1投标文件报价出现前后不一致的，按照下列规定修正：</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（1）投标文件中开标一览表内容与投标文件中相应内容不一致的，以开标一览表为准；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（2）大写金额和小写金额不一致的，以大写金额为准；</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（4）总价金额与按单价汇总金额不一致的，以单价金额计算结果为准。</w:t>
      </w:r>
      <w:r/>
    </w:p>
    <w:p>
      <w:pPr>
        <w:ind w:left="1" w:firstLine="482"/>
        <w:spacing w:line="360" w:lineRule="auto"/>
        <w:rPr>
          <w:rFonts w:ascii="宋体" w:hAnsi="宋体" w:eastAsia="宋体" w:cs="楷体"/>
          <w:color w:val="auto"/>
          <w:sz w:val="24"/>
          <w:szCs w:val="24"/>
          <w:highlight w:val="none"/>
        </w:rPr>
      </w:pPr>
      <w:r>
        <w:rPr>
          <w:rFonts w:hint="eastAsia" w:ascii="宋体" w:hAnsi="宋体" w:eastAsia="宋体" w:cs="楷体"/>
          <w:b/>
          <w:color w:val="auto"/>
          <w:sz w:val="24"/>
          <w:szCs w:val="24"/>
          <w:highlight w:val="none"/>
        </w:rPr>
        <w:t xml:space="preserve">同时出现两种以上不一致的，按上述规定排序在先的原则进行修正</w:t>
      </w:r>
      <w:r>
        <w:rPr>
          <w:rFonts w:hint="eastAsia" w:ascii="宋体" w:hAnsi="宋体" w:eastAsia="宋体" w:cs="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6.投标人资格审查</w:t>
      </w:r>
      <w:r/>
    </w:p>
    <w:p>
      <w:pPr>
        <w:ind w:firstLine="480"/>
        <w:jc w:val="left"/>
        <w:spacing w:line="360" w:lineRule="auto"/>
        <w:widowControl/>
        <w:rPr>
          <w:rFonts w:ascii="宋体" w:hAnsi="宋体" w:eastAsia="宋体" w:cs="楷体"/>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6.1 采用资格后审方式</w:t>
      </w:r>
      <w:r/>
    </w:p>
    <w:p>
      <w:pPr>
        <w:ind w:firstLine="480"/>
        <w:jc w:val="left"/>
        <w:spacing w:line="360" w:lineRule="auto"/>
        <w:widowControl/>
        <w:rPr>
          <w:rFonts w:ascii="宋体" w:hAnsi="宋体" w:eastAsia="宋体" w:cs="楷体"/>
          <w:b/>
          <w:color w:val="auto"/>
          <w:sz w:val="24"/>
          <w:szCs w:val="24"/>
          <w:highlight w:val="none"/>
        </w:rPr>
      </w:pPr>
      <w:r>
        <w:rPr>
          <w:rFonts w:hint="eastAsia" w:ascii="宋体" w:hAnsi="宋体" w:eastAsia="宋体" w:cs="楷体"/>
          <w:color w:val="auto"/>
          <w:sz w:val="24"/>
          <w:szCs w:val="24"/>
          <w:highlight w:val="none"/>
        </w:rPr>
        <w:t xml:space="preserve">开标结束后，采购人或代理机构将依法对投标人的资格进行审查。资格审查的内容如下：</w:t>
      </w:r>
      <w:r/>
    </w:p>
    <w:tbl>
      <w:tblPr>
        <w:tblStyle w:val="6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4059"/>
        <w:gridCol w:w="5018"/>
      </w:tblGrid>
      <w:tr>
        <w:trPr/>
        <w:tc>
          <w:tcPr>
            <w:tcW w:w="287" w:type="pct"/>
            <w:textDirection w:val="lrTb"/>
            <w:noWrap w:val="false"/>
          </w:tcPr>
          <w:p>
            <w:pPr>
              <w:jc w:val="center"/>
              <w:spacing w:line="360" w:lineRule="auto"/>
              <w:rPr>
                <w:rFonts w:ascii="宋体" w:hAnsi="宋体" w:eastAsia="宋体" w:cs="楷体"/>
                <w:b/>
                <w:color w:val="auto"/>
                <w:sz w:val="21"/>
                <w:szCs w:val="21"/>
                <w:highlight w:val="none"/>
              </w:rPr>
            </w:pPr>
            <w:r>
              <w:rPr>
                <w:rFonts w:hint="eastAsia" w:ascii="宋体" w:hAnsi="宋体" w:eastAsia="宋体" w:cs="楷体"/>
                <w:b/>
                <w:color w:val="auto"/>
                <w:sz w:val="21"/>
                <w:szCs w:val="21"/>
                <w:highlight w:val="none"/>
              </w:rPr>
              <w:t xml:space="preserve">序号</w:t>
            </w:r>
            <w:r/>
          </w:p>
        </w:tc>
        <w:tc>
          <w:tcPr>
            <w:tcW w:w="2107" w:type="pct"/>
            <w:vAlign w:val="center"/>
            <w:textDirection w:val="lrTb"/>
            <w:noWrap w:val="false"/>
          </w:tcPr>
          <w:p>
            <w:pPr>
              <w:spacing w:line="360" w:lineRule="auto"/>
              <w:rPr>
                <w:rFonts w:ascii="宋体" w:hAnsi="宋体" w:eastAsia="宋体" w:cs="楷体"/>
                <w:b/>
                <w:color w:val="auto"/>
                <w:sz w:val="21"/>
                <w:szCs w:val="21"/>
                <w:highlight w:val="none"/>
              </w:rPr>
            </w:pPr>
            <w:r>
              <w:rPr>
                <w:rFonts w:hint="eastAsia" w:ascii="宋体" w:hAnsi="宋体" w:eastAsia="宋体" w:cs="楷体"/>
                <w:b/>
                <w:color w:val="auto"/>
                <w:sz w:val="21"/>
                <w:szCs w:val="21"/>
                <w:highlight w:val="none"/>
              </w:rPr>
              <w:t xml:space="preserve">审查要素</w:t>
            </w:r>
            <w:r/>
          </w:p>
        </w:tc>
        <w:tc>
          <w:tcPr>
            <w:tcW w:w="2605" w:type="pct"/>
            <w:textDirection w:val="lrTb"/>
            <w:noWrap w:val="false"/>
          </w:tcPr>
          <w:p>
            <w:pPr>
              <w:jc w:val="center"/>
              <w:spacing w:line="360" w:lineRule="auto"/>
              <w:rPr>
                <w:rFonts w:ascii="宋体" w:hAnsi="宋体" w:eastAsia="宋体" w:cs="楷体"/>
                <w:b/>
                <w:color w:val="auto"/>
                <w:sz w:val="21"/>
                <w:szCs w:val="21"/>
                <w:highlight w:val="none"/>
              </w:rPr>
            </w:pPr>
            <w:r>
              <w:rPr>
                <w:rFonts w:hint="eastAsia" w:ascii="宋体" w:hAnsi="宋体" w:eastAsia="宋体" w:cs="楷体"/>
                <w:b/>
                <w:color w:val="auto"/>
                <w:sz w:val="21"/>
                <w:szCs w:val="21"/>
                <w:highlight w:val="none"/>
              </w:rPr>
              <w:t xml:space="preserve">审查内容</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1</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具有独立承担民事责任的能力</w:t>
            </w:r>
            <w:r/>
          </w:p>
        </w:tc>
        <w:tc>
          <w:tcPr>
            <w:tcW w:w="2605" w:type="pct"/>
            <w:textDirection w:val="lrTb"/>
            <w:noWrap w:val="false"/>
          </w:tcPr>
          <w:p>
            <w:pPr>
              <w:spacing w:line="360" w:lineRule="auto"/>
              <w:rPr>
                <w:rFonts w:hint="eastAsia" w:ascii="宋体" w:hAnsi="宋体" w:eastAsia="宋体" w:cs="楷体"/>
                <w:color w:val="auto"/>
                <w:sz w:val="21"/>
                <w:szCs w:val="21"/>
                <w:highlight w:val="none"/>
                <w:lang w:val="en-US" w:eastAsia="zh-CN"/>
              </w:rPr>
            </w:pPr>
            <w:r>
              <w:rPr>
                <w:rFonts w:hint="eastAsia" w:ascii="宋体" w:hAnsi="宋体" w:eastAsia="宋体" w:cs="楷体"/>
                <w:color w:val="auto"/>
                <w:sz w:val="21"/>
                <w:szCs w:val="21"/>
                <w:highlight w:val="none"/>
              </w:rPr>
              <w:t xml:space="preserve">提供法人或者其他组织的营业执照等证明文件扫描件；投标人为自然人的，提供其身份证扫描件</w:t>
            </w:r>
            <w:r>
              <w:rPr>
                <w:rFonts w:hint="eastAsia" w:ascii="宋体" w:hAnsi="宋体" w:eastAsia="宋体" w:cs="楷体"/>
                <w:color w:val="auto"/>
                <w:sz w:val="21"/>
                <w:szCs w:val="21"/>
                <w:highlight w:val="none"/>
                <w:lang w:eastAsia="zh-CN"/>
              </w:rPr>
              <w:t xml:space="preserve">。</w:t>
            </w:r>
            <w:r>
              <w:rPr>
                <w:rFonts w:hint="eastAsia" w:ascii="宋体" w:hAnsi="宋体" w:eastAsia="宋体" w:cs="楷体"/>
                <w:color w:val="auto"/>
                <w:sz w:val="21"/>
                <w:szCs w:val="21"/>
                <w:highlight w:val="none"/>
              </w:rPr>
              <w:t xml:space="preserve">如是联合体参加投标的，联合体各方均须提供。</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2</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具有良好的商业信誉和健全的财务会计制度</w:t>
            </w:r>
            <w:r/>
          </w:p>
        </w:tc>
        <w:tc>
          <w:tcPr>
            <w:tcW w:w="2605" w:type="pct"/>
            <w:vAlign w:val="center"/>
            <w:textDirection w:val="lrTb"/>
            <w:noWrap w:val="false"/>
          </w:tcPr>
          <w:p>
            <w:pPr>
              <w:pStyle w:val="617"/>
              <w:rPr>
                <w:rFonts w:hint="eastAsia" w:ascii="宋体" w:hAnsi="宋体" w:eastAsia="宋体" w:cs="楷体"/>
                <w:b/>
                <w:color w:val="auto"/>
                <w:sz w:val="21"/>
                <w:szCs w:val="21"/>
                <w:highlight w:val="none"/>
                <w:lang w:eastAsia="zh-CN"/>
              </w:rPr>
            </w:pPr>
            <w:r>
              <w:rPr>
                <w:rFonts w:hint="eastAsia" w:ascii="宋体" w:hAnsi="宋体" w:eastAsia="宋体" w:cs="楷体"/>
                <w:bCs/>
                <w:color w:val="auto"/>
                <w:sz w:val="21"/>
                <w:szCs w:val="21"/>
                <w:highlight w:val="none"/>
              </w:rPr>
              <w:t xml:space="preserve">提供</w:t>
            </w:r>
            <w:r>
              <w:rPr>
                <w:rFonts w:hint="eastAsia" w:ascii="宋体" w:hAnsi="宋体" w:eastAsia="宋体" w:cs="楷体"/>
                <w:bCs/>
                <w:color w:val="auto"/>
                <w:sz w:val="21"/>
                <w:szCs w:val="21"/>
                <w:highlight w:val="none"/>
                <w:lang w:val="en-US" w:eastAsia="zh-CN"/>
              </w:rPr>
              <w:t xml:space="preserve">上一年度</w:t>
            </w:r>
            <w:r>
              <w:rPr>
                <w:rFonts w:hint="eastAsia" w:ascii="宋体" w:hAnsi="宋体" w:eastAsia="宋体" w:cs="楷体"/>
                <w:bCs/>
                <w:color w:val="auto"/>
                <w:sz w:val="21"/>
                <w:szCs w:val="21"/>
                <w:highlight w:val="none"/>
              </w:rPr>
              <w:t xml:space="preserve">财务报告，成立不满一年的提供至少一个月财务报告，或银行出具的资信证明，或财政部门认可的政府采购专业担保机构出具的投标担保函等；或提供资格承诺函</w:t>
            </w:r>
            <w:r>
              <w:rPr>
                <w:rFonts w:hint="eastAsia" w:ascii="宋体" w:hAnsi="宋体" w:eastAsia="宋体" w:cs="楷体"/>
                <w:bCs/>
                <w:color w:val="auto"/>
                <w:sz w:val="21"/>
                <w:szCs w:val="21"/>
                <w:highlight w:val="none"/>
                <w:lang w:eastAsia="zh-CN"/>
              </w:rPr>
              <w:t xml:space="preserve">。</w:t>
            </w:r>
            <w:r>
              <w:rPr>
                <w:rFonts w:ascii="宋体" w:hAnsi="宋体" w:eastAsia="宋体" w:cs="宋体"/>
                <w:color w:val="auto"/>
                <w:sz w:val="21"/>
                <w:szCs w:val="21"/>
              </w:rPr>
              <w:t xml:space="preserve">如是联合体参加投标的，联合体各方均须提供。</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3</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具有履行合同所必需的设备和专业技术能力</w:t>
            </w:r>
            <w:r/>
          </w:p>
        </w:tc>
        <w:tc>
          <w:tcPr>
            <w:tcW w:w="2605" w:type="pct"/>
            <w:vAlign w:val="center"/>
            <w:textDirection w:val="lrTb"/>
            <w:noWrap w:val="false"/>
          </w:tcPr>
          <w:p>
            <w:pPr>
              <w:spacing w:line="360" w:lineRule="auto"/>
              <w:rPr>
                <w:rFonts w:hint="eastAsia" w:ascii="宋体" w:hAnsi="宋体" w:eastAsia="宋体" w:cs="楷体"/>
                <w:color w:val="auto"/>
                <w:sz w:val="21"/>
                <w:szCs w:val="21"/>
                <w:highlight w:val="none"/>
                <w:lang w:eastAsia="zh-CN"/>
              </w:rPr>
            </w:pPr>
            <w:r>
              <w:rPr>
                <w:rFonts w:ascii="宋体" w:hAnsi="宋体" w:eastAsia="宋体" w:cs="宋体"/>
                <w:color w:val="auto"/>
                <w:sz w:val="21"/>
                <w:szCs w:val="21"/>
                <w:highlight w:val="none"/>
              </w:rPr>
              <w:t xml:space="preserve">提供声明函或提供资格承诺函</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rPr>
              <w:t xml:space="preserve">如是联合体参加投标的，联合体各方均须提供。</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4</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有依法缴纳税收和社会保障资金的良好记录</w:t>
            </w:r>
            <w:r/>
          </w:p>
        </w:tc>
        <w:tc>
          <w:tcPr>
            <w:tcW w:w="2605" w:type="pct"/>
            <w:vAlign w:val="center"/>
            <w:textDirection w:val="lrTb"/>
            <w:noWrap w:val="false"/>
          </w:tcPr>
          <w:p>
            <w:pPr>
              <w:spacing w:line="360" w:lineRule="auto"/>
              <w:rPr>
                <w:rFonts w:hint="eastAsia" w:ascii="宋体" w:hAnsi="宋体" w:eastAsia="宋体" w:cs="楷体"/>
                <w:color w:val="auto"/>
                <w:sz w:val="21"/>
                <w:szCs w:val="21"/>
                <w:highlight w:val="none"/>
                <w:lang w:eastAsia="zh-CN"/>
              </w:rPr>
            </w:pPr>
            <w:r>
              <w:rPr>
                <w:rFonts w:hint="eastAsia" w:ascii="宋体" w:hAnsi="宋体" w:eastAsia="宋体" w:cs="楷体"/>
                <w:color w:val="auto"/>
                <w:sz w:val="21"/>
                <w:szCs w:val="21"/>
                <w:highlight w:val="none"/>
              </w:rPr>
              <w:t xml:space="preserve">提供参加本次政府采购活动前半年内（至少一个月）依法缴纳税收和社会保险资金的相关材料；或提供资格承诺函</w:t>
            </w:r>
            <w:r>
              <w:rPr>
                <w:rFonts w:hint="eastAsia" w:ascii="宋体" w:hAnsi="宋体" w:eastAsia="宋体" w:cs="楷体"/>
                <w:color w:val="auto"/>
                <w:sz w:val="21"/>
                <w:szCs w:val="21"/>
                <w:highlight w:val="none"/>
                <w:lang w:eastAsia="zh-CN"/>
              </w:rPr>
              <w:t xml:space="preserve">。</w:t>
            </w:r>
            <w:r>
              <w:rPr>
                <w:rFonts w:ascii="宋体" w:hAnsi="宋体" w:eastAsia="宋体" w:cs="宋体"/>
                <w:color w:val="auto"/>
                <w:sz w:val="21"/>
                <w:szCs w:val="21"/>
              </w:rPr>
              <w:t xml:space="preserve">如是联合体参加投标的，联合体各方均须提供。</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5</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参加政府采购活动前三年内，在经营活动中没有重大违法记录</w:t>
            </w:r>
            <w:r/>
          </w:p>
        </w:tc>
        <w:tc>
          <w:tcPr>
            <w:tcW w:w="2605" w:type="pct"/>
            <w:vAlign w:val="center"/>
            <w:textDirection w:val="lrTb"/>
            <w:noWrap w:val="false"/>
          </w:tcPr>
          <w:p>
            <w:pPr>
              <w:spacing w:line="360" w:lineRule="auto"/>
              <w:rPr>
                <w:rFonts w:ascii="宋体" w:hAnsi="宋体" w:eastAsia="宋体" w:cs="宋体"/>
                <w:color w:val="auto"/>
                <w:sz w:val="21"/>
                <w:szCs w:val="21"/>
              </w:rPr>
            </w:pPr>
            <w:r>
              <w:rPr>
                <w:rFonts w:hint="eastAsia" w:ascii="宋体" w:hAnsi="宋体" w:eastAsia="宋体" w:cs="楷体"/>
                <w:color w:val="auto"/>
                <w:sz w:val="21"/>
                <w:szCs w:val="21"/>
                <w:highlight w:val="none"/>
              </w:rPr>
              <w:t xml:space="preserve">（1）提供声明函或资格承诺函。</w:t>
            </w:r>
            <w:r>
              <w:rPr>
                <w:rFonts w:ascii="宋体" w:hAnsi="宋体" w:eastAsia="宋体" w:cs="宋体"/>
                <w:color w:val="auto"/>
                <w:sz w:val="21"/>
                <w:szCs w:val="21"/>
              </w:rPr>
              <w:t xml:space="preserve">如是联合体参加投标的，联合体各方均须提供。</w:t>
            </w:r>
            <w:r/>
          </w:p>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6</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法律、行政法规规定的其他条件</w:t>
            </w:r>
            <w:r/>
          </w:p>
        </w:tc>
        <w:tc>
          <w:tcPr>
            <w:tcW w:w="2605"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无</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7</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落实政府采购政策需满足的资格要求</w:t>
            </w:r>
            <w:r/>
          </w:p>
        </w:tc>
        <w:tc>
          <w:tcPr>
            <w:tcW w:w="2605" w:type="pct"/>
            <w:vAlign w:val="center"/>
            <w:textDirection w:val="lrTb"/>
            <w:noWrap w:val="false"/>
          </w:tcPr>
          <w:p>
            <w:pPr>
              <w:spacing w:line="360" w:lineRule="auto"/>
              <w:rPr>
                <w:rFonts w:hint="eastAsia" w:ascii="宋体" w:hAnsi="宋体" w:eastAsia="宋体" w:cs="楷体"/>
                <w:color w:val="auto"/>
                <w:sz w:val="21"/>
                <w:szCs w:val="21"/>
                <w:highlight w:val="none"/>
              </w:rPr>
            </w:pPr>
            <w:r>
              <w:rPr>
                <w:rFonts w:hint="eastAsia" w:ascii="宋体" w:hAnsi="宋体" w:eastAsia="宋体" w:cs="楷体"/>
                <w:color w:val="auto"/>
                <w:sz w:val="21"/>
                <w:szCs w:val="21"/>
                <w:highlight w:val="none"/>
                <w:lang w:val="en-US" w:eastAsia="zh-CN"/>
              </w:rPr>
              <w:t xml:space="preserve">无</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8</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资格承诺函</w:t>
            </w:r>
            <w:r/>
          </w:p>
        </w:tc>
        <w:tc>
          <w:tcPr>
            <w:tcW w:w="2605"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供应商可自行选择是否提供资格承诺函，若不提供资格承诺函的， 应按采购文件要求提供以上 2-5 项相应的证明材料。资格承诺函格式要求见投标文件组成部分。</w:t>
            </w:r>
            <w:r>
              <w:rPr>
                <w:rFonts w:ascii="宋体" w:hAnsi="宋体" w:eastAsia="宋体" w:cs="宋体"/>
                <w:color w:val="auto"/>
                <w:sz w:val="21"/>
                <w:szCs w:val="21"/>
              </w:rPr>
              <w:t xml:space="preserve">如是联合体参加投标的，联合体各方均须提供。</w:t>
            </w:r>
            <w:r/>
          </w:p>
        </w:tc>
      </w:tr>
      <w:tr>
        <w:trPr/>
        <w:tc>
          <w:tcPr>
            <w:tcW w:w="287" w:type="pct"/>
            <w:vAlign w:val="center"/>
            <w:textDirection w:val="lrTb"/>
            <w:noWrap w:val="false"/>
          </w:tcPr>
          <w:p>
            <w:pPr>
              <w:jc w:val="cente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9</w:t>
            </w:r>
            <w:r/>
          </w:p>
        </w:tc>
        <w:tc>
          <w:tcPr>
            <w:tcW w:w="2107" w:type="pct"/>
            <w:vAlign w:val="center"/>
            <w:textDirection w:val="lrTb"/>
            <w:noWrap w:val="false"/>
          </w:tcPr>
          <w:p>
            <w:pPr>
              <w:spacing w:line="360" w:lineRule="auto"/>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特定资格条件</w:t>
            </w:r>
            <w:r/>
          </w:p>
        </w:tc>
        <w:tc>
          <w:tcPr>
            <w:tcW w:w="2605" w:type="pct"/>
            <w:vAlign w:val="center"/>
            <w:textDirection w:val="lrTb"/>
            <w:noWrap w:val="false"/>
          </w:tcPr>
          <w:p>
            <w:pPr>
              <w:spacing w:line="360" w:lineRule="auto"/>
              <w:rPr>
                <w:rFonts w:hint="eastAsia" w:ascii="宋体" w:hAnsi="宋体" w:eastAsia="宋体" w:cs="楷体"/>
                <w:color w:val="auto"/>
                <w:sz w:val="21"/>
                <w:szCs w:val="21"/>
                <w:highlight w:val="none"/>
              </w:rPr>
            </w:pPr>
            <w:r>
              <w:rPr>
                <w:rFonts w:hint="eastAsia" w:ascii="宋体" w:hAnsi="宋体" w:eastAsia="宋体" w:cs="宋体"/>
                <w:color w:val="auto"/>
                <w:sz w:val="21"/>
                <w:szCs w:val="21"/>
                <w:highlight w:val="none"/>
                <w:lang w:eastAsia="zh-CN"/>
              </w:rPr>
              <w:t xml:space="preserve">无</w:t>
            </w:r>
            <w:r/>
          </w:p>
        </w:tc>
      </w:tr>
      <w:tr>
        <w:trPr/>
        <w:tc>
          <w:tcPr>
            <w:tcW w:w="287" w:type="pct"/>
            <w:vAlign w:val="center"/>
            <w:textDirection w:val="lrTb"/>
            <w:noWrap w:val="false"/>
          </w:tcPr>
          <w:p>
            <w:pPr>
              <w:jc w:val="center"/>
              <w:spacing w:line="360" w:lineRule="auto"/>
              <w:rPr>
                <w:rFonts w:hint="default" w:ascii="宋体" w:hAnsi="宋体" w:eastAsia="宋体" w:cs="楷体"/>
                <w:color w:val="auto"/>
                <w:sz w:val="21"/>
                <w:szCs w:val="21"/>
                <w:highlight w:val="none"/>
                <w:lang w:val="en-US" w:eastAsia="zh-CN"/>
              </w:rPr>
            </w:pPr>
            <w:r>
              <w:rPr>
                <w:rFonts w:hint="eastAsia" w:ascii="宋体" w:hAnsi="宋体" w:eastAsia="宋体" w:cs="楷体"/>
                <w:color w:val="auto"/>
                <w:sz w:val="21"/>
                <w:szCs w:val="21"/>
                <w:highlight w:val="none"/>
                <w:lang w:val="en-US" w:eastAsia="zh-CN"/>
              </w:rPr>
              <w:t xml:space="preserve">10</w:t>
            </w:r>
            <w:r/>
          </w:p>
        </w:tc>
        <w:tc>
          <w:tcPr>
            <w:tcW w:w="2107" w:type="pct"/>
            <w:vAlign w:val="center"/>
            <w:textDirection w:val="lrTb"/>
            <w:noWrap w:val="false"/>
          </w:tcPr>
          <w:p>
            <w:pPr>
              <w:spacing w:line="360" w:lineRule="auto"/>
              <w:rPr>
                <w:rFonts w:hint="eastAsia" w:ascii="宋体" w:hAnsi="宋体" w:eastAsia="宋体" w:cs="楷体"/>
                <w:color w:val="auto"/>
                <w:sz w:val="21"/>
                <w:szCs w:val="21"/>
                <w:highlight w:val="none"/>
                <w:lang w:val="en-US" w:eastAsia="zh-CN"/>
              </w:rPr>
            </w:pPr>
            <w:r>
              <w:rPr>
                <w:rFonts w:hint="eastAsia" w:ascii="宋体" w:hAnsi="宋体" w:eastAsia="宋体" w:cs="楷体"/>
                <w:color w:val="auto"/>
                <w:sz w:val="21"/>
                <w:szCs w:val="21"/>
                <w:highlight w:val="none"/>
                <w:lang w:val="en-US" w:eastAsia="zh-CN"/>
              </w:rPr>
              <w:t xml:space="preserve">联合体</w:t>
            </w:r>
            <w:r/>
          </w:p>
        </w:tc>
        <w:tc>
          <w:tcPr>
            <w:tcW w:w="2605" w:type="pct"/>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楷体"/>
                <w:color w:val="auto"/>
                <w:sz w:val="21"/>
                <w:szCs w:val="21"/>
                <w:highlight w:val="none"/>
                <w:lang w:val="en-US" w:eastAsia="zh-CN"/>
              </w:rPr>
              <w:t xml:space="preserve">采用联合体投标的，请严格按照《政府采购法》等相关法律法规中关于联合体投标的有关规定参与本项目。联合体成员不得超过 2 家。联合体各成员之间应当签订联合体协议，明确约定联合体各成员承担的工作和相应的责任，并将联合体协议上传至投标文件中。联合体各成员不得再单独或参加其他联合体参与本项目的招标活动。以联合体名义参加投标的，只须联合体牵头人进行登记领取招标文件。</w:t>
            </w:r>
            <w:r/>
          </w:p>
        </w:tc>
      </w:tr>
    </w:tbl>
    <w:p>
      <w:pPr>
        <w:jc w:val="left"/>
        <w:spacing w:before="200" w:after="200" w:line="360" w:lineRule="auto"/>
        <w:widowControl/>
        <w:rPr>
          <w:rFonts w:ascii="宋体" w:hAnsi="宋体" w:eastAsia="宋体" w:cs="楷体"/>
          <w:b/>
          <w:color w:val="auto"/>
          <w:sz w:val="30"/>
          <w:szCs w:val="30"/>
          <w:highlight w:val="none"/>
        </w:rPr>
      </w:pPr>
      <w:r>
        <w:rPr>
          <w:rFonts w:hint="eastAsia" w:ascii="宋体" w:hAnsi="宋体" w:eastAsia="宋体" w:cs="楷体"/>
          <w:b/>
          <w:color w:val="auto"/>
          <w:sz w:val="30"/>
          <w:szCs w:val="30"/>
          <w:highlight w:val="none"/>
        </w:rPr>
        <w:t xml:space="preserve">7</w:t>
      </w:r>
      <w:r>
        <w:rPr>
          <w:rFonts w:ascii="宋体" w:hAnsi="宋体" w:eastAsia="宋体" w:cs="楷体"/>
          <w:b/>
          <w:color w:val="auto"/>
          <w:sz w:val="30"/>
          <w:szCs w:val="30"/>
          <w:highlight w:val="none"/>
        </w:rPr>
        <w:t xml:space="preserve">.</w:t>
      </w:r>
      <w:r>
        <w:rPr>
          <w:rFonts w:hint="eastAsia" w:ascii="宋体" w:hAnsi="宋体" w:eastAsia="宋体" w:cs="楷体"/>
          <w:b/>
          <w:color w:val="auto"/>
          <w:sz w:val="30"/>
          <w:szCs w:val="30"/>
          <w:highlight w:val="none"/>
        </w:rPr>
        <w:t xml:space="preserve">投标人符合性审查</w:t>
      </w:r>
      <w:r/>
    </w:p>
    <w:p>
      <w:pPr>
        <w:ind w:firstLine="480"/>
        <w:jc w:val="left"/>
        <w:widowControl/>
        <w:rPr>
          <w:rFonts w:ascii="宋体" w:hAnsi="宋体" w:cs="楷体"/>
          <w:color w:val="auto"/>
          <w:sz w:val="24"/>
          <w:highlight w:val="none"/>
        </w:rPr>
      </w:pPr>
      <w:r>
        <w:rPr>
          <w:rFonts w:ascii="宋体" w:hAnsi="宋体" w:eastAsia="宋体" w:cs="宋体"/>
          <w:color w:val="auto"/>
          <w:sz w:val="24"/>
          <w:highlight w:val="none"/>
        </w:rPr>
        <w:t xml:space="preserve"> </w:t>
      </w:r>
      <w:r>
        <w:rPr>
          <w:rFonts w:hint="eastAsia" w:ascii="宋体" w:hAnsi="宋体" w:eastAsia="宋体" w:cs="楷体"/>
          <w:color w:val="auto"/>
          <w:sz w:val="24"/>
          <w:highlight w:val="none"/>
        </w:rPr>
        <w:t xml:space="preserve">7</w:t>
      </w:r>
      <w:r>
        <w:rPr>
          <w:rFonts w:hint="eastAsia" w:ascii="宋体" w:hAnsi="宋体" w:cs="楷体"/>
          <w:color w:val="auto"/>
          <w:sz w:val="24"/>
          <w:highlight w:val="none"/>
        </w:rPr>
        <w:t xml:space="preserve">.1 评标委员会将对符合资格的投标人的投标文件进行符合性审查，审查内容主要是投标文件的有效性和对招标文件的响应程度，以确定是否满足招标文件的实质性要求。</w:t>
      </w:r>
      <w:r/>
    </w:p>
    <w:tbl>
      <w:tblPr>
        <w:tblStyle w:val="613"/>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375"/>
        <w:gridCol w:w="620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ind w:firstLine="4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ind w:firstLine="4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34" w:type="pct"/>
            <w:vAlign w:val="center"/>
            <w:vMerge w:val="restart"/>
            <w:textDirection w:val="lrTb"/>
            <w:noWrap/>
          </w:tcPr>
          <w:p>
            <w:pPr>
              <w:ind w:firstLine="4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1264" w:type="pct"/>
            <w:vAlign w:val="center"/>
            <w:vMerge w:val="restart"/>
            <w:textDirection w:val="lrTb"/>
            <w:noWrap/>
          </w:tcPr>
          <w:p>
            <w:pP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投标</w:t>
            </w:r>
            <w:r>
              <w:rPr>
                <w:rFonts w:hint="eastAsia" w:ascii="宋体" w:hAnsi="宋体" w:eastAsia="宋体" w:cs="Times New Roman"/>
                <w:color w:val="auto"/>
                <w:sz w:val="21"/>
                <w:szCs w:val="21"/>
                <w:highlight w:val="none"/>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投标文件的有效电子签章。</w:t>
            </w:r>
            <w:r/>
          </w:p>
        </w:tc>
      </w:tr>
      <w:tr>
        <w:trPr/>
        <w:tc>
          <w:tcPr>
            <w:tcBorders>
              <w:left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Borders>
              <w:left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1"/>
                <w:szCs w:val="21"/>
                <w:highlight w:val="none"/>
                <w:shd w:val="clear" w:color="auto" w:fill="ffffff"/>
              </w:rPr>
            </w:pPr>
            <w:r>
              <w:rPr>
                <w:rFonts w:hint="eastAsia" w:ascii="宋体" w:hAnsi="宋体" w:eastAsia="宋体" w:cs="Times New Roman"/>
                <w:color w:val="auto"/>
                <w:sz w:val="21"/>
                <w:szCs w:val="21"/>
                <w:highlight w:val="none"/>
                <w:shd w:val="clear" w:color="auto" w:fill="ffffff"/>
              </w:rPr>
              <w:t xml:space="preserve">投标</w:t>
            </w:r>
            <w:r>
              <w:rPr>
                <w:rFonts w:ascii="宋体" w:hAnsi="宋体" w:eastAsia="宋体" w:cs="Times New Roman"/>
                <w:color w:val="auto"/>
                <w:sz w:val="21"/>
                <w:szCs w:val="21"/>
                <w:highlight w:val="none"/>
                <w:shd w:val="clear" w:color="auto" w:fill="ffffff"/>
              </w:rPr>
              <w:t xml:space="preserve">报价</w:t>
            </w:r>
            <w:r>
              <w:rPr>
                <w:rFonts w:hint="eastAsia" w:ascii="宋体" w:hAnsi="宋体" w:eastAsia="宋体" w:cs="Times New Roman"/>
                <w:color w:val="auto"/>
                <w:sz w:val="21"/>
                <w:szCs w:val="21"/>
                <w:highlight w:val="none"/>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34" w:type="pct"/>
            <w:vAlign w:val="center"/>
            <w:vMerge w:val="continue"/>
            <w:textDirection w:val="lrTb"/>
            <w:noWrap/>
          </w:tcPr>
          <w:p>
            <w:pPr>
              <w:ind w:firstLine="4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Borders>
              <w:left w:val="single" w:color="000000" w:sz="2" w:space="0"/>
              <w:bottom w:val="single" w:color="000000" w:sz="2" w:space="0"/>
              <w:right w:val="single" w:color="000000" w:sz="2" w:space="0"/>
            </w:tcBorders>
            <w:tcMar>
              <w:top w:w="100" w:type="dxa"/>
              <w:bottom w:w="100" w:type="dxa"/>
            </w:tcMar>
            <w:tcW w:w="1264" w:type="pct"/>
            <w:vAlign w:val="center"/>
            <w:vMerge w:val="continue"/>
            <w:textDirection w:val="lrTb"/>
            <w:noWrap/>
          </w:tcPr>
          <w:p>
            <w:pP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1"/>
                <w:szCs w:val="21"/>
                <w:highlight w:val="none"/>
                <w:shd w:val="clear" w:color="auto" w:fill="ffffff"/>
              </w:rPr>
            </w:pPr>
            <w:r>
              <w:rPr>
                <w:rFonts w:hint="eastAsia" w:ascii="宋体" w:hAnsi="宋体" w:eastAsia="宋体" w:cs="Times New Roman"/>
                <w:color w:val="auto"/>
                <w:sz w:val="21"/>
                <w:szCs w:val="21"/>
                <w:highlight w:val="none"/>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ind w:firstLine="4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审查投标文件，以确定其是否满足招标文件的实质性要求。不满足招标文件的实质性要求的，投标无效。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2" w:type="dxa"/>
            <w:vAlign w:val="center"/>
            <w:textDirection w:val="lrTb"/>
            <w:noWrap/>
          </w:tcPr>
          <w:p>
            <w:pPr>
              <w:spacing w:line="360" w:lineRule="auto"/>
              <w:rPr>
                <w:rFonts w:hint="eastAsia" w:ascii="宋体" w:hAnsi="宋体" w:eastAsia="宋体" w:cs="楷体"/>
                <w:color w:val="auto"/>
                <w:sz w:val="21"/>
                <w:szCs w:val="21"/>
                <w:highlight w:val="none"/>
                <w:lang w:val="en-US" w:eastAsia="zh-CN"/>
              </w:rPr>
            </w:pPr>
            <w:r>
              <w:rPr>
                <w:rFonts w:hint="eastAsia" w:ascii="宋体" w:hAnsi="宋体" w:eastAsia="宋体" w:cs="楷体"/>
                <w:color w:val="auto"/>
                <w:sz w:val="21"/>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4" w:type="pct"/>
            <w:vAlign w:val="center"/>
            <w:textDirection w:val="lrTb"/>
            <w:noWrap/>
          </w:tcPr>
          <w:p>
            <w:pPr>
              <w:spacing w:line="360" w:lineRule="auto"/>
              <w:rPr>
                <w:rFonts w:hint="eastAsia" w:ascii="宋体" w:hAnsi="宋体" w:eastAsia="宋体" w:cs="楷体"/>
                <w:color w:val="auto"/>
                <w:sz w:val="21"/>
                <w:szCs w:val="21"/>
                <w:highlight w:val="none"/>
                <w:lang w:val="en-US" w:eastAsia="zh-CN"/>
              </w:rPr>
            </w:pPr>
            <w:r>
              <w:rPr>
                <w:rFonts w:hint="eastAsia" w:ascii="宋体" w:hAnsi="宋体" w:eastAsia="宋体" w:cs="楷体"/>
                <w:color w:val="auto"/>
                <w:sz w:val="21"/>
                <w:szCs w:val="21"/>
                <w:highlight w:val="none"/>
                <w:lang w:val="en-US" w:eastAsia="zh-CN"/>
              </w:rPr>
              <w:t xml:space="preserve">联合体说明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01" w:type="pct"/>
            <w:vAlign w:val="center"/>
            <w:textDirection w:val="lrTb"/>
            <w:noWrap/>
          </w:tcPr>
          <w:p>
            <w:pPr>
              <w:spacing w:line="360" w:lineRule="auto"/>
              <w:rPr>
                <w:rFonts w:hint="eastAsia" w:ascii="宋体" w:hAnsi="宋体" w:eastAsia="宋体" w:cs="楷体"/>
                <w:color w:val="auto"/>
                <w:sz w:val="21"/>
                <w:szCs w:val="21"/>
                <w:highlight w:val="none"/>
                <w:lang w:val="en-US" w:eastAsia="zh-CN"/>
              </w:rPr>
            </w:pPr>
            <w:r>
              <w:rPr>
                <w:rFonts w:hint="eastAsia" w:ascii="宋体" w:hAnsi="宋体" w:eastAsia="宋体" w:cs="楷体"/>
                <w:color w:val="auto"/>
                <w:sz w:val="21"/>
                <w:szCs w:val="21"/>
                <w:highlight w:val="none"/>
                <w:lang w:val="en-US" w:eastAsia="zh-CN"/>
              </w:rPr>
              <w:t xml:space="preserve">联合体提供联合体协议原件扫描件，其投标文件由联合体的牵头人单位盖章即可，即除联合体协议、投标函、资格承诺函和法定代表人身份证明书、法定代表人授权委托书的签字/盖章处由联合体各成员分别签字/盖章外，其余签字/盖章处均由牵头人单位完成签字/盖章，与联合体中各成员的行为具有同等效力。</w:t>
            </w:r>
            <w:r/>
          </w:p>
        </w:tc>
      </w:tr>
    </w:tbl>
    <w:p>
      <w:pPr>
        <w:ind w:firstLine="480"/>
        <w:spacing w:line="400" w:lineRule="exact"/>
        <w:rPr>
          <w:rFonts w:ascii="宋体" w:hAnsi="宋体"/>
          <w:color w:val="auto"/>
          <w:sz w:val="24"/>
          <w:highlight w:val="none"/>
        </w:rPr>
      </w:pPr>
      <w:r>
        <w:rPr>
          <w:rFonts w:ascii="宋体" w:hAnsi="宋体"/>
          <w:color w:val="auto"/>
          <w:sz w:val="24"/>
          <w:highlight w:val="none"/>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jc w:val="left"/>
        <w:widowControl/>
        <w:rPr>
          <w:rFonts w:ascii="宋体" w:hAnsi="宋体" w:eastAsia="宋体" w:cs="楷体"/>
          <w:b/>
          <w:color w:val="auto"/>
          <w:sz w:val="30"/>
          <w:szCs w:val="30"/>
          <w:highlight w:val="none"/>
        </w:rPr>
      </w:pPr>
      <w:r>
        <w:rPr>
          <w:rFonts w:ascii="宋体" w:hAnsi="宋体" w:eastAsia="宋体" w:cs="楷体"/>
          <w:b/>
          <w:color w:val="auto"/>
          <w:sz w:val="30"/>
          <w:szCs w:val="30"/>
          <w:highlight w:val="none"/>
        </w:rPr>
      </w:r>
      <w:r/>
    </w:p>
    <w:p>
      <w:pPr>
        <w:numPr>
          <w:ilvl w:val="0"/>
          <w:numId w:val="0"/>
        </w:numPr>
        <w:jc w:val="left"/>
        <w:widowControl/>
        <w:rPr>
          <w:rFonts w:hint="eastAsia" w:ascii="宋体" w:hAnsi="宋体" w:eastAsia="宋体" w:cs="楷体"/>
          <w:b/>
          <w:color w:val="auto"/>
          <w:sz w:val="30"/>
          <w:szCs w:val="30"/>
          <w:highlight w:val="none"/>
        </w:rPr>
      </w:pPr>
      <w:r>
        <w:rPr>
          <w:rFonts w:hint="eastAsia" w:ascii="宋体" w:hAnsi="宋体" w:eastAsia="宋体" w:cs="楷体"/>
          <w:b/>
          <w:color w:val="auto"/>
          <w:sz w:val="30"/>
          <w:szCs w:val="30"/>
          <w:highlight w:val="none"/>
          <w:lang w:val="en-US" w:eastAsia="zh-CN" w:bidi="ar-SA"/>
        </w:rPr>
        <w:t xml:space="preserve">8.</w:t>
      </w:r>
      <w:r>
        <w:rPr>
          <w:rFonts w:hint="eastAsia" w:ascii="宋体" w:hAnsi="宋体" w:eastAsia="宋体" w:cs="楷体"/>
          <w:b/>
          <w:color w:val="auto"/>
          <w:sz w:val="30"/>
          <w:szCs w:val="30"/>
          <w:highlight w:val="none"/>
        </w:rPr>
        <w:t xml:space="preserve">本项目采用综合评分法。</w:t>
      </w:r>
      <w:bookmarkEnd w:id="71"/>
      <w:r/>
      <w:bookmarkEnd w:id="72"/>
      <w:r/>
      <w:bookmarkEnd w:id="73"/>
      <w:r/>
      <w:bookmarkEnd w:id="74"/>
      <w:r/>
      <w:bookmarkEnd w:id="75"/>
      <w:r/>
      <w:bookmarkStart w:id="76" w:name="EB4b4dac0d76bc4dafafdb7b397071a175"/>
      <w:r/>
      <w:bookmarkEnd w:id="76"/>
      <w:r/>
      <w:r/>
    </w:p>
    <w:p>
      <w:pPr>
        <w:numPr>
          <w:ilvl w:val="0"/>
          <w:numId w:val="0"/>
        </w:numPr>
        <w:jc w:val="left"/>
        <w:widowControl/>
        <w:rPr>
          <w:rFonts w:hint="default" w:ascii="宋体" w:hAnsi="宋体" w:eastAsia="宋体" w:cs="楷体"/>
          <w:b/>
          <w:color w:val="auto"/>
          <w:sz w:val="24"/>
          <w:szCs w:val="24"/>
          <w:highlight w:val="none"/>
        </w:rPr>
      </w:pPr>
      <w:r>
        <w:rPr>
          <w:rFonts w:hint="default" w:ascii="宋体" w:hAnsi="宋体" w:eastAsia="宋体" w:cs="楷体"/>
          <w:b/>
          <w:color w:val="auto"/>
          <w:sz w:val="24"/>
          <w:szCs w:val="24"/>
          <w:highlight w:val="none"/>
        </w:rPr>
      </w:r>
      <w:r/>
    </w:p>
    <w:tbl>
      <w:tblPr>
        <w:tblStyle w:val="613"/>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2791"/>
        <w:gridCol w:w="2669"/>
        <w:gridCol w:w="20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047" w:type="dxa"/>
            <w:vAlign w:val="top"/>
            <w:textDirection w:val="lrTb"/>
            <w:noWrap/>
          </w:tcPr>
          <w:p>
            <w:pPr>
              <w:pStyle w:val="789"/>
              <w:ind w:left="647"/>
              <w:pageBreakBefore w:val="0"/>
              <w:spacing w:before="149" w:line="221"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pacing w:val="-1"/>
                <w:sz w:val="21"/>
                <w:szCs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top"/>
            <w:textDirection w:val="lrTb"/>
            <w:noWrap/>
          </w:tcPr>
          <w:p>
            <w:pPr>
              <w:pStyle w:val="789"/>
              <w:ind w:left="649"/>
              <w:pageBreakBefore w:val="0"/>
              <w:spacing w:before="149" w:line="219"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pacing w:val="-2"/>
                <w:sz w:val="21"/>
                <w:szCs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top"/>
            <w:textDirection w:val="lrTb"/>
            <w:noWrap/>
          </w:tcPr>
          <w:p>
            <w:pPr>
              <w:pStyle w:val="789"/>
              <w:ind w:left="656"/>
              <w:pageBreakBefore w:val="0"/>
              <w:spacing w:before="149" w:line="219"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pacing w:val="-3"/>
                <w:sz w:val="21"/>
                <w:szCs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top"/>
            <w:textDirection w:val="lrTb"/>
            <w:noWrap/>
          </w:tcPr>
          <w:p>
            <w:pPr>
              <w:pStyle w:val="789"/>
              <w:ind w:left="654"/>
              <w:pageBreakBefore w:val="0"/>
              <w:spacing w:before="149" w:line="219"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pacing w:val="-2"/>
                <w:sz w:val="21"/>
                <w:szCs w:val="21"/>
                <w:highlight w:val="none"/>
              </w:rPr>
              <w:t xml:space="preserve">价格评估</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047" w:type="dxa"/>
            <w:vAlign w:val="top"/>
            <w:textDirection w:val="lrTb"/>
            <w:noWrap/>
          </w:tcPr>
          <w:p>
            <w:pPr>
              <w:pStyle w:val="789"/>
              <w:ind w:left="862"/>
              <w:pageBreakBefore w:val="0"/>
              <w:spacing w:before="151" w:line="221"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pacing w:val="-3"/>
                <w:sz w:val="21"/>
                <w:szCs w:val="21"/>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91" w:type="dxa"/>
            <w:vAlign w:val="top"/>
            <w:textDirection w:val="lrTb"/>
            <w:noWrap/>
          </w:tcPr>
          <w:p>
            <w:pPr>
              <w:pStyle w:val="789"/>
              <w:ind w:left="806"/>
              <w:pageBreakBefore w:val="0"/>
              <w:spacing w:before="152"/>
              <w:rPr>
                <w:rFonts w:hint="eastAsia" w:asciiTheme="minorEastAsia" w:hAnsiTheme="minorEastAsia" w:eastAsiaTheme="minorEastAsia" w:cstheme="minorEastAsia"/>
                <w:b w:val="0"/>
                <w:bCs w:val="0"/>
                <w:color w:val="auto"/>
                <w:szCs w:val="24"/>
                <w:highlight w:val="none"/>
                <w:lang w:val="en-US"/>
              </w:rPr>
            </w:pPr>
            <w:r>
              <w:rPr>
                <w:rFonts w:hint="eastAsia" w:asciiTheme="minorEastAsia" w:hAnsiTheme="minorEastAsia" w:eastAsiaTheme="minorEastAsia" w:cstheme="minorEastAsia"/>
                <w:b w:val="0"/>
                <w:bCs w:val="0"/>
                <w:color w:val="auto"/>
                <w:sz w:val="21"/>
                <w:szCs w:val="21"/>
                <w:highlight w:val="none"/>
                <w:lang w:val="en-US" w:eastAsia="zh-CN"/>
              </w:rPr>
              <w:t xml:space="preserve">60.00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69" w:type="dxa"/>
            <w:vAlign w:val="top"/>
            <w:textDirection w:val="lrTb"/>
            <w:noWrap/>
          </w:tcPr>
          <w:p>
            <w:pPr>
              <w:pStyle w:val="789"/>
              <w:ind w:left="812"/>
              <w:pageBreakBefore w:val="0"/>
              <w:spacing w:before="152"/>
              <w:rPr>
                <w:rFonts w:hint="eastAsia" w:asciiTheme="minorEastAsia" w:hAnsiTheme="minorEastAsia" w:eastAsiaTheme="minorEastAsia" w:cstheme="minorEastAsia"/>
                <w:b w:val="0"/>
                <w:bCs w:val="0"/>
                <w:color w:val="auto"/>
                <w:szCs w:val="24"/>
                <w:highlight w:val="none"/>
                <w:lang w:val="en-US"/>
              </w:rPr>
            </w:pP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30.00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55" w:type="dxa"/>
            <w:vAlign w:val="top"/>
            <w:textDirection w:val="lrTb"/>
            <w:noWrap/>
          </w:tcPr>
          <w:p>
            <w:pPr>
              <w:pStyle w:val="789"/>
              <w:ind w:left="811"/>
              <w:pageBreakBefore w:val="0"/>
              <w:spacing w:before="152"/>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pacing w:val="-2"/>
                <w:sz w:val="21"/>
                <w:szCs w:val="21"/>
                <w:highlight w:val="none"/>
                <w:lang w:val="en-US" w:eastAsia="zh-CN"/>
              </w:rPr>
              <w:t xml:space="preserve">10</w:t>
            </w:r>
            <w:r>
              <w:rPr>
                <w:rFonts w:hint="eastAsia" w:asciiTheme="minorEastAsia" w:hAnsiTheme="minorEastAsia" w:eastAsiaTheme="minorEastAsia" w:cstheme="minorEastAsia"/>
                <w:b w:val="0"/>
                <w:bCs w:val="0"/>
                <w:color w:val="auto"/>
                <w:spacing w:val="-2"/>
                <w:sz w:val="21"/>
                <w:szCs w:val="21"/>
                <w:highlight w:val="none"/>
              </w:rPr>
              <w:t xml:space="preserve">.00</w:t>
            </w:r>
            <w:r/>
          </w:p>
        </w:tc>
      </w:tr>
    </w:tbl>
    <w:p>
      <w:pPr>
        <w:ind w:left="-765"/>
        <w:spacing w:before="156" w:after="156"/>
        <w:widowControl/>
        <w:rPr>
          <w:rFonts w:ascii="宋体" w:cs="宋体"/>
          <w:b w:val="0"/>
          <w:bCs w:val="0"/>
          <w:color w:val="auto"/>
          <w:szCs w:val="21"/>
          <w:highlight w:val="none"/>
        </w:rPr>
      </w:pPr>
      <w:r>
        <w:rPr>
          <w:rFonts w:hint="eastAsia" w:ascii="宋体" w:hAnsi="宋体" w:cs="宋体"/>
          <w:b w:val="0"/>
          <w:bCs w:val="0"/>
          <w:color w:val="auto"/>
          <w:szCs w:val="21"/>
          <w:highlight w:val="none"/>
        </w:rPr>
        <w:t xml:space="preserve">（一）技术评估</w:t>
      </w:r>
      <w:bookmarkStart w:id="77" w:name="EB14ad66033b3f422caabf25e355d52a4d"/>
      <w:r/>
      <w:r/>
    </w:p>
    <w:tbl>
      <w:tblPr>
        <w:tblStyle w:val="613"/>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622"/>
        <w:gridCol w:w="1271"/>
        <w:gridCol w:w="6017"/>
        <w:gridCol w:w="706"/>
      </w:tblGrid>
      <w:tr>
        <w:trPr>
          <w:jc w:val="center"/>
          <w:trHeight w:val="90"/>
          <w:tblHeader/>
        </w:trPr>
        <w:tc>
          <w:tcPr>
            <w:tcW w:w="622"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序号</w:t>
            </w:r>
            <w:r/>
          </w:p>
        </w:tc>
        <w:tc>
          <w:tcPr>
            <w:tcW w:w="1271"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评审因素</w:t>
            </w:r>
            <w:r/>
          </w:p>
        </w:tc>
        <w:tc>
          <w:tcPr>
            <w:tcW w:w="6017"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评审细则</w:t>
            </w:r>
            <w:r/>
          </w:p>
        </w:tc>
        <w:tc>
          <w:tcPr>
            <w:tcW w:w="706"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分值</w:t>
            </w:r>
            <w:r/>
          </w:p>
        </w:tc>
      </w:tr>
      <w:tr>
        <w:trPr>
          <w:jc w:val="center"/>
        </w:trPr>
        <w:tc>
          <w:tcPr>
            <w:gridSpan w:val="3"/>
            <w:tcW w:w="7910"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技术水平</w:t>
            </w:r>
            <w:r/>
          </w:p>
        </w:tc>
        <w:tc>
          <w:tcPr>
            <w:tcW w:w="706"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60</w:t>
            </w:r>
            <w:r>
              <w:rPr>
                <w:rFonts w:hint="eastAsia" w:asciiTheme="minorEastAsia" w:hAnsiTheme="minorEastAsia" w:eastAsiaTheme="minorEastAsia" w:cstheme="minorEastAsia"/>
                <w:b w:val="0"/>
                <w:bCs w:val="0"/>
                <w:color w:val="auto"/>
                <w:sz w:val="21"/>
                <w:szCs w:val="21"/>
                <w:highlight w:val="none"/>
              </w:rPr>
              <w:t xml:space="preserve">.0</w:t>
            </w:r>
            <w:r/>
          </w:p>
        </w:tc>
      </w:tr>
      <w:tr>
        <w:trPr>
          <w:jc w:val="center"/>
          <w:trHeight w:val="617"/>
        </w:trPr>
        <w:tc>
          <w:tcPr>
            <w:tcW w:w="622"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1.1</w:t>
            </w:r>
            <w:r/>
          </w:p>
        </w:tc>
        <w:tc>
          <w:tcPr>
            <w:tcW w:w="1271"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项目整体设计方案</w:t>
            </w:r>
            <w:r/>
          </w:p>
        </w:tc>
        <w:tc>
          <w:tcPr>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根据投标人提供的项目整体设计方案进行评分，包括：现状分析和需求理解、总体架构、逻辑架构、技术架构、网络架构、数据架构等。</w:t>
            </w:r>
            <w:r/>
          </w:p>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方案完全包含上述要点得2分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pStyle w:val="617"/>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方案</w:t>
            </w:r>
            <w:r>
              <w:rPr>
                <w:rFonts w:hint="eastAsia" w:asciiTheme="minorEastAsia" w:hAnsiTheme="minorEastAsia" w:eastAsiaTheme="minorEastAsia" w:cstheme="minorEastAsia"/>
                <w:b w:val="0"/>
                <w:bCs w:val="0"/>
                <w:color w:val="auto"/>
                <w:sz w:val="21"/>
                <w:szCs w:val="21"/>
                <w:highlight w:val="none"/>
              </w:rPr>
              <w:t xml:space="preserve">包含本项目需求梳理及项目重难点识别，</w:t>
            </w:r>
            <w:r>
              <w:rPr>
                <w:rFonts w:hint="eastAsia" w:asciiTheme="minorEastAsia" w:hAnsiTheme="minorEastAsia" w:eastAsiaTheme="minorEastAsia" w:cstheme="minorEastAsia"/>
                <w:b w:val="0"/>
                <w:bCs w:val="0"/>
                <w:color w:val="auto"/>
                <w:sz w:val="21"/>
                <w:szCs w:val="21"/>
                <w:highlight w:val="none"/>
                <w:lang w:val="en-US" w:eastAsia="zh-CN"/>
              </w:rPr>
              <w:t xml:space="preserve">且能</w:t>
            </w:r>
            <w:r>
              <w:rPr>
                <w:rFonts w:hint="eastAsia" w:asciiTheme="minorEastAsia" w:hAnsiTheme="minorEastAsia" w:eastAsiaTheme="minorEastAsia" w:cstheme="minorEastAsia"/>
                <w:b w:val="0"/>
                <w:bCs w:val="0"/>
                <w:color w:val="auto"/>
                <w:sz w:val="21"/>
                <w:szCs w:val="21"/>
                <w:highlight w:val="none"/>
              </w:rPr>
              <w:t xml:space="preserve">覆盖采购文件核心要求，经评委认定符合采购文件要求的</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加1</w:t>
            </w:r>
            <w:r>
              <w:rPr>
                <w:rFonts w:hint="eastAsia" w:asciiTheme="minorEastAsia" w:hAnsiTheme="minorEastAsia" w:eastAsiaTheme="minorEastAsia" w:cstheme="minorEastAsia"/>
                <w:b w:val="0"/>
                <w:bCs w:val="0"/>
                <w:color w:val="auto"/>
                <w:sz w:val="21"/>
                <w:szCs w:val="21"/>
                <w:highlight w:val="none"/>
              </w:rPr>
              <w:t xml:space="preserve">分；</w:t>
            </w:r>
            <w:r/>
          </w:p>
          <w:p>
            <w:pPr>
              <w:pStyle w:val="617"/>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pStyle w:val="617"/>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方案包含</w:t>
            </w:r>
            <w:r>
              <w:rPr>
                <w:rFonts w:hint="eastAsia" w:asciiTheme="minorEastAsia" w:hAnsiTheme="minorEastAsia" w:eastAsiaTheme="minorEastAsia" w:cstheme="minorEastAsia"/>
                <w:b w:val="0"/>
                <w:bCs w:val="0"/>
                <w:color w:val="auto"/>
                <w:sz w:val="21"/>
                <w:szCs w:val="21"/>
                <w:highlight w:val="none"/>
              </w:rPr>
              <w:t xml:space="preserve">针对项目重难点</w:t>
            </w:r>
            <w:r>
              <w:rPr>
                <w:rFonts w:hint="eastAsia" w:asciiTheme="minorEastAsia" w:hAnsiTheme="minorEastAsia" w:eastAsiaTheme="minorEastAsia" w:cstheme="minorEastAsia"/>
                <w:b w:val="0"/>
                <w:bCs w:val="0"/>
                <w:color w:val="auto"/>
                <w:sz w:val="21"/>
                <w:szCs w:val="21"/>
                <w:highlight w:val="none"/>
                <w:lang w:val="en-US" w:eastAsia="zh-CN"/>
              </w:rPr>
              <w:t xml:space="preserve">提出</w:t>
            </w:r>
            <w:r>
              <w:rPr>
                <w:rFonts w:hint="eastAsia" w:asciiTheme="minorEastAsia" w:hAnsiTheme="minorEastAsia" w:eastAsiaTheme="minorEastAsia" w:cstheme="minorEastAsia"/>
                <w:b w:val="0"/>
                <w:bCs w:val="0"/>
                <w:color w:val="auto"/>
                <w:sz w:val="21"/>
                <w:szCs w:val="21"/>
                <w:highlight w:val="none"/>
              </w:rPr>
              <w:t xml:space="preserve">配套的实施方案、工作安排，经评委认定符合采购文件要求的</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加1</w:t>
            </w:r>
            <w:r>
              <w:rPr>
                <w:rFonts w:hint="eastAsia" w:asciiTheme="minorEastAsia" w:hAnsiTheme="minorEastAsia" w:eastAsiaTheme="minorEastAsia" w:cstheme="minorEastAsia"/>
                <w:b w:val="0"/>
                <w:bCs w:val="0"/>
                <w:color w:val="auto"/>
                <w:sz w:val="21"/>
                <w:szCs w:val="21"/>
                <w:highlight w:val="none"/>
              </w:rPr>
              <w:t xml:space="preserve">分</w:t>
            </w:r>
            <w:r>
              <w:rPr>
                <w:rFonts w:hint="eastAsia" w:asciiTheme="minorEastAsia" w:hAnsiTheme="minorEastAsia" w:cstheme="minorEastAsia"/>
                <w:b w:val="0"/>
                <w:bCs w:val="0"/>
                <w:color w:val="auto"/>
                <w:sz w:val="21"/>
                <w:szCs w:val="21"/>
                <w:highlight w:val="none"/>
                <w:lang w:eastAsia="zh-CN"/>
              </w:rPr>
              <w:t xml:space="preserve">。</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rPr>
                <w:rFonts w:hint="eastAsia" w:asciiTheme="minorEastAsia" w:hAnsiTheme="minorEastAsia" w:eastAsiaTheme="minorEastAsia" w:cstheme="minorEastAsia"/>
                <w:b w:val="0"/>
                <w:bCs w:val="0"/>
                <w:color w:val="auto"/>
                <w:sz w:val="21"/>
                <w:szCs w:val="21"/>
                <w:highlight w:val="none"/>
              </w:rPr>
              <w:t xml:space="preserve">.0</w:t>
            </w:r>
            <w:r/>
          </w:p>
        </w:tc>
      </w:tr>
      <w:tr>
        <w:trPr>
          <w:jc w:val="center"/>
        </w:trPr>
        <w:tc>
          <w:tcPr>
            <w:tcW w:w="622"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1.2</w:t>
            </w:r>
            <w:r/>
          </w:p>
        </w:tc>
        <w:tc>
          <w:tcPr>
            <w:tcW w:w="1271"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市级支撑平台对接方案</w:t>
            </w:r>
            <w:r/>
          </w:p>
        </w:tc>
        <w:tc>
          <w:tcPr>
            <w:tcW w:w="6017" w:type="dxa"/>
            <w:vAlign w:val="center"/>
            <w:textDirection w:val="lrTb"/>
            <w:noWrap w:val="false"/>
          </w:tcPr>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根据投标人提供的市级支撑平台对接方案进行评分，包括：物联网统一管理子平台、融合通信子平台、移动端系统管理平台、监控视频共享分析子平台、地理信息系统（GIS）子平台、数据中台、业务中台及技术中台。</w: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方案完全包含上述要点得2分，方案有缺项或未提供的不得分。</w: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 </w:t>
            </w:r>
            <w:r/>
          </w:p>
          <w:p>
            <w:pPr>
              <w:ind w:left="0" w:right="0" w:firstLine="0"/>
              <w:spacing w:before="0" w:after="0"/>
              <w:rPr>
                <w:rFonts w:ascii="宋体" w:hAnsi="宋体" w:eastAsia="宋体" w:cs="宋体"/>
                <w:color w:val="auto"/>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方案结合丹阳市实际业务需求，合理规划各子平台对接边界、交互方式，且整体对接技术路径适配镇江市级平台现有能力的，经评委认定符合采购文件要求的，加1分。</w:t>
            </w:r>
            <w:r/>
          </w:p>
          <w:p>
            <w:pPr>
              <w:ind w:left="0" w:right="0" w:firstLine="0"/>
              <w:spacing w:before="0" w:after="0"/>
              <w:rPr>
                <w:rFonts w:ascii="宋体" w:hAnsi="宋体" w:eastAsia="宋体" w:cs="宋体"/>
                <w:color w:val="auto"/>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 </w:t>
            </w:r>
            <w:r/>
          </w:p>
          <w:p>
            <w:pPr>
              <w:ind w:left="0" w:right="0" w:firstLine="0"/>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方案清晰说明各子平台能力复用内容、本地化适配思路，符合项目落地要求，经评委认定符合采购文件要求的，加1分。</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4.0</w:t>
            </w:r>
            <w:r/>
          </w:p>
        </w:tc>
      </w:tr>
      <w:tr>
        <w:trPr>
          <w:jc w:val="center"/>
        </w:trPr>
        <w:tc>
          <w:tcPr>
            <w:tcW w:w="622"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1.3</w:t>
            </w:r>
            <w:r/>
          </w:p>
        </w:tc>
        <w:tc>
          <w:tcPr>
            <w:tcW w:w="1271"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智慧监管系统建设方案</w:t>
            </w:r>
            <w:r/>
          </w:p>
        </w:tc>
        <w:tc>
          <w:tcPr>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根据投标人提供的智慧监管系统建设方案进行评分，包括：统一门户、综合应用、燃气专项、供水专项、排水专项、道路专项、桥梁专项、第三方施工破坏专项、地下管线交互专项。</w:t>
            </w:r>
            <w:r/>
          </w:p>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方案完全包含上述要点得6分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jc w:val="left"/>
              <w:widowControl/>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 xml:space="preserve">方案针对项目监管业务场景合理设计，明确各模块功能定位、业务流程，经评委认定符合采购文件要求的，加1.5分；</w:t>
            </w:r>
            <w:r/>
          </w:p>
          <w:p>
            <w:pPr>
              <w:jc w:val="left"/>
              <w:widowControl/>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r>
            <w:r/>
          </w:p>
          <w:p>
            <w:pPr>
              <w:jc w:val="left"/>
              <w:keepLines w:val="0"/>
              <w:keepNext w:val="0"/>
              <w:widowControl/>
              <w:rPr>
                <w:rFonts w:hint="eastAsia"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cstheme="minorEastAsia"/>
                <w:color w:val="auto"/>
                <w:szCs w:val="21"/>
                <w:highlight w:val="none"/>
              </w:rPr>
              <w:t xml:space="preserve">方案清晰规划各模块建设内容，功能描述详实完整，满足日常监管使用需求，经评委认定符合采购文件要求的，加1.5分。</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9</w:t>
            </w:r>
            <w:r>
              <w:rPr>
                <w:rFonts w:hint="eastAsia" w:asciiTheme="minorEastAsia" w:hAnsiTheme="minorEastAsia" w:eastAsiaTheme="minorEastAsia" w:cstheme="minorEastAsia"/>
                <w:b w:val="0"/>
                <w:bCs w:val="0"/>
                <w:color w:val="auto"/>
                <w:sz w:val="21"/>
                <w:szCs w:val="21"/>
                <w:highlight w:val="none"/>
              </w:rPr>
              <w:t xml:space="preserve">.0</w:t>
            </w:r>
            <w:r/>
          </w:p>
        </w:tc>
      </w:tr>
      <w:tr>
        <w:trPr>
          <w:jc w:val="center"/>
        </w:trPr>
        <w:tc>
          <w:tcPr>
            <w:tcW w:w="622" w:type="dxa"/>
            <w:vAlign w:val="center"/>
            <w:textDirection w:val="lrTb"/>
            <w:noWrap w:val="false"/>
          </w:tcPr>
          <w:p>
            <w:pPr>
              <w:pStyle w:val="794"/>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1.4</w:t>
            </w:r>
            <w:r/>
          </w:p>
        </w:tc>
        <w:tc>
          <w:tcPr>
            <w:tcW w:w="1271"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bidi="ar"/>
              </w:rPr>
              <w:t xml:space="preserve">智慧监测硬件设备</w:t>
            </w:r>
            <w:r>
              <w:rPr>
                <w:rFonts w:hint="eastAsia" w:asciiTheme="minorEastAsia" w:hAnsiTheme="minorEastAsia" w:eastAsiaTheme="minorEastAsia" w:cstheme="minorEastAsia"/>
                <w:b w:val="0"/>
                <w:bCs w:val="0"/>
                <w:color w:val="auto"/>
                <w:sz w:val="21"/>
                <w:szCs w:val="21"/>
                <w:highlight w:val="none"/>
              </w:rPr>
              <w:t xml:space="preserve">安装调试及运维方案</w:t>
            </w:r>
            <w:r/>
          </w:p>
        </w:tc>
        <w:tc>
          <w:tcPr>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根据投标人提供的排水专项、道路专项、桥梁专项的</w:t>
            </w:r>
            <w:r>
              <w:rPr>
                <w:rFonts w:hint="eastAsia" w:asciiTheme="minorEastAsia" w:hAnsiTheme="minorEastAsia" w:eastAsiaTheme="minorEastAsia" w:cstheme="minorEastAsia"/>
                <w:b w:val="0"/>
                <w:bCs w:val="0"/>
                <w:color w:val="auto"/>
                <w:sz w:val="21"/>
                <w:szCs w:val="21"/>
                <w:highlight w:val="none"/>
                <w:lang w:bidi="ar"/>
              </w:rPr>
              <w:t xml:space="preserve">智慧监测硬件设备</w:t>
            </w:r>
            <w:r>
              <w:rPr>
                <w:rFonts w:hint="eastAsia" w:asciiTheme="minorEastAsia" w:hAnsiTheme="minorEastAsia" w:eastAsiaTheme="minorEastAsia" w:cstheme="minorEastAsia"/>
                <w:b w:val="0"/>
                <w:bCs w:val="0"/>
                <w:color w:val="auto"/>
                <w:sz w:val="21"/>
                <w:szCs w:val="21"/>
                <w:highlight w:val="none"/>
              </w:rPr>
              <w:t xml:space="preserve">安装调试及运维方案进行评分，内容包括：建设内容、布点依据、布点方案、感知设备清单、设备安装方案和运维方案、数据采集与存储等。</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方案完全包含上述要点得4分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jc w:val="left"/>
              <w:widowControl/>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 xml:space="preserve">方案整体内容贴合本项目排水、道路、桥梁智慧监测实际场景，</w:t>
            </w:r>
            <w:r>
              <w:rPr>
                <w:rFonts w:hint="eastAsia" w:asciiTheme="minorEastAsia" w:hAnsiTheme="minorEastAsia" w:cstheme="minorEastAsia"/>
                <w:color w:val="auto"/>
                <w:szCs w:val="21"/>
                <w:highlight w:val="none"/>
              </w:rPr>
              <w:t xml:space="preserve">经评委认定符合采购文件要求的，</w:t>
            </w:r>
            <w:r>
              <w:rPr>
                <w:rFonts w:hint="eastAsia" w:asciiTheme="minorEastAsia" w:hAnsiTheme="minorEastAsia" w:cstheme="minorEastAsia"/>
                <w:color w:val="auto"/>
                <w:szCs w:val="21"/>
                <w:highlight w:val="none"/>
              </w:rPr>
              <w:t xml:space="preserve">加1分；</w:t>
            </w:r>
            <w:r/>
          </w:p>
          <w:p>
            <w:pPr>
              <w:jc w:val="left"/>
              <w:widowControl/>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r>
            <w:r/>
          </w:p>
          <w:p>
            <w:pPr>
              <w:jc w:val="left"/>
              <w:keepLines w:val="0"/>
              <w:keepNext w:val="0"/>
              <w:widowControl/>
              <w:rPr>
                <w:rFonts w:hint="eastAsia" w:asciiTheme="minorEastAsia" w:hAnsiTheme="minorEastAsia" w:eastAsiaTheme="minorEastAsia" w:cstheme="minorEastAsia"/>
                <w:b w:val="0"/>
                <w:bCs w:val="0"/>
                <w:color w:val="auto"/>
                <w:sz w:val="21"/>
                <w:szCs w:val="21"/>
                <w:highlight w:val="none"/>
              </w:rPr>
              <w:suppressLineNumbers w:val="0"/>
            </w:pPr>
            <w:r>
              <w:rPr>
                <w:rFonts w:hint="eastAsia" w:asciiTheme="minorEastAsia" w:hAnsiTheme="minorEastAsia" w:cstheme="minorEastAsia"/>
                <w:color w:val="auto"/>
                <w:szCs w:val="21"/>
                <w:highlight w:val="none"/>
              </w:rPr>
              <w:t xml:space="preserve">方案明确列明安全管控、关键参数、巡检及故障处置等内容详实具体，能够直接指导项目现场施工实施及常态化运维，经评委认定符合采购文件要求的，加 1分。</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6.0</w:t>
            </w:r>
            <w:r/>
          </w:p>
        </w:tc>
      </w:tr>
      <w:tr>
        <w:trPr>
          <w:jc w:val="center"/>
        </w:trPr>
        <w:tc>
          <w:tcPr>
            <w:tcW w:w="622"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1.5</w:t>
            </w:r>
            <w:r/>
          </w:p>
        </w:tc>
        <w:tc>
          <w:tcPr>
            <w:tcW w:w="127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数据治理方案</w:t>
            </w:r>
            <w:r/>
          </w:p>
        </w:tc>
        <w:tc>
          <w:tcPr>
            <w:tcW w:w="6017" w:type="dxa"/>
            <w:vAlign w:val="center"/>
            <w:textDirection w:val="lrTb"/>
            <w:noWrap w:val="false"/>
          </w:tcPr>
          <w:p>
            <w:pPr>
              <w:rPr>
                <w:color w:val="auto"/>
                <w14:ligatures w14:val="none"/>
              </w:rPr>
            </w:pPr>
            <w:r>
              <w:rPr>
                <w:rFonts w:ascii="宋体" w:hAnsi="宋体" w:eastAsia="宋体" w:cs="宋体"/>
                <w:color w:val="auto"/>
                <w:sz w:val="21"/>
              </w:rPr>
              <w:t xml:space="preserve">根据投标人提供的数据治理方案进行评分，包括：数据资源梳理、数据</w:t>
            </w:r>
            <w:r>
              <w:rPr>
                <w:color w:val="auto"/>
              </w:rPr>
              <w:t xml:space="preserve">标准建设、数据汇聚实施、数据质量与治理、数据融合开发、数据资产管理、数据服务与运维等。</w:t>
            </w:r>
            <w:r/>
          </w:p>
          <w:p>
            <w:pPr>
              <w:rPr>
                <w:rFonts w:ascii="宋体" w:hAnsi="宋体" w:eastAsia="宋体" w:cs="宋体"/>
                <w:color w:val="auto"/>
                <w:sz w:val="21"/>
                <w:szCs w:val="21"/>
                <w14:ligatures w14:val="none"/>
              </w:rPr>
            </w:pPr>
            <w:r>
              <w:rPr>
                <w:color w:val="auto"/>
              </w:rPr>
              <w:t xml:space="preserve">方案完全</w:t>
            </w:r>
            <w:r>
              <w:rPr>
                <w:rFonts w:ascii="宋体" w:hAnsi="宋体" w:eastAsia="宋体" w:cs="宋体"/>
                <w:color w:val="auto"/>
                <w:sz w:val="21"/>
                <w:szCs w:val="21"/>
              </w:rPr>
              <w:t xml:space="preserve">包含上述要点得7分，方案有缺项或未提供的不得分。</w:t>
            </w:r>
            <w:r/>
          </w:p>
          <w:p>
            <w:pPr>
              <w:rPr>
                <w:rFonts w:ascii="宋体" w:hAnsi="宋体" w:eastAsia="宋体" w:cs="宋体"/>
                <w:color w:val="auto"/>
                <w:sz w:val="21"/>
                <w:szCs w:val="21"/>
                <w14:ligatures w14:val="none"/>
              </w:rPr>
            </w:pPr>
            <w:r>
              <w:rPr>
                <w:rFonts w:ascii="宋体" w:hAnsi="宋体" w:eastAsia="宋体" w:cs="宋体"/>
                <w:color w:val="auto"/>
                <w:sz w:val="21"/>
                <w:szCs w:val="21"/>
              </w:rPr>
              <w:t xml:space="preserve">方案对标省级生命线数据标准，明确本项目数据标准落地措施、数据资源池建设方案，经评委认定符合采购文件要求的，加1分。</w:t>
            </w:r>
            <w:r/>
          </w:p>
          <w:p>
            <w:pPr>
              <w:rPr>
                <w:rFonts w:ascii="宋体" w:hAnsi="宋体" w:eastAsia="宋体" w:cs="宋体"/>
                <w:color w:val="auto"/>
                <w:sz w:val="21"/>
                <w:szCs w:val="21"/>
                <w14:ligatures w14:val="none"/>
              </w:rPr>
            </w:pPr>
            <w:r>
              <w:rPr>
                <w:rFonts w:ascii="宋体" w:hAnsi="宋体" w:eastAsia="宋体" w:cs="宋体"/>
                <w:color w:val="auto"/>
                <w:sz w:val="21"/>
                <w:szCs w:val="21"/>
              </w:rPr>
              <w:t xml:space="preserve"> </w:t>
            </w:r>
            <w:r/>
          </w:p>
          <w:p>
            <w:pPr>
              <w:rPr>
                <w:color w:val="auto"/>
                <w:highlight w:val="none"/>
                <w14:ligatures w14:val="none"/>
              </w:rPr>
            </w:pPr>
            <w:r>
              <w:rPr>
                <w:rFonts w:ascii="宋体" w:hAnsi="宋体" w:eastAsia="宋体" w:cs="宋体"/>
                <w:color w:val="auto"/>
                <w:sz w:val="21"/>
                <w:szCs w:val="21"/>
              </w:rPr>
              <w:t xml:space="preserve">方案的数据质量稽查对象、稽查规则设置明确，信息资源共享范围、交换机制清晰，经评</w:t>
            </w:r>
            <w:r>
              <w:rPr>
                <w:color w:val="auto"/>
              </w:rPr>
              <w:t xml:space="preserve">委认定</w:t>
            </w:r>
            <w:r>
              <w:rPr>
                <w:rFonts w:ascii="宋体" w:hAnsi="宋体" w:eastAsia="宋体" w:cs="宋体"/>
                <w:color w:val="auto"/>
                <w:sz w:val="21"/>
              </w:rPr>
              <w:t xml:space="preserve">符合采购文件要求的，加1分。</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9.0</w:t>
            </w:r>
            <w:r/>
          </w:p>
        </w:tc>
      </w:tr>
      <w:tr>
        <w:trPr>
          <w:jc w:val="center"/>
        </w:trPr>
        <w:tc>
          <w:tcPr>
            <w:tcW w:w="622"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1.6</w:t>
            </w:r>
            <w:r/>
          </w:p>
        </w:tc>
        <w:tc>
          <w:tcPr>
            <w:tcW w:w="127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省市县三级互联互通方案</w:t>
            </w:r>
            <w:r/>
          </w:p>
        </w:tc>
        <w:tc>
          <w:tcPr>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省市县三级互联互通方案进行评分，包括：从系统架构层面提出满足我市城市生命线监测监管建设需求和江苏省、镇江市复用要求的技术架构方案；从系统应用层面提出满足我市建设需求的省市县复用方案；从省市县数据对接方面提出我市城市生命线库表、消息、文件、视频等类型数据的接入、治理、同步上传的数据对接实施方案。</w:t>
            </w:r>
            <w:r/>
          </w:p>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方案完全包含上述要点得4分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pStyle w:val="617"/>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pStyle w:val="617"/>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 xml:space="preserve">方案</w:t>
            </w:r>
            <w:r>
              <w:rPr>
                <w:rFonts w:asciiTheme="minorEastAsia" w:hAnsiTheme="minorEastAsia" w:cstheme="minorEastAsia"/>
                <w:color w:val="auto"/>
                <w:szCs w:val="21"/>
                <w:highlight w:val="none"/>
              </w:rPr>
              <w:t xml:space="preserve">科学规划省市县三级业务互通架构</w:t>
            </w:r>
            <w:r>
              <w:rPr>
                <w:rFonts w:hint="eastAsia" w:asciiTheme="minorEastAsia" w:hAnsiTheme="minorEastAsia" w:cstheme="minorEastAsia"/>
                <w:color w:val="auto"/>
                <w:szCs w:val="21"/>
                <w:highlight w:val="none"/>
              </w:rPr>
              <w:t xml:space="preserve">、</w:t>
            </w:r>
            <w:r>
              <w:rPr>
                <w:rFonts w:asciiTheme="minorEastAsia" w:hAnsiTheme="minorEastAsia" w:cstheme="minorEastAsia"/>
                <w:color w:val="auto"/>
                <w:szCs w:val="21"/>
                <w:highlight w:val="none"/>
              </w:rPr>
              <w:t xml:space="preserve">市县复用技术</w:t>
            </w:r>
            <w:r>
              <w:rPr>
                <w:rFonts w:hint="eastAsia" w:asciiTheme="minorEastAsia" w:hAnsiTheme="minorEastAsia" w:cstheme="minorEastAsia"/>
                <w:color w:val="auto"/>
                <w:szCs w:val="21"/>
                <w:highlight w:val="none"/>
              </w:rPr>
              <w:t xml:space="preserve">架构</w:t>
            </w:r>
            <w:r>
              <w:rPr>
                <w:rFonts w:asciiTheme="minorEastAsia" w:hAnsiTheme="minorEastAsia" w:cstheme="minorEastAsia"/>
                <w:color w:val="auto"/>
                <w:szCs w:val="21"/>
                <w:highlight w:val="none"/>
              </w:rPr>
              <w:t xml:space="preserve">，对接适配省市平台建设标准，整体互联适配性强，贴合项目建设需求，</w:t>
            </w:r>
            <w:r>
              <w:rPr>
                <w:rFonts w:hint="eastAsia" w:asciiTheme="minorEastAsia" w:hAnsiTheme="minorEastAsia" w:cstheme="minorEastAsia"/>
                <w:color w:val="auto"/>
                <w:szCs w:val="21"/>
                <w:highlight w:val="none"/>
              </w:rPr>
              <w:t xml:space="preserve">经评委认定符合采购文件要求的，</w:t>
            </w:r>
            <w:r>
              <w:rPr>
                <w:rFonts w:asciiTheme="minorEastAsia" w:hAnsiTheme="minorEastAsia" w:cstheme="minorEastAsia"/>
                <w:color w:val="auto"/>
                <w:szCs w:val="21"/>
                <w:highlight w:val="none"/>
              </w:rPr>
              <w:t xml:space="preserve">加1分；</w:t>
            </w:r>
            <w:r/>
          </w:p>
          <w:p>
            <w:pPr>
              <w:pStyle w:val="617"/>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r>
            <w:r/>
          </w:p>
          <w:p>
            <w:pPr>
              <w:pStyle w:val="617"/>
              <w:rPr>
                <w:rFonts w:hint="eastAsia" w:asciiTheme="minorEastAsia" w:hAnsiTheme="minorEastAsia" w:eastAsiaTheme="minorEastAsia" w:cstheme="minorEastAsia"/>
                <w:b w:val="0"/>
                <w:bCs w:val="0"/>
                <w:color w:val="auto"/>
                <w:sz w:val="21"/>
                <w:szCs w:val="21"/>
                <w:highlight w:val="none"/>
              </w:rPr>
            </w:pPr>
            <w:r>
              <w:rPr>
                <w:rFonts w:asciiTheme="minorEastAsia" w:hAnsiTheme="minorEastAsia" w:cstheme="minorEastAsia"/>
                <w:color w:val="auto"/>
                <w:szCs w:val="21"/>
                <w:highlight w:val="none"/>
              </w:rPr>
              <w:t xml:space="preserve">方案细化市县数据对接方式、对接范围，应用具体复用方式及功能，可有效保障省市县数据、业务顺畅联动</w:t>
            </w:r>
            <w:r>
              <w:rPr>
                <w:rFonts w:hint="eastAsia" w:asciiTheme="minorEastAsia" w:hAnsiTheme="minorEastAsia" w:cstheme="minorEastAsia"/>
                <w:color w:val="auto"/>
                <w:szCs w:val="21"/>
                <w:highlight w:val="none"/>
              </w:rPr>
              <w:t xml:space="preserve">，经评委认定符合采购文件要求的，</w:t>
            </w:r>
            <w:r>
              <w:rPr>
                <w:rFonts w:asciiTheme="minorEastAsia" w:hAnsiTheme="minorEastAsia" w:cstheme="minorEastAsia"/>
                <w:color w:val="auto"/>
                <w:szCs w:val="21"/>
                <w:highlight w:val="none"/>
              </w:rPr>
              <w:t xml:space="preserve">加1分。</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6.0</w:t>
            </w:r>
            <w:r/>
          </w:p>
        </w:tc>
      </w:tr>
      <w:tr>
        <w:trPr>
          <w:jc w:val="center"/>
          <w:trHeight w:val="459"/>
        </w:trPr>
        <w:tc>
          <w:tcPr>
            <w:tcW w:w="622"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1.7</w:t>
            </w:r>
            <w:r/>
          </w:p>
        </w:tc>
        <w:tc>
          <w:tcPr>
            <w:tcW w:w="127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信息系统</w:t>
            </w:r>
            <w:r/>
          </w:p>
          <w:p>
            <w:pPr>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安全方案</w:t>
            </w:r>
            <w:r/>
          </w:p>
        </w:tc>
        <w:tc>
          <w:tcPr>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根据投标人提供的信息系统安全方案进行评分，包括：网络安全、数据安全等。</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方案完全包含上述要点得2分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pStyle w:val="617"/>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方案能够</w:t>
            </w:r>
            <w:r>
              <w:rPr>
                <w:rFonts w:hint="eastAsia" w:asciiTheme="minorEastAsia" w:hAnsiTheme="minorEastAsia" w:eastAsiaTheme="minorEastAsia" w:cstheme="minorEastAsia"/>
                <w:b w:val="0"/>
                <w:bCs w:val="0"/>
                <w:color w:val="auto"/>
                <w:sz w:val="21"/>
                <w:szCs w:val="21"/>
                <w:highlight w:val="none"/>
              </w:rPr>
              <w:t xml:space="preserve">对标等保</w:t>
            </w:r>
            <w:r>
              <w:rPr>
                <w:rFonts w:hint="eastAsia" w:asciiTheme="minorEastAsia" w:hAnsiTheme="minorEastAsia" w:eastAsiaTheme="minorEastAsia" w:cstheme="minorEastAsia"/>
                <w:b w:val="0"/>
                <w:bCs w:val="0"/>
                <w:color w:val="auto"/>
                <w:sz w:val="21"/>
                <w:szCs w:val="21"/>
                <w:highlight w:val="none"/>
                <w:lang w:val="en-US" w:eastAsia="zh-CN"/>
              </w:rPr>
              <w:t xml:space="preserve">要求</w:t>
            </w:r>
            <w:r>
              <w:rPr>
                <w:rFonts w:hint="eastAsia" w:asciiTheme="minorEastAsia" w:hAnsiTheme="minorEastAsia" w:eastAsiaTheme="minorEastAsia" w:cstheme="minorEastAsia"/>
                <w:b w:val="0"/>
                <w:bCs w:val="0"/>
                <w:color w:val="auto"/>
                <w:sz w:val="21"/>
                <w:szCs w:val="21"/>
                <w:highlight w:val="none"/>
              </w:rPr>
              <w:t xml:space="preserve">、数据安全相关法规，结合本项目管线敏感数据、省市县数据交互、政务云实际场景开展风险识别，安全策略适配业务实际</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经评委认定符合采购文件要求的</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加0.5分；</w:t>
            </w:r>
            <w:r/>
          </w:p>
          <w:p>
            <w:pPr>
              <w:pStyle w:val="617"/>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pStyle w:val="617"/>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cstheme="minorEastAsia"/>
                <w:color w:val="auto"/>
                <w:szCs w:val="21"/>
                <w:highlight w:val="none"/>
              </w:rPr>
              <w:t xml:space="preserve">方案能够明确实施步骤、安全管理制度、人员管理及应急处置流程，经评委认定符合采购文件要求的，加0.5分。</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3.0</w:t>
            </w:r>
            <w:r/>
          </w:p>
        </w:tc>
      </w:tr>
      <w:tr>
        <w:trPr>
          <w:jc w:val="center"/>
          <w:trHeight w:val="459"/>
        </w:trPr>
        <w:tc>
          <w:tcPr>
            <w:tcW w:w="622"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1.8</w:t>
            </w:r>
            <w:r/>
          </w:p>
        </w:tc>
        <w:tc>
          <w:tcPr>
            <w:tcW w:w="1271"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其他建设方案</w:t>
            </w:r>
            <w:r/>
          </w:p>
        </w:tc>
        <w:tc>
          <w:tcPr>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根据投标人提供的其他建设方案内容的全面性进行评分，包括：数据安全风险评估、软件第三方测评、信息系统安全等级测评。</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方案完全包含上述要点得</w:t>
            </w:r>
            <w:r>
              <w:rPr>
                <w:rFonts w:hint="eastAsia" w:asciiTheme="minorEastAsia" w:hAnsiTheme="minorEastAsia" w:cstheme="minorEastAsia"/>
                <w:b w:val="0"/>
                <w:bCs w:val="0"/>
                <w:color w:val="auto"/>
                <w:sz w:val="21"/>
                <w:szCs w:val="21"/>
                <w:highlight w:val="none"/>
                <w:lang w:val="en-US" w:eastAsia="zh-CN"/>
              </w:rPr>
              <w:t xml:space="preserve">0.5</w:t>
            </w:r>
            <w:r>
              <w:rPr>
                <w:rFonts w:hint="eastAsia" w:asciiTheme="minorEastAsia" w:hAnsiTheme="minorEastAsia" w:eastAsiaTheme="minorEastAsia" w:cstheme="minorEastAsia"/>
                <w:b w:val="0"/>
                <w:bCs w:val="0"/>
                <w:color w:val="auto"/>
                <w:sz w:val="21"/>
                <w:szCs w:val="21"/>
                <w:highlight w:val="none"/>
              </w:rPr>
              <w:t xml:space="preserve">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pStyle w:val="617"/>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方案</w:t>
            </w:r>
            <w:r>
              <w:rPr>
                <w:rFonts w:hint="eastAsia" w:asciiTheme="minorEastAsia" w:hAnsiTheme="minorEastAsia" w:eastAsiaTheme="minorEastAsia" w:cstheme="minorEastAsia"/>
                <w:b w:val="0"/>
                <w:bCs w:val="0"/>
                <w:color w:val="auto"/>
                <w:sz w:val="21"/>
                <w:szCs w:val="21"/>
                <w:highlight w:val="none"/>
              </w:rPr>
              <w:t xml:space="preserve">结合本项目生命线系统建设要求，明确各测评工作实施节点</w:t>
            </w:r>
            <w:r>
              <w:rPr>
                <w:rFonts w:hint="eastAsia" w:asciiTheme="minorEastAsia" w:hAnsiTheme="minorEastAsia" w:cstheme="minorEastAsia"/>
                <w:b w:val="0"/>
                <w:bCs w:val="0"/>
                <w:color w:val="auto"/>
                <w:sz w:val="21"/>
                <w:szCs w:val="21"/>
                <w:highlight w:val="none"/>
                <w:lang w:val="en-US" w:eastAsia="zh-CN"/>
              </w:rPr>
              <w:t xml:space="preserve">以</w:t>
            </w:r>
            <w:r>
              <w:rPr>
                <w:rFonts w:hint="eastAsia" w:asciiTheme="minorEastAsia" w:hAnsiTheme="minorEastAsia" w:eastAsiaTheme="minorEastAsia" w:cstheme="minorEastAsia"/>
                <w:b w:val="0"/>
                <w:bCs w:val="0"/>
                <w:color w:val="auto"/>
                <w:sz w:val="21"/>
                <w:szCs w:val="21"/>
                <w:highlight w:val="none"/>
              </w:rPr>
              <w:t xml:space="preserve">及成果交付要求，工作流程贴合本项目工期安排</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经评委认定符合采购文件要求的</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加</w:t>
            </w:r>
            <w:r>
              <w:rPr>
                <w:rFonts w:hint="eastAsia" w:asciiTheme="minorEastAsia" w:hAnsiTheme="minorEastAsia" w:eastAsiaTheme="minorEastAsia" w:cstheme="minorEastAsia"/>
                <w:b w:val="0"/>
                <w:bCs w:val="0"/>
                <w:color w:val="auto"/>
                <w:sz w:val="21"/>
                <w:szCs w:val="21"/>
                <w:highlight w:val="none"/>
              </w:rPr>
              <w:t xml:space="preserve"> 0.5 分</w:t>
            </w:r>
            <w:r>
              <w:rPr>
                <w:rFonts w:hint="eastAsia" w:asciiTheme="minorEastAsia" w:hAnsiTheme="minorEastAsia" w:cstheme="minorEastAsia"/>
                <w:b w:val="0"/>
                <w:bCs w:val="0"/>
                <w:color w:val="auto"/>
                <w:sz w:val="21"/>
                <w:szCs w:val="21"/>
                <w:highlight w:val="none"/>
                <w:lang w:eastAsia="zh-CN"/>
              </w:rPr>
              <w:t xml:space="preserve">。</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1.0</w:t>
            </w:r>
            <w:r/>
          </w:p>
        </w:tc>
      </w:tr>
      <w:tr>
        <w:trPr>
          <w:jc w:val="center"/>
        </w:trPr>
        <w:tc>
          <w:tcPr>
            <w:tcW w:w="622"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1.9</w:t>
            </w:r>
            <w:r/>
          </w:p>
        </w:tc>
        <w:tc>
          <w:tcPr>
            <w:shd w:val="clear" w:color="auto" w:fill="auto"/>
            <w:tcW w:w="127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项目实施方案</w:t>
            </w:r>
            <w:r/>
          </w:p>
        </w:tc>
        <w:tc>
          <w:tcPr>
            <w:shd w:val="clear" w:color="auto" w:fill="auto"/>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根据投标人提供的项目实施方案进行评分，包括：项目管理体系、进度管理等。</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方案完全包含上述要点得1分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pStyle w:val="617"/>
              <w:rPr>
                <w:rFonts w:hint="eastAsia" w:asciiTheme="minorEastAsia" w:hAnsiTheme="minorEastAsia" w:cstheme="minorEastAsia"/>
                <w:bCs/>
                <w:color w:val="auto"/>
                <w:szCs w:val="21"/>
                <w:highlight w:val="none"/>
              </w:rPr>
            </w:pPr>
            <w:r>
              <w:rPr>
                <w:rFonts w:asciiTheme="minorEastAsia" w:hAnsiTheme="minorEastAsia" w:cstheme="minorEastAsia"/>
                <w:bCs/>
                <w:color w:val="auto"/>
                <w:szCs w:val="21"/>
                <w:highlight w:val="none"/>
              </w:rPr>
              <w:t xml:space="preserve">方案制定完善的项目质量管控体系与人员配置管理方案，明确岗位权责、质量管控标准，管理方案规范完善、可落地实施</w:t>
            </w:r>
            <w:r>
              <w:rPr>
                <w:rFonts w:hint="eastAsia" w:asciiTheme="minorEastAsia" w:hAnsiTheme="minorEastAsia" w:cstheme="minorEastAsia"/>
                <w:bCs/>
                <w:color w:val="auto"/>
                <w:szCs w:val="21"/>
                <w:highlight w:val="none"/>
              </w:rPr>
              <w:t xml:space="preserve">，</w:t>
            </w:r>
            <w:r>
              <w:rPr>
                <w:rFonts w:hint="eastAsia" w:asciiTheme="minorEastAsia" w:hAnsiTheme="minorEastAsia" w:cstheme="minorEastAsia"/>
                <w:color w:val="auto"/>
                <w:szCs w:val="21"/>
                <w:highlight w:val="none"/>
              </w:rPr>
              <w:t xml:space="preserve">经评委认定符合采购文件要求的</w:t>
            </w:r>
            <w:r>
              <w:rPr>
                <w:rFonts w:asciiTheme="minorEastAsia" w:hAnsiTheme="minorEastAsia" w:cstheme="minorEastAsia"/>
                <w:bCs/>
                <w:color w:val="auto"/>
                <w:szCs w:val="21"/>
                <w:highlight w:val="none"/>
              </w:rPr>
              <w:t xml:space="preserve">，加0.5分。</w:t>
            </w:r>
            <w:r/>
          </w:p>
          <w:p>
            <w:pPr>
              <w:pStyle w:val="617"/>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pStyle w:val="617"/>
              <w:rPr>
                <w:rFonts w:hint="eastAsia" w:asciiTheme="minorEastAsia" w:hAnsiTheme="minorEastAsia" w:eastAsiaTheme="minorEastAsia" w:cstheme="minorEastAsia"/>
                <w:b w:val="0"/>
                <w:bCs w:val="0"/>
                <w:color w:val="auto"/>
                <w:sz w:val="21"/>
                <w:szCs w:val="21"/>
                <w:highlight w:val="none"/>
              </w:rPr>
            </w:pPr>
            <w:r>
              <w:rPr>
                <w:rStyle w:val="634"/>
                <w:rFonts w:hint="eastAsia" w:asciiTheme="minorEastAsia" w:hAnsiTheme="minorEastAsia" w:eastAsiaTheme="minorEastAsia" w:cstheme="minorEastAsia"/>
                <w:b w:val="0"/>
                <w:bCs w:val="0"/>
                <w:color w:val="auto"/>
                <w:sz w:val="21"/>
                <w:szCs w:val="21"/>
                <w:highlight w:val="none"/>
              </w:rPr>
              <w:t xml:space="preserve">方案进度计划匹配本项目的总体工期要求，划分清晰的阶段任务，明确各阶段关键节点、输出交付物，同时设置进度偏差分析与纠偏保障措施</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经评委认定符合采购文件要求的</w:t>
            </w:r>
            <w:r>
              <w:rPr>
                <w:rFonts w:hint="eastAsia" w:asciiTheme="minorEastAsia" w:hAnsiTheme="minorEastAsia" w:cstheme="minorEastAsia"/>
                <w:b w:val="0"/>
                <w:bCs w:val="0"/>
                <w:color w:val="auto"/>
                <w:sz w:val="21"/>
                <w:szCs w:val="21"/>
                <w:highlight w:val="none"/>
                <w:lang w:val="en-US" w:eastAsia="zh-CN" w:bidi="ar-SA"/>
              </w:rPr>
              <w:t xml:space="preserve">，</w:t>
            </w:r>
            <w:r>
              <w:rPr>
                <w:rStyle w:val="634"/>
                <w:rFonts w:hint="eastAsia" w:asciiTheme="minorEastAsia" w:hAnsiTheme="minorEastAsia" w:cstheme="minorEastAsia"/>
                <w:b w:val="0"/>
                <w:bCs w:val="0"/>
                <w:color w:val="auto"/>
                <w:sz w:val="21"/>
                <w:szCs w:val="21"/>
                <w:highlight w:val="none"/>
                <w:lang w:val="en-US" w:eastAsia="zh-CN"/>
              </w:rPr>
              <w:t xml:space="preserve">加</w:t>
            </w:r>
            <w:r>
              <w:rPr>
                <w:rStyle w:val="634"/>
                <w:rFonts w:hint="eastAsia" w:asciiTheme="minorEastAsia" w:hAnsiTheme="minorEastAsia" w:eastAsiaTheme="minorEastAsia" w:cstheme="minorEastAsia"/>
                <w:b w:val="0"/>
                <w:bCs w:val="0"/>
                <w:color w:val="auto"/>
                <w:sz w:val="21"/>
                <w:szCs w:val="21"/>
                <w:highlight w:val="none"/>
              </w:rPr>
              <w:t xml:space="preserve"> 0.5 分</w:t>
            </w:r>
            <w:r>
              <w:rPr>
                <w:rStyle w:val="634"/>
                <w:rFonts w:hint="eastAsia" w:asciiTheme="minorEastAsia" w:hAnsiTheme="minorEastAsia" w:cstheme="minorEastAsia"/>
                <w:b w:val="0"/>
                <w:bCs w:val="0"/>
                <w:color w:val="auto"/>
                <w:sz w:val="21"/>
                <w:szCs w:val="21"/>
                <w:highlight w:val="none"/>
                <w:lang w:eastAsia="zh-CN"/>
              </w:rPr>
              <w:t xml:space="preserve">。</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2.0</w:t>
            </w:r>
            <w:r/>
          </w:p>
        </w:tc>
      </w:tr>
      <w:tr>
        <w:trPr>
          <w:jc w:val="center"/>
        </w:trPr>
        <w:tc>
          <w:tcPr>
            <w:tcW w:w="622"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2.0</w:t>
            </w:r>
            <w:r/>
          </w:p>
        </w:tc>
        <w:tc>
          <w:tcPr>
            <w:shd w:val="clear" w:color="auto" w:fill="auto"/>
            <w:tcW w:w="127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运维服务方案</w:t>
            </w:r>
            <w:r/>
          </w:p>
        </w:tc>
        <w:tc>
          <w:tcPr>
            <w:shd w:val="clear" w:color="auto" w:fill="auto"/>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根据投标人提供的运维服务方案进行评分，包括：运维内容、应急预案等。</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方案完全包含上述要点得1分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pStyle w:val="617"/>
              <w:rPr>
                <w:rFonts w:hint="eastAsia" w:asciiTheme="minorEastAsia" w:hAnsiTheme="minorEastAsia" w:eastAsiaTheme="minorEastAsia" w:cstheme="minorEastAsia"/>
                <w:b w:val="0"/>
                <w:bCs w:val="0"/>
                <w:color w:val="auto"/>
                <w:sz w:val="21"/>
                <w:szCs w:val="21"/>
                <w:highlight w:val="none"/>
              </w:rPr>
            </w:pPr>
            <w:r>
              <w:rPr>
                <w:rStyle w:val="634"/>
                <w:rFonts w:hint="eastAsia" w:asciiTheme="minorEastAsia" w:hAnsiTheme="minorEastAsia" w:eastAsiaTheme="minorEastAsia" w:cstheme="minorEastAsia"/>
                <w:b w:val="0"/>
                <w:bCs w:val="0"/>
                <w:color w:val="auto"/>
                <w:sz w:val="21"/>
                <w:szCs w:val="21"/>
                <w:highlight w:val="none"/>
                <w:lang w:val="en-US" w:eastAsia="zh-CN"/>
              </w:rPr>
              <w:t xml:space="preserve">方案</w:t>
            </w:r>
            <w:r>
              <w:rPr>
                <w:rStyle w:val="634"/>
                <w:rFonts w:hint="eastAsia" w:asciiTheme="minorEastAsia" w:hAnsiTheme="minorEastAsia" w:eastAsiaTheme="minorEastAsia" w:cstheme="minorEastAsia"/>
                <w:b w:val="0"/>
                <w:bCs w:val="0"/>
                <w:color w:val="auto"/>
                <w:sz w:val="21"/>
                <w:szCs w:val="21"/>
                <w:highlight w:val="none"/>
              </w:rPr>
              <w:t xml:space="preserve">运维体系覆盖软硬件设备运维、数据运维、7×24 小时值守、问题闭环处置，适配本项目 3 年运维服务要求，运维组织与职责划分清晰</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经评委认定符合采购文件要求的</w:t>
            </w:r>
            <w:r>
              <w:rPr>
                <w:rFonts w:hint="eastAsia" w:asciiTheme="minorEastAsia" w:hAnsiTheme="minorEastAsia" w:cstheme="minorEastAsia"/>
                <w:b w:val="0"/>
                <w:bCs w:val="0"/>
                <w:color w:val="auto"/>
                <w:sz w:val="21"/>
                <w:szCs w:val="21"/>
                <w:highlight w:val="none"/>
                <w:lang w:val="en-US" w:eastAsia="zh-CN" w:bidi="ar-SA"/>
              </w:rPr>
              <w:t xml:space="preserve">，</w:t>
            </w:r>
            <w:r>
              <w:rPr>
                <w:rStyle w:val="634"/>
                <w:rFonts w:hint="eastAsia" w:asciiTheme="minorEastAsia" w:hAnsiTheme="minorEastAsia" w:eastAsiaTheme="minorEastAsia" w:cstheme="minorEastAsia"/>
                <w:b w:val="0"/>
                <w:bCs w:val="0"/>
                <w:color w:val="auto"/>
                <w:sz w:val="21"/>
                <w:szCs w:val="21"/>
                <w:highlight w:val="none"/>
                <w:lang w:val="en-US" w:eastAsia="zh-CN"/>
              </w:rPr>
              <w:t xml:space="preserve">加</w:t>
            </w:r>
            <w:r>
              <w:rPr>
                <w:rStyle w:val="634"/>
                <w:rFonts w:hint="eastAsia" w:asciiTheme="minorEastAsia" w:hAnsiTheme="minorEastAsia" w:eastAsiaTheme="minorEastAsia" w:cstheme="minorEastAsia"/>
                <w:b w:val="0"/>
                <w:bCs w:val="0"/>
                <w:color w:val="auto"/>
                <w:sz w:val="21"/>
                <w:szCs w:val="21"/>
                <w:highlight w:val="none"/>
              </w:rPr>
              <w:t xml:space="preserve"> 0.5 分；</w:t>
            </w:r>
            <w:r/>
          </w:p>
          <w:p>
            <w:pPr>
              <w:pStyle w:val="617"/>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pStyle w:val="617"/>
              <w:rPr>
                <w:rFonts w:hint="eastAsia" w:asciiTheme="minorEastAsia" w:hAnsiTheme="minorEastAsia" w:eastAsiaTheme="minorEastAsia" w:cstheme="minorEastAsia"/>
                <w:b w:val="0"/>
                <w:bCs w:val="0"/>
                <w:color w:val="auto"/>
                <w:sz w:val="21"/>
                <w:szCs w:val="21"/>
                <w:highlight w:val="none"/>
              </w:rPr>
            </w:pPr>
            <w:r>
              <w:rPr>
                <w:rStyle w:val="634"/>
                <w:rFonts w:hint="eastAsia" w:asciiTheme="minorEastAsia" w:hAnsiTheme="minorEastAsia" w:eastAsiaTheme="minorEastAsia" w:cstheme="minorEastAsia"/>
                <w:b w:val="0"/>
                <w:bCs w:val="0"/>
                <w:color w:val="auto"/>
                <w:sz w:val="21"/>
                <w:szCs w:val="21"/>
                <w:highlight w:val="none"/>
                <w:lang w:val="en-US" w:eastAsia="zh-CN"/>
              </w:rPr>
              <w:t xml:space="preserve">方案</w:t>
            </w:r>
            <w:r>
              <w:rPr>
                <w:rStyle w:val="634"/>
                <w:rFonts w:hint="eastAsia" w:asciiTheme="minorEastAsia" w:hAnsiTheme="minorEastAsia" w:eastAsiaTheme="minorEastAsia" w:cstheme="minorEastAsia"/>
                <w:b w:val="0"/>
                <w:bCs w:val="0"/>
                <w:color w:val="auto"/>
                <w:sz w:val="21"/>
                <w:szCs w:val="21"/>
                <w:highlight w:val="none"/>
              </w:rPr>
              <w:t xml:space="preserve">应急预案针对系统故障、设备异常、数据异常等本项目常见风险明确处置流程、响应时限、处置措施，可直接用于项目现场处置</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经评委认定符合采购文件要求的</w:t>
            </w:r>
            <w:r>
              <w:rPr>
                <w:rFonts w:hint="eastAsia" w:asciiTheme="minorEastAsia" w:hAnsiTheme="minorEastAsia" w:cstheme="minorEastAsia"/>
                <w:b w:val="0"/>
                <w:bCs w:val="0"/>
                <w:color w:val="auto"/>
                <w:sz w:val="21"/>
                <w:szCs w:val="21"/>
                <w:highlight w:val="none"/>
                <w:lang w:val="en-US" w:eastAsia="zh-CN" w:bidi="ar-SA"/>
              </w:rPr>
              <w:t xml:space="preserve">，</w:t>
            </w:r>
            <w:r>
              <w:rPr>
                <w:rStyle w:val="634"/>
                <w:rFonts w:hint="eastAsia" w:asciiTheme="minorEastAsia" w:hAnsiTheme="minorEastAsia" w:eastAsiaTheme="minorEastAsia" w:cstheme="minorEastAsia"/>
                <w:b w:val="0"/>
                <w:bCs w:val="0"/>
                <w:color w:val="auto"/>
                <w:sz w:val="21"/>
                <w:szCs w:val="21"/>
                <w:highlight w:val="none"/>
                <w:lang w:val="en-US" w:eastAsia="zh-CN"/>
              </w:rPr>
              <w:t xml:space="preserve">加</w:t>
            </w:r>
            <w:r>
              <w:rPr>
                <w:rStyle w:val="634"/>
                <w:rFonts w:hint="eastAsia" w:asciiTheme="minorEastAsia" w:hAnsiTheme="minorEastAsia" w:eastAsiaTheme="minorEastAsia" w:cstheme="minorEastAsia"/>
                <w:b w:val="0"/>
                <w:bCs w:val="0"/>
                <w:color w:val="auto"/>
                <w:sz w:val="21"/>
                <w:szCs w:val="21"/>
                <w:highlight w:val="none"/>
              </w:rPr>
              <w:t xml:space="preserve"> 0.5 分</w:t>
            </w:r>
            <w:r>
              <w:rPr>
                <w:rStyle w:val="634"/>
                <w:rFonts w:hint="eastAsia" w:asciiTheme="minorEastAsia" w:hAnsiTheme="minorEastAsia" w:cstheme="minorEastAsia"/>
                <w:b w:val="0"/>
                <w:bCs w:val="0"/>
                <w:color w:val="auto"/>
                <w:sz w:val="21"/>
                <w:szCs w:val="21"/>
                <w:highlight w:val="none"/>
                <w:lang w:eastAsia="zh-CN"/>
              </w:rPr>
              <w:t xml:space="preserve">。</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2.0</w:t>
            </w:r>
            <w:r/>
          </w:p>
        </w:tc>
      </w:tr>
      <w:tr>
        <w:trPr>
          <w:jc w:val="center"/>
        </w:trPr>
        <w:tc>
          <w:tcPr>
            <w:tcW w:w="622"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2.1</w:t>
            </w:r>
            <w:r/>
          </w:p>
        </w:tc>
        <w:tc>
          <w:tcPr>
            <w:shd w:val="clear" w:color="auto" w:fill="auto"/>
            <w:tcW w:w="127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培训方案</w:t>
            </w:r>
            <w:r/>
          </w:p>
        </w:tc>
        <w:tc>
          <w:tcPr>
            <w:shd w:val="clear" w:color="auto" w:fill="auto"/>
            <w:tcW w:w="6017"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根据投标人提供的培训方案进行评分，包括：培训安排、培训对象等。</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方案完全包含上述要点得1分</w:t>
            </w:r>
            <w:r>
              <w:rPr>
                <w:rFonts w:hint="eastAsia" w:asciiTheme="minorEastAsia" w:hAnsiTheme="minorEastAsia" w:cstheme="minorEastAsia"/>
                <w:b w:val="0"/>
                <w:bCs w:val="0"/>
                <w:color w:val="auto"/>
                <w:sz w:val="21"/>
                <w:szCs w:val="21"/>
                <w:highlight w:val="none"/>
                <w:lang w:val="en-US" w:eastAsia="zh-CN" w:bidi="ar-SA"/>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方案有缺项或</w:t>
            </w:r>
            <w:r>
              <w:rPr>
                <w:rFonts w:hint="eastAsia" w:asciiTheme="minorEastAsia" w:hAnsiTheme="minorEastAsia" w:cstheme="minorEastAsia"/>
                <w:b w:val="0"/>
                <w:bCs w:val="0"/>
                <w:color w:val="auto"/>
                <w:sz w:val="21"/>
                <w:szCs w:val="21"/>
                <w:highlight w:val="none"/>
                <w:lang w:val="en-US" w:eastAsia="zh-CN"/>
              </w:rPr>
              <w:t xml:space="preserve">未提供</w:t>
            </w:r>
            <w:r>
              <w:rPr>
                <w:rFonts w:hint="eastAsia" w:asciiTheme="minorEastAsia" w:hAnsiTheme="minorEastAsia" w:eastAsiaTheme="minorEastAsia" w:cstheme="minorEastAsia"/>
                <w:b w:val="0"/>
                <w:bCs w:val="0"/>
                <w:color w:val="auto"/>
                <w:sz w:val="21"/>
                <w:szCs w:val="21"/>
                <w:highlight w:val="none"/>
                <w:lang w:val="en-US" w:eastAsia="zh-CN"/>
              </w:rPr>
              <w:t xml:space="preserve">的不得分。</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r>
            <w:r/>
          </w:p>
          <w:p>
            <w:pPr>
              <w:pStyle w:val="617"/>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t xml:space="preserve">方案结合不同岗位需求，分类设计培训内容与培训组织安排，覆盖平台操作、设备管理、数据业务，经评委认定符合采购文件要求的，加0.5分；</w:t>
            </w:r>
            <w:r/>
          </w:p>
          <w:p>
            <w:pPr>
              <w:pStyle w:val="617"/>
              <w:rPr>
                <w:rFonts w:hint="eastAsia" w:asciiTheme="minorEastAsia" w:hAnsiTheme="minorEastAsia" w:cstheme="minorEastAsia"/>
                <w:color w:val="auto"/>
                <w:szCs w:val="21"/>
                <w:highlight w:val="none"/>
              </w:rPr>
            </w:pPr>
            <w:r>
              <w:rPr>
                <w:rFonts w:hint="eastAsia" w:asciiTheme="minorEastAsia" w:hAnsiTheme="minorEastAsia" w:cstheme="minorEastAsia"/>
                <w:color w:val="auto"/>
                <w:szCs w:val="21"/>
                <w:highlight w:val="none"/>
              </w:rPr>
            </w:r>
            <w:r/>
          </w:p>
          <w:p>
            <w:pPr>
              <w:pStyle w:val="617"/>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cstheme="minorEastAsia"/>
                <w:color w:val="auto"/>
                <w:szCs w:val="21"/>
                <w:highlight w:val="none"/>
              </w:rPr>
              <w:t xml:space="preserve">方案配套培训资料与考核机制，</w:t>
            </w:r>
            <w:r>
              <w:rPr>
                <w:rFonts w:asciiTheme="minorEastAsia" w:hAnsiTheme="minorEastAsia" w:cstheme="minorEastAsia"/>
                <w:color w:val="auto"/>
                <w:szCs w:val="21"/>
                <w:highlight w:val="none"/>
              </w:rPr>
              <w:t xml:space="preserve">培训流程完整</w:t>
            </w:r>
            <w:r>
              <w:rPr>
                <w:rFonts w:hint="eastAsia" w:asciiTheme="minorEastAsia" w:hAnsiTheme="minorEastAsia" w:cstheme="minorEastAsia"/>
                <w:color w:val="auto"/>
                <w:szCs w:val="21"/>
                <w:highlight w:val="none"/>
              </w:rPr>
              <w:t xml:space="preserve">，确保参训人员具备系统操作及基础故障处置能力，经评委认定符合采购文件要求的，加0.5分。</w:t>
            </w:r>
            <w:r/>
          </w:p>
        </w:tc>
        <w:tc>
          <w:tcPr>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2.0</w:t>
            </w:r>
            <w:r/>
          </w:p>
        </w:tc>
      </w:tr>
      <w:tr>
        <w:trPr>
          <w:jc w:val="center"/>
        </w:trPr>
        <w:tc>
          <w:tcPr>
            <w:shd w:val="clear" w:color="auto" w:fill="auto"/>
            <w:tcW w:w="622" w:type="dxa"/>
            <w:vAlign w:val="center"/>
            <w:textDirection w:val="lrTb"/>
            <w:noWrap w:val="false"/>
          </w:tcPr>
          <w:p>
            <w:pPr>
              <w:pStyle w:val="795"/>
              <w:jc w:val="center"/>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2.2</w:t>
            </w:r>
            <w:r/>
          </w:p>
        </w:tc>
        <w:tc>
          <w:tcPr>
            <w:shd w:val="clear" w:color="auto" w:fill="auto"/>
            <w:tcW w:w="1271" w:type="dxa"/>
            <w:vAlign w:val="center"/>
            <w:textDirection w:val="lrTb"/>
            <w:noWrap w:val="false"/>
          </w:tcPr>
          <w:p>
            <w:pPr>
              <w:jc w:val="center"/>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演示</w:t>
            </w:r>
            <w:r/>
          </w:p>
        </w:tc>
        <w:tc>
          <w:tcPr>
            <w:shd w:val="clear" w:color="auto" w:fill="auto"/>
            <w:tcW w:w="6017" w:type="dxa"/>
            <w:vAlign w:val="center"/>
            <w:textDirection w:val="lrTb"/>
            <w:noWrap w:val="false"/>
          </w:tcPr>
          <w:p>
            <w:pPr>
              <w:jc w:val="lef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演示要求：</w:t>
            </w:r>
            <w:r/>
          </w:p>
          <w:p>
            <w:pPr>
              <w:jc w:val="lef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投标人具有综合应用、燃气、供水、排水、第三方施工破坏、道路、桥梁、地下管线交互风险共8个子系统的履约能力，要求进行demo系统演示，每个专项子系统满足以下功能的得1.5分，不满足或缺项的得0分。本项最高得12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1.综合应用，至少需包括：监管一张图、行业综合监管功能模块。其中，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（1）监管一张图，至少需包括：综合总览子图、运行监测子图、风险隐患子图、巡检养护子图、基础设施子图。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（2）行业综合监管，至少需包括：项目信息管理、事件管理、资料中心。</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2.燃气专项，至少需包括：燃气一张图、燃气运行监测管理、燃气运行处置管理功能模块。其中，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（1）燃气一张图，至少需包括：总览子图、风险隐患子图、运行监测子图。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（2）燃气运行监测管理，至少需包括：监测设备管理、阈值管理。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（3）燃气运行处置管理，至少需包括：风险评估信息管理、隐患整改。</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3.供水专项，至少需包括：供水一张图、供水运行监测管理、供水运行处置管理功能模块。其中，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（1）供水一张图，至少需包括：总览子图、运行监测子图。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（2）供水运行监测管理，至少需包括：预警报警信息、预警报警处置信息。</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（3）供水运行处置管理，至少需包括：风险评估信息管理、事件管理。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4.排水专项，包括排水防涝和污水监管。</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（1）排水防涝，至少需包括：排水防涝一张图、排水防涝运行监测管理、排水防涝设施巡检养护管理功能模块。其中，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1）排水防涝一张图，至少需包括：总览子图、运行监测子图、巡检养护子图。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2）排水防涝运行监测管理，至少需包括：站点管理、实时预警。</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3）排水防涝设施巡检养护管理，至少需包括：养护经费管理。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（2）污水监管，至少需包括：污水一张图、污水运行监测管理、污水设施巡检养护管理等功能模块。其中，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1）污水一张图，至少需包括：总览子图、运行监测子图、提升改造子图。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2）污水运行监测管理，至少需包括：站点管理、实时预警。</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3）污水设施巡检养护管理，至少需包括：养护经费管理。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5.第三方施工破坏专项，至少需包括：第三方施工一张图、综合监管、智慧监测功能模块。其中，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（1）第三方施工一张图，至少需包括：第三方施工总览子图、第三方施工管线破坏子图。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（2）综合监管，至少需包括：道路挖掘审批、四方交底管理、管线破坏事件管理。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（3）智慧监测，至少需包括：施工现场监测管理、施工监测设备管理。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6.道路专项，至少需包括：道路塌陷管理一张图、塌陷隐患探测管理、塌陷隐患处置管理功能模块。其中，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（1）道路塌陷管理一张图，至少需包括：总体风险评估子图、道路塌陷隐患子图。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（2）塌陷隐患探测管理，至少需包括：探测记录管理。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（3）塌陷隐患处置管理，至少需包括：处置计划管理、处置信息管理、统计分析。</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7.桥梁专项，至少需包括：桥梁一张图、智慧监测、综合监管功能模块。其中，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（1）桥梁一张图，至少需包括：桥梁总览子图、风险隐患子图、桥梁运行监测子图。</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（2）智慧监测，至少需包括：监测报警管理、报警处置管理。</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（3）综合监管，至少需包括：检查检测、专项整治。</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8.地下管线交互风险专项，至少需包括：管线一张图、风险管控功能模块。其中，</w:t>
            </w:r>
            <w:r/>
          </w:p>
          <w:p>
            <w:pP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（1）管线一张图，至少需包括：基础信息一张图。</w:t>
            </w:r>
            <w:r/>
          </w:p>
          <w:p>
            <w:pPr>
              <w:jc w:val="left"/>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（2）风险管控，至少需包括：风险分析、风险清单、风险详情。</w:t>
            </w:r>
            <w:r/>
          </w:p>
        </w:tc>
        <w:tc>
          <w:tcPr>
            <w:shd w:val="clear" w:color="auto" w:fill="auto"/>
            <w:tcW w:w="706" w:type="dxa"/>
            <w:vAlign w:val="center"/>
            <w:textDirection w:val="lrTb"/>
            <w:noWrap w:val="false"/>
          </w:tcPr>
          <w:p>
            <w:pPr>
              <w:pStyle w:val="794"/>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12.0</w:t>
            </w:r>
            <w:r/>
          </w:p>
        </w:tc>
      </w:tr>
    </w:tbl>
    <w:p>
      <w:pPr>
        <w:rPr>
          <w:rFonts w:ascii="宋体" w:hAnsi="宋体" w:cs="宋体"/>
          <w:color w:val="auto"/>
          <w:szCs w:val="21"/>
          <w:highlight w:val="none"/>
        </w:rPr>
      </w:pPr>
      <w:r>
        <w:rPr>
          <w:rFonts w:ascii="宋体" w:hAnsi="宋体" w:cs="宋体"/>
          <w:color w:val="auto"/>
          <w:szCs w:val="21"/>
          <w:highlight w:val="none"/>
        </w:rPr>
        <w:t xml:space="preserve"> </w:t>
      </w:r>
      <w:bookmarkEnd w:id="77"/>
      <w:r/>
      <w:r/>
    </w:p>
    <w:p>
      <w:pPr>
        <w:pStyle w:val="624"/>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624"/>
        <w:rPr>
          <w:rFonts w:ascii="宋体" w:hAnsi="宋体" w:cs="宋体"/>
          <w:color w:val="auto"/>
          <w:szCs w:val="21"/>
          <w:highlight w:val="none"/>
        </w:rPr>
      </w:pPr>
      <w:r>
        <w:rPr>
          <w:rFonts w:ascii="宋体" w:hAnsi="宋体" w:cs="宋体"/>
          <w:color w:val="auto"/>
          <w:szCs w:val="21"/>
          <w:highlight w:val="none"/>
        </w:rPr>
      </w:r>
      <w:r/>
    </w:p>
    <w:p>
      <w:pPr>
        <w:rPr>
          <w:color w:val="auto"/>
        </w:rPr>
      </w:pPr>
      <w:r>
        <w:rPr>
          <w:color w:val="auto"/>
        </w:rPr>
      </w:r>
      <w:r/>
    </w:p>
    <w:p>
      <w:pPr>
        <w:ind w:left="-765"/>
        <w:widowControl/>
        <w:rPr>
          <w:rFonts w:ascii="宋体" w:cs="宋体"/>
          <w:b/>
          <w:color w:val="auto"/>
          <w:szCs w:val="21"/>
          <w:highlight w:val="none"/>
        </w:rPr>
      </w:pPr>
      <w:r>
        <w:rPr>
          <w:rFonts w:hint="eastAsia" w:ascii="宋体" w:hAnsi="宋体" w:cs="宋体"/>
          <w:b/>
          <w:color w:val="auto"/>
          <w:szCs w:val="21"/>
          <w:highlight w:val="none"/>
        </w:rPr>
        <w:t xml:space="preserve">（二）商务评估</w:t>
      </w:r>
      <w:bookmarkStart w:id="78" w:name="EB8bc87097367b4d119bf6570f05cbf4c9"/>
      <w:r/>
      <w:r/>
    </w:p>
    <w:tbl>
      <w:tblPr>
        <w:tblStyle w:val="61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702"/>
        <w:gridCol w:w="1139"/>
        <w:gridCol w:w="6061"/>
        <w:gridCol w:w="620"/>
      </w:tblGrid>
      <w:tr>
        <w:trPr>
          <w:jc w:val="center"/>
          <w:tblHeader/>
        </w:trPr>
        <w:tc>
          <w:tcPr>
            <w:tcW w:w="702" w:type="dxa"/>
            <w:vAlign w:val="center"/>
            <w:textDirection w:val="lrTb"/>
            <w:noWrap w:val="false"/>
          </w:tcPr>
          <w:p>
            <w:pPr>
              <w:pStyle w:val="795"/>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tcW w:w="1139" w:type="dxa"/>
            <w:vAlign w:val="center"/>
            <w:textDirection w:val="lrTb"/>
            <w:noWrap w:val="false"/>
          </w:tcPr>
          <w:p>
            <w:pPr>
              <w:pStyle w:val="795"/>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评审因素</w:t>
            </w:r>
            <w:r/>
          </w:p>
        </w:tc>
        <w:tc>
          <w:tcPr>
            <w:tcW w:w="6061" w:type="dxa"/>
            <w:vAlign w:val="center"/>
            <w:textDirection w:val="lrTb"/>
            <w:noWrap w:val="false"/>
          </w:tcPr>
          <w:p>
            <w:pPr>
              <w:pStyle w:val="795"/>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评审细则</w:t>
            </w:r>
            <w:r/>
          </w:p>
        </w:tc>
        <w:tc>
          <w:tcPr>
            <w:tcW w:w="620" w:type="dxa"/>
            <w:vAlign w:val="center"/>
            <w:textDirection w:val="lrTb"/>
            <w:noWrap w:val="false"/>
          </w:tcPr>
          <w:p>
            <w:pPr>
              <w:pStyle w:val="795"/>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分值</w:t>
            </w:r>
            <w:r/>
          </w:p>
        </w:tc>
      </w:tr>
      <w:tr>
        <w:trPr>
          <w:jc w:val="center"/>
          <w:trHeight w:val="2178"/>
        </w:trPr>
        <w:tc>
          <w:tcPr>
            <w:tcW w:w="702" w:type="dxa"/>
            <w:vAlign w:val="center"/>
            <w:vMerge w:val="restart"/>
            <w:textDirection w:val="lrTb"/>
            <w:noWrap w:val="false"/>
          </w:tcPr>
          <w:p>
            <w:pPr>
              <w:pStyle w:val="79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139" w:type="dxa"/>
            <w:vAlign w:val="center"/>
            <w:textDirection w:val="lrTb"/>
            <w:noWrap w:val="false"/>
          </w:tcPr>
          <w:p>
            <w:pPr>
              <w:rPr>
                <w:rFonts w:hint="eastAsia" w:asciiTheme="minorEastAsia" w:hAnsiTheme="minorEastAsia" w:eastAsiaTheme="minorEastAsia" w:cstheme="minorEastAsia"/>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体系认证</w:t>
            </w:r>
            <w:r>
              <w:rPr>
                <w:rFonts w:hint="eastAsia" w:asciiTheme="minorEastAsia" w:hAnsiTheme="minorEastAsia" w:eastAsiaTheme="minorEastAsia" w:cstheme="minorEastAsia"/>
                <w:color w:val="auto"/>
                <w:sz w:val="21"/>
                <w:szCs w:val="21"/>
                <w:lang w:val="en-US" w:eastAsia="zh-CN"/>
              </w:rPr>
              <w:t xml:space="preserve">评价</w:t>
            </w:r>
            <w:r/>
          </w:p>
        </w:tc>
        <w:tc>
          <w:tcPr>
            <w:tcW w:w="6061" w:type="dxa"/>
            <w:vAlign w:val="center"/>
            <w:textDirection w:val="lrTb"/>
            <w:noWrap w:val="false"/>
          </w:tcPr>
          <w:p>
            <w:pPr>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（1）投标人具有有效的信息安全管理体系认证，得1分；</w:t>
            </w:r>
            <w:r/>
          </w:p>
          <w:p>
            <w:pPr>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（2）投标人具有有效的信息技术服务管理体系认证，得1分；</w:t>
            </w:r>
            <w:r/>
          </w:p>
          <w:p>
            <w:pPr>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（3）投标人具有有效的质量管理体系认证，得1分；</w:t>
            </w:r>
            <w:r/>
          </w:p>
          <w:p>
            <w:pPr>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（4）投标人具有业务连续性管理体系认证，得1分；</w:t>
            </w:r>
            <w:r/>
          </w:p>
          <w:p>
            <w:pPr>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（5）投标人具有环境管理体系认证，得1分；</w:t>
            </w:r>
            <w:r/>
          </w:p>
          <w:p>
            <w:pPr>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本项最高得5分。</w:t>
            </w:r>
            <w:r/>
          </w:p>
          <w:p>
            <w:pPr>
              <w:rPr>
                <w:rFonts w:hint="eastAsia" w:asciiTheme="minorEastAsia" w:hAnsiTheme="minorEastAsia" w:eastAsiaTheme="minorEastAsia" w:cstheme="minorEastAsia"/>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highlight w:val="none"/>
              </w:rPr>
              <w:t xml:space="preserve">注：须提供有效期内证书复印件或扫描件</w:t>
            </w:r>
            <w:r>
              <w:rPr>
                <w:rFonts w:hint="eastAsia" w:asciiTheme="minorEastAsia" w:hAnsiTheme="minorEastAsia" w:cstheme="minorEastAsia"/>
                <w:b w:val="0"/>
                <w:bCs w:val="0"/>
                <w:color w:val="auto"/>
                <w:sz w:val="21"/>
                <w:highlight w:val="none"/>
                <w:lang w:eastAsia="zh-CN"/>
              </w:rPr>
              <w:t xml:space="preserve">。</w:t>
            </w:r>
            <w:r>
              <w:rPr>
                <w:rFonts w:hint="eastAsia" w:asciiTheme="minorEastAsia" w:hAnsiTheme="minorEastAsia" w:eastAsiaTheme="minorEastAsia" w:cstheme="minorEastAsia"/>
                <w:b w:val="0"/>
                <w:bCs w:val="0"/>
                <w:color w:val="auto"/>
                <w:sz w:val="21"/>
                <w:highlight w:val="none"/>
              </w:rPr>
              <w:t xml:space="preserve">以上证明材料应加盖投标人公章，未按要求提供不得分。</w:t>
            </w:r>
            <w:r/>
          </w:p>
        </w:tc>
        <w:tc>
          <w:tcPr>
            <w:tcW w:w="620" w:type="dxa"/>
            <w:vAlign w:val="center"/>
            <w:textDirection w:val="lrTb"/>
            <w:noWrap w:val="false"/>
          </w:tcPr>
          <w:p>
            <w:pPr>
              <w:pStyle w:val="795"/>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.0</w:t>
            </w:r>
            <w:r/>
          </w:p>
        </w:tc>
      </w:tr>
      <w:tr>
        <w:trPr>
          <w:jc w:val="center"/>
          <w:trHeight w:val="2552"/>
        </w:trPr>
        <w:tc>
          <w:tcPr>
            <w:tcW w:w="702" w:type="dxa"/>
            <w:vAlign w:val="center"/>
            <w:vMerge w:val="continue"/>
            <w:textDirection w:val="lrTb"/>
            <w:noWrap w:val="false"/>
          </w:tcPr>
          <w:p>
            <w:pPr>
              <w:pStyle w:val="79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tc>
        <w:tc>
          <w:tcPr>
            <w:tcW w:w="1139" w:type="dxa"/>
            <w:vAlign w:val="center"/>
            <w:textDirection w:val="lrTb"/>
            <w:noWrap w:val="false"/>
          </w:tcPr>
          <w:p>
            <w:pPr>
              <w:numPr>
                <w:ilvl w:val="0"/>
                <w:numId w:val="0"/>
              </w:numPr>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软件著作权</w:t>
            </w:r>
            <w:r>
              <w:rPr>
                <w:rFonts w:hint="eastAsia" w:asciiTheme="minorEastAsia" w:hAnsiTheme="minorEastAsia" w:eastAsiaTheme="minorEastAsia" w:cstheme="minorEastAsia"/>
                <w:color w:val="auto"/>
                <w:sz w:val="21"/>
                <w:szCs w:val="21"/>
                <w:lang w:val="en-US" w:eastAsia="zh-CN"/>
              </w:rPr>
              <w:t xml:space="preserve">评价</w:t>
            </w:r>
            <w:r/>
          </w:p>
        </w:tc>
        <w:tc>
          <w:tcPr>
            <w:tcW w:w="6061" w:type="dxa"/>
            <w:vAlign w:val="center"/>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投标人</w:t>
            </w:r>
            <w:r>
              <w:rPr>
                <w:rFonts w:hint="eastAsia" w:asciiTheme="minorEastAsia" w:hAnsiTheme="minorEastAsia" w:cstheme="minorEastAsia"/>
                <w:color w:val="auto"/>
                <w:sz w:val="21"/>
                <w:szCs w:val="21"/>
                <w:highlight w:val="none"/>
                <w:lang w:eastAsia="zh-CN"/>
              </w:rPr>
              <w:t xml:space="preserve">具有</w:t>
            </w:r>
            <w:r>
              <w:rPr>
                <w:rFonts w:hint="eastAsia" w:asciiTheme="minorEastAsia" w:hAnsiTheme="minorEastAsia" w:eastAsiaTheme="minorEastAsia" w:cstheme="minorEastAsia"/>
                <w:color w:val="auto"/>
                <w:sz w:val="21"/>
                <w:szCs w:val="21"/>
                <w:highlight w:val="none"/>
              </w:rPr>
              <w:t xml:space="preserve">有效的与本项目相关专项领域（燃气、供水、排水、桥梁、道路、地下管线交互、第三方施工破坏）的监管软件著作权的，有1个得0.5分。本项最高得2分。</w:t>
            </w:r>
            <w:r/>
          </w:p>
          <w:p>
            <w:p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注：1、提供相关证明材料复印件并加盖投标人公章，否则不得分。</w:t>
            </w:r>
            <w:r/>
          </w:p>
          <w:p>
            <w:pPr>
              <w:numPr>
                <w:ilvl w:val="0"/>
                <w:numId w:val="1"/>
              </w:num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相关软件</w:t>
            </w:r>
            <w:r>
              <w:rPr>
                <w:rFonts w:hint="eastAsia" w:asciiTheme="minorEastAsia" w:hAnsiTheme="minorEastAsia" w:eastAsiaTheme="minorEastAsia" w:cstheme="minorEastAsia"/>
                <w:color w:val="auto"/>
                <w:sz w:val="21"/>
                <w:szCs w:val="21"/>
                <w:highlight w:val="none"/>
              </w:rPr>
              <w:t xml:space="preserve">著作权须为投标人自有。如著作权名称与上述关键字段不完全一致的，经评标委员会认定为同一产品的予以得分。含相同关键字段的软件著作权不重复计数，必须提供有效的证明材料，否则不得分。</w:t>
            </w:r>
            <w:r/>
          </w:p>
        </w:tc>
        <w:tc>
          <w:tcPr>
            <w:tcW w:w="620" w:type="dxa"/>
            <w:vAlign w:val="center"/>
            <w:textDirection w:val="lrTb"/>
            <w:noWrap w:val="false"/>
          </w:tcPr>
          <w:p>
            <w:pPr>
              <w:pStyle w:val="795"/>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w:t>
            </w:r>
            <w:r/>
          </w:p>
        </w:tc>
      </w:tr>
      <w:tr>
        <w:trPr>
          <w:jc w:val="center"/>
          <w:trHeight w:val="1548"/>
        </w:trPr>
        <w:tc>
          <w:tcPr>
            <w:tcW w:w="702" w:type="dxa"/>
            <w:vAlign w:val="center"/>
            <w:vMerge w:val="continue"/>
            <w:textDirection w:val="lrTb"/>
            <w:noWrap w:val="false"/>
          </w:tcPr>
          <w:p>
            <w:pPr>
              <w:pStyle w:val="795"/>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139" w:type="dxa"/>
            <w:vAlign w:val="center"/>
            <w:textDirection w:val="lrTb"/>
            <w:noWrap w:val="false"/>
          </w:tcPr>
          <w:p>
            <w:pPr>
              <w:pStyle w:val="795"/>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 xml:space="preserve">荣誉</w:t>
            </w:r>
            <w:r>
              <w:rPr>
                <w:rFonts w:hint="eastAsia" w:asciiTheme="minorEastAsia" w:hAnsiTheme="minorEastAsia" w:eastAsiaTheme="minorEastAsia" w:cstheme="minorEastAsia"/>
                <w:color w:val="auto"/>
                <w:sz w:val="21"/>
                <w:szCs w:val="21"/>
                <w:lang w:val="en-US" w:eastAsia="zh-CN"/>
              </w:rPr>
              <w:t xml:space="preserve">奖项评价</w:t>
            </w:r>
            <w:r/>
          </w:p>
        </w:tc>
        <w:tc>
          <w:tcPr>
            <w:tcW w:w="6061"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投标人获得与本项目相关领域（燃气、供水、排水、桥梁、道路、地下管线交互、第三方施工破坏）且由县级及以上行政部门颁发的荣誉奖项的，提供一个得2分。本项最高得4分。</w:t>
            </w:r>
            <w:r/>
          </w:p>
          <w:p>
            <w:pPr>
              <w:pStyle w:val="795"/>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注：提供相关证明材料复印件并加盖投标人公章，否则不得分。</w:t>
            </w:r>
            <w:r/>
          </w:p>
        </w:tc>
        <w:tc>
          <w:tcPr>
            <w:tcW w:w="620" w:type="dxa"/>
            <w:vAlign w:val="center"/>
            <w:textDirection w:val="lrTb"/>
            <w:noWrap w:val="false"/>
          </w:tcPr>
          <w:p>
            <w:pPr>
              <w:pStyle w:val="795"/>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4.0</w:t>
            </w:r>
            <w:r/>
          </w:p>
        </w:tc>
      </w:tr>
      <w:tr>
        <w:trPr>
          <w:jc w:val="center"/>
          <w:trHeight w:val="1381"/>
        </w:trPr>
        <w:tc>
          <w:tcPr>
            <w:tcW w:w="702" w:type="dxa"/>
            <w:vAlign w:val="center"/>
            <w:textDirection w:val="lrTb"/>
            <w:noWrap w:val="false"/>
          </w:tcPr>
          <w:p>
            <w:pPr>
              <w:pStyle w:val="79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139" w:type="dxa"/>
            <w:vAlign w:val="center"/>
            <w:textDirection w:val="lrTb"/>
            <w:noWrap w:val="false"/>
          </w:tcPr>
          <w:p>
            <w:pPr>
              <w:pStyle w:val="794"/>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企业业绩</w:t>
            </w:r>
            <w:r/>
          </w:p>
        </w:tc>
        <w:tc>
          <w:tcPr>
            <w:tcW w:w="6061" w:type="dxa"/>
            <w:vAlign w:val="center"/>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根据投标人提供的2023年1月1日以来（以合同签订日期为准）承担过与本项目类似的业绩，有一个得1分。</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本项最高得4分。</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注：提供合同扫描件并加盖投标人公章</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合同需能够清晰反应建设内容，否则不得分。</w:t>
            </w:r>
            <w:r/>
          </w:p>
        </w:tc>
        <w:tc>
          <w:tcPr>
            <w:tcW w:w="620" w:type="dxa"/>
            <w:vAlign w:val="center"/>
            <w:textDirection w:val="lrTb"/>
            <w:noWrap w:val="false"/>
          </w:tcPr>
          <w:p>
            <w:pPr>
              <w:pStyle w:val="794"/>
              <w:jc w:val="righ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.0</w:t>
            </w:r>
            <w:r/>
          </w:p>
        </w:tc>
      </w:tr>
      <w:tr>
        <w:trPr>
          <w:jc w:val="center"/>
          <w:trHeight w:val="90"/>
        </w:trPr>
        <w:tc>
          <w:tcPr>
            <w:shd w:val="clear" w:color="auto" w:fill="auto"/>
            <w:tcW w:w="702" w:type="dxa"/>
            <w:vAlign w:val="center"/>
            <w:vMerge w:val="restart"/>
            <w:textDirection w:val="lrTb"/>
            <w:noWrap w:val="false"/>
          </w:tcPr>
          <w:p>
            <w:pPr>
              <w:pStyle w:val="79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shd w:val="clear" w:color="auto" w:fill="fefefe"/>
            <w:tcW w:w="1139" w:type="dxa"/>
            <w:vAlign w:val="center"/>
            <w:vMerge w:val="restart"/>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lang w:val="en-US" w:eastAsia="zh-CN"/>
              </w:rPr>
              <w:t xml:space="preserve">实施期</w:t>
            </w:r>
            <w:r>
              <w:rPr>
                <w:rFonts w:hint="eastAsia" w:asciiTheme="minorEastAsia" w:hAnsiTheme="minorEastAsia" w:eastAsiaTheme="minorEastAsia" w:cstheme="minorEastAsia"/>
                <w:color w:val="auto"/>
                <w:sz w:val="21"/>
                <w:szCs w:val="21"/>
                <w:highlight w:val="none"/>
              </w:rPr>
              <w:t xml:space="preserve">人员配备</w:t>
            </w:r>
            <w:r/>
          </w:p>
          <w:p>
            <w:pPr>
              <w:rPr>
                <w:rFonts w:hint="eastAsia" w:asciiTheme="minorEastAsia" w:hAnsiTheme="minorEastAsia" w:eastAsiaTheme="minorEastAsia" w:cs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注：项目负责人、技术负责人、信息安全负责人、项目组主要成员须为不同自然人，不得重复兼任。</w:t>
            </w:r>
            <w:r>
              <w:rPr>
                <w:rFonts w:hint="eastAsia" w:asciiTheme="minorEastAsia" w:hAnsiTheme="minorEastAsia" w:eastAsiaTheme="minorEastAsia" w:cstheme="minorEastAsia"/>
                <w:b w:val="0"/>
                <w:bCs w:val="0"/>
                <w:color w:val="auto"/>
                <w:sz w:val="21"/>
                <w:szCs w:val="21"/>
                <w:highlight w:val="none"/>
                <w:lang w:eastAsia="zh-CN"/>
              </w:rPr>
              <w:t xml:space="preserve">）</w:t>
            </w:r>
            <w:r/>
          </w:p>
        </w:tc>
        <w:tc>
          <w:tcPr>
            <w:shd w:val="clear" w:color="auto" w:fill="fefefe"/>
            <w:tcW w:w="6061" w:type="dxa"/>
            <w:vAlign w:val="center"/>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1.项目负责人1名：</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（1）具有数字经济类或工程类或信息化类高级及以上职称的，得2分；</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（2）具有由人社部门或工信部门颁发的网络工程师（或系统集成项目管理工程师）证书，得1分；</w:t>
            </w:r>
            <w:r/>
          </w:p>
          <w:p>
            <w:pPr>
              <w:rPr>
                <w:rFonts w:hint="eastAsia"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（3）2023年1月1日以来，负责过与本项目类似</w:t>
            </w: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eastAsiaTheme="minorEastAsia" w:cstheme="minorEastAsia"/>
                <w:color w:val="auto"/>
                <w:sz w:val="21"/>
                <w:szCs w:val="21"/>
                <w:highlight w:val="none"/>
              </w:rPr>
              <w:t xml:space="preserve">的，得1分</w:t>
            </w:r>
            <w:r>
              <w:rPr>
                <w:rFonts w:hint="eastAsia" w:asciiTheme="minorEastAsia" w:hAnsiTheme="minorEastAsia" w:eastAsiaTheme="minorEastAsia" w:cstheme="minorEastAsia"/>
                <w:color w:val="auto"/>
                <w:sz w:val="21"/>
                <w:szCs w:val="21"/>
                <w:highlight w:val="none"/>
                <w:lang w:eastAsia="zh-CN"/>
              </w:rPr>
              <w:t xml:space="preserve">。</w:t>
            </w:r>
            <w:r/>
          </w:p>
          <w:p>
            <w:pPr>
              <w:spacing w:after="0" w:line="240" w:lineRule="auto"/>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color w:val="auto"/>
                <w:lang w:eastAsia="zh-CN"/>
              </w:rPr>
              <w:t xml:space="preserve">注：须提供：</w:t>
            </w:r>
            <w:r>
              <w:rPr>
                <w:rFonts w:hint="eastAsia" w:asciiTheme="minorEastAsia" w:hAnsiTheme="minorEastAsia" w:eastAsiaTheme="minorEastAsia" w:cstheme="minorEastAsia"/>
                <w:color w:val="auto"/>
                <w:lang w:val="en-US" w:eastAsia="zh-CN"/>
              </w:rPr>
              <w:t xml:space="preserve">①</w:t>
            </w:r>
            <w:r>
              <w:rPr>
                <w:rFonts w:hint="eastAsia" w:asciiTheme="minorEastAsia" w:hAnsiTheme="minorEastAsia" w:eastAsiaTheme="minorEastAsia" w:cstheme="minorEastAsia"/>
                <w:color w:val="auto"/>
                <w:lang w:eastAsia="zh-CN"/>
              </w:rPr>
              <w:t xml:space="preserve">相应证书、</w:t>
            </w:r>
            <w:r>
              <w:rPr>
                <w:rFonts w:hint="eastAsia" w:asciiTheme="minorEastAsia" w:hAnsiTheme="minorEastAsia" w:eastAsiaTheme="minorEastAsia" w:cstheme="minorEastAsia"/>
                <w:color w:val="auto"/>
                <w:lang w:val="en-US" w:eastAsia="zh-CN"/>
              </w:rPr>
              <w:t xml:space="preserve">项目负责经验证明材料</w:t>
            </w:r>
            <w:r>
              <w:rPr>
                <w:rFonts w:hint="eastAsia" w:asciiTheme="minorEastAsia" w:hAnsiTheme="minorEastAsia" w:eastAsiaTheme="minorEastAsia" w:cstheme="minorEastAsia"/>
                <w:color w:val="auto"/>
                <w:lang w:eastAsia="zh-CN"/>
              </w:rPr>
              <w:t xml:space="preserve">及身份证复印件或扫描件；</w:t>
            </w:r>
            <w:r>
              <w:rPr>
                <w:rFonts w:hint="eastAsia" w:asciiTheme="minorEastAsia" w:hAnsiTheme="minorEastAsia" w:eastAsiaTheme="minorEastAsia" w:cstheme="minorEastAsia"/>
                <w:color w:val="auto"/>
                <w:lang w:val="en-US" w:eastAsia="zh-CN"/>
              </w:rPr>
              <w:t xml:space="preserve">②</w:t>
            </w:r>
            <w:r>
              <w:rPr>
                <w:rFonts w:hint="eastAsia" w:asciiTheme="minorEastAsia" w:hAnsiTheme="minorEastAsia" w:eastAsiaTheme="minorEastAsia" w:cstheme="minorEastAsia"/>
                <w:color w:val="auto"/>
                <w:lang w:eastAsia="zh-CN"/>
              </w:rPr>
              <w:t xml:space="preserve">近半年（至少 1 个月）</w:t>
            </w:r>
            <w:r>
              <w:rPr>
                <w:rFonts w:hint="eastAsia" w:asciiTheme="minorEastAsia" w:hAnsiTheme="minorEastAsia" w:eastAsiaTheme="minorEastAsia" w:cstheme="minorEastAsia"/>
                <w:color w:val="auto"/>
                <w:lang w:val="en-US" w:eastAsia="zh-CN"/>
              </w:rPr>
              <w:t xml:space="preserve">投标人</w:t>
            </w:r>
            <w:r>
              <w:rPr>
                <w:rFonts w:hint="eastAsia" w:asciiTheme="minorEastAsia" w:hAnsiTheme="minorEastAsia" w:eastAsiaTheme="minorEastAsia" w:cstheme="minorEastAsia"/>
                <w:color w:val="auto"/>
                <w:lang w:eastAsia="zh-CN"/>
              </w:rPr>
              <w:t xml:space="preserve">为其缴纳社会保险证明材料。</w:t>
            </w:r>
            <w:r>
              <w:rPr>
                <w:rFonts w:hint="eastAsia" w:asciiTheme="minorEastAsia" w:hAnsiTheme="minorEastAsia" w:eastAsiaTheme="minorEastAsia" w:cstheme="minorEastAsia"/>
                <w:color w:val="auto"/>
                <w:lang w:val="en-US" w:eastAsia="zh-CN"/>
              </w:rPr>
              <w:t xml:space="preserve">以上证明材料应</w:t>
            </w:r>
            <w:r>
              <w:rPr>
                <w:rFonts w:hint="eastAsia" w:asciiTheme="minorEastAsia" w:hAnsiTheme="minorEastAsia" w:eastAsiaTheme="minorEastAsia" w:cstheme="minorEastAsia"/>
                <w:color w:val="auto"/>
                <w:lang w:eastAsia="zh-CN"/>
              </w:rPr>
              <w:t xml:space="preserve">加盖投标人公章</w:t>
            </w:r>
            <w:r>
              <w:rPr>
                <w:rFonts w:hint="eastAsia" w:asciiTheme="minorEastAsia" w:hAnsiTheme="minorEastAsia" w:eastAsiaTheme="minorEastAsia" w:cstheme="minorEastAsia"/>
                <w:color w:val="auto"/>
                <w:lang w:eastAsia="zh-CN"/>
              </w:rPr>
              <w:t xml:space="preserve">，未</w:t>
            </w:r>
            <w:r>
              <w:rPr>
                <w:rFonts w:hint="eastAsia" w:asciiTheme="minorEastAsia" w:hAnsiTheme="minorEastAsia" w:eastAsiaTheme="minorEastAsia" w:cstheme="minorEastAsia"/>
                <w:color w:val="auto"/>
                <w:lang w:val="en-US" w:eastAsia="zh-CN"/>
              </w:rPr>
              <w:t xml:space="preserve">按要求</w:t>
            </w:r>
            <w:r>
              <w:rPr>
                <w:rFonts w:hint="eastAsia" w:asciiTheme="minorEastAsia" w:hAnsiTheme="minorEastAsia" w:eastAsiaTheme="minorEastAsia" w:cstheme="minorEastAsia"/>
                <w:color w:val="auto"/>
                <w:lang w:eastAsia="zh-CN"/>
              </w:rPr>
              <w:t xml:space="preserve">提供不得分。</w:t>
            </w:r>
            <w:r/>
          </w:p>
        </w:tc>
        <w:tc>
          <w:tcPr>
            <w:tcW w:w="620" w:type="dxa"/>
            <w:vAlign w:val="center"/>
            <w:textDirection w:val="lrTb"/>
            <w:noWrap w:val="false"/>
          </w:tcPr>
          <w:p>
            <w:pPr>
              <w:pStyle w:val="794"/>
              <w:jc w:val="righ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4.0</w:t>
            </w:r>
            <w:r/>
          </w:p>
        </w:tc>
      </w:tr>
      <w:tr>
        <w:trPr>
          <w:jc w:val="center"/>
          <w:trHeight w:val="2201"/>
        </w:trPr>
        <w:tc>
          <w:tcPr>
            <w:shd w:val="clear" w:color="auto" w:fill="auto"/>
            <w:tcW w:w="702" w:type="dxa"/>
            <w:vAlign w:val="center"/>
            <w:vMerge w:val="continue"/>
            <w:textDirection w:val="lrTb"/>
            <w:noWrap w:val="false"/>
          </w:tcPr>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tc>
        <w:tc>
          <w:tcPr>
            <w:shd w:val="clear" w:color="auto" w:fill="fefefe"/>
            <w:tcW w:w="1139" w:type="dxa"/>
            <w:vAlign w:val="center"/>
            <w:vMerge w:val="continue"/>
            <w:textDirection w:val="lrTb"/>
            <w:noWrap w:val="false"/>
          </w:tcPr>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tc>
        <w:tc>
          <w:tcPr>
            <w:shd w:val="clear" w:color="auto" w:fill="fefefe"/>
            <w:tcW w:w="6061" w:type="dxa"/>
            <w:vAlign w:val="center"/>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2.技术负责人1名：</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（1）具有数字经济类或工程类或信息化类中级工程师职称，得1分，具有数字经济类或工程类或信息化类高级工程师及以上职称，得2分，最高得2分；</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（2）持有系统架构设计师（高级）或信息系统项目管理师（高级）证书的，得1分，最高得1分；</w:t>
            </w:r>
            <w:r/>
          </w:p>
          <w:p>
            <w:pPr>
              <w:spacing w:after="0" w:line="24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lang w:eastAsia="zh-CN"/>
              </w:rPr>
              <w:t xml:space="preserve">注：须提供：</w:t>
            </w:r>
            <w:r>
              <w:rPr>
                <w:rFonts w:hint="eastAsia" w:asciiTheme="minorEastAsia" w:hAnsiTheme="minorEastAsia" w:eastAsiaTheme="minorEastAsia" w:cstheme="minorEastAsia"/>
                <w:color w:val="auto"/>
                <w:lang w:val="en-US" w:eastAsia="zh-CN"/>
              </w:rPr>
              <w:t xml:space="preserve">①</w:t>
            </w:r>
            <w:r>
              <w:rPr>
                <w:rFonts w:hint="eastAsia" w:asciiTheme="minorEastAsia" w:hAnsiTheme="minorEastAsia" w:eastAsiaTheme="minorEastAsia" w:cstheme="minorEastAsia"/>
                <w:color w:val="auto"/>
                <w:lang w:eastAsia="zh-CN"/>
              </w:rPr>
              <w:t xml:space="preserve">相应证书及身份证复印件或扫描件；</w:t>
            </w:r>
            <w:r>
              <w:rPr>
                <w:rFonts w:hint="eastAsia" w:asciiTheme="minorEastAsia" w:hAnsiTheme="minorEastAsia" w:eastAsiaTheme="minorEastAsia" w:cstheme="minorEastAsia"/>
                <w:color w:val="auto"/>
                <w:lang w:val="en-US" w:eastAsia="zh-CN"/>
              </w:rPr>
              <w:t xml:space="preserve">②</w:t>
            </w:r>
            <w:r>
              <w:rPr>
                <w:rFonts w:hint="eastAsia" w:asciiTheme="minorEastAsia" w:hAnsiTheme="minorEastAsia" w:eastAsiaTheme="minorEastAsia" w:cstheme="minorEastAsia"/>
                <w:color w:val="auto"/>
                <w:lang w:eastAsia="zh-CN"/>
              </w:rPr>
              <w:t xml:space="preserve">近半年（至少 1 个月）</w:t>
            </w:r>
            <w:r>
              <w:rPr>
                <w:rFonts w:hint="eastAsia" w:asciiTheme="minorEastAsia" w:hAnsiTheme="minorEastAsia" w:eastAsiaTheme="minorEastAsia" w:cstheme="minorEastAsia"/>
                <w:color w:val="auto"/>
                <w:lang w:val="en-US" w:eastAsia="zh-CN"/>
              </w:rPr>
              <w:t xml:space="preserve">投标人</w:t>
            </w:r>
            <w:r>
              <w:rPr>
                <w:rFonts w:hint="eastAsia" w:asciiTheme="minorEastAsia" w:hAnsiTheme="minorEastAsia" w:eastAsiaTheme="minorEastAsia" w:cstheme="minorEastAsia"/>
                <w:color w:val="auto"/>
                <w:lang w:eastAsia="zh-CN"/>
              </w:rPr>
              <w:t xml:space="preserve">为其缴纳社会保险证明材料。</w:t>
            </w:r>
            <w:r>
              <w:rPr>
                <w:rFonts w:hint="eastAsia" w:asciiTheme="minorEastAsia" w:hAnsiTheme="minorEastAsia" w:eastAsiaTheme="minorEastAsia" w:cstheme="minorEastAsia"/>
                <w:color w:val="auto"/>
                <w:lang w:val="en-US" w:eastAsia="zh-CN"/>
              </w:rPr>
              <w:t xml:space="preserve">以上证明材料应</w:t>
            </w:r>
            <w:r>
              <w:rPr>
                <w:rFonts w:hint="eastAsia" w:asciiTheme="minorEastAsia" w:hAnsiTheme="minorEastAsia" w:eastAsiaTheme="minorEastAsia" w:cstheme="minorEastAsia"/>
                <w:color w:val="auto"/>
              </w:rPr>
              <w:t xml:space="preserve">加盖投标人公章</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未</w:t>
            </w:r>
            <w:r>
              <w:rPr>
                <w:rFonts w:hint="eastAsia" w:asciiTheme="minorEastAsia" w:hAnsiTheme="minorEastAsia" w:eastAsiaTheme="minorEastAsia" w:cstheme="minorEastAsia"/>
                <w:color w:val="auto"/>
                <w:lang w:val="en-US" w:eastAsia="zh-CN"/>
              </w:rPr>
              <w:t xml:space="preserve">按要求</w:t>
            </w:r>
            <w:r>
              <w:rPr>
                <w:rFonts w:hint="eastAsia" w:asciiTheme="minorEastAsia" w:hAnsiTheme="minorEastAsia" w:eastAsiaTheme="minorEastAsia" w:cstheme="minorEastAsia"/>
                <w:color w:val="auto"/>
              </w:rPr>
              <w:t xml:space="preserve">提供不得分。</w:t>
            </w:r>
            <w:r/>
          </w:p>
        </w:tc>
        <w:tc>
          <w:tcPr>
            <w:tcW w:w="620"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3.0</w:t>
            </w:r>
            <w:r/>
          </w:p>
        </w:tc>
      </w:tr>
      <w:tr>
        <w:trPr>
          <w:jc w:val="center"/>
          <w:trHeight w:val="90"/>
        </w:trPr>
        <w:tc>
          <w:tcPr>
            <w:shd w:val="clear" w:color="auto" w:fill="auto"/>
            <w:tcW w:w="702" w:type="dxa"/>
            <w:vAlign w:val="center"/>
            <w:vMerge w:val="continue"/>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tc>
        <w:tc>
          <w:tcPr>
            <w:shd w:val="clear" w:color="auto" w:fill="fefefe"/>
            <w:tcW w:w="1139" w:type="dxa"/>
            <w:vAlign w:val="center"/>
            <w:vMerge w:val="continue"/>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tc>
        <w:tc>
          <w:tcPr>
            <w:shd w:val="clear" w:color="auto" w:fill="fefefe"/>
            <w:tcW w:w="6061" w:type="dxa"/>
            <w:vAlign w:val="center"/>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3.信息安全负责人1名：</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（1）具有数字经济类或工程类或信息化类中级工程师职称，得0.5分，具有数字经济类或工程类或信息化类高级工程师及以上职称，得1分，最高得1分；</w:t>
            </w:r>
            <w:r/>
          </w:p>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（2）持有注册信息安全工程师(CISP)证书或信息安全保障人员认证证书，得1分，最高得1分；</w:t>
            </w:r>
            <w:r/>
          </w:p>
          <w:p>
            <w:pPr>
              <w:spacing w:after="0" w:line="24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lang w:eastAsia="zh-CN"/>
              </w:rPr>
              <w:t xml:space="preserve">注：须提供：</w:t>
            </w:r>
            <w:r>
              <w:rPr>
                <w:rFonts w:hint="eastAsia" w:asciiTheme="minorEastAsia" w:hAnsiTheme="minorEastAsia" w:eastAsiaTheme="minorEastAsia" w:cstheme="minorEastAsia"/>
                <w:color w:val="auto"/>
                <w:lang w:val="en-US" w:eastAsia="zh-CN"/>
              </w:rPr>
              <w:t xml:space="preserve">①</w:t>
            </w:r>
            <w:r>
              <w:rPr>
                <w:rFonts w:hint="eastAsia" w:asciiTheme="minorEastAsia" w:hAnsiTheme="minorEastAsia" w:eastAsiaTheme="minorEastAsia" w:cstheme="minorEastAsia"/>
                <w:color w:val="auto"/>
                <w:lang w:eastAsia="zh-CN"/>
              </w:rPr>
              <w:t xml:space="preserve">相应证书及身份证复印件或扫描件；</w:t>
            </w:r>
            <w:r>
              <w:rPr>
                <w:rFonts w:hint="eastAsia" w:asciiTheme="minorEastAsia" w:hAnsiTheme="minorEastAsia" w:eastAsiaTheme="minorEastAsia" w:cstheme="minorEastAsia"/>
                <w:color w:val="auto"/>
                <w:lang w:val="en-US" w:eastAsia="zh-CN"/>
              </w:rPr>
              <w:t xml:space="preserve">②</w:t>
            </w:r>
            <w:r>
              <w:rPr>
                <w:rFonts w:hint="eastAsia" w:asciiTheme="minorEastAsia" w:hAnsiTheme="minorEastAsia" w:eastAsiaTheme="minorEastAsia" w:cstheme="minorEastAsia"/>
                <w:color w:val="auto"/>
                <w:lang w:eastAsia="zh-CN"/>
              </w:rPr>
              <w:t xml:space="preserve">近半年（至少 1 个月）</w:t>
            </w:r>
            <w:r>
              <w:rPr>
                <w:rFonts w:hint="eastAsia" w:asciiTheme="minorEastAsia" w:hAnsiTheme="minorEastAsia" w:eastAsiaTheme="minorEastAsia" w:cstheme="minorEastAsia"/>
                <w:color w:val="auto"/>
                <w:lang w:val="en-US" w:eastAsia="zh-CN"/>
              </w:rPr>
              <w:t xml:space="preserve">投标人</w:t>
            </w:r>
            <w:r>
              <w:rPr>
                <w:rFonts w:hint="eastAsia" w:asciiTheme="minorEastAsia" w:hAnsiTheme="minorEastAsia" w:eastAsiaTheme="minorEastAsia" w:cstheme="minorEastAsia"/>
                <w:color w:val="auto"/>
                <w:lang w:eastAsia="zh-CN"/>
              </w:rPr>
              <w:t xml:space="preserve">为其缴纳社会保险证明材料。</w:t>
            </w:r>
            <w:r>
              <w:rPr>
                <w:rFonts w:hint="eastAsia" w:asciiTheme="minorEastAsia" w:hAnsiTheme="minorEastAsia" w:eastAsiaTheme="minorEastAsia" w:cstheme="minorEastAsia"/>
                <w:color w:val="auto"/>
                <w:lang w:val="en-US" w:eastAsia="zh-CN"/>
              </w:rPr>
              <w:t xml:space="preserve">以上证明材料应</w:t>
            </w:r>
            <w:r>
              <w:rPr>
                <w:rFonts w:hint="eastAsia" w:asciiTheme="minorEastAsia" w:hAnsiTheme="minorEastAsia" w:eastAsiaTheme="minorEastAsia" w:cstheme="minorEastAsia"/>
                <w:color w:val="auto"/>
              </w:rPr>
              <w:t xml:space="preserve">加盖投标人公章</w:t>
            </w:r>
            <w:r>
              <w:rPr>
                <w:rFonts w:hint="eastAsia" w:asciiTheme="minorEastAsia" w:hAnsiTheme="minorEastAsia" w:eastAsiaTheme="minorEastAsia" w:cstheme="minorEastAsia"/>
                <w:color w:val="auto"/>
                <w:lang w:eastAsia="zh-CN"/>
              </w:rPr>
              <w:t xml:space="preserve">，</w:t>
            </w:r>
            <w:r>
              <w:rPr>
                <w:rFonts w:hint="eastAsia" w:asciiTheme="minorEastAsia" w:hAnsiTheme="minorEastAsia" w:eastAsiaTheme="minorEastAsia" w:cstheme="minorEastAsia"/>
                <w:color w:val="auto"/>
              </w:rPr>
              <w:t xml:space="preserve">未</w:t>
            </w:r>
            <w:r>
              <w:rPr>
                <w:rFonts w:hint="eastAsia" w:asciiTheme="minorEastAsia" w:hAnsiTheme="minorEastAsia" w:eastAsiaTheme="minorEastAsia" w:cstheme="minorEastAsia"/>
                <w:color w:val="auto"/>
                <w:lang w:val="en-US" w:eastAsia="zh-CN"/>
              </w:rPr>
              <w:t xml:space="preserve">按要求</w:t>
            </w:r>
            <w:r>
              <w:rPr>
                <w:rFonts w:hint="eastAsia" w:asciiTheme="minorEastAsia" w:hAnsiTheme="minorEastAsia" w:eastAsiaTheme="minorEastAsia" w:cstheme="minorEastAsia"/>
                <w:color w:val="auto"/>
              </w:rPr>
              <w:t xml:space="preserve">提供不得分。</w:t>
            </w:r>
            <w:r/>
          </w:p>
        </w:tc>
        <w:tc>
          <w:tcPr>
            <w:tcW w:w="620"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2.0</w:t>
            </w:r>
            <w:r/>
          </w:p>
        </w:tc>
      </w:tr>
      <w:tr>
        <w:trPr>
          <w:jc w:val="center"/>
          <w:trHeight w:val="345"/>
        </w:trPr>
        <w:tc>
          <w:tcPr>
            <w:shd w:val="clear" w:color="auto" w:fill="auto"/>
            <w:tcW w:w="702" w:type="dxa"/>
            <w:vAlign w:val="center"/>
            <w:vMerge w:val="continue"/>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tc>
        <w:tc>
          <w:tcPr>
            <w:shd w:val="clear" w:color="auto" w:fill="fefefe"/>
            <w:tcW w:w="1139" w:type="dxa"/>
            <w:vAlign w:val="center"/>
            <w:vMerge w:val="continue"/>
            <w:textDirection w:val="lrTb"/>
            <w:noWrap w:val="false"/>
          </w:tcPr>
          <w:p>
            <w:pPr>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r>
            <w:r/>
          </w:p>
        </w:tc>
        <w:tc>
          <w:tcPr>
            <w:shd w:val="clear" w:color="auto" w:fill="fefefe"/>
            <w:tcW w:w="6061" w:type="dxa"/>
            <w:vAlign w:val="center"/>
            <w:textDirection w:val="lrTb"/>
            <w:noWrap w:val="false"/>
          </w:tcPr>
          <w:p>
            <w:p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4.项目组主要成员：</w:t>
            </w:r>
            <w:r/>
          </w:p>
          <w:p>
            <w:p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①燃气专项负责人1名：具有注册公用设备工程师(暖通或动力)证书得0.5分；具有高级工程师及以上职称得0.5分；本项最高得1分；</w:t>
            </w:r>
            <w:r/>
          </w:p>
          <w:p>
            <w:p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②供水、排水专项负责人1名：具有注册公用设备工程师(给水排水)证书得0.5分；具有高级工程师及以上职称得0.5分；本项最高得1分；</w:t>
            </w:r>
            <w:r/>
          </w:p>
          <w:p>
            <w:p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③桥梁专项负责人1名：具有一级注册结构工程师证书得0.5分；具有高级工程师及以上职称得0.5分；本项最高得1分；</w:t>
            </w:r>
            <w:r/>
          </w:p>
          <w:p>
            <w:p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④道路专项负责人1名：具有注册土木工程师（道路工程）证书得0.5分；具有高级工程师及以上职称得0.5分；本项最高得1分；</w:t>
            </w:r>
            <w:r/>
          </w:p>
          <w:p>
            <w:pPr>
              <w:rPr>
                <w:rFonts w:hint="eastAsia" w:asciiTheme="minorEastAsia" w:hAnsiTheme="minorEastAsia" w:eastAsiaTheme="minorEastAsia" w:cstheme="minor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1"/>
                <w:szCs w:val="21"/>
                <w:highlight w:val="none"/>
              </w:rPr>
              <w:t xml:space="preserve">⑤管线专项负责人1名：具有注册测绘师证书得0.5分；具有高级工程师及以上职称得0.5分；本项最高得1分。</w:t>
            </w:r>
            <w:r/>
          </w:p>
          <w:p>
            <w:pPr>
              <w:spacing w:after="0" w:line="24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lang w:eastAsia="zh-CN"/>
              </w:rPr>
              <w:t xml:space="preserve">注：须提供：</w:t>
            </w:r>
            <w:r>
              <w:rPr>
                <w:rFonts w:hint="eastAsia" w:asciiTheme="minorEastAsia" w:hAnsiTheme="minorEastAsia" w:eastAsiaTheme="minorEastAsia" w:cstheme="minorEastAsia"/>
                <w:b w:val="0"/>
                <w:bCs w:val="0"/>
                <w:color w:val="auto"/>
                <w:lang w:val="en-US" w:eastAsia="zh-CN"/>
              </w:rPr>
              <w:t xml:space="preserve">①</w:t>
            </w:r>
            <w:r>
              <w:rPr>
                <w:rFonts w:hint="eastAsia" w:asciiTheme="minorEastAsia" w:hAnsiTheme="minorEastAsia" w:eastAsiaTheme="minorEastAsia" w:cstheme="minorEastAsia"/>
                <w:b w:val="0"/>
                <w:bCs w:val="0"/>
                <w:color w:val="auto"/>
                <w:lang w:eastAsia="zh-CN"/>
              </w:rPr>
              <w:t xml:space="preserve">相应证书及身份证复印件或扫描件；</w:t>
            </w:r>
            <w:r>
              <w:rPr>
                <w:rFonts w:hint="eastAsia" w:asciiTheme="minorEastAsia" w:hAnsiTheme="minorEastAsia" w:eastAsiaTheme="minorEastAsia" w:cstheme="minorEastAsia"/>
                <w:b w:val="0"/>
                <w:bCs w:val="0"/>
                <w:color w:val="auto"/>
                <w:lang w:val="en-US" w:eastAsia="zh-CN"/>
              </w:rPr>
              <w:t xml:space="preserve">②</w:t>
            </w:r>
            <w:r>
              <w:rPr>
                <w:rFonts w:hint="eastAsia" w:asciiTheme="minorEastAsia" w:hAnsiTheme="minorEastAsia" w:eastAsiaTheme="minorEastAsia" w:cstheme="minorEastAsia"/>
                <w:b w:val="0"/>
                <w:bCs w:val="0"/>
                <w:color w:val="auto"/>
                <w:lang w:eastAsia="zh-CN"/>
              </w:rPr>
              <w:t xml:space="preserve">近半年（至少 1 个月）</w:t>
            </w:r>
            <w:r>
              <w:rPr>
                <w:rFonts w:hint="eastAsia" w:asciiTheme="minorEastAsia" w:hAnsiTheme="minorEastAsia" w:eastAsiaTheme="minorEastAsia" w:cstheme="minorEastAsia"/>
                <w:b w:val="0"/>
                <w:bCs w:val="0"/>
                <w:color w:val="auto"/>
                <w:lang w:val="en-US" w:eastAsia="zh-CN"/>
              </w:rPr>
              <w:t xml:space="preserve">投标人</w:t>
            </w:r>
            <w:r>
              <w:rPr>
                <w:rFonts w:hint="eastAsia" w:asciiTheme="minorEastAsia" w:hAnsiTheme="minorEastAsia" w:eastAsiaTheme="minorEastAsia" w:cstheme="minorEastAsia"/>
                <w:b w:val="0"/>
                <w:bCs w:val="0"/>
                <w:color w:val="auto"/>
                <w:lang w:eastAsia="zh-CN"/>
              </w:rPr>
              <w:t xml:space="preserve">为其缴纳社会保险证明材料。</w:t>
            </w:r>
            <w:r>
              <w:rPr>
                <w:rFonts w:hint="eastAsia" w:asciiTheme="minorEastAsia" w:hAnsiTheme="minorEastAsia" w:eastAsiaTheme="minorEastAsia" w:cstheme="minorEastAsia"/>
                <w:b w:val="0"/>
                <w:bCs w:val="0"/>
                <w:color w:val="auto"/>
                <w:lang w:val="en-US" w:eastAsia="zh-CN"/>
              </w:rPr>
              <w:t xml:space="preserve">以上证明材料应</w:t>
            </w:r>
            <w:r>
              <w:rPr>
                <w:rFonts w:hint="eastAsia" w:asciiTheme="minorEastAsia" w:hAnsiTheme="minorEastAsia" w:eastAsiaTheme="minorEastAsia" w:cstheme="minorEastAsia"/>
                <w:b w:val="0"/>
                <w:bCs w:val="0"/>
                <w:color w:val="auto"/>
              </w:rPr>
              <w:t xml:space="preserve">加盖投标人公章</w:t>
            </w:r>
            <w:r>
              <w:rPr>
                <w:rFonts w:hint="eastAsia" w:asciiTheme="minorEastAsia" w:hAnsiTheme="minorEastAsia" w:eastAsiaTheme="minorEastAsia" w:cstheme="minorEastAsia"/>
                <w:b w:val="0"/>
                <w:bCs w:val="0"/>
                <w:color w:val="auto"/>
                <w:lang w:eastAsia="zh-CN"/>
              </w:rPr>
              <w:t xml:space="preserve">，</w:t>
            </w:r>
            <w:r>
              <w:rPr>
                <w:rFonts w:hint="eastAsia" w:asciiTheme="minorEastAsia" w:hAnsiTheme="minorEastAsia" w:eastAsiaTheme="minorEastAsia" w:cstheme="minorEastAsia"/>
                <w:b w:val="0"/>
                <w:bCs w:val="0"/>
                <w:color w:val="auto"/>
              </w:rPr>
              <w:t xml:space="preserve">未</w:t>
            </w:r>
            <w:r>
              <w:rPr>
                <w:rFonts w:hint="eastAsia" w:asciiTheme="minorEastAsia" w:hAnsiTheme="minorEastAsia" w:eastAsiaTheme="minorEastAsia" w:cstheme="minorEastAsia"/>
                <w:b w:val="0"/>
                <w:bCs w:val="0"/>
                <w:color w:val="auto"/>
                <w:lang w:val="en-US" w:eastAsia="zh-CN"/>
              </w:rPr>
              <w:t xml:space="preserve">按要求</w:t>
            </w:r>
            <w:r>
              <w:rPr>
                <w:rFonts w:hint="eastAsia" w:asciiTheme="minorEastAsia" w:hAnsiTheme="minorEastAsia" w:eastAsiaTheme="minorEastAsia" w:cstheme="minorEastAsia"/>
                <w:b w:val="0"/>
                <w:bCs w:val="0"/>
                <w:color w:val="auto"/>
              </w:rPr>
              <w:t xml:space="preserve">提供不得分。</w:t>
            </w:r>
            <w:r/>
          </w:p>
        </w:tc>
        <w:tc>
          <w:tcPr>
            <w:tcW w:w="620"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5.0</w:t>
            </w:r>
            <w:r/>
          </w:p>
        </w:tc>
      </w:tr>
      <w:tr>
        <w:trPr>
          <w:jc w:val="center"/>
          <w:trHeight w:val="2201"/>
        </w:trPr>
        <w:tc>
          <w:tcPr>
            <w:shd w:val="clear" w:color="auto" w:fill="auto"/>
            <w:tcW w:w="702" w:type="dxa"/>
            <w:vAlign w:val="center"/>
            <w:textDirection w:val="lrTb"/>
            <w:noWrap w:val="false"/>
          </w:tcPr>
          <w:p>
            <w:pPr>
              <w:rPr>
                <w:rFonts w:hint="default"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lang w:val="en-US" w:eastAsia="zh-CN"/>
              </w:rPr>
              <w:t xml:space="preserve">1.4</w:t>
            </w:r>
            <w:r/>
          </w:p>
        </w:tc>
        <w:tc>
          <w:tcPr>
            <w:shd w:val="clear" w:color="auto" w:fill="fefefe"/>
            <w:tcW w:w="113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val="0"/>
                <w:bCs w:val="0"/>
                <w:color w:val="auto"/>
                <w:sz w:val="21"/>
                <w:szCs w:val="21"/>
                <w:highlight w:val="none"/>
                <w:lang w:val="en-US" w:eastAsia="zh-CN"/>
              </w:rPr>
              <w:t xml:space="preserve">运维期</w:t>
            </w:r>
            <w:r>
              <w:rPr>
                <w:rFonts w:hint="eastAsia" w:asciiTheme="minorEastAsia" w:hAnsiTheme="minorEastAsia" w:eastAsiaTheme="minorEastAsia" w:cstheme="minorEastAsia"/>
                <w:b w:val="0"/>
                <w:bCs w:val="0"/>
                <w:color w:val="auto"/>
                <w:sz w:val="21"/>
                <w:szCs w:val="21"/>
                <w:highlight w:val="none"/>
              </w:rPr>
              <w:t xml:space="preserve">驻场人员</w:t>
            </w:r>
            <w:r>
              <w:rPr>
                <w:rFonts w:hint="eastAsia" w:asciiTheme="minorEastAsia" w:hAnsiTheme="minorEastAsia" w:cstheme="minorEastAsia"/>
                <w:b w:val="0"/>
                <w:bCs w:val="0"/>
                <w:color w:val="auto"/>
                <w:sz w:val="21"/>
                <w:szCs w:val="21"/>
                <w:highlight w:val="none"/>
                <w:lang w:val="en-US" w:eastAsia="zh-CN"/>
              </w:rPr>
              <w:t xml:space="preserve">配备</w:t>
            </w:r>
            <w:r/>
          </w:p>
        </w:tc>
        <w:tc>
          <w:tcPr>
            <w:shd w:val="clear" w:color="auto" w:fill="fefefe"/>
            <w:tcW w:w="6061" w:type="dxa"/>
            <w:vAlign w:val="center"/>
            <w:textDirection w:val="lrTb"/>
            <w:noWrap w:val="false"/>
          </w:tcPr>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驻场人员为自有人员且具有信息系统项目管理师或软件设计师或网络工程师认证证书的，每有一名驻场人员满足得0.5分；</w:t>
            </w:r>
            <w:r/>
          </w:p>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本项最高得1分</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不满足或未提供的不得分；</w:t>
            </w:r>
            <w:r/>
          </w:p>
          <w:p>
            <w:pPr>
              <w:jc w:val="left"/>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同一人员具有多项证书的，按一个证书计分。</w:t>
            </w:r>
            <w:r/>
          </w:p>
          <w:p>
            <w:pPr>
              <w:spacing w:after="0" w:line="24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lang w:eastAsia="zh-CN"/>
              </w:rPr>
              <w:t xml:space="preserve">注：须提供：</w:t>
            </w:r>
            <w:r>
              <w:rPr>
                <w:rFonts w:hint="eastAsia" w:asciiTheme="minorEastAsia" w:hAnsiTheme="minorEastAsia" w:eastAsiaTheme="minorEastAsia" w:cstheme="minorEastAsia"/>
                <w:b w:val="0"/>
                <w:bCs w:val="0"/>
                <w:color w:val="auto"/>
                <w:lang w:val="en-US" w:eastAsia="zh-CN"/>
              </w:rPr>
              <w:t xml:space="preserve">①</w:t>
            </w:r>
            <w:r>
              <w:rPr>
                <w:rFonts w:hint="eastAsia" w:asciiTheme="minorEastAsia" w:hAnsiTheme="minorEastAsia" w:eastAsiaTheme="minorEastAsia" w:cstheme="minorEastAsia"/>
                <w:b w:val="0"/>
                <w:bCs w:val="0"/>
                <w:color w:val="auto"/>
                <w:lang w:eastAsia="zh-CN"/>
              </w:rPr>
              <w:t xml:space="preserve">相应证书及身份证复印件或扫描件；</w:t>
            </w:r>
            <w:r>
              <w:rPr>
                <w:rFonts w:hint="eastAsia" w:asciiTheme="minorEastAsia" w:hAnsiTheme="minorEastAsia" w:eastAsiaTheme="minorEastAsia" w:cstheme="minorEastAsia"/>
                <w:b w:val="0"/>
                <w:bCs w:val="0"/>
                <w:color w:val="auto"/>
                <w:lang w:val="en-US" w:eastAsia="zh-CN"/>
              </w:rPr>
              <w:t xml:space="preserve">②</w:t>
            </w:r>
            <w:r>
              <w:rPr>
                <w:rFonts w:hint="eastAsia" w:asciiTheme="minorEastAsia" w:hAnsiTheme="minorEastAsia" w:eastAsiaTheme="minorEastAsia" w:cstheme="minorEastAsia"/>
                <w:b w:val="0"/>
                <w:bCs w:val="0"/>
                <w:color w:val="auto"/>
                <w:lang w:eastAsia="zh-CN"/>
              </w:rPr>
              <w:t xml:space="preserve">近半年（至少 1 个月）</w:t>
            </w:r>
            <w:r>
              <w:rPr>
                <w:rFonts w:hint="eastAsia" w:asciiTheme="minorEastAsia" w:hAnsiTheme="minorEastAsia" w:eastAsiaTheme="minorEastAsia" w:cstheme="minorEastAsia"/>
                <w:b w:val="0"/>
                <w:bCs w:val="0"/>
                <w:color w:val="auto"/>
                <w:lang w:val="en-US" w:eastAsia="zh-CN"/>
              </w:rPr>
              <w:t xml:space="preserve">投标人</w:t>
            </w:r>
            <w:r>
              <w:rPr>
                <w:rFonts w:hint="eastAsia" w:asciiTheme="minorEastAsia" w:hAnsiTheme="minorEastAsia" w:eastAsiaTheme="minorEastAsia" w:cstheme="minorEastAsia"/>
                <w:b w:val="0"/>
                <w:bCs w:val="0"/>
                <w:color w:val="auto"/>
                <w:lang w:eastAsia="zh-CN"/>
              </w:rPr>
              <w:t xml:space="preserve">为其缴纳社会保险证明材料。</w:t>
            </w:r>
            <w:r>
              <w:rPr>
                <w:rFonts w:hint="eastAsia" w:asciiTheme="minorEastAsia" w:hAnsiTheme="minorEastAsia" w:eastAsiaTheme="minorEastAsia" w:cstheme="minorEastAsia"/>
                <w:b w:val="0"/>
                <w:bCs w:val="0"/>
                <w:color w:val="auto"/>
                <w:lang w:val="en-US" w:eastAsia="zh-CN"/>
              </w:rPr>
              <w:t xml:space="preserve">以上证明材料应</w:t>
            </w:r>
            <w:r>
              <w:rPr>
                <w:rFonts w:hint="eastAsia" w:asciiTheme="minorEastAsia" w:hAnsiTheme="minorEastAsia" w:eastAsiaTheme="minorEastAsia" w:cstheme="minorEastAsia"/>
                <w:b w:val="0"/>
                <w:bCs w:val="0"/>
                <w:color w:val="auto"/>
              </w:rPr>
              <w:t xml:space="preserve">加盖投标人公章</w:t>
            </w:r>
            <w:r>
              <w:rPr>
                <w:rFonts w:hint="eastAsia" w:asciiTheme="minorEastAsia" w:hAnsiTheme="minorEastAsia" w:eastAsiaTheme="minorEastAsia" w:cstheme="minorEastAsia"/>
                <w:b w:val="0"/>
                <w:bCs w:val="0"/>
                <w:color w:val="auto"/>
                <w:lang w:eastAsia="zh-CN"/>
              </w:rPr>
              <w:t xml:space="preserve">，</w:t>
            </w:r>
            <w:r>
              <w:rPr>
                <w:rFonts w:hint="eastAsia" w:asciiTheme="minorEastAsia" w:hAnsiTheme="minorEastAsia" w:eastAsiaTheme="minorEastAsia" w:cstheme="minorEastAsia"/>
                <w:b w:val="0"/>
                <w:bCs w:val="0"/>
                <w:color w:val="auto"/>
              </w:rPr>
              <w:t xml:space="preserve">未</w:t>
            </w:r>
            <w:r>
              <w:rPr>
                <w:rFonts w:hint="eastAsia" w:asciiTheme="minorEastAsia" w:hAnsiTheme="minorEastAsia" w:eastAsiaTheme="minorEastAsia" w:cstheme="minorEastAsia"/>
                <w:b w:val="0"/>
                <w:bCs w:val="0"/>
                <w:color w:val="auto"/>
                <w:lang w:val="en-US" w:eastAsia="zh-CN"/>
              </w:rPr>
              <w:t xml:space="preserve">按要求</w:t>
            </w:r>
            <w:r>
              <w:rPr>
                <w:rFonts w:hint="eastAsia" w:asciiTheme="minorEastAsia" w:hAnsiTheme="minorEastAsia" w:eastAsiaTheme="minorEastAsia" w:cstheme="minorEastAsia"/>
                <w:b w:val="0"/>
                <w:bCs w:val="0"/>
                <w:color w:val="auto"/>
              </w:rPr>
              <w:t xml:space="preserve">提供不得分。</w:t>
            </w:r>
            <w:r/>
          </w:p>
        </w:tc>
        <w:tc>
          <w:tcPr>
            <w:tcW w:w="620"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lang w:val="en-US" w:eastAsia="zh-CN"/>
              </w:rPr>
              <w:t xml:space="preserve">1.0</w:t>
            </w:r>
            <w:r/>
          </w:p>
        </w:tc>
      </w:tr>
    </w:tbl>
    <w:p>
      <w:pPr>
        <w:rPr>
          <w:rFonts w:ascii="宋体" w:hAnsi="宋体" w:cs="宋体"/>
          <w:color w:val="auto"/>
          <w:szCs w:val="21"/>
          <w:highlight w:val="none"/>
        </w:rPr>
      </w:pPr>
      <w:r>
        <w:rPr>
          <w:rFonts w:ascii="宋体" w:hAnsi="宋体" w:cs="宋体"/>
          <w:color w:val="auto"/>
          <w:szCs w:val="21"/>
          <w:highlight w:val="none"/>
        </w:rPr>
        <w:t xml:space="preserve"> </w:t>
      </w:r>
      <w:bookmarkEnd w:id="78"/>
      <w:r/>
      <w:r/>
    </w:p>
    <w:p>
      <w:pPr>
        <w:widowControl/>
        <w:rPr>
          <w:rFonts w:ascii="宋体" w:hAnsi="宋体" w:cs="楷体"/>
          <w:b/>
          <w:color w:val="auto"/>
          <w:sz w:val="20"/>
          <w:highlight w:val="none"/>
        </w:rPr>
      </w:pPr>
      <w:r>
        <w:rPr>
          <w:rFonts w:hint="eastAsia" w:ascii="宋体" w:hAnsi="宋体" w:cs="宋体"/>
          <w:b/>
          <w:color w:val="auto"/>
          <w:szCs w:val="21"/>
          <w:highlight w:val="none"/>
        </w:rPr>
        <w:t xml:space="preserve">（三）价格评估</w:t>
      </w:r>
      <w:r/>
    </w:p>
    <w:tbl>
      <w:tblPr>
        <w:tblStyle w:val="61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796"/>
        <w:gridCol w:w="1133"/>
        <w:gridCol w:w="5797"/>
        <w:gridCol w:w="796"/>
      </w:tblGrid>
      <w:tr>
        <w:trPr>
          <w:jc w:val="center"/>
          <w:tblHeader/>
        </w:trPr>
        <w:tc>
          <w:tcPr>
            <w:tcBorders>
              <w:top w:val="single" w:color="000000" w:sz="2" w:space="0"/>
              <w:left w:val="single" w:color="000000" w:sz="2" w:space="0"/>
              <w:bottom w:val="single" w:color="000000" w:sz="2" w:space="0"/>
              <w:right w:val="single" w:color="000000" w:sz="2" w:space="0"/>
            </w:tcBorders>
            <w:tcW w:w="796"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W w:w="5797"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W w:w="796" w:type="dxa"/>
            <w:vAlign w:val="center"/>
            <w:textDirection w:val="lrTb"/>
            <w:noWrap w:val="false"/>
          </w:tcPr>
          <w:p>
            <w:pPr>
              <w:jc w:val="center"/>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W w:w="772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W w:w="79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0.0</w:t>
            </w:r>
            <w:r/>
          </w:p>
        </w:tc>
      </w:tr>
      <w:tr>
        <w:trPr>
          <w:jc w:val="center"/>
        </w:trPr>
        <w:tc>
          <w:tcPr>
            <w:tcBorders>
              <w:top w:val="single" w:color="000000" w:sz="2" w:space="0"/>
              <w:left w:val="single" w:color="000000" w:sz="2" w:space="0"/>
              <w:bottom w:val="single" w:color="000000" w:sz="2" w:space="0"/>
              <w:right w:val="single" w:color="000000" w:sz="2" w:space="0"/>
            </w:tcBorders>
            <w:tcW w:w="796"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Borders>
              <w:top w:val="single" w:color="000000" w:sz="2" w:space="0"/>
              <w:left w:val="single" w:color="000000" w:sz="2" w:space="0"/>
              <w:bottom w:val="single" w:color="000000" w:sz="2" w:space="0"/>
              <w:right w:val="single" w:color="000000" w:sz="2" w:space="0"/>
            </w:tcBorders>
            <w:tcW w:w="1133" w:type="dxa"/>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W w:w="5797" w:type="dxa"/>
            <w:vAlign w:val="center"/>
            <w:textDirection w:val="lrTb"/>
            <w:noWrap w:val="false"/>
          </w:tcPr>
          <w:p>
            <w:pPr>
              <w:ind w:left="0" w:right="0" w:firstLine="0"/>
              <w:spacing w:before="200" w:after="200" w:line="240" w:lineRule="auto"/>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综合评分法中的价格分采用低价优先法计算，即满足招标文件要求且投标价格最低的投标报价为评标基准价，其价格分为满分1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分。其他投标人的价格分统一按照下列公式计算：投标报价得分= (评标基准价／投标报价)×1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w:t>
            </w:r>
            <w:r/>
          </w:p>
          <w:p>
            <w:pPr>
              <w:ind w:left="0" w:right="0" w:firstLine="0"/>
              <w:spacing w:before="200" w:after="200" w:line="240" w:lineRule="auto"/>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highlight w:val="none"/>
              </w:rPr>
              <w:t xml:space="preserve">注：根据财政部、工信部《政府采购促进中小企业发展管理办法》以及丹财〔2022〕128号《丹阳市关于进一步加大政府采购支持中小企业力度的通</w:t>
            </w:r>
            <w:r>
              <w:rPr>
                <w:rFonts w:hint="eastAsia" w:asciiTheme="minorEastAsia" w:hAnsiTheme="minorEastAsia" w:eastAsiaTheme="minorEastAsia" w:cstheme="minorEastAsia"/>
                <w:color w:val="auto"/>
                <w:sz w:val="21"/>
                <w:szCs w:val="21"/>
                <w:highlight w:val="none"/>
              </w:rPr>
              <w:t xml:space="preserve">知》的规定，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w:t>
            </w:r>
            <w:r/>
          </w:p>
          <w:p>
            <w:pPr>
              <w:ind w:left="0" w:right="0" w:firstLine="0"/>
              <w:spacing w:before="200" w:after="200" w:line="240" w:lineRule="auto"/>
              <w:rPr>
                <w:rFonts w:hint="eastAsia" w:asciiTheme="minorEastAsia" w:hAnsiTheme="minorEastAsia" w:eastAsiaTheme="minorEastAsia" w:cstheme="minorEastAsia"/>
                <w:color w:val="auto"/>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0"/>
              <w:spacing w:before="200" w:after="200" w:line="240" w:lineRule="auto"/>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1"/>
                <w:szCs w:val="21"/>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W w:w="796" w:type="dxa"/>
            <w:vAlign w:val="center"/>
            <w:textDirection w:val="lrTb"/>
            <w:noWrap w:val="false"/>
          </w:tcPr>
          <w:p>
            <w:pPr>
              <w:jc w:val="righ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0.0</w:t>
            </w:r>
            <w:r/>
          </w:p>
        </w:tc>
      </w:tr>
    </w:tbl>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numPr>
          <w:ilvl w:val="0"/>
          <w:numId w:val="0"/>
        </w:numPr>
        <w:jc w:val="left"/>
        <w:widowControl/>
        <w:rPr>
          <w:rFonts w:hint="eastAsia" w:ascii="宋体" w:hAnsi="宋体" w:eastAsia="宋体" w:cs="楷体"/>
          <w:b/>
          <w:color w:val="auto"/>
          <w:sz w:val="24"/>
          <w:szCs w:val="24"/>
          <w:highlight w:val="none"/>
        </w:rPr>
      </w:pPr>
      <w:r>
        <w:rPr>
          <w:rFonts w:hint="eastAsia" w:ascii="宋体" w:hAnsi="宋体" w:eastAsia="宋体" w:cs="楷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9.相同品牌产品的处理原则</w:t>
      </w:r>
      <w:r/>
    </w:p>
    <w:p>
      <w:pPr>
        <w:ind w:firstLine="472"/>
        <w:spacing w:line="360" w:lineRule="auto"/>
        <w:rPr>
          <w:rFonts w:ascii="宋体" w:hAnsi="宋体" w:eastAsia="宋体" w:cs="楷体"/>
          <w:color w:val="auto"/>
          <w:sz w:val="24"/>
          <w:szCs w:val="24"/>
          <w:highlight w:val="none"/>
        </w:rPr>
        <w:outlineLvl w:val="2"/>
      </w:pPr>
      <w:r>
        <w:rPr>
          <w:rFonts w:hint="eastAsia" w:ascii="宋体" w:hAnsi="宋体" w:eastAsia="宋体" w:cs="楷体"/>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10.允许修改评标结果的情形</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10.1评标结果汇总完成后，除下列情形外，任何人不得修改评标结果：</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（1）分值汇总计算错误的；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（2）分项评分超出评分标准范围的；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（3）评标委员会成员对客观评审因素评分不一致的；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（4）经评标委员会认定评分畸高、畸低的。</w:t>
      </w:r>
      <w:r/>
    </w:p>
    <w:p>
      <w:pPr>
        <w:ind w:firstLine="480"/>
        <w:spacing w:line="360" w:lineRule="auto"/>
        <w:rPr>
          <w:rFonts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9" w:name="_Toc100386064"/>
      <w:r/>
      <w:bookmarkEnd w:id="79"/>
      <w:r/>
      <w:bookmarkStart w:id="80" w:name="_Toc92168030"/>
      <w:r/>
      <w:bookmarkEnd w:id="80"/>
      <w:r/>
      <w:bookmarkStart w:id="81" w:name="_Toc20732998"/>
      <w:r/>
      <w:bookmarkEnd w:id="81"/>
      <w:r/>
      <w:bookmarkStart w:id="82" w:name="_Toc98669361"/>
      <w:r/>
      <w:bookmarkEnd w:id="82"/>
      <w:r/>
      <w:bookmarkStart w:id="83" w:name="_Toc98669719"/>
      <w:r/>
      <w:bookmarkEnd w:id="83"/>
      <w:r/>
      <w:r/>
    </w:p>
    <w:p>
      <w:pPr>
        <w:ind w:firstLine="446"/>
        <w:spacing w:before="200" w:after="200" w:line="360" w:lineRule="auto"/>
        <w:rPr>
          <w:rFonts w:ascii="宋体" w:hAnsi="宋体" w:eastAsia="宋体" w:cs="楷体"/>
          <w:b/>
          <w:color w:val="auto"/>
          <w:sz w:val="30"/>
          <w:szCs w:val="30"/>
          <w:highlight w:val="none"/>
        </w:rPr>
        <w:outlineLvl w:val="2"/>
      </w:pPr>
      <w:r>
        <w:rPr>
          <w:rFonts w:hint="eastAsia" w:ascii="宋体" w:hAnsi="宋体" w:eastAsia="宋体" w:cs="楷体"/>
          <w:b/>
          <w:color w:val="auto"/>
          <w:sz w:val="30"/>
          <w:szCs w:val="30"/>
          <w:highlight w:val="none"/>
        </w:rPr>
        <w:t xml:space="preserve">11.推荐中标候选人</w:t>
      </w:r>
      <w:r/>
    </w:p>
    <w:p>
      <w:pPr>
        <w:ind w:firstLine="480"/>
        <w:spacing w:line="360" w:lineRule="auto"/>
        <w:rPr>
          <w:rFonts w:ascii="宋体" w:hAnsi="宋体" w:eastAsia="宋体" w:cs="宋体"/>
          <w:bCs/>
          <w:color w:val="auto"/>
          <w:sz w:val="24"/>
          <w:szCs w:val="24"/>
          <w:highlight w:val="none"/>
        </w:rPr>
      </w:pPr>
      <w:r>
        <w:rPr>
          <w:rFonts w:ascii="Segoe UI Symbol" w:hAnsi="Segoe UI Symbol" w:eastAsia="宋体" w:cs="Segoe UI Symbol"/>
          <w:color w:val="auto"/>
          <w:sz w:val="24"/>
          <w:szCs w:val="24"/>
          <w:highlight w:val="none"/>
        </w:rPr>
        <w:t xml:space="preserve">☑</w:t>
      </w:r>
      <w:r>
        <w:rPr>
          <w:rFonts w:hint="eastAsia" w:ascii="宋体" w:hAnsi="宋体" w:eastAsia="宋体" w:cs="楷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0"/>
          <w:szCs w:val="24"/>
          <w:highlight w:val="none"/>
        </w:rPr>
        <w:br w:type="page" w:clear="all"/>
      </w:r>
      <w:r>
        <w:rPr>
          <w:rFonts w:hint="eastAsia" w:ascii="宋体" w:hAnsi="宋体" w:eastAsia="宋体" w:cs="宋体"/>
          <w:b/>
          <w:bCs/>
          <w:color w:val="auto"/>
          <w:sz w:val="32"/>
          <w:szCs w:val="32"/>
          <w:highlight w:val="none"/>
        </w:rPr>
        <w:t xml:space="preserve">第六部分    投标文件（格式）</w:t>
      </w:r>
      <w:r/>
    </w:p>
    <w:p>
      <w:pPr>
        <w:jc w:val="center"/>
        <w:spacing w:line="360" w:lineRule="auto"/>
        <w:rPr>
          <w:rFonts w:ascii="宋体" w:hAnsi="宋体" w:eastAsia="宋体" w:cs="楷体"/>
          <w:b/>
          <w:color w:val="auto"/>
          <w:sz w:val="72"/>
          <w:szCs w:val="24"/>
          <w:highlight w:val="none"/>
        </w:rPr>
      </w:pPr>
      <w:r>
        <w:rPr>
          <w:rFonts w:ascii="宋体" w:hAnsi="宋体" w:eastAsia="宋体" w:cs="楷体"/>
          <w:b/>
          <w:color w:val="auto"/>
          <w:sz w:val="72"/>
          <w:szCs w:val="24"/>
          <w:highlight w:val="none"/>
        </w:rPr>
      </w:r>
      <w:r/>
    </w:p>
    <w:p>
      <w:pPr>
        <w:jc w:val="center"/>
        <w:spacing w:line="360" w:lineRule="auto"/>
        <w:rPr>
          <w:rFonts w:ascii="宋体" w:hAnsi="宋体" w:eastAsia="宋体" w:cs="楷体"/>
          <w:color w:val="auto"/>
          <w:sz w:val="72"/>
          <w:szCs w:val="24"/>
          <w:highlight w:val="none"/>
        </w:rPr>
      </w:pPr>
      <w:r>
        <w:rPr>
          <w:rFonts w:hint="eastAsia" w:ascii="宋体" w:hAnsi="宋体" w:eastAsia="宋体" w:cs="楷体"/>
          <w:b/>
          <w:color w:val="auto"/>
          <w:sz w:val="72"/>
          <w:szCs w:val="24"/>
          <w:highlight w:val="none"/>
        </w:rPr>
        <w:t xml:space="preserve">投   标   文   件</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ind w:firstLine="643"/>
        <w:spacing w:line="360" w:lineRule="auto"/>
        <w:rPr>
          <w:rFonts w:ascii="宋体" w:hAnsi="宋体" w:eastAsia="宋体" w:cs="楷体"/>
          <w:b/>
          <w:color w:val="auto"/>
          <w:sz w:val="32"/>
          <w:szCs w:val="24"/>
          <w:highlight w:val="none"/>
        </w:rPr>
      </w:pPr>
      <w:r>
        <w:rPr>
          <w:rFonts w:ascii="宋体" w:hAnsi="宋体" w:eastAsia="宋体" w:cs="楷体"/>
          <w:b/>
          <w:color w:val="auto"/>
          <w:sz w:val="32"/>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32"/>
          <w:szCs w:val="24"/>
          <w:highlight w:val="none"/>
        </w:rPr>
        <w:t xml:space="preserve">项目编号：</w:t>
      </w:r>
      <w:r/>
    </w:p>
    <w:p>
      <w:pPr>
        <w:ind w:firstLine="560"/>
        <w:jc w:val="center"/>
        <w:spacing w:line="360" w:lineRule="auto"/>
        <w:rPr>
          <w:rFonts w:ascii="宋体" w:hAnsi="宋体" w:eastAsia="宋体" w:cs="楷体"/>
          <w:color w:val="auto"/>
          <w:sz w:val="28"/>
          <w:szCs w:val="24"/>
          <w:highlight w:val="none"/>
        </w:rPr>
      </w:pPr>
      <w:r>
        <w:rPr>
          <w:rFonts w:ascii="宋体" w:hAnsi="宋体" w:eastAsia="宋体" w:cs="楷体"/>
          <w:color w:val="auto"/>
          <w:sz w:val="28"/>
          <w:szCs w:val="24"/>
          <w:highlight w:val="none"/>
        </w:rPr>
      </w:r>
      <w:r/>
    </w:p>
    <w:p>
      <w:pPr>
        <w:jc w:val="center"/>
        <w:spacing w:line="360" w:lineRule="auto"/>
        <w:rPr>
          <w:rFonts w:ascii="宋体" w:hAnsi="宋体" w:eastAsia="宋体" w:cs="楷体"/>
          <w:b/>
          <w:color w:val="auto"/>
          <w:sz w:val="32"/>
          <w:szCs w:val="32"/>
          <w:highlight w:val="none"/>
        </w:rPr>
      </w:pPr>
      <w:r>
        <w:rPr>
          <w:rFonts w:hint="eastAsia" w:ascii="宋体" w:hAnsi="宋体" w:eastAsia="宋体" w:cs="楷体"/>
          <w:b/>
          <w:color w:val="auto"/>
          <w:sz w:val="32"/>
          <w:szCs w:val="32"/>
          <w:highlight w:val="none"/>
        </w:rPr>
        <w:t xml:space="preserve">项目名称：：</w:t>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ind w:left="520" w:firstLine="643"/>
        <w:jc w:val="center"/>
        <w:spacing w:line="360" w:lineRule="auto"/>
        <w:rPr>
          <w:rFonts w:ascii="宋体" w:hAnsi="宋体" w:eastAsia="宋体" w:cs="楷体"/>
          <w:b/>
          <w:color w:val="auto"/>
          <w:sz w:val="32"/>
          <w:szCs w:val="16"/>
          <w:highlight w:val="none"/>
        </w:rPr>
      </w:pPr>
      <w:r>
        <w:rPr>
          <w:rFonts w:ascii="宋体" w:hAnsi="宋体" w:eastAsia="宋体" w:cs="楷体"/>
          <w:b/>
          <w:color w:val="auto"/>
          <w:sz w:val="32"/>
          <w:szCs w:val="16"/>
          <w:highlight w:val="none"/>
        </w:rPr>
      </w:r>
      <w:r/>
    </w:p>
    <w:p>
      <w:pPr>
        <w:jc w:val="center"/>
        <w:spacing w:line="360" w:lineRule="auto"/>
        <w:rPr>
          <w:rFonts w:ascii="宋体" w:hAnsi="宋体" w:eastAsia="宋体" w:cs="楷体"/>
          <w:b/>
          <w:color w:val="auto"/>
          <w:sz w:val="36"/>
          <w:szCs w:val="24"/>
          <w:highlight w:val="none"/>
        </w:rPr>
      </w:pPr>
      <w:r>
        <w:rPr>
          <w:rFonts w:hint="eastAsia" w:ascii="宋体" w:hAnsi="宋体" w:eastAsia="宋体" w:cs="楷体"/>
          <w:b/>
          <w:color w:val="auto"/>
          <w:sz w:val="32"/>
          <w:szCs w:val="24"/>
          <w:highlight w:val="none"/>
        </w:rPr>
        <w:t xml:space="preserve">投 标 人（公章）：</w:t>
      </w:r>
      <w:r>
        <w:rPr>
          <w:rFonts w:hint="eastAsia" w:ascii="宋体" w:hAnsi="宋体" w:eastAsia="宋体" w:cs="楷体"/>
          <w:b/>
          <w:color w:val="auto"/>
          <w:sz w:val="24"/>
          <w:szCs w:val="24"/>
          <w:highlight w:val="none"/>
          <w:u w:val="single"/>
        </w:rPr>
        <w:t xml:space="preserve">××××</w:t>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ind w:firstLine="723"/>
        <w:jc w:val="center"/>
        <w:spacing w:line="360" w:lineRule="auto"/>
        <w:rPr>
          <w:rFonts w:ascii="宋体" w:hAnsi="宋体" w:eastAsia="宋体" w:cs="楷体"/>
          <w:b/>
          <w:color w:val="auto"/>
          <w:sz w:val="36"/>
          <w:szCs w:val="24"/>
          <w:highlight w:val="none"/>
        </w:rPr>
      </w:pPr>
      <w:r>
        <w:rPr>
          <w:rFonts w:ascii="宋体" w:hAnsi="宋体" w:eastAsia="宋体" w:cs="楷体"/>
          <w:b/>
          <w:color w:val="auto"/>
          <w:sz w:val="36"/>
          <w:szCs w:val="24"/>
          <w:highlight w:val="none"/>
        </w:rPr>
      </w:r>
      <w:r/>
    </w:p>
    <w:p>
      <w:pPr>
        <w:jc w:val="center"/>
        <w:spacing w:line="360" w:lineRule="auto"/>
        <w:rPr>
          <w:rFonts w:ascii="宋体" w:hAnsi="宋体" w:eastAsia="宋体" w:cs="楷体"/>
          <w:b/>
          <w:color w:val="auto"/>
          <w:sz w:val="32"/>
          <w:szCs w:val="24"/>
          <w:highlight w:val="none"/>
        </w:rPr>
      </w:pP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年</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月</w:t>
      </w:r>
      <w:r>
        <w:rPr>
          <w:rFonts w:hint="eastAsia" w:ascii="宋体" w:hAnsi="宋体" w:eastAsia="宋体" w:cs="楷体"/>
          <w:b/>
          <w:color w:val="auto"/>
          <w:sz w:val="24"/>
          <w:szCs w:val="24"/>
          <w:highlight w:val="none"/>
          <w:u w:val="single"/>
        </w:rPr>
        <w:t xml:space="preserve">××</w:t>
      </w:r>
      <w:r>
        <w:rPr>
          <w:rFonts w:hint="eastAsia" w:ascii="宋体" w:hAnsi="宋体" w:eastAsia="宋体" w:cs="楷体"/>
          <w:b/>
          <w:color w:val="auto"/>
          <w:sz w:val="32"/>
          <w:szCs w:val="24"/>
          <w:highlight w:val="none"/>
        </w:rPr>
        <w:t xml:space="preserve">日</w:t>
      </w:r>
      <w:r/>
    </w:p>
    <w:p>
      <w:pPr>
        <w:keepLines/>
        <w:keepNext/>
        <w:spacing w:before="260" w:after="260" w:line="416" w:lineRule="auto"/>
        <w:rPr>
          <w:rFonts w:ascii="Times New Roman" w:hAnsi="Times New Roman" w:eastAsia="宋体" w:cs="Times New Roman"/>
          <w:b/>
          <w:color w:val="auto"/>
          <w:sz w:val="32"/>
          <w:szCs w:val="20"/>
          <w:highlight w:val="none"/>
        </w:rPr>
        <w:outlineLvl w:val="2"/>
      </w:pPr>
      <w:r>
        <w:rPr>
          <w:rFonts w:ascii="Times New Roman" w:hAnsi="Times New Roman" w:eastAsia="宋体" w:cs="Times New Roman"/>
          <w:b/>
          <w:color w:val="auto"/>
          <w:sz w:val="32"/>
          <w:szCs w:val="20"/>
          <w:highlight w:val="none"/>
        </w:rPr>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br w:type="page" w:clear="all"/>
      </w:r>
      <w:r>
        <w:rPr>
          <w:rFonts w:ascii="宋体" w:hAnsi="宋体" w:eastAsia="宋体" w:cs="宋体"/>
          <w:b/>
          <w:color w:val="auto"/>
          <w:sz w:val="30"/>
          <w:highlight w:val="none"/>
        </w:rPr>
        <w:t xml:space="preserve">（一）开标一览表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项目编号：项目编号</w:t>
      </w:r>
      <w:r>
        <w:rPr>
          <w:rFonts w:ascii="Calibri" w:hAnsi="Calibri" w:eastAsia="Calibri" w:cs="Calibri"/>
          <w:color w:val="auto"/>
          <w:sz w:val="24"/>
          <w:highlight w:val="none"/>
        </w:rPr>
        <w:t xml:space="preserve"> </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ascii="Calibri" w:hAnsi="Calibri" w:eastAsia="Calibri" w:cs="Calibri"/>
                <w:color w:val="auto"/>
                <w:sz w:val="24"/>
                <w:highlight w:val="none"/>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金额大写</w:t>
            </w:r>
            <w:r>
              <w:rPr>
                <w:rFonts w:ascii="Calibri" w:hAnsi="Calibri" w:eastAsia="Calibri" w:cs="Calibri"/>
                <w:color w:val="auto"/>
                <w:sz w:val="24"/>
                <w:highlight w:val="none"/>
              </w:rPr>
              <w:t xml:space="preserve"> </w:t>
            </w:r>
            <w:r/>
          </w:p>
        </w:tc>
      </w:tr>
    </w:tbl>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投标人盖章（公章）：</w:t>
      </w:r>
      <w:r/>
    </w:p>
    <w:p>
      <w:pPr>
        <w:ind w:left="0" w:right="0" w:firstLine="6960"/>
        <w:pageBreakBefore w:val="0"/>
        <w:spacing w:before="100" w:after="10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（二）投标函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致：丹阳市政府采购中心</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w:t>
      </w:r>
      <w:r>
        <w:rPr>
          <w:rFonts w:ascii="宋体" w:hAnsi="宋体" w:eastAsia="宋体" w:cs="宋体"/>
          <w:color w:val="auto"/>
          <w:sz w:val="24"/>
          <w:highlight w:val="none"/>
          <w:u w:val="single"/>
        </w:rPr>
        <w:t xml:space="preserve">根据项目自行编辑</w:t>
      </w:r>
      <w:r>
        <w:rPr>
          <w:rFonts w:ascii="宋体" w:hAnsi="宋体" w:eastAsia="宋体" w:cs="宋体"/>
          <w:color w:val="auto"/>
          <w:sz w:val="24"/>
          <w:highlight w:val="none"/>
        </w:rPr>
        <w:t xml:space="preserve">号招标文件，正式授权下述签字人_________________(姓名)代表我方______________（投标人的名称），全权处理本次项目投标的有关事宜。</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据此函，__________签字人兹宣布同意如下：</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1.按招标文件规定的各项要求，向招标方提供所需货物与服务。</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6.一旦我方中标,我方将根据招标文件的规定，严格履行合同的责任和义务,并保证在招标文件规定的时间完成项目，交付招标方验收、使用。</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投标人开户行：</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日期：________年____月____日 </w:t>
      </w:r>
      <w:r/>
    </w:p>
    <w:p>
      <w:pPr>
        <w:ind w:left="0" w:right="0" w:firstLine="562"/>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注：如是联合体参加投标的，联合体各方均须提供。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（三）清单及明细报价表</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bl>
      <w:tblPr>
        <w:tblStyle w:val="6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1527"/>
        <w:gridCol w:w="1416"/>
        <w:gridCol w:w="836"/>
        <w:gridCol w:w="772"/>
        <w:gridCol w:w="1666"/>
        <w:gridCol w:w="1544"/>
        <w:gridCol w:w="1087"/>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jc w:val="center"/>
              <w:spacing w:before="200" w:after="200"/>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w:t>
            </w:r>
            <w:r>
              <w:rPr>
                <w:rFonts w:hint="eastAsia" w:ascii="宋体" w:hAnsi="宋体" w:eastAsia="宋体" w:cs="宋体"/>
                <w:b/>
                <w:color w:val="auto"/>
                <w:sz w:val="20"/>
                <w:szCs w:val="20"/>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0"/>
                <w:highlight w:val="none"/>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其它相关费用</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7" w:type="dxa"/>
            <w:textDirection w:val="lrTb"/>
            <w:noWrap w:val="false"/>
          </w:tcPr>
          <w:p>
            <w:pP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项目总报价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7" w:type="dxa"/>
            <w:textDirection w:val="lrTb"/>
            <w:noWrap w:val="false"/>
          </w:tcPr>
          <w:p>
            <w:pPr>
              <w:jc w:val="center"/>
              <w:spacing w:before="200" w:after="200" w:line="85" w:lineRule="atLeast"/>
              <w:rPr>
                <w:rFonts w:ascii="宋体" w:hAnsi="宋体" w:eastAsia="宋体" w:cs="宋体"/>
                <w:color w:val="auto"/>
                <w:sz w:val="15"/>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szCs w:val="20"/>
                <w:highlight w:val="none"/>
              </w:rPr>
              <w:t xml:space="preserve">元</w:t>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注：1、</w:t>
      </w:r>
      <w:r>
        <w:rPr>
          <w:rFonts w:ascii="宋体" w:hAnsi="宋体" w:eastAsia="宋体" w:cs="宋体"/>
          <w:b/>
          <w:i/>
          <w:color w:val="auto"/>
          <w:sz w:val="24"/>
          <w:highlight w:val="none"/>
        </w:rPr>
        <w:t xml:space="preserve">本表仅供参考，请各投标人仔细核对第四部分项目需求</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本表中“投标人认为与此次招标有关的必须的费用”由投标人根据招标文件第四部分项目需求相关报价要求填写，项目总报价包含与本项目相关的所有费用。</w:t>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2、项目实施时，除采购人明确提出需要变更增加外，不再增加任何费用，投标人应确保本项目能安全、正常运行并达到招标要求。</w:t>
      </w:r>
      <w:r/>
    </w:p>
    <w:p>
      <w:pPr>
        <w:ind w:left="0" w:right="0" w:firstLine="480"/>
        <w:jc w:val="both"/>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3、本表中项目总价应与开标（报价）一览表中报价保持一致。总价与按单价汇总金额不一致的，以单价金额计算结果为准。</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（四）法定代表人身份证明书</w:t>
      </w:r>
      <w:r/>
    </w:p>
    <w:p>
      <w:pPr>
        <w:ind w:left="239" w:right="0" w:firstLine="24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兹证明</w:t>
      </w:r>
      <w:r>
        <w:rPr>
          <w:rFonts w:ascii="宋体" w:hAnsi="宋体" w:eastAsia="宋体" w:cs="宋体"/>
          <w:b/>
          <w:color w:val="auto"/>
          <w:sz w:val="24"/>
          <w:highlight w:val="none"/>
          <w:u w:val="single"/>
        </w:rPr>
        <w:t xml:space="preserve">×××（）姓名</w:t>
      </w:r>
      <w:r>
        <w:rPr>
          <w:rFonts w:ascii="宋体" w:hAnsi="宋体" w:eastAsia="宋体" w:cs="宋体"/>
          <w:color w:val="auto"/>
          <w:sz w:val="24"/>
          <w:highlight w:val="none"/>
        </w:rPr>
        <w:t xml:space="preserve">同志，性别</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，居民身份证号</w:t>
      </w:r>
      <w:r>
        <w:rPr>
          <w:rFonts w:ascii="宋体" w:hAnsi="宋体" w:eastAsia="宋体" w:cs="宋体"/>
          <w:b/>
          <w:color w:val="auto"/>
          <w:sz w:val="24"/>
          <w:highlight w:val="none"/>
          <w:u w:val="single"/>
        </w:rPr>
        <w:t xml:space="preserve">×××</w:t>
      </w:r>
      <w:r>
        <w:rPr>
          <w:rFonts w:ascii="宋体" w:hAnsi="宋体" w:eastAsia="宋体" w:cs="宋体"/>
          <w:color w:val="auto"/>
          <w:sz w:val="24"/>
          <w:highlight w:val="none"/>
        </w:rPr>
        <w:t xml:space="preserve">，在我单位任</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职务，系我单位主要负责人即法定代表人。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单位全称：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公章： </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年月日</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附：法定代表人居民身份证扫描件</w:t>
      </w:r>
      <w:r/>
    </w:p>
    <w:p>
      <w:pPr>
        <w:ind w:left="0" w:right="0" w:firstLine="480"/>
        <w:jc w:val="both"/>
        <w:pageBreakBefore w:val="0"/>
        <w:spacing w:before="0" w:after="0"/>
        <w:tabs>
          <w:tab w:val="left" w:pos="7290"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注：1.“法定代表人”直接参加投标响应活动的仅需填写本身份证明</w:t>
      </w:r>
      <w:r>
        <w:rPr>
          <w:rFonts w:ascii="宋体" w:hAnsi="宋体" w:eastAsia="宋体" w:cs="宋体"/>
          <w:color w:val="auto"/>
          <w:sz w:val="24"/>
          <w:highlight w:val="none"/>
        </w:rPr>
        <w:t xml:space="preserve">。</w:t>
      </w:r>
      <w:r/>
    </w:p>
    <w:p>
      <w:pPr>
        <w:ind w:left="0" w:right="0" w:firstLine="480"/>
        <w:jc w:val="both"/>
        <w:pageBreakBefore w:val="0"/>
        <w:spacing w:before="0" w:after="0"/>
        <w:tabs>
          <w:tab w:val="left" w:pos="7290" w:leader="none"/>
        </w:tabs>
        <w:rPr>
          <w:color w:val="auto"/>
          <w:highlight w:val="none"/>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color w:val="auto"/>
          <w:sz w:val="21"/>
          <w:szCs w:val="22"/>
          <w:highlight w:val="none"/>
        </w:rPr>
        <w:t xml:space="preserve">2.</w:t>
      </w:r>
      <w:r>
        <w:rPr>
          <w:rFonts w:ascii="宋体" w:hAnsi="宋体" w:eastAsia="宋体" w:cs="宋体"/>
          <w:b/>
          <w:color w:val="auto"/>
          <w:sz w:val="24"/>
          <w:highlight w:val="none"/>
          <w:u w:val="single"/>
        </w:rPr>
        <w:t xml:space="preserve">投标人属于非法人组织的，按照法律、行政法规规定能够对外代表其从事民事活动的主要负责人，视同法定代表人。</w:t>
      </w:r>
      <w:r/>
    </w:p>
    <w:p>
      <w:pPr>
        <w:ind w:left="0" w:right="0" w:firstLine="560"/>
        <w:jc w:val="both"/>
        <w:spacing w:before="0" w:after="0" w:line="85" w:lineRule="atLeast"/>
        <w:tabs>
          <w:tab w:val="left" w:pos="7290" w:leader="none"/>
        </w:tabs>
        <w:rPr>
          <w:color w:val="auto"/>
          <w:sz w:val="24"/>
          <w:szCs w:val="24"/>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szCs w:val="24"/>
          <w:highlight w:val="none"/>
        </w:rPr>
        <w:t xml:space="preserve"> </w:t>
      </w:r>
      <w:r>
        <w:rPr>
          <w:rFonts w:ascii="宋体" w:hAnsi="宋体" w:eastAsia="宋体" w:cs="宋体"/>
          <w:color w:val="auto"/>
          <w:sz w:val="24"/>
          <w:szCs w:val="24"/>
        </w:rPr>
        <w:t xml:space="preserve">3</w:t>
      </w:r>
      <w:r>
        <w:rPr>
          <w:rFonts w:ascii="宋体" w:hAnsi="宋体" w:eastAsia="宋体" w:cs="宋体"/>
          <w:b/>
          <w:color w:val="auto"/>
          <w:sz w:val="24"/>
          <w:szCs w:val="24"/>
          <w:u w:val="single"/>
        </w:rPr>
        <w:t xml:space="preserve">.如是联合体投标，联合体各成员均须单独提供法定代表人身份证明书。</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56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ind w:left="0" w:right="0" w:firstLine="562"/>
        <w:jc w:val="center"/>
        <w:pageBreakBefore w:val="0"/>
        <w:spacing w:before="0" w:after="0"/>
        <w:rPr>
          <w:rFonts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r>
      <w:r/>
    </w:p>
    <w:p>
      <w:pPr>
        <w:numPr>
          <w:ilvl w:val="0"/>
          <w:numId w:val="2"/>
        </w:numPr>
        <w:ind w:left="0" w:right="0" w:firstLine="0"/>
        <w:jc w:val="center"/>
        <w:pageBreakBefore w:val="0"/>
        <w:spacing w:before="0" w:after="0" w:line="85" w:lineRule="atLeast"/>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法定代表人授权委托书</w:t>
      </w:r>
      <w:r/>
    </w:p>
    <w:p>
      <w:pPr>
        <w:ind w:left="0" w:right="0" w:firstLine="643"/>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2"/>
        </w:rPr>
        <w:t xml:space="preserve">（一）</w:t>
      </w:r>
      <w:r/>
    </w:p>
    <w:p>
      <w:pPr>
        <w:ind w:left="0" w:right="0" w:firstLine="0"/>
        <w:jc w:val="center"/>
        <w:spacing w:before="0" w:after="0"/>
        <w:rPr>
          <w:rFonts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2"/>
        </w:rPr>
        <w:t xml:space="preserve">（非联合体投标，填写本表）</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本授权书声明：____________（投标人名称）授权________________（被授权人的姓名）为我方就JSZC-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本授权书于______年____月____日起生效，特此声明。</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被授权人身份证号码：</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被授权人联系电话：（手机）</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授权单位名称：（加盖CA电子公章）</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p>
    <w:p>
      <w:pPr>
        <w:ind w:left="0" w:right="0" w:firstLine="480"/>
        <w:jc w:val="both"/>
        <w:pageBreakBefore w:val="0"/>
        <w:spacing w:before="0" w:after="0"/>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日期：</w:t>
      </w:r>
      <w:r>
        <w:rPr>
          <w:rFonts w:ascii="宋体" w:hAnsi="宋体" w:eastAsia="宋体" w:cs="宋体"/>
          <w:color w:val="auto"/>
          <w:sz w:val="24"/>
          <w:highlight w:val="none"/>
        </w:rPr>
        <w:t xml:space="preserve">                                  </w:t>
      </w:r>
      <w:r/>
    </w:p>
    <w:p>
      <w:pPr>
        <w:ind w:left="0" w:right="0" w:firstLine="643"/>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附：委托代理人居民身份证扫描件</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注：“法定代表人”授权其他人（必须为投标人正式员工，证明材料：劳动合同、近半年内至少一个月社会保险缴纳材料附后）投标的，须填写法定代表人身份证明书和本委托书。</w:t>
      </w:r>
      <w:r/>
    </w:p>
    <w:p>
      <w:pPr>
        <w:ind w:left="0" w:right="0" w:firstLine="643"/>
        <w:jc w:val="center"/>
        <w:spacing w:before="0" w:after="0" w:line="85" w:lineRule="atLeast"/>
        <w:rPr>
          <w:rFonts w:ascii="楷体" w:hAnsi="楷体" w:eastAsia="楷体" w:cs="楷体"/>
          <w:b/>
          <w:color w:val="auto"/>
          <w:sz w:val="32"/>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2"/>
        </w:rPr>
        <w:t xml:space="preserve">（二） </w:t>
      </w:r>
      <w:r/>
    </w:p>
    <w:p>
      <w:pPr>
        <w:ind w:left="0" w:right="0" w:firstLine="643"/>
        <w:jc w:val="center"/>
        <w:spacing w:before="0" w:after="0" w:line="85" w:lineRule="atLeast"/>
        <w:rPr>
          <w:rFonts w:ascii="楷体" w:hAnsi="楷体" w:eastAsia="楷体" w:cs="楷体"/>
          <w:b/>
          <w:color w:val="auto"/>
          <w:sz w:val="32"/>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2"/>
        </w:rPr>
        <w:t xml:space="preserve">（联合体投标，填写本表）</w:t>
      </w:r>
      <w:r/>
    </w:p>
    <w:p>
      <w:pPr>
        <w:ind w:left="0" w:right="0" w:firstLine="420"/>
        <w:jc w:val="both"/>
        <w:spacing w:before="0" w:after="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本授权书声明： （牵头人名称） 的法定代表人（姓名） 授 权 （所属公司）的（被授权人的姓名、职务）为联合体就</w:t>
      </w:r>
      <w:r>
        <w:rPr>
          <w:rFonts w:hint="eastAsia" w:ascii="宋体" w:hAnsi="宋体" w:eastAsia="宋体" w:cs="宋体"/>
          <w:color w:val="auto"/>
          <w:sz w:val="24"/>
          <w:highlight w:val="none"/>
          <w:lang w:val="en-US" w:eastAsia="zh-CN"/>
        </w:rPr>
        <w:t xml:space="preserve">丹阳市政府采购中心</w:t>
      </w:r>
      <w:r>
        <w:rPr>
          <w:rFonts w:ascii="宋体" w:hAnsi="宋体" w:eastAsia="宋体" w:cs="宋体"/>
          <w:color w:val="auto"/>
          <w:sz w:val="24"/>
          <w:highlight w:val="none"/>
        </w:rPr>
        <w:t xml:space="preserve">（JSZC-321181-JZCG-G2026-0022）项目的投标活动的合法代理人，以本联合体名义全权处理一切与该项目投标有关的事务 （含项目合同签订）。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本授权书于 年</w:t>
      </w:r>
      <w:r>
        <w:rPr>
          <w:rFonts w:hint="eastAsia" w:ascii="宋体" w:hAnsi="宋体" w:eastAsia="宋体" w:cs="宋体"/>
          <w:b w:val="0"/>
          <w:color w:val="auto"/>
          <w:sz w:val="24"/>
          <w:szCs w:val="22"/>
          <w:highlight w:val="none"/>
          <w:lang w:val="en-US" w:eastAsia="zh-CN" w:bidi="ar-SA"/>
        </w:rPr>
        <w:t xml:space="preserve">   </w:t>
      </w:r>
      <w:r>
        <w:rPr>
          <w:rFonts w:hint="default" w:ascii="宋体" w:hAnsi="宋体" w:eastAsia="宋体" w:cs="宋体"/>
          <w:b w:val="0"/>
          <w:color w:val="auto"/>
          <w:sz w:val="24"/>
          <w:szCs w:val="22"/>
          <w:highlight w:val="none"/>
          <w:lang w:val="en-US" w:eastAsia="zh-CN" w:bidi="ar-SA"/>
        </w:rPr>
        <w:t xml:space="preserve">月</w:t>
      </w:r>
      <w:r>
        <w:rPr>
          <w:rFonts w:hint="eastAsia" w:ascii="宋体" w:hAnsi="宋体" w:eastAsia="宋体" w:cs="宋体"/>
          <w:b w:val="0"/>
          <w:color w:val="auto"/>
          <w:sz w:val="24"/>
          <w:szCs w:val="22"/>
          <w:highlight w:val="none"/>
          <w:lang w:val="en-US" w:eastAsia="zh-CN" w:bidi="ar-SA"/>
        </w:rPr>
        <w:t xml:space="preserve">   </w:t>
      </w:r>
      <w:r>
        <w:rPr>
          <w:rFonts w:hint="default" w:ascii="宋体" w:hAnsi="宋体" w:eastAsia="宋体" w:cs="宋体"/>
          <w:b w:val="0"/>
          <w:color w:val="auto"/>
          <w:sz w:val="24"/>
          <w:szCs w:val="22"/>
          <w:highlight w:val="none"/>
          <w:lang w:val="en-US" w:eastAsia="zh-CN" w:bidi="ar-SA"/>
        </w:rPr>
        <w:t xml:space="preserve">日签字生效，授权期限至本次采购活动结束止，特此声明。</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牵头人名称(盖单位公章)：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地 址：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法定代表人签字或盖章：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联合体成员名称(盖单位公章)：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地 址：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法定代表人签字或盖章：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委托代理人签字：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职 务：                       </w:t>
      </w:r>
      <w:r/>
    </w:p>
    <w:p>
      <w:pPr>
        <w:pStyle w:val="605"/>
        <w:ind w:left="0" w:right="0" w:firstLine="560"/>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日 期：                        </w:t>
      </w:r>
      <w:r/>
    </w:p>
    <w:p>
      <w:pPr>
        <w:pStyle w:val="605"/>
        <w:ind w:left="0" w:right="0" w:firstLine="411"/>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 附：委托代理人居民身份证扫描件</w:t>
      </w:r>
      <w:r/>
    </w:p>
    <w:p>
      <w:pPr>
        <w:pStyle w:val="605"/>
        <w:ind w:left="0" w:right="0" w:firstLine="411"/>
        <w:jc w:val="left"/>
        <w:keepLines/>
        <w:keepNext/>
        <w:pageBreakBefore w:val="0"/>
        <w:spacing w:before="0" w:after="0" w:line="85" w:lineRule="atLeast"/>
        <w:widowControl w:val="off"/>
        <w:rPr>
          <w:rFonts w:hint="default" w:ascii="宋体" w:hAnsi="宋体" w:eastAsia="宋体" w:cs="宋体"/>
          <w:b w:val="0"/>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color w:val="auto"/>
          <w:sz w:val="24"/>
          <w:szCs w:val="22"/>
          <w:highlight w:val="none"/>
          <w:lang w:val="en-US" w:eastAsia="zh-CN" w:bidi="ar-SA"/>
        </w:rPr>
        <w:t xml:space="preserve"> 注：1、“法定代表人”授权委托其他人（必须为供应商正式员工，证 明材料：近半年（至少 1 个月）投标人为其缴纳的社会保险证明材料） 参加投标活动的，需填写法定代表人身份证明书和本委托书。</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ind w:left="0" w:right="0" w:firstLine="420"/>
        <w:jc w:val="both"/>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rPr>
        <w:t xml:space="preserve"> </w:t>
      </w:r>
      <w:r/>
    </w:p>
    <w:p>
      <w:pPr>
        <w:pStyle w:val="604"/>
        <w:ind w:left="0" w:right="0" w:firstLine="0"/>
        <w:jc w:val="center"/>
        <w:spacing w:before="260" w:after="260" w:line="85" w:lineRule="atLeast"/>
        <w:rPr>
          <w:rFonts w:hint="eastAsia" w:ascii="楷体" w:hAnsi="楷体" w:eastAsia="楷体" w:cs="楷体"/>
          <w:b/>
          <w:color w:val="auto"/>
          <w:sz w:val="32"/>
          <w:szCs w:val="22"/>
          <w:lang w:val="en-US" w:eastAsia="zh-CN" w:bidi="ar-SA"/>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2"/>
          <w:szCs w:val="22"/>
          <w:lang w:val="en-US" w:eastAsia="zh-CN" w:bidi="ar-SA"/>
        </w:rPr>
        <w:t xml:space="preserve">（三）</w:t>
      </w:r>
      <w:r/>
    </w:p>
    <w:p>
      <w:pPr>
        <w:pStyle w:val="604"/>
        <w:ind w:left="0" w:right="0" w:firstLine="0"/>
        <w:jc w:val="center"/>
        <w:spacing w:before="260" w:after="260" w:line="85" w:lineRule="atLeast"/>
        <w:rPr>
          <w:rFonts w:hint="default" w:ascii="楷体" w:hAnsi="楷体" w:eastAsia="楷体" w:cs="楷体"/>
          <w:b/>
          <w:color w:val="auto"/>
          <w:sz w:val="32"/>
          <w:szCs w:val="22"/>
          <w:lang w:val="en-US" w:eastAsia="zh-CN" w:bidi="ar-SA"/>
        </w:rPr>
        <w:pBdr>
          <w:top w:val="none" w:color="000000" w:sz="0" w:space="0"/>
          <w:left w:val="none" w:color="000000" w:sz="0" w:space="0"/>
          <w:bottom w:val="none" w:color="000000" w:sz="0" w:space="0"/>
          <w:right w:val="none" w:color="000000" w:sz="0" w:space="0"/>
        </w:pBdr>
      </w:pPr>
      <w:r>
        <w:rPr>
          <w:rFonts w:hint="default" w:ascii="楷体" w:hAnsi="楷体" w:eastAsia="楷体" w:cs="楷体"/>
          <w:b/>
          <w:color w:val="auto"/>
          <w:sz w:val="32"/>
          <w:szCs w:val="22"/>
          <w:lang w:val="en-US" w:eastAsia="zh-CN" w:bidi="ar-SA"/>
        </w:rPr>
        <w:t xml:space="preserve">联合体协议</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决定共同组成</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[联合体名称]（“联合体”），参加[（项目编号：JSZC-321181-JZCG-G2026-0022）]丹阳市城市生命线安全工程一期建设项目服务的响应。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现就联合体响应事宜订立如下协议。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 某成员单位名称 ]为[ 联合体名称 ]牵头人。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2、牵头人公司全权代表联合体处理本项目的一切相关事宜。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3、连带责任： 联合体每一成员均应对联合体在本投标文件项下的义务承担连带法律责任；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4、联合体各成员单位承担的工作分工如下：</w:t>
      </w:r>
      <w:r>
        <w:rPr>
          <w:rFonts w:hint="eastAsia" w:ascii="宋体" w:hAnsi="宋体" w:eastAsia="宋体" w:cs="宋体"/>
          <w:color w:val="auto"/>
          <w:sz w:val="24"/>
          <w:highlight w:val="none"/>
          <w:u w:val="singl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5、联合体各成员单位承担的责任分工如下：</w:t>
      </w:r>
      <w:r>
        <w:rPr>
          <w:rFonts w:hint="eastAsia" w:ascii="宋体" w:hAnsi="宋体" w:eastAsia="宋体" w:cs="宋体"/>
          <w:color w:val="auto"/>
          <w:sz w:val="24"/>
          <w:highlight w:val="none"/>
          <w:u w:val="singl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6、小型、微型企业的协议合同金额占到联合体协议合同总金额的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7、未尽事项，联合体各方可自行添加：</w:t>
      </w:r>
      <w:r>
        <w:rPr>
          <w:rFonts w:hint="eastAsia" w:ascii="宋体" w:hAnsi="宋体" w:eastAsia="宋体" w:cs="宋体"/>
          <w:color w:val="auto"/>
          <w:sz w:val="24"/>
          <w:highlight w:val="none"/>
          <w:u w:val="singl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牵头人名称(盖单位公章)：</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法定代表人签字或盖章：</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地 址：</w:t>
      </w:r>
      <w:r>
        <w:rPr>
          <w:rFonts w:hint="eastAsia" w:ascii="宋体" w:hAnsi="宋体" w:eastAsia="宋体" w:cs="宋体"/>
          <w:color w:val="auto"/>
          <w:sz w:val="24"/>
          <w:highlight w:val="none"/>
          <w:u w:val="singl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联合体成员名称(盖单位公章)：</w:t>
      </w:r>
      <w:r>
        <w:rPr>
          <w:rFonts w:hint="eastAsia" w:ascii="宋体" w:hAnsi="宋体" w:eastAsia="宋体" w:cs="宋体"/>
          <w:color w:val="auto"/>
          <w:sz w:val="24"/>
          <w:highlight w:val="none"/>
          <w:u w:val="singl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法定代表人签字或盖章：</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地 址：</w:t>
      </w:r>
      <w:r>
        <w:rPr>
          <w:rFonts w:hint="eastAsia" w:ascii="宋体" w:hAnsi="宋体" w:eastAsia="宋体" w:cs="宋体"/>
          <w:color w:val="auto"/>
          <w:sz w:val="24"/>
          <w:highlight w:val="none"/>
          <w:u w:val="single"/>
          <w:lang w:val="en-US" w:eastAsia="zh-CN"/>
        </w:rPr>
        <w:t xml:space="preserve">                        </w:t>
      </w:r>
      <w:r/>
    </w:p>
    <w:p>
      <w:pPr>
        <w:ind w:left="630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注：1、如是联合体投标，联合体各成员均须单独提供法定代表人身份证明书。 </w:t>
      </w:r>
      <w:r/>
    </w:p>
    <w:p>
      <w:pPr>
        <w:ind w:left="0" w:right="0" w:firstLine="420"/>
        <w:jc w:val="left"/>
        <w:keepLines w:val="0"/>
        <w:keepNext w:val="0"/>
        <w:pageBreakBefore w:val="0"/>
        <w:spacing w:before="0" w:after="0" w:line="85" w:lineRule="atLeast"/>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根据《政府采购促进中小企业发展管理办法》的要求，联合协议中约定，小型、微型企业的协议合同金额占到联合体协议合同总金额30%以上的，给予联合体4%的价格调减。联合体各方均为小型、微型企业的，联合体视同为小型、微型企业。</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一、资格条件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（一）具有独立承担民事责任的能力</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（二）具有良好的商业信誉和健全的财务会计制度</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（三）有依法缴纳税收和社会保障资金的良好记录</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（四）具备履行合同所必需的设备和专业技术能力的书面声明。</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（五）参加政府采购活动前3年内在经营活动中没有重大违法记录的书面声明。</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声明</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rFonts w:ascii="宋体" w:hAnsi="宋体" w:eastAsia="宋体" w:cs="宋体"/>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（六）落实政府采购政策需满足的资格要求：</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right="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（七）资格承诺函</w:t>
      </w:r>
      <w:r/>
    </w:p>
    <w:p>
      <w:pPr>
        <w:ind w:left="0" w:righ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资格承诺函</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___________（采购人、采购代理机构）</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我单位参与</w:t>
      </w:r>
      <w:r>
        <w:rPr>
          <w:rFonts w:ascii="宋体" w:hAnsi="宋体" w:eastAsia="宋体" w:cs="宋体"/>
          <w:color w:val="auto"/>
          <w:sz w:val="24"/>
          <w:highlight w:val="none"/>
          <w:u w:val="single"/>
        </w:rPr>
        <w:t xml:space="preserve">______________（项目名称）______________（项目编号）</w:t>
      </w:r>
      <w:r>
        <w:rPr>
          <w:rFonts w:ascii="宋体" w:hAnsi="宋体" w:eastAsia="宋体" w:cs="宋体"/>
          <w:color w:val="auto"/>
          <w:sz w:val="24"/>
          <w:highlight w:val="none"/>
        </w:rPr>
        <w:t xml:space="preserve">项目的政府采购活动，现承诺如下：</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1.我方具有良好的商业信誉和健全的财务会计制度。</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2.我方具有履行合同所必需的设备和专业技术能力。</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3.我方具有依法缴纳税收和社会保障资金的良好记录。</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4.我方参加本项目采购活动前三年内，在经营活动中没有重大违法记录。</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若我单位承诺不实，自愿承担提供虚假材料谋取中标、成交的法律责任。</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投标（响应）供应商（全称并盖章）：</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供应商法定代表人或授权代表（签字或签章）：</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___________</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说明：1.供应商可自行选择是否提供本承诺函，若不提供本承诺函的，应按采购文件要求提供相应的证明材料。</w:t>
      </w:r>
      <w:r/>
    </w:p>
    <w:p>
      <w:pPr>
        <w:ind w:left="0" w:right="0" w:firstLine="480"/>
        <w:jc w:val="both"/>
        <w:pageBreakBefore w:val="0"/>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注：如是联合体参加投标的，联合体各方均须提供。</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二、符合条件</w:t>
      </w:r>
      <w:r/>
    </w:p>
    <w:p>
      <w:pPr>
        <w:ind w:left="0" w:right="0" w:firstLine="372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（一）投标报价</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二</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服务</w:t>
      </w:r>
      <w:r>
        <w:rPr>
          <w:rFonts w:hint="eastAsia" w:asciiTheme="minorEastAsia" w:hAnsiTheme="minorEastAsia"/>
          <w:color w:val="auto"/>
          <w:sz w:val="24"/>
          <w:szCs w:val="24"/>
          <w:highlight w:val="none"/>
        </w:rPr>
        <w:t xml:space="preserve">要求响应</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tbl>
      <w:tblPr>
        <w:tblStyle w:val="613"/>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注：针对采购需求中“二、技术要求”的进行逐条响应。</w:t>
      </w:r>
      <w:r/>
    </w:p>
    <w:p>
      <w:pPr>
        <w:pStyle w:val="790"/>
        <w:numPr>
          <w:ilvl w:val="0"/>
          <w:numId w:val="0"/>
        </w:numPr>
        <w:ind w:left="0" w:firstLine="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1、</w:t>
      </w:r>
      <w:r>
        <w:rPr>
          <w:rStyle w:val="612"/>
          <w:rFonts w:hint="eastAsia" w:ascii="宋体" w:hAnsi="宋体" w:eastAsia="宋体" w:cs="宋体"/>
          <w:color w:val="auto"/>
          <w:sz w:val="24"/>
          <w:szCs w:val="24"/>
          <w:highlight w:val="none"/>
          <w:lang w:val="en-US" w:eastAsia="zh-CN"/>
        </w:rPr>
        <w:t xml:space="preserve">“偏离”系指“正偏离”、“负偏离”或“无偏离”。</w:t>
      </w:r>
      <w:r/>
    </w:p>
    <w:p>
      <w:pPr>
        <w:pStyle w:val="790"/>
        <w:numPr>
          <w:ilvl w:val="0"/>
          <w:numId w:val="0"/>
        </w:numPr>
        <w:ind w:left="0" w:firstLine="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2、</w:t>
      </w:r>
      <w:r>
        <w:rPr>
          <w:rStyle w:val="612"/>
          <w:rFonts w:hint="eastAsia" w:ascii="宋体" w:hAnsi="宋体" w:eastAsia="宋体" w:cs="宋体"/>
          <w:color w:val="auto"/>
          <w:sz w:val="24"/>
          <w:szCs w:val="24"/>
          <w:highlight w:val="none"/>
          <w:lang w:val="en-US" w:eastAsia="zh-CN"/>
        </w:rPr>
        <w:t xml:space="preserve">投标人应逐一说明投标服务内容和偏离情况，如直接拷贝或简单复制招标文件服务内容的，服务响应情况评分按得零分处理；</w:t>
      </w:r>
      <w:r/>
    </w:p>
    <w:p>
      <w:pPr>
        <w:pStyle w:val="790"/>
        <w:numPr>
          <w:ilvl w:val="0"/>
          <w:numId w:val="0"/>
        </w:numPr>
        <w:ind w:left="0" w:firstLine="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3、</w:t>
      </w:r>
      <w:r>
        <w:rPr>
          <w:rStyle w:val="612"/>
          <w:rFonts w:hint="eastAsia" w:ascii="宋体" w:hAnsi="宋体" w:eastAsia="宋体" w:cs="宋体"/>
          <w:color w:val="auto"/>
          <w:sz w:val="24"/>
          <w:szCs w:val="24"/>
          <w:highlight w:val="none"/>
          <w:lang w:val="en-US" w:eastAsia="zh-CN"/>
        </w:rPr>
        <w:t xml:space="preserve">投标人在《服务响应及偏离表》中须如实表述服务内容，虚构服务内容的，将视为虚假应标，按照无效投标处理。</w:t>
      </w:r>
      <w:r/>
    </w:p>
    <w:p>
      <w:pPr>
        <w:pStyle w:val="790"/>
        <w:numPr>
          <w:ilvl w:val="0"/>
          <w:numId w:val="0"/>
        </w:numPr>
        <w:ind w:left="0" w:firstLine="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4、</w:t>
      </w:r>
      <w:r>
        <w:rPr>
          <w:rStyle w:val="612"/>
          <w:rFonts w:hint="eastAsia" w:ascii="宋体" w:hAnsi="宋体" w:eastAsia="宋体" w:cs="宋体"/>
          <w:color w:val="auto"/>
          <w:sz w:val="24"/>
          <w:szCs w:val="24"/>
          <w:highlight w:val="none"/>
          <w:lang w:val="en-US" w:eastAsia="zh-CN"/>
        </w:rPr>
        <w:t xml:space="preserve">行数不够可自行添加。</w:t>
      </w:r>
      <w:r/>
    </w:p>
    <w:p>
      <w:pPr>
        <w:pStyle w:val="790"/>
        <w:numPr>
          <w:ilvl w:val="0"/>
          <w:numId w:val="0"/>
        </w:numPr>
        <w:ind w:left="0" w:firstLine="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5、</w:t>
      </w:r>
      <w:r>
        <w:rPr>
          <w:rStyle w:val="612"/>
          <w:rFonts w:hint="eastAsia" w:ascii="宋体" w:hAnsi="宋体" w:eastAsia="宋体" w:cs="宋体"/>
          <w:color w:val="auto"/>
          <w:sz w:val="24"/>
          <w:szCs w:val="24"/>
          <w:highlight w:val="none"/>
          <w:lang w:val="en-US" w:eastAsia="zh-CN"/>
        </w:rPr>
        <w:t xml:space="preserve">相关证明材料附后。</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right"/>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right"/>
        <w:pageBreakBefore w:val="0"/>
        <w:rPr>
          <w:rStyle w:val="612"/>
          <w:rFonts w:hint="eastAsia" w:ascii="宋体" w:hAnsi="宋体" w:eastAsia="宋体" w:cs="宋体"/>
          <w:color w:val="auto"/>
          <w:sz w:val="24"/>
          <w:szCs w:val="24"/>
          <w:highlight w:val="none"/>
        </w:rPr>
      </w:pPr>
      <w:r>
        <w:rPr>
          <w:rStyle w:val="612"/>
          <w:rFonts w:hint="eastAsia" w:ascii="宋体" w:hAnsi="宋体" w:eastAsia="宋体" w:cs="宋体"/>
          <w:color w:val="auto"/>
          <w:sz w:val="24"/>
          <w:szCs w:val="24"/>
          <w:highlight w:val="none"/>
          <w:lang w:val="en-US" w:eastAsia="zh-CN"/>
        </w:rPr>
        <w:t xml:space="preserve">投标人（加盖公章）：</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both"/>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ind w:firstLine="480"/>
        <w:jc w:val="center"/>
        <w:pageBreakBefore w:val="0"/>
        <w:rPr>
          <w:rFonts w:hint="eastAsia"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lang w:eastAsia="zh-CN"/>
        </w:rPr>
        <w:t xml:space="preserve">（三）商务要求响应</w:t>
      </w:r>
      <w:r/>
    </w:p>
    <w:p>
      <w:pPr>
        <w:ind w:firstLine="480"/>
        <w:jc w:val="both"/>
        <w:pageBreakBefore w:val="0"/>
        <w:rPr>
          <w:rFonts w:asciiTheme="minorEastAsia" w:hAnsiTheme="minorEastAsia"/>
          <w:color w:val="auto"/>
          <w:sz w:val="24"/>
          <w:szCs w:val="24"/>
          <w:highlight w:val="none"/>
        </w:rPr>
      </w:pPr>
      <w:r>
        <w:rPr>
          <w:rFonts w:asciiTheme="minorEastAsia" w:hAnsiTheme="minorEastAsia"/>
          <w:color w:val="auto"/>
          <w:sz w:val="24"/>
          <w:szCs w:val="24"/>
          <w:highlight w:val="none"/>
        </w:rPr>
      </w:r>
      <w:r/>
    </w:p>
    <w:tbl>
      <w:tblPr>
        <w:tblStyle w:val="613"/>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790"/>
              <w:jc w:val="center"/>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790"/>
              <w:jc w:val="center"/>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790"/>
              <w:jc w:val="center"/>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790"/>
              <w:jc w:val="center"/>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790"/>
              <w:jc w:val="center"/>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790"/>
              <w:jc w:val="center"/>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790"/>
              <w:jc w:val="left"/>
              <w:pageBreakBefore w:val="0"/>
              <w:widowControl w:val="off"/>
              <w:tabs>
                <w:tab w:val="left" w:pos="567" w:leader="none"/>
                <w:tab w:val="left" w:pos="709" w:leader="none"/>
                <w:tab w:val="left" w:pos="993" w:leader="none"/>
              </w:tabs>
              <w:rPr>
                <w:rStyle w:val="612"/>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91"/>
        <w:pageBreakBefore w:val="0"/>
        <w:rPr>
          <w:rFonts w:hint="eastAsia"/>
          <w:color w:val="auto"/>
          <w:highlight w:val="none"/>
        </w:rPr>
      </w:pPr>
      <w:r>
        <w:rPr>
          <w:rFonts w:hint="eastAsia"/>
          <w:color w:val="auto"/>
          <w:highlight w:val="none"/>
        </w:rPr>
      </w:r>
      <w:r/>
    </w:p>
    <w:p>
      <w:pPr>
        <w:pStyle w:val="790"/>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注：针对采购需求中的“三、商务要求”进行逐条响应。</w:t>
      </w:r>
      <w:r/>
    </w:p>
    <w:p>
      <w:pPr>
        <w:pStyle w:val="790"/>
        <w:numPr>
          <w:ilvl w:val="0"/>
          <w:numId w:val="0"/>
        </w:numPr>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1、“偏离”系指“正偏离”、“负偏离”或“无偏离”。</w:t>
      </w:r>
      <w:r/>
    </w:p>
    <w:p>
      <w:pPr>
        <w:pStyle w:val="790"/>
        <w:numPr>
          <w:ilvl w:val="0"/>
          <w:numId w:val="0"/>
        </w:numPr>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2、投标人应逐一说明投标服务内容和偏离情况，如直接拷贝或简单复制招标文件服务内容的，服务响应情况评分按得零分处理；</w:t>
      </w:r>
      <w:r/>
    </w:p>
    <w:p>
      <w:pPr>
        <w:pStyle w:val="790"/>
        <w:numPr>
          <w:ilvl w:val="0"/>
          <w:numId w:val="0"/>
        </w:numPr>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3、投标人在《服务响应及偏离表》中须如实表述服务内容，虚构服务内容的，将视为虚假应标，按照无效投标处理。</w:t>
      </w:r>
      <w:r/>
    </w:p>
    <w:p>
      <w:pPr>
        <w:pStyle w:val="790"/>
        <w:numPr>
          <w:ilvl w:val="0"/>
          <w:numId w:val="0"/>
        </w:numPr>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4、行数不够可自行添加。</w:t>
      </w:r>
      <w:r/>
    </w:p>
    <w:p>
      <w:pPr>
        <w:pStyle w:val="790"/>
        <w:numPr>
          <w:ilvl w:val="0"/>
          <w:numId w:val="0"/>
        </w:numPr>
        <w:jc w:val="lef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5、相关证明材料附后。</w:t>
      </w:r>
      <w:r/>
    </w:p>
    <w:p>
      <w:pPr>
        <w:pStyle w:val="790"/>
        <w:numPr>
          <w:ilvl w:val="0"/>
          <w:numId w:val="0"/>
        </w:numPr>
        <w:jc w:val="right"/>
        <w:keepLines w:val="0"/>
        <w:keepNext w:val="0"/>
        <w:pageBreakBefore w:val="0"/>
        <w:spacing w:line="360" w:lineRule="auto"/>
        <w:widowControl/>
        <w:rPr>
          <w:rStyle w:val="612"/>
          <w:rFonts w:hint="eastAsia" w:ascii="宋体" w:hAnsi="宋体" w:eastAsia="宋体" w:cs="宋体"/>
          <w:color w:val="auto"/>
          <w:sz w:val="24"/>
          <w:szCs w:val="24"/>
          <w:highlight w:val="none"/>
        </w:rPr>
        <w:suppressLineNumbers w:val="0"/>
      </w:pPr>
      <w:r>
        <w:rPr>
          <w:rStyle w:val="612"/>
          <w:rFonts w:hint="eastAsia" w:ascii="宋体" w:hAnsi="宋体" w:eastAsia="宋体" w:cs="宋体"/>
          <w:color w:val="auto"/>
          <w:sz w:val="24"/>
          <w:szCs w:val="24"/>
          <w:highlight w:val="none"/>
          <w:lang w:val="en-US" w:eastAsia="zh-CN"/>
        </w:rPr>
        <w:t xml:space="preserve">投标人（加盖公章）：</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rPr>
        <w:t xml:space="preserve"> </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ageBreakBefore w:val="0"/>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numPr>
          <w:ilvl w:val="0"/>
          <w:numId w:val="0"/>
        </w:numPr>
        <w:ind w:left="0" w:firstLine="0"/>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rPr>
          <w:rFonts w:hint="eastAsia" w:ascii="宋体" w:hAnsi="宋体" w:eastAsia="宋体" w:cs="宋体"/>
          <w:b/>
          <w:color w:val="auto"/>
          <w:sz w:val="30"/>
          <w:highlight w:val="none"/>
          <w:lang w:val="en-US" w:eastAsia="zh-CN"/>
        </w:rPr>
        <w:t xml:space="preserve">三、</w:t>
      </w:r>
      <w:r>
        <w:rPr>
          <w:rFonts w:ascii="宋体" w:hAnsi="宋体" w:eastAsia="宋体" w:cs="宋体"/>
          <w:b/>
          <w:color w:val="auto"/>
          <w:sz w:val="30"/>
          <w:highlight w:val="none"/>
        </w:rPr>
        <w:t xml:space="preserve">综合评审评分项</w:t>
      </w:r>
      <w:r/>
    </w:p>
    <w:p>
      <w:pPr>
        <w:numPr>
          <w:ilvl w:val="0"/>
          <w:numId w:val="0"/>
        </w:numPr>
        <w:jc w:val="center"/>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lang w:eastAsia="zh-CN"/>
        </w:rPr>
        <w:t xml:space="preserve">（</w:t>
      </w:r>
      <w:r>
        <w:rPr>
          <w:rFonts w:hint="eastAsia" w:ascii="宋体" w:hAnsi="宋体" w:eastAsia="宋体" w:cs="宋体"/>
          <w:b/>
          <w:color w:val="auto"/>
          <w:sz w:val="30"/>
          <w:highlight w:val="none"/>
          <w:lang w:val="en-US" w:eastAsia="zh-CN"/>
        </w:rPr>
        <w:t xml:space="preserve">与评分因素一一对应、格式自拟</w:t>
      </w:r>
      <w:r>
        <w:rPr>
          <w:rFonts w:hint="eastAsia" w:ascii="宋体" w:hAnsi="宋体" w:eastAsia="宋体" w:cs="宋体"/>
          <w:b/>
          <w:color w:val="auto"/>
          <w:sz w:val="30"/>
          <w:highlight w:val="none"/>
          <w:lang w:eastAsia="zh-CN"/>
        </w:rPr>
        <w:t xml:space="preserve">）</w:t>
      </w:r>
      <w:r/>
    </w:p>
    <w:p>
      <w:pPr>
        <w:ind w:left="0" w:right="0" w:firstLine="4426"/>
        <w:jc w:val="both"/>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rPr>
        <w:t xml:space="preserve">项目负责人</w:t>
      </w:r>
      <w:r/>
    </w:p>
    <w:p>
      <w:pPr>
        <w:ind w:left="0" w:right="0" w:firstLine="0"/>
        <w:jc w:val="center"/>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8"/>
        </w:rPr>
        <w:t xml:space="preserve"> </w:t>
      </w:r>
      <w:r/>
    </w:p>
    <w:tbl>
      <w:tblPr>
        <w:tblStyle w:val="6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3118"/>
        <w:gridCol w:w="3118"/>
      </w:tblGrid>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0" w:right="0" w:firstLine="482"/>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color w:val="auto"/>
              </w:rPr>
              <w:br w:type="page" w:clear="all"/>
            </w:r>
            <w:r/>
          </w:p>
          <w:p>
            <w:pPr>
              <w:ind w:left="0" w:right="0" w:firstLine="482"/>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姓名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近3年工作业绩及承担的主要工作</w:t>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性别</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vMerge w:val="restart"/>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年龄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职称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毕业时间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所学专业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学历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证书名称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专业资格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6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联系电话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rPr>
            </w:pPr>
            <w:r>
              <w:rPr>
                <w:color w:val="auto"/>
              </w:rPr>
            </w:r>
            <w:r/>
          </w:p>
        </w:tc>
      </w:tr>
      <w:tr>
        <w:trPr>
          <w:trHeight w:val="14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18" w:type="dxa"/>
            <w:vAlign w:val="center"/>
            <w:textDirection w:val="lrTb"/>
            <w:noWrap w:val="false"/>
          </w:tcPr>
          <w:p>
            <w:pPr>
              <w:ind w:left="-15"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曾担任项目负责人的项目</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6" w:type="dxa"/>
            <w:vAlign w:val="center"/>
            <w:textDirection w:val="lrTb"/>
            <w:noWrap w:val="false"/>
          </w:tcPr>
          <w:p>
            <w:pPr>
              <w:ind w:left="-15"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 </w:t>
            </w:r>
            <w:r/>
          </w:p>
        </w:tc>
      </w:tr>
    </w:tbl>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u w:val="single"/>
          <w:lang w:val="en-US" w:eastAsia="zh-CN"/>
        </w:rPr>
        <w:t xml:space="preserve">负责人</w:t>
      </w:r>
      <w:r>
        <w:rPr>
          <w:rFonts w:ascii="宋体" w:hAnsi="宋体" w:eastAsia="宋体" w:cs="宋体"/>
          <w:color w:val="auto"/>
          <w:sz w:val="24"/>
          <w:highlight w:val="none"/>
          <w:u w:val="single"/>
        </w:rPr>
        <w:t xml:space="preserve">具有工作经验的，应在本栏目提交相关证明材料扫描件。</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列入本表人员如要更换，需经采购人同意。擅自更换属违约行为。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u w:val="single"/>
          <w:lang w:val="en-US" w:eastAsia="zh-CN"/>
        </w:rPr>
        <w:t xml:space="preserve">负责人</w:t>
      </w:r>
      <w:r>
        <w:rPr>
          <w:rFonts w:ascii="宋体" w:hAnsi="宋体" w:eastAsia="宋体" w:cs="宋体"/>
          <w:color w:val="auto"/>
          <w:sz w:val="24"/>
          <w:highlight w:val="none"/>
          <w:u w:val="single"/>
        </w:rPr>
        <w:t xml:space="preserve">须提供近半年（至少一个月）投标人为其缴纳社会保险的证明材料。</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ageBreakBefore w:val="0"/>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48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项目实施成员能力</w:t>
      </w:r>
      <w:r/>
    </w:p>
    <w:tbl>
      <w:tblPr>
        <w:tblStyle w:val="633"/>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rFonts w:ascii="宋体" w:eastAsia="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pageBreakBefore w:val="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tc>
      </w:tr>
    </w:tbl>
    <w:p>
      <w:pPr>
        <w:ind w:left="0" w:right="0" w:firstLine="480"/>
        <w:jc w:val="both"/>
        <w:pageBreakBefore w:val="0"/>
        <w:spacing w:before="12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注：1、列入本表人员如要更换，须经采购人同意，擅自更换属违约行为。</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2、列入上表人员需提供近半年（至少一个月）投标人为其缴纳社会保险的证明材料。</w:t>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3、列入上表人员具有工作经验的，应在本栏目提交相关证明材料扫描件。</w:t>
      </w:r>
      <w:r/>
    </w:p>
    <w:p>
      <w:pPr>
        <w:ind w:left="0" w:right="0" w:firstLine="480"/>
        <w:jc w:val="both"/>
        <w:pageBreakBefore w:val="0"/>
        <w:spacing w:before="0" w:after="0"/>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lang w:val="en-US" w:eastAsia="zh-CN"/>
        </w:rPr>
        <w:t xml:space="preserve">4、行数不够可自行添加。</w:t>
      </w:r>
      <w:r/>
    </w:p>
    <w:p>
      <w:pPr>
        <w:ind w:left="0" w:right="0" w:firstLine="480"/>
        <w:jc w:val="both"/>
        <w:pageBreakBefore w:val="0"/>
        <w:spacing w:before="0" w:after="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3415"/>
        <w:pageBreakBefore w:val="0"/>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四</w:t>
      </w:r>
      <w:r>
        <w:rPr>
          <w:rFonts w:ascii="宋体" w:hAnsi="宋体" w:eastAsia="宋体" w:cs="宋体"/>
          <w:b/>
          <w:color w:val="auto"/>
          <w:sz w:val="30"/>
          <w:highlight w:val="none"/>
        </w:rPr>
        <w:t xml:space="preserve">、其他部分</w:t>
      </w:r>
      <w:r/>
    </w:p>
    <w:p>
      <w:pPr>
        <w:ind w:left="0" w:right="0" w:firstLine="0"/>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4"/>
          <w:highlight w:val="none"/>
        </w:rPr>
        <w:t xml:space="preserve"> </w:t>
      </w:r>
      <w:r/>
    </w:p>
    <w:p>
      <w:pPr>
        <w:ind w:left="0" w:right="0" w:firstLine="883"/>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highlight w:val="none"/>
        </w:rPr>
        <w:t xml:space="preserve">价格折扣文件格式</w:t>
      </w:r>
      <w:r/>
    </w:p>
    <w:p>
      <w:pPr>
        <w:ind w:left="0" w:right="0" w:firstLine="0"/>
        <w:jc w:val="center"/>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(一)中小企业声明函</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1.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2. （标的名称） ，属于（采购文件中明确的所属行业）；承接企业为（企业名称），从业人员    人，营业 收入为    万元，资产总额为    万元，属于（中型企业、 小型企业、微型企业）；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本企业对上述声明内容的真实性负责。如有虚假，将依法承担相应责任。 </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企业名称（盖章）：</w:t>
      </w:r>
      <w:r/>
    </w:p>
    <w:p>
      <w:pPr>
        <w:ind w:left="0" w:right="0" w:firstLine="504"/>
        <w:pageBreakBefore w:val="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日 期：      </w:t>
      </w:r>
      <w:r/>
    </w:p>
    <w:p>
      <w:pPr>
        <w:ind w:left="0" w:right="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注：从业人员、营业收入、资产总额填报上一年度数据，无上一年度数据的新成立企业可不填报。</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（二）残疾人福利性单位声明函</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p>
    <w:p>
      <w:pPr>
        <w:ind w:left="0" w:right="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（备注：1、供应商如不提供此声明函，价格将不做相应扣除。2、成交供应商为残疾人福利单位的，此声明函将随成交结果同时公告，接受社会监督）</w:t>
      </w:r>
      <w:r/>
    </w:p>
    <w:p>
      <w:pPr>
        <w:ind w:left="0" w:right="0" w:firstLine="504"/>
        <w:jc w:val="both"/>
        <w:pageBreakBefore w:val="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1560" w:firstLine="504"/>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rPr>
          <w:rFonts w:ascii="宋体" w:hAnsi="宋体" w:eastAsia="宋体" w:cs="宋体"/>
          <w:color w:val="auto"/>
          <w:sz w:val="24"/>
          <w:highlight w:val="none"/>
        </w:rPr>
        <w:t xml:space="preserve">供应商全称（加盖CA电子公章）：</w:t>
      </w:r>
      <w:r/>
    </w:p>
    <w:p>
      <w:pPr>
        <w:ind w:left="0" w:right="1560" w:firstLine="48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482"/>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pStyle w:val="605"/>
        <w:ind w:left="0" w:right="0" w:firstLine="0"/>
        <w:jc w:val="both"/>
        <w:pageBreakBefore w:val="0"/>
        <w:spacing w:before="260" w:after="260" w:line="55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both"/>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2"/>
        <w:jc w:val="center"/>
        <w:pageBreakBefore w:val="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numPr>
          <w:ilvl w:val="0"/>
          <w:numId w:val="0"/>
        </w:numPr>
        <w:jc w:val="center"/>
        <w:pageBreakBefore w:val="0"/>
        <w:spacing w:before="0" w:after="0"/>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按招标文件要求供应商所能提供的其他文件</w:t>
      </w:r>
      <w:r/>
    </w:p>
    <w:p>
      <w:pPr>
        <w:ind w:left="0" w:right="0" w:firstLine="0"/>
        <w:pageBreakBefore w:val="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rPr>
      </w:pPr>
      <w:r>
        <w:rPr>
          <w:color w:val="auto"/>
        </w:rPr>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黑体">
    <w:panose1 w:val="02010609060101010101"/>
  </w:font>
  <w:font w:name="Cambria Math">
    <w:panose1 w:val="02040503050406030204"/>
  </w:font>
  <w:font w:name="Segoe UI Symbol">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03">
    <w:name w:val="Heading 1"/>
    <w:basedOn w:val="602"/>
    <w:next w:val="602"/>
    <w:link w:val="639"/>
    <w:uiPriority w:val="9"/>
    <w:qFormat/>
    <w:pPr>
      <w:keepLines/>
      <w:keepNext/>
      <w:spacing w:before="480" w:after="200"/>
      <w:outlineLvl w:val="0"/>
    </w:pPr>
    <w:rPr>
      <w:rFonts w:ascii="Arial" w:hAnsi="Arial" w:eastAsia="Arial" w:cs="Arial"/>
      <w:sz w:val="40"/>
      <w:szCs w:val="40"/>
    </w:rPr>
  </w:style>
  <w:style w:type="paragraph" w:styleId="604">
    <w:name w:val="Heading 2"/>
    <w:uiPriority w:val="9"/>
    <w:unhideWhenUsed/>
    <w:qFormat/>
    <w:pPr>
      <w:keepLines/>
      <w:keepNext/>
      <w:spacing w:before="360" w:after="200"/>
      <w:outlineLvl w:val="1"/>
    </w:pPr>
    <w:rPr>
      <w:rFonts w:hint="default" w:ascii="Arial" w:hAnsi="Arial" w:eastAsia="Arial" w:cs="Arial"/>
      <w:sz w:val="34"/>
      <w:szCs w:val="22"/>
    </w:rPr>
  </w:style>
  <w:style w:type="paragraph" w:styleId="605">
    <w:name w:val="Heading 3"/>
    <w:basedOn w:val="602"/>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06">
    <w:name w:val="Heading 4"/>
    <w:basedOn w:val="602"/>
    <w:next w:val="602"/>
    <w:link w:val="642"/>
    <w:uiPriority w:val="9"/>
    <w:unhideWhenUsed/>
    <w:qFormat/>
    <w:pPr>
      <w:keepLines/>
      <w:keepNext/>
      <w:spacing w:before="320" w:after="200"/>
      <w:outlineLvl w:val="3"/>
    </w:pPr>
    <w:rPr>
      <w:rFonts w:ascii="Arial" w:hAnsi="Arial" w:eastAsia="Arial" w:cs="Arial"/>
      <w:b/>
      <w:bCs/>
      <w:sz w:val="26"/>
      <w:szCs w:val="26"/>
    </w:rPr>
  </w:style>
  <w:style w:type="paragraph" w:styleId="607">
    <w:name w:val="Heading 5"/>
    <w:basedOn w:val="602"/>
    <w:next w:val="602"/>
    <w:link w:val="643"/>
    <w:uiPriority w:val="9"/>
    <w:unhideWhenUsed/>
    <w:qFormat/>
    <w:pPr>
      <w:keepLines/>
      <w:keepNext/>
      <w:spacing w:before="320" w:after="200"/>
      <w:outlineLvl w:val="4"/>
    </w:pPr>
    <w:rPr>
      <w:rFonts w:ascii="Arial" w:hAnsi="Arial" w:eastAsia="Arial" w:cs="Arial"/>
      <w:b/>
      <w:bCs/>
      <w:sz w:val="24"/>
      <w:szCs w:val="24"/>
    </w:rPr>
  </w:style>
  <w:style w:type="paragraph" w:styleId="608">
    <w:name w:val="Heading 6"/>
    <w:basedOn w:val="602"/>
    <w:next w:val="602"/>
    <w:link w:val="644"/>
    <w:uiPriority w:val="9"/>
    <w:unhideWhenUsed/>
    <w:qFormat/>
    <w:pPr>
      <w:keepLines/>
      <w:keepNext/>
      <w:spacing w:before="320" w:after="200"/>
      <w:outlineLvl w:val="5"/>
    </w:pPr>
    <w:rPr>
      <w:rFonts w:ascii="Arial" w:hAnsi="Arial" w:eastAsia="Arial" w:cs="Arial"/>
      <w:b/>
      <w:bCs/>
      <w:sz w:val="22"/>
      <w:szCs w:val="22"/>
    </w:rPr>
  </w:style>
  <w:style w:type="paragraph" w:styleId="609">
    <w:name w:val="Heading 7"/>
    <w:basedOn w:val="602"/>
    <w:next w:val="602"/>
    <w:link w:val="645"/>
    <w:uiPriority w:val="9"/>
    <w:unhideWhenUsed/>
    <w:qFormat/>
    <w:pPr>
      <w:keepLines/>
      <w:keepNext/>
      <w:spacing w:before="320" w:after="200"/>
      <w:outlineLvl w:val="6"/>
    </w:pPr>
    <w:rPr>
      <w:rFonts w:ascii="Arial" w:hAnsi="Arial" w:eastAsia="Arial" w:cs="Arial"/>
      <w:b/>
      <w:bCs/>
      <w:i/>
      <w:iCs/>
      <w:sz w:val="22"/>
      <w:szCs w:val="22"/>
    </w:rPr>
  </w:style>
  <w:style w:type="paragraph" w:styleId="610">
    <w:name w:val="Heading 8"/>
    <w:basedOn w:val="602"/>
    <w:next w:val="602"/>
    <w:link w:val="646"/>
    <w:uiPriority w:val="9"/>
    <w:unhideWhenUsed/>
    <w:qFormat/>
    <w:pPr>
      <w:keepLines/>
      <w:keepNext/>
      <w:spacing w:before="320" w:after="200"/>
      <w:outlineLvl w:val="7"/>
    </w:pPr>
    <w:rPr>
      <w:rFonts w:ascii="Arial" w:hAnsi="Arial" w:eastAsia="Arial" w:cs="Arial"/>
      <w:i/>
      <w:iCs/>
      <w:sz w:val="22"/>
      <w:szCs w:val="22"/>
    </w:rPr>
  </w:style>
  <w:style w:type="paragraph" w:styleId="611">
    <w:name w:val="Heading 9"/>
    <w:basedOn w:val="602"/>
    <w:next w:val="602"/>
    <w:link w:val="647"/>
    <w:uiPriority w:val="9"/>
    <w:unhideWhenUsed/>
    <w:qFormat/>
    <w:pPr>
      <w:keepLines/>
      <w:keepNext/>
      <w:spacing w:before="320" w:after="200"/>
      <w:outlineLvl w:val="8"/>
    </w:pPr>
    <w:rPr>
      <w:rFonts w:ascii="Arial" w:hAnsi="Arial" w:eastAsia="Arial" w:cs="Arial"/>
      <w:i/>
      <w:iCs/>
      <w:sz w:val="21"/>
      <w:szCs w:val="21"/>
    </w:rPr>
  </w:style>
  <w:style w:type="character" w:styleId="612" w:default="1">
    <w:name w:val="Default Paragraph Font"/>
    <w:uiPriority w:val="0"/>
    <w:semiHidden/>
    <w:qFormat/>
  </w:style>
  <w:style w:type="table" w:styleId="613" w:default="1">
    <w:name w:val="Normal Table"/>
    <w:uiPriority w:val="0"/>
    <w:semiHidden/>
    <w:qFormat/>
    <w:tblPr>
      <w:tblCellMar>
        <w:left w:w="108" w:type="dxa"/>
        <w:top w:w="0" w:type="dxa"/>
        <w:right w:w="108" w:type="dxa"/>
        <w:bottom w:w="0" w:type="dxa"/>
      </w:tblCellMar>
    </w:tblPr>
  </w:style>
  <w:style w:type="paragraph" w:styleId="614">
    <w:name w:val="toc 7"/>
    <w:basedOn w:val="602"/>
    <w:next w:val="602"/>
    <w:uiPriority w:val="39"/>
    <w:unhideWhenUsed/>
    <w:qFormat/>
    <w:pPr>
      <w:ind w:left="1701" w:right="0" w:firstLine="0"/>
      <w:spacing w:after="57"/>
    </w:pPr>
  </w:style>
  <w:style w:type="paragraph" w:styleId="615">
    <w:name w:val="Normal Indent"/>
    <w:basedOn w:val="602"/>
    <w:uiPriority w:val="0"/>
    <w:unhideWhenUsed/>
    <w:qFormat/>
    <w:pPr>
      <w:ind w:firstLine="420"/>
    </w:pPr>
    <w:rPr>
      <w:sz w:val="20"/>
    </w:rPr>
  </w:style>
  <w:style w:type="paragraph" w:styleId="616">
    <w:name w:val="Caption"/>
    <w:basedOn w:val="602"/>
    <w:next w:val="60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17">
    <w:name w:val="annotation text"/>
    <w:basedOn w:val="602"/>
    <w:uiPriority w:val="99"/>
    <w:semiHidden/>
    <w:unhideWhenUsed/>
    <w:qFormat/>
    <w:pPr>
      <w:jc w:val="left"/>
    </w:pPr>
  </w:style>
  <w:style w:type="paragraph" w:styleId="618">
    <w:name w:val="toc 5"/>
    <w:basedOn w:val="602"/>
    <w:next w:val="602"/>
    <w:uiPriority w:val="39"/>
    <w:unhideWhenUsed/>
    <w:qFormat/>
    <w:pPr>
      <w:ind w:left="1134" w:right="0" w:firstLine="0"/>
      <w:spacing w:after="57"/>
    </w:pPr>
  </w:style>
  <w:style w:type="paragraph" w:styleId="619">
    <w:name w:val="toc 3"/>
    <w:basedOn w:val="602"/>
    <w:next w:val="602"/>
    <w:uiPriority w:val="39"/>
    <w:unhideWhenUsed/>
    <w:qFormat/>
    <w:pPr>
      <w:ind w:left="567" w:right="0" w:firstLine="0"/>
      <w:spacing w:after="57"/>
    </w:pPr>
  </w:style>
  <w:style w:type="paragraph" w:styleId="620">
    <w:name w:val="toc 8"/>
    <w:basedOn w:val="602"/>
    <w:next w:val="602"/>
    <w:uiPriority w:val="39"/>
    <w:unhideWhenUsed/>
    <w:qFormat/>
    <w:pPr>
      <w:ind w:left="1984" w:right="0" w:firstLine="0"/>
      <w:spacing w:after="57"/>
    </w:pPr>
  </w:style>
  <w:style w:type="paragraph" w:styleId="621">
    <w:name w:val="endnote text"/>
    <w:basedOn w:val="602"/>
    <w:link w:val="785"/>
    <w:uiPriority w:val="99"/>
    <w:semiHidden/>
    <w:unhideWhenUsed/>
    <w:pPr>
      <w:spacing w:after="0" w:line="240" w:lineRule="auto"/>
    </w:pPr>
    <w:rPr>
      <w:sz w:val="20"/>
    </w:rPr>
  </w:style>
  <w:style w:type="paragraph" w:styleId="622">
    <w:name w:val="Footer"/>
    <w:basedOn w:val="602"/>
    <w:link w:val="658"/>
    <w:uiPriority w:val="99"/>
    <w:unhideWhenUsed/>
    <w:pPr>
      <w:spacing w:after="0" w:line="240" w:lineRule="auto"/>
      <w:tabs>
        <w:tab w:val="center" w:pos="7143" w:leader="none"/>
        <w:tab w:val="right" w:pos="14287" w:leader="none"/>
      </w:tabs>
    </w:pPr>
  </w:style>
  <w:style w:type="paragraph" w:styleId="623">
    <w:name w:val="Header"/>
    <w:basedOn w:val="602"/>
    <w:link w:val="656"/>
    <w:uiPriority w:val="99"/>
    <w:unhideWhenUsed/>
    <w:pPr>
      <w:spacing w:after="0" w:line="240" w:lineRule="auto"/>
      <w:tabs>
        <w:tab w:val="center" w:pos="7143" w:leader="none"/>
        <w:tab w:val="right" w:pos="14287" w:leader="none"/>
      </w:tabs>
    </w:pPr>
  </w:style>
  <w:style w:type="paragraph" w:styleId="624">
    <w:name w:val="toc 1"/>
    <w:basedOn w:val="602"/>
    <w:next w:val="602"/>
    <w:uiPriority w:val="39"/>
    <w:unhideWhenUsed/>
    <w:qFormat/>
    <w:pPr>
      <w:jc w:val="left"/>
      <w:spacing w:after="100" w:line="259" w:lineRule="auto"/>
      <w:widowControl/>
    </w:pPr>
    <w:rPr>
      <w:rFonts w:ascii="Calibri" w:hAnsi="Calibri"/>
      <w:sz w:val="22"/>
      <w:szCs w:val="22"/>
    </w:rPr>
  </w:style>
  <w:style w:type="paragraph" w:styleId="625">
    <w:name w:val="toc 4"/>
    <w:basedOn w:val="602"/>
    <w:next w:val="602"/>
    <w:uiPriority w:val="39"/>
    <w:unhideWhenUsed/>
    <w:qFormat/>
    <w:pPr>
      <w:ind w:left="850" w:right="0" w:firstLine="0"/>
      <w:spacing w:after="57"/>
    </w:pPr>
  </w:style>
  <w:style w:type="paragraph" w:styleId="626">
    <w:name w:val="Subtitle"/>
    <w:basedOn w:val="602"/>
    <w:next w:val="602"/>
    <w:link w:val="651"/>
    <w:uiPriority w:val="11"/>
    <w:qFormat/>
    <w:pPr>
      <w:spacing w:before="200" w:after="200"/>
    </w:pPr>
    <w:rPr>
      <w:sz w:val="24"/>
      <w:szCs w:val="24"/>
    </w:rPr>
  </w:style>
  <w:style w:type="paragraph" w:styleId="627">
    <w:name w:val="footnote text"/>
    <w:basedOn w:val="602"/>
    <w:link w:val="784"/>
    <w:uiPriority w:val="99"/>
    <w:semiHidden/>
    <w:unhideWhenUsed/>
    <w:qFormat/>
    <w:pPr>
      <w:spacing w:after="40" w:line="240" w:lineRule="auto"/>
    </w:pPr>
    <w:rPr>
      <w:sz w:val="18"/>
    </w:rPr>
  </w:style>
  <w:style w:type="paragraph" w:styleId="628">
    <w:name w:val="toc 6"/>
    <w:basedOn w:val="602"/>
    <w:next w:val="602"/>
    <w:uiPriority w:val="39"/>
    <w:unhideWhenUsed/>
    <w:qFormat/>
    <w:pPr>
      <w:ind w:left="1417" w:right="0" w:firstLine="0"/>
      <w:spacing w:after="57"/>
    </w:pPr>
  </w:style>
  <w:style w:type="paragraph" w:styleId="629">
    <w:name w:val="table of figures"/>
    <w:basedOn w:val="602"/>
    <w:next w:val="602"/>
    <w:uiPriority w:val="99"/>
    <w:unhideWhenUsed/>
    <w:qFormat/>
    <w:pPr>
      <w:spacing w:after="0" w:afterAutospacing="0"/>
    </w:pPr>
  </w:style>
  <w:style w:type="paragraph" w:styleId="630">
    <w:name w:val="toc 2"/>
    <w:basedOn w:val="602"/>
    <w:next w:val="602"/>
    <w:uiPriority w:val="39"/>
    <w:unhideWhenUsed/>
    <w:pPr>
      <w:ind w:left="283" w:right="0" w:firstLine="0"/>
      <w:spacing w:after="57"/>
    </w:pPr>
  </w:style>
  <w:style w:type="paragraph" w:styleId="631">
    <w:name w:val="toc 9"/>
    <w:basedOn w:val="602"/>
    <w:next w:val="602"/>
    <w:uiPriority w:val="39"/>
    <w:unhideWhenUsed/>
    <w:qFormat/>
    <w:pPr>
      <w:ind w:left="2268" w:right="0" w:firstLine="0"/>
      <w:spacing w:after="57"/>
    </w:pPr>
  </w:style>
  <w:style w:type="paragraph" w:styleId="632">
    <w:name w:val="Title"/>
    <w:basedOn w:val="602"/>
    <w:next w:val="602"/>
    <w:link w:val="650"/>
    <w:uiPriority w:val="10"/>
    <w:qFormat/>
    <w:pPr>
      <w:contextualSpacing/>
      <w:spacing w:before="300" w:after="200"/>
    </w:pPr>
    <w:rPr>
      <w:sz w:val="48"/>
      <w:szCs w:val="48"/>
    </w:rPr>
  </w:style>
  <w:style w:type="table" w:styleId="633">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4">
    <w:name w:val="Strong"/>
    <w:basedOn w:val="612"/>
    <w:uiPriority w:val="0"/>
    <w:qFormat/>
    <w:rPr>
      <w:b/>
    </w:rPr>
  </w:style>
  <w:style w:type="character" w:styleId="635">
    <w:name w:val="endnote reference"/>
    <w:basedOn w:val="612"/>
    <w:uiPriority w:val="99"/>
    <w:semiHidden/>
    <w:unhideWhenUsed/>
    <w:qFormat/>
    <w:rPr>
      <w:vertAlign w:val="superscript"/>
    </w:rPr>
  </w:style>
  <w:style w:type="character" w:styleId="636">
    <w:name w:val="Hyperlink"/>
    <w:uiPriority w:val="99"/>
    <w:unhideWhenUsed/>
    <w:qFormat/>
    <w:rPr>
      <w:color w:val="0026e5" w:themeColor="hyperlink"/>
      <w:u w:val="single"/>
      <w14:textFill>
        <w14:solidFill>
          <w14:schemeClr w14:val="hlink"/>
        </w14:solidFill>
      </w14:textFill>
    </w:rPr>
  </w:style>
  <w:style w:type="character" w:styleId="637">
    <w:name w:val="annotation reference"/>
    <w:basedOn w:val="612"/>
    <w:uiPriority w:val="0"/>
    <w:qFormat/>
    <w:rPr>
      <w:sz w:val="21"/>
      <w:szCs w:val="21"/>
    </w:rPr>
  </w:style>
  <w:style w:type="character" w:styleId="638">
    <w:name w:val="footnote reference"/>
    <w:basedOn w:val="612"/>
    <w:uiPriority w:val="99"/>
    <w:unhideWhenUsed/>
    <w:rPr>
      <w:vertAlign w:val="superscript"/>
    </w:rPr>
  </w:style>
  <w:style w:type="character" w:styleId="639" w:customStyle="1">
    <w:name w:val="Heading 1 Char"/>
    <w:basedOn w:val="612"/>
    <w:link w:val="603"/>
    <w:uiPriority w:val="9"/>
    <w:rPr>
      <w:rFonts w:ascii="Arial" w:hAnsi="Arial" w:eastAsia="Arial" w:cs="Arial"/>
      <w:sz w:val="40"/>
      <w:szCs w:val="40"/>
    </w:rPr>
  </w:style>
  <w:style w:type="character" w:styleId="640" w:customStyle="1">
    <w:name w:val="Heading 2 Char"/>
    <w:basedOn w:val="612"/>
    <w:uiPriority w:val="9"/>
    <w:rPr>
      <w:rFonts w:ascii="Arial" w:hAnsi="Arial" w:eastAsia="Arial" w:cs="Arial"/>
      <w:sz w:val="34"/>
    </w:rPr>
  </w:style>
  <w:style w:type="character" w:styleId="641" w:customStyle="1">
    <w:name w:val="Heading 3 Char"/>
    <w:basedOn w:val="612"/>
    <w:uiPriority w:val="9"/>
    <w:rPr>
      <w:rFonts w:ascii="Arial" w:hAnsi="Arial" w:eastAsia="Arial" w:cs="Arial"/>
      <w:sz w:val="30"/>
      <w:szCs w:val="30"/>
    </w:rPr>
  </w:style>
  <w:style w:type="character" w:styleId="642" w:customStyle="1">
    <w:name w:val="Heading 4 Char"/>
    <w:basedOn w:val="612"/>
    <w:link w:val="606"/>
    <w:uiPriority w:val="9"/>
    <w:rPr>
      <w:rFonts w:ascii="Arial" w:hAnsi="Arial" w:eastAsia="Arial" w:cs="Arial"/>
      <w:b/>
      <w:bCs/>
      <w:sz w:val="26"/>
      <w:szCs w:val="26"/>
    </w:rPr>
  </w:style>
  <w:style w:type="character" w:styleId="643" w:customStyle="1">
    <w:name w:val="Heading 5 Char"/>
    <w:basedOn w:val="612"/>
    <w:link w:val="607"/>
    <w:uiPriority w:val="9"/>
    <w:rPr>
      <w:rFonts w:ascii="Arial" w:hAnsi="Arial" w:eastAsia="Arial" w:cs="Arial"/>
      <w:b/>
      <w:bCs/>
      <w:sz w:val="24"/>
      <w:szCs w:val="24"/>
    </w:rPr>
  </w:style>
  <w:style w:type="character" w:styleId="644" w:customStyle="1">
    <w:name w:val="Heading 6 Char"/>
    <w:basedOn w:val="612"/>
    <w:link w:val="608"/>
    <w:uiPriority w:val="9"/>
    <w:rPr>
      <w:rFonts w:ascii="Arial" w:hAnsi="Arial" w:eastAsia="Arial" w:cs="Arial"/>
      <w:b/>
      <w:bCs/>
      <w:sz w:val="22"/>
      <w:szCs w:val="22"/>
    </w:rPr>
  </w:style>
  <w:style w:type="character" w:styleId="645" w:customStyle="1">
    <w:name w:val="Heading 7 Char"/>
    <w:basedOn w:val="612"/>
    <w:link w:val="609"/>
    <w:uiPriority w:val="9"/>
    <w:rPr>
      <w:rFonts w:ascii="Arial" w:hAnsi="Arial" w:eastAsia="Arial" w:cs="Arial"/>
      <w:b/>
      <w:bCs/>
      <w:i/>
      <w:iCs/>
      <w:sz w:val="22"/>
      <w:szCs w:val="22"/>
    </w:rPr>
  </w:style>
  <w:style w:type="character" w:styleId="646" w:customStyle="1">
    <w:name w:val="Heading 8 Char"/>
    <w:basedOn w:val="612"/>
    <w:link w:val="610"/>
    <w:uiPriority w:val="9"/>
    <w:rPr>
      <w:rFonts w:ascii="Arial" w:hAnsi="Arial" w:eastAsia="Arial" w:cs="Arial"/>
      <w:i/>
      <w:iCs/>
      <w:sz w:val="22"/>
      <w:szCs w:val="22"/>
    </w:rPr>
  </w:style>
  <w:style w:type="character" w:styleId="647" w:customStyle="1">
    <w:name w:val="Heading 9 Char"/>
    <w:basedOn w:val="612"/>
    <w:link w:val="611"/>
    <w:uiPriority w:val="9"/>
    <w:rPr>
      <w:rFonts w:ascii="Arial" w:hAnsi="Arial" w:eastAsia="Arial" w:cs="Arial"/>
      <w:i/>
      <w:iCs/>
      <w:sz w:val="21"/>
      <w:szCs w:val="21"/>
    </w:rPr>
  </w:style>
  <w:style w:type="paragraph" w:styleId="648">
    <w:name w:val="List Paragraph"/>
    <w:basedOn w:val="602"/>
    <w:uiPriority w:val="34"/>
    <w:qFormat/>
    <w:pPr>
      <w:contextualSpacing/>
      <w:ind w:left="720"/>
    </w:pPr>
  </w:style>
  <w:style w:type="paragraph" w:styleId="649">
    <w:name w:val="No Spacing"/>
    <w:uiPriority w:val="1"/>
    <w:qFormat/>
    <w:pPr>
      <w:spacing w:before="0" w:after="0" w:line="240" w:lineRule="auto"/>
    </w:pPr>
    <w:rPr>
      <w:rFonts w:hint="default" w:ascii="Times New Roman" w:hAnsi="Times New Roman" w:eastAsia="宋体" w:cs="Times New Roman"/>
    </w:rPr>
  </w:style>
  <w:style w:type="character" w:styleId="650" w:customStyle="1">
    <w:name w:val="Title Char"/>
    <w:basedOn w:val="612"/>
    <w:link w:val="632"/>
    <w:uiPriority w:val="10"/>
    <w:rPr>
      <w:sz w:val="48"/>
      <w:szCs w:val="48"/>
    </w:rPr>
  </w:style>
  <w:style w:type="character" w:styleId="651" w:customStyle="1">
    <w:name w:val="Subtitle Char"/>
    <w:basedOn w:val="612"/>
    <w:link w:val="626"/>
    <w:uiPriority w:val="11"/>
    <w:rPr>
      <w:sz w:val="24"/>
      <w:szCs w:val="24"/>
    </w:rPr>
  </w:style>
  <w:style w:type="paragraph" w:styleId="652">
    <w:name w:val="Quote"/>
    <w:basedOn w:val="602"/>
    <w:next w:val="602"/>
    <w:link w:val="653"/>
    <w:uiPriority w:val="29"/>
    <w:qFormat/>
    <w:pPr>
      <w:ind w:left="720" w:right="720"/>
    </w:pPr>
    <w:rPr>
      <w:i/>
    </w:rPr>
  </w:style>
  <w:style w:type="character" w:styleId="653" w:customStyle="1">
    <w:name w:val="Quote Char"/>
    <w:link w:val="652"/>
    <w:uiPriority w:val="29"/>
    <w:rPr>
      <w:i/>
    </w:rPr>
  </w:style>
  <w:style w:type="paragraph" w:styleId="654">
    <w:name w:val="Intense Quote"/>
    <w:basedOn w:val="602"/>
    <w:next w:val="602"/>
    <w:link w:val="6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5" w:customStyle="1">
    <w:name w:val="Intense Quote Char"/>
    <w:link w:val="654"/>
    <w:uiPriority w:val="30"/>
    <w:rPr>
      <w:i/>
    </w:rPr>
  </w:style>
  <w:style w:type="character" w:styleId="656" w:customStyle="1">
    <w:name w:val="Header Char"/>
    <w:basedOn w:val="612"/>
    <w:link w:val="623"/>
    <w:uiPriority w:val="99"/>
  </w:style>
  <w:style w:type="character" w:styleId="657" w:customStyle="1">
    <w:name w:val="Footer Char"/>
    <w:basedOn w:val="612"/>
    <w:link w:val="622"/>
    <w:uiPriority w:val="99"/>
  </w:style>
  <w:style w:type="character" w:styleId="658" w:customStyle="1">
    <w:name w:val="Caption Char"/>
    <w:link w:val="622"/>
    <w:uiPriority w:val="99"/>
  </w:style>
  <w:style w:type="table" w:styleId="659" w:customStyle="1">
    <w:name w:val="Table Grid Light"/>
    <w:basedOn w:val="61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0" w:customStyle="1">
    <w:name w:val="Plain Table 1"/>
    <w:basedOn w:val="61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customStyle="1">
    <w:name w:val="Plain Table 2"/>
    <w:basedOn w:val="61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customStyle="1">
    <w:name w:val="Plain Table 3"/>
    <w:basedOn w:val="61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customStyle="1">
    <w:name w:val="Plain Table 4"/>
    <w:basedOn w:val="61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customStyle="1">
    <w:name w:val="Plain Table 5"/>
    <w:basedOn w:val="61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5" w:customStyle="1">
    <w:name w:val="Grid Table 1 Light"/>
    <w:basedOn w:val="61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1"/>
    <w:basedOn w:val="613"/>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2"/>
    <w:basedOn w:val="61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3"/>
    <w:basedOn w:val="613"/>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4"/>
    <w:basedOn w:val="61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5"/>
    <w:basedOn w:val="613"/>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6"/>
    <w:basedOn w:val="613"/>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72" w:customStyle="1">
    <w:name w:val="Grid Table 2"/>
    <w:basedOn w:val="61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3" w:customStyle="1">
    <w:name w:val="Grid Table 2 - Accent 1"/>
    <w:basedOn w:val="613"/>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674" w:customStyle="1">
    <w:name w:val="Grid Table 2 - Accent 2"/>
    <w:basedOn w:val="6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675" w:customStyle="1">
    <w:name w:val="Grid Table 2 - Accent 3"/>
    <w:basedOn w:val="6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676" w:customStyle="1">
    <w:name w:val="Grid Table 2 - Accent 4"/>
    <w:basedOn w:val="6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677" w:customStyle="1">
    <w:name w:val="Grid Table 2 - Accent 5"/>
    <w:basedOn w:val="6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678" w:customStyle="1">
    <w:name w:val="Grid Table 2 - Accent 6"/>
    <w:basedOn w:val="6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679" w:customStyle="1">
    <w:name w:val="Grid Table 3"/>
    <w:basedOn w:val="6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1"/>
    <w:basedOn w:val="61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2"/>
    <w:basedOn w:val="61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3"/>
    <w:basedOn w:val="61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4"/>
    <w:basedOn w:val="61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5"/>
    <w:basedOn w:val="61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6"/>
    <w:basedOn w:val="61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4"/>
    <w:basedOn w:val="6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customStyle="1">
    <w:name w:val="Grid Table 4 - Accent 1"/>
    <w:basedOn w:val="61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688" w:customStyle="1">
    <w:name w:val="Grid Table 4 - Accent 2"/>
    <w:basedOn w:val="61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689" w:customStyle="1">
    <w:name w:val="Grid Table 4 - Accent 3"/>
    <w:basedOn w:val="61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690" w:customStyle="1">
    <w:name w:val="Grid Table 4 - Accent 4"/>
    <w:basedOn w:val="61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691" w:customStyle="1">
    <w:name w:val="Grid Table 4 - Accent 5"/>
    <w:basedOn w:val="61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692" w:customStyle="1">
    <w:name w:val="Grid Table 4 - Accent 6"/>
    <w:basedOn w:val="61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693" w:customStyle="1">
    <w:name w:val="Grid Table 5 Dark"/>
    <w:basedOn w:val="6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4" w:customStyle="1">
    <w:name w:val="Grid Table 5 Dark- Accent 1"/>
    <w:basedOn w:val="6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695" w:customStyle="1">
    <w:name w:val="Grid Table 5 Dark - Accent 2"/>
    <w:basedOn w:val="6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696" w:customStyle="1">
    <w:name w:val="Grid Table 5 Dark - Accent 3"/>
    <w:basedOn w:val="6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697" w:customStyle="1">
    <w:name w:val="Grid Table 5 Dark- Accent 4"/>
    <w:basedOn w:val="6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698" w:customStyle="1">
    <w:name w:val="Grid Table 5 Dark - Accent 5"/>
    <w:basedOn w:val="6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699" w:customStyle="1">
    <w:name w:val="Grid Table 5 Dark - Accent 6"/>
    <w:basedOn w:val="6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00" w:customStyle="1">
    <w:name w:val="Grid Table 6 Colorful"/>
    <w:basedOn w:val="6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1" w:customStyle="1">
    <w:name w:val="Grid Table 6 Colorful - Accent 1"/>
    <w:basedOn w:val="61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02" w:customStyle="1">
    <w:name w:val="Grid Table 6 Colorful - Accent 2"/>
    <w:basedOn w:val="6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03" w:customStyle="1">
    <w:name w:val="Grid Table 6 Colorful - Accent 3"/>
    <w:basedOn w:val="61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04" w:customStyle="1">
    <w:name w:val="Grid Table 6 Colorful - Accent 4"/>
    <w:basedOn w:val="6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05" w:customStyle="1">
    <w:name w:val="Grid Table 6 Colorful - Accent 5"/>
    <w:basedOn w:val="61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06" w:customStyle="1">
    <w:name w:val="Grid Table 6 Colorful - Accent 6"/>
    <w:basedOn w:val="61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07" w:customStyle="1">
    <w:name w:val="Grid Table 7 Colorful"/>
    <w:basedOn w:val="6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8" w:customStyle="1">
    <w:name w:val="Grid Table 7 Colorful - Accent 1"/>
    <w:basedOn w:val="61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09" w:customStyle="1">
    <w:name w:val="Grid Table 7 Colorful - Accent 2"/>
    <w:basedOn w:val="61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10" w:customStyle="1">
    <w:name w:val="Grid Table 7 Colorful - Accent 3"/>
    <w:basedOn w:val="61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11" w:customStyle="1">
    <w:name w:val="Grid Table 7 Colorful - Accent 4"/>
    <w:basedOn w:val="61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12" w:customStyle="1">
    <w:name w:val="Grid Table 7 Colorful - Accent 5"/>
    <w:basedOn w:val="61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13" w:customStyle="1">
    <w:name w:val="Grid Table 7 Colorful - Accent 6"/>
    <w:basedOn w:val="61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14" w:customStyle="1">
    <w:name w:val="List Table 1 Light"/>
    <w:basedOn w:val="6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List Table 1 Light - Accent 1"/>
    <w:basedOn w:val="613"/>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16" w:customStyle="1">
    <w:name w:val="List Table 1 Light - Accent 2"/>
    <w:basedOn w:val="61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17" w:customStyle="1">
    <w:name w:val="List Table 1 Light - Accent 3"/>
    <w:basedOn w:val="61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18" w:customStyle="1">
    <w:name w:val="List Table 1 Light - Accent 4"/>
    <w:basedOn w:val="61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19" w:customStyle="1">
    <w:name w:val="List Table 1 Light - Accent 5"/>
    <w:basedOn w:val="61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20" w:customStyle="1">
    <w:name w:val="List Table 1 Light - Accent 6"/>
    <w:basedOn w:val="61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21" w:customStyle="1">
    <w:name w:val="List Table 2"/>
    <w:basedOn w:val="6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List Table 2 - Accent 1"/>
    <w:basedOn w:val="61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23" w:customStyle="1">
    <w:name w:val="List Table 2 - Accent 2"/>
    <w:basedOn w:val="61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24" w:customStyle="1">
    <w:name w:val="List Table 2 - Accent 3"/>
    <w:basedOn w:val="61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25" w:customStyle="1">
    <w:name w:val="List Table 2 - Accent 4"/>
    <w:basedOn w:val="61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26" w:customStyle="1">
    <w:name w:val="List Table 2 - Accent 5"/>
    <w:basedOn w:val="61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27" w:customStyle="1">
    <w:name w:val="List Table 2 - Accent 6"/>
    <w:basedOn w:val="61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28" w:customStyle="1">
    <w:name w:val="List Table 3"/>
    <w:basedOn w:val="6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3 - Accent 1"/>
    <w:basedOn w:val="61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30" w:customStyle="1">
    <w:name w:val="List Table 3 - Accent 2"/>
    <w:basedOn w:val="61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31" w:customStyle="1">
    <w:name w:val="List Table 3 - Accent 3"/>
    <w:basedOn w:val="61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32" w:customStyle="1">
    <w:name w:val="List Table 3 - Accent 4"/>
    <w:basedOn w:val="61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33" w:customStyle="1">
    <w:name w:val="List Table 3 - Accent 5"/>
    <w:basedOn w:val="61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34" w:customStyle="1">
    <w:name w:val="List Table 3 - Accent 6"/>
    <w:basedOn w:val="61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35" w:customStyle="1">
    <w:name w:val="List Table 4"/>
    <w:basedOn w:val="61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4 - Accent 1"/>
    <w:basedOn w:val="61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37" w:customStyle="1">
    <w:name w:val="List Table 4 - Accent 2"/>
    <w:basedOn w:val="61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38" w:customStyle="1">
    <w:name w:val="List Table 4 - Accent 3"/>
    <w:basedOn w:val="61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39" w:customStyle="1">
    <w:name w:val="List Table 4 - Accent 4"/>
    <w:basedOn w:val="61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40" w:customStyle="1">
    <w:name w:val="List Table 4 - Accent 5"/>
    <w:basedOn w:val="613"/>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41" w:customStyle="1">
    <w:name w:val="List Table 4 - Accent 6"/>
    <w:basedOn w:val="613"/>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42" w:customStyle="1">
    <w:name w:val="List Table 5 Dark"/>
    <w:basedOn w:val="6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5 Dark - Accent 1"/>
    <w:basedOn w:val="61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5 Dark - Accent 2"/>
    <w:basedOn w:val="61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5 Dark - Accent 3"/>
    <w:basedOn w:val="61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5 Dark - Accent 4"/>
    <w:basedOn w:val="613"/>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5"/>
    <w:basedOn w:val="61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6"/>
    <w:basedOn w:val="613"/>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6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6 Colorful - Accent 1"/>
    <w:basedOn w:val="61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51" w:customStyle="1">
    <w:name w:val="List Table 6 Colorful - Accent 2"/>
    <w:basedOn w:val="61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52" w:customStyle="1">
    <w:name w:val="List Table 6 Colorful - Accent 3"/>
    <w:basedOn w:val="613"/>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53" w:customStyle="1">
    <w:name w:val="List Table 6 Colorful - Accent 4"/>
    <w:basedOn w:val="613"/>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54" w:customStyle="1">
    <w:name w:val="List Table 6 Colorful - Accent 5"/>
    <w:basedOn w:val="613"/>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55" w:customStyle="1">
    <w:name w:val="List Table 6 Colorful - Accent 6"/>
    <w:basedOn w:val="61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56" w:customStyle="1">
    <w:name w:val="List Table 7 Colorful"/>
    <w:basedOn w:val="6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7 Colorful - Accent 1"/>
    <w:basedOn w:val="613"/>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58" w:customStyle="1">
    <w:name w:val="List Table 7 Colorful - Accent 2"/>
    <w:basedOn w:val="61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59" w:customStyle="1">
    <w:name w:val="List Table 7 Colorful - Accent 3"/>
    <w:basedOn w:val="61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60" w:customStyle="1">
    <w:name w:val="List Table 7 Colorful - Accent 4"/>
    <w:basedOn w:val="61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1" w:customStyle="1">
    <w:name w:val="List Table 7 Colorful - Accent 5"/>
    <w:basedOn w:val="61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62" w:customStyle="1">
    <w:name w:val="List Table 7 Colorful - Accent 6"/>
    <w:basedOn w:val="61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63" w:customStyle="1">
    <w:name w:val="Lined - Accent"/>
    <w:basedOn w:val="6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4" w:customStyle="1">
    <w:name w:val="Lined - Accent 1"/>
    <w:basedOn w:val="6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65" w:customStyle="1">
    <w:name w:val="Lined - Accent 2"/>
    <w:basedOn w:val="6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66" w:customStyle="1">
    <w:name w:val="Lined - Accent 3"/>
    <w:basedOn w:val="6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67" w:customStyle="1">
    <w:name w:val="Lined - Accent 4"/>
    <w:basedOn w:val="6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68" w:customStyle="1">
    <w:name w:val="Lined - Accent 5"/>
    <w:basedOn w:val="6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69" w:customStyle="1">
    <w:name w:val="Lined - Accent 6"/>
    <w:basedOn w:val="6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70" w:customStyle="1">
    <w:name w:val="Bordered &amp; Lined - Accent"/>
    <w:basedOn w:val="613"/>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1" w:customStyle="1">
    <w:name w:val="Bordered &amp; Lined - Accent 1"/>
    <w:basedOn w:val="61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72" w:customStyle="1">
    <w:name w:val="Bordered &amp; Lined - Accent 2"/>
    <w:basedOn w:val="61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73" w:customStyle="1">
    <w:name w:val="Bordered &amp; Lined - Accent 3"/>
    <w:basedOn w:val="61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74" w:customStyle="1">
    <w:name w:val="Bordered &amp; Lined - Accent 4"/>
    <w:basedOn w:val="61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75" w:customStyle="1">
    <w:name w:val="Bordered &amp; Lined - Accent 5"/>
    <w:basedOn w:val="61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76" w:customStyle="1">
    <w:name w:val="Bordered &amp; Lined - Accent 6"/>
    <w:basedOn w:val="61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77" w:customStyle="1">
    <w:name w:val="Bordered"/>
    <w:basedOn w:val="61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8" w:customStyle="1">
    <w:name w:val="Bordered - Accent 1"/>
    <w:basedOn w:val="61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779" w:customStyle="1">
    <w:name w:val="Bordered - Accent 2"/>
    <w:basedOn w:val="613"/>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780" w:customStyle="1">
    <w:name w:val="Bordered - Accent 3"/>
    <w:basedOn w:val="61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781" w:customStyle="1">
    <w:name w:val="Bordered - Accent 4"/>
    <w:basedOn w:val="613"/>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782" w:customStyle="1">
    <w:name w:val="Bordered - Accent 5"/>
    <w:basedOn w:val="61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783" w:customStyle="1">
    <w:name w:val="Bordered - Accent 6"/>
    <w:basedOn w:val="61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784" w:customStyle="1">
    <w:name w:val="Footnote Text Char"/>
    <w:link w:val="627"/>
    <w:uiPriority w:val="99"/>
    <w:qFormat/>
    <w:rPr>
      <w:sz w:val="18"/>
    </w:rPr>
  </w:style>
  <w:style w:type="character" w:styleId="785" w:customStyle="1">
    <w:name w:val="Endnote Text Char"/>
    <w:link w:val="621"/>
    <w:uiPriority w:val="99"/>
    <w:qFormat/>
    <w:rPr>
      <w:sz w:val="20"/>
    </w:rPr>
  </w:style>
  <w:style w:type="paragraph" w:styleId="786" w:customStyle="1">
    <w:name w:val="TOC Heading"/>
    <w:uiPriority w:val="39"/>
    <w:unhideWhenUsed/>
    <w:qFormat/>
    <w:rPr>
      <w:rFonts w:hint="default" w:ascii="Times New Roman" w:hAnsi="Times New Roman" w:eastAsia="宋体" w:cs="Times New Roman"/>
    </w:rPr>
  </w:style>
  <w:style w:type="paragraph" w:styleId="787" w:customStyle="1">
    <w:name w:val="正文缩进111"/>
    <w:basedOn w:val="602"/>
    <w:uiPriority w:val="0"/>
    <w:unhideWhenUsed/>
    <w:qFormat/>
    <w:pPr>
      <w:ind w:firstLine="420"/>
    </w:pPr>
    <w:rPr>
      <w:sz w:val="20"/>
    </w:rPr>
  </w:style>
  <w:style w:type="table" w:styleId="788" w:customStyle="1">
    <w:name w:val="Table Normal"/>
    <w:uiPriority w:val="0"/>
    <w:semiHidden/>
    <w:qFormat/>
    <w:tblPr>
      <w:tblCellMar>
        <w:left w:w="0" w:type="dxa"/>
        <w:top w:w="0" w:type="dxa"/>
        <w:right w:w="0" w:type="dxa"/>
        <w:bottom w:w="0" w:type="dxa"/>
      </w:tblCellMar>
    </w:tblPr>
  </w:style>
  <w:style w:type="paragraph" w:styleId="789" w:customStyle="1">
    <w:name w:val="Table Text"/>
    <w:basedOn w:val="602"/>
    <w:uiPriority w:val="0"/>
    <w:qFormat/>
    <w:pPr>
      <w:jc w:val="left"/>
      <w:spacing w:before="80" w:after="80" w:line="240" w:lineRule="atLeast"/>
    </w:pPr>
    <w:rPr>
      <w:rFonts w:cs="Arial"/>
      <w:szCs w:val="21"/>
    </w:rPr>
  </w:style>
  <w:style w:type="paragraph" w:styleId="79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791" w:customStyle="1">
    <w:name w:val="Normal Indent_0"/>
    <w:basedOn w:val="790"/>
    <w:uiPriority w:val="0"/>
    <w:unhideWhenUsed/>
    <w:qFormat/>
    <w:pPr>
      <w:ind w:firstLine="420"/>
    </w:pPr>
  </w:style>
  <w:style w:type="paragraph" w:styleId="792" w:customStyle="1">
    <w:name w:val="05-图表格式"/>
    <w:basedOn w:val="602"/>
    <w:uiPriority w:val="0"/>
    <w:qFormat/>
    <w:pPr>
      <w:jc w:val="center"/>
    </w:pPr>
  </w:style>
  <w:style w:type="paragraph" w:styleId="793" w:customStyle="1">
    <w:name w:val="表格格式"/>
    <w:basedOn w:val="602"/>
    <w:uiPriority w:val="0"/>
    <w:qFormat/>
    <w:rPr>
      <w:bCs/>
      <w:sz w:val="22"/>
      <w:szCs w:val="21"/>
    </w:rPr>
  </w:style>
  <w:style w:type="paragraph" w:styleId="794" w:customStyle="1">
    <w:name w:val="Normal_3"/>
    <w:uiPriority w:val="99"/>
    <w:qFormat/>
    <w:rPr>
      <w:rFonts w:hint="default" w:ascii="Times New Roman" w:hAnsi="Times New Roman" w:eastAsia="宋体" w:cs="Times New Roman"/>
      <w:sz w:val="24"/>
      <w:szCs w:val="24"/>
      <w:lang w:val="en-US" w:eastAsia="zh-CN" w:bidi="ar-SA"/>
    </w:rPr>
  </w:style>
  <w:style w:type="paragraph" w:styleId="795" w:customStyle="1">
    <w:name w:val="Normal_4"/>
    <w:uiPriority w:val="0"/>
    <w:qFormat/>
    <w:rPr>
      <w:rFonts w:hint="default" w:ascii="Times New Roman" w:hAnsi="Times New Roman" w:eastAsia="Times New Roman" w:cs="Times New Roman"/>
      <w:sz w:val="24"/>
      <w:szCs w:val="24"/>
      <w:lang w:val="en-US" w:eastAsia="zh-CN" w:bidi="ar-SA"/>
    </w:rPr>
  </w:style>
  <w:style w:type="numbering" w:styleId="357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行云天边</dc:creator>
  <cp:lastModifiedBy>程宽</cp:lastModifiedBy>
  <cp:revision>5</cp:revision>
  <dcterms:created xsi:type="dcterms:W3CDTF">2026-09-20T03:16:00Z</dcterms:created>
  <dcterms:modified xsi:type="dcterms:W3CDTF">2026-10-20T07:50:29Z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1A2E6064E5E6436DB300176798073A7C_13</vt:lpwstr>
  </property>
  <property fmtid="{D5CDD505-2E9C-101B-9397-08002B2CF9AE}" pid="4" name="KSOTemplateDocerSaveRecord">
    <vt:lpwstr>eyJoZGlkIjoiNGUzMDA5YTkwZTdmM2YwYzRjNTJjMGJhNjBhMGNkM2YiLCJ1c2VySWQiOiI3MDczMjI5MzAifQ==</vt:lpwstr>
  </property>
</Properties>
</file>