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如东县人民医院钬激光治疗仪采购项目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政府采购招标文件</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政府采购项目编号：JSZC-320623-JSHY-G2026-0233</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2" w:right="120" w:firstLine="0"/>
        <w:jc w:val="center"/>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1"/>
          <w:sz w:val="44"/>
        </w:rPr>
        <w:t xml:space="preserve"> </w:t>
      </w:r>
      <w:r/>
    </w:p>
    <w:p>
      <w:pPr>
        <w:ind w:left="-2" w:right="120" w:firstLine="0"/>
        <w:jc w:val="center"/>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1"/>
          <w:sz w:val="36"/>
        </w:rPr>
        <w:t xml:space="preserve">江苏弘业国际技术工程有限公司</w:t>
      </w:r>
      <w:r/>
    </w:p>
    <w:p>
      <w:pPr>
        <w:ind w:left="-2" w:right="120" w:firstLine="0"/>
        <w:jc w:val="center"/>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2" w:right="120" w:firstLine="0"/>
        <w:jc w:val="center"/>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二〇二六年十月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目 录</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40"/>
        <w:jc w:val="both"/>
        <w:spacing w:before="0" w:after="0" w:line="85" w:lineRule="atLeast"/>
        <w:tabs>
          <w:tab w:val="left" w:pos="7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第一部分招标公告</w:t>
      </w:r>
      <w:r/>
    </w:p>
    <w:p>
      <w:pPr>
        <w:ind w:left="0" w:right="0" w:firstLine="640"/>
        <w:jc w:val="both"/>
        <w:spacing w:before="0" w:after="0" w:line="85" w:lineRule="atLeast"/>
        <w:tabs>
          <w:tab w:val="left" w:pos="7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第二部分投标须知</w:t>
      </w:r>
      <w:r/>
    </w:p>
    <w:p>
      <w:pPr>
        <w:ind w:left="0" w:right="0" w:firstLine="640"/>
        <w:jc w:val="both"/>
        <w:spacing w:before="0" w:after="0" w:line="85" w:lineRule="atLeast"/>
        <w:tabs>
          <w:tab w:val="left" w:pos="7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第三部分项目需求</w:t>
      </w:r>
      <w:r/>
    </w:p>
    <w:p>
      <w:pPr>
        <w:ind w:left="0" w:right="0" w:firstLine="640"/>
        <w:jc w:val="both"/>
        <w:spacing w:before="0" w:after="0" w:line="85" w:lineRule="atLeast"/>
        <w:tabs>
          <w:tab w:val="left" w:pos="7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第四部分开标和评标</w:t>
      </w:r>
      <w:r/>
    </w:p>
    <w:p>
      <w:pPr>
        <w:ind w:left="0" w:right="0" w:firstLine="640"/>
        <w:jc w:val="both"/>
        <w:spacing w:before="0" w:after="0" w:line="85" w:lineRule="atLeast"/>
        <w:tabs>
          <w:tab w:val="left" w:pos="7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第五部分  合同格式</w:t>
      </w:r>
      <w:r/>
    </w:p>
    <w:p>
      <w:pPr>
        <w:ind w:left="0" w:right="0" w:firstLine="640"/>
        <w:jc w:val="both"/>
        <w:spacing w:before="0" w:after="0" w:line="85" w:lineRule="atLeast"/>
        <w:tabs>
          <w:tab w:val="left" w:pos="7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第六部分投标文件组成</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第一部分招标公告</w:t>
      </w:r>
      <w:r/>
    </w:p>
    <w:p>
      <w:pPr>
        <w:ind w:left="0" w:right="0" w:firstLine="480"/>
        <w:jc w:val="both"/>
        <w:spacing w:before="240" w:after="120" w:line="36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240" w:after="120" w:line="36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如东县人民医院钬激光治疗仪采购项目</w:t>
      </w:r>
      <w:r>
        <w:rPr>
          <w:rFonts w:ascii="SimSun" w:hAnsi="SimSun" w:eastAsia="SimSun" w:cs="SimSun"/>
          <w:color w:val="000000"/>
          <w:sz w:val="24"/>
        </w:rPr>
        <w:t xml:space="preserve">的潜在投标人应在</w:t>
      </w:r>
      <w:r>
        <w:rPr>
          <w:rFonts w:ascii="SimSun" w:hAnsi="SimSun" w:eastAsia="SimSun" w:cs="SimSun"/>
          <w:color w:val="000000"/>
          <w:sz w:val="24"/>
          <w:u w:val="single"/>
        </w:rPr>
        <w:t xml:space="preserve">“苏采云”系统</w:t>
      </w:r>
      <w:r>
        <w:rPr>
          <w:rFonts w:ascii="SimSun" w:hAnsi="SimSun" w:eastAsia="SimSun" w:cs="SimSun"/>
          <w:color w:val="000000"/>
          <w:sz w:val="24"/>
        </w:rPr>
        <w:t xml:space="preserve">获取招标文件，并于</w:t>
      </w:r>
      <w:r>
        <w:rPr>
          <w:rFonts w:ascii="Times New Roman" w:hAnsi="Times New Roman" w:eastAsia="Times New Roman" w:cs="Times New Roman"/>
          <w:color w:val="000000"/>
          <w:sz w:val="24"/>
          <w:u w:val="single"/>
        </w:rPr>
        <w:t xml:space="preserve">2026</w:t>
      </w:r>
      <w:r>
        <w:rPr>
          <w:rFonts w:ascii="SimSun" w:hAnsi="SimSun" w:eastAsia="SimSun" w:cs="SimSun"/>
          <w:color w:val="000000"/>
          <w:sz w:val="24"/>
          <w:u w:val="single"/>
        </w:rPr>
        <w:t xml:space="preserve">年</w:t>
      </w:r>
      <w:r>
        <w:rPr>
          <w:rFonts w:ascii="Times New Roman" w:hAnsi="Times New Roman" w:eastAsia="Times New Roman" w:cs="Times New Roman"/>
          <w:color w:val="000000"/>
          <w:sz w:val="24"/>
          <w:u w:val="single"/>
        </w:rPr>
        <w:t xml:space="preserve">11</w:t>
      </w:r>
      <w:r>
        <w:rPr>
          <w:rFonts w:ascii="SimSun" w:hAnsi="SimSun" w:eastAsia="SimSun" w:cs="SimSun"/>
          <w:color w:val="000000"/>
          <w:sz w:val="24"/>
          <w:u w:val="single"/>
        </w:rPr>
        <w:t xml:space="preserve">月</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日</w:t>
      </w:r>
      <w:r>
        <w:rPr>
          <w:rFonts w:ascii="Times New Roman" w:hAnsi="Times New Roman" w:eastAsia="Times New Roman" w:cs="Times New Roman"/>
          <w:color w:val="000000"/>
          <w:sz w:val="24"/>
          <w:u w:val="single"/>
        </w:rPr>
        <w:t xml:space="preserve">10</w:t>
      </w:r>
      <w:r>
        <w:rPr>
          <w:rFonts w:ascii="SimSun" w:hAnsi="SimSun" w:eastAsia="SimSun" w:cs="SimSun"/>
          <w:color w:val="000000"/>
          <w:sz w:val="24"/>
          <w:u w:val="single"/>
        </w:rPr>
        <w:t xml:space="preserve">点</w:t>
      </w:r>
      <w:r>
        <w:rPr>
          <w:rFonts w:ascii="Times New Roman" w:hAnsi="Times New Roman" w:eastAsia="Times New Roman" w:cs="Times New Roman"/>
          <w:color w:val="000000"/>
          <w:sz w:val="24"/>
          <w:u w:val="single"/>
        </w:rPr>
        <w:t xml:space="preserve">00</w:t>
      </w:r>
      <w:r>
        <w:rPr>
          <w:rFonts w:ascii="SimSun" w:hAnsi="SimSun" w:eastAsia="SimSun" w:cs="SimSun"/>
          <w:color w:val="000000"/>
          <w:sz w:val="24"/>
          <w:u w:val="single"/>
        </w:rPr>
        <w:t xml:space="preserve">分</w:t>
      </w:r>
      <w:r>
        <w:rPr>
          <w:rFonts w:ascii="SimSun" w:hAnsi="SimSun" w:eastAsia="SimSun" w:cs="SimSun"/>
          <w:color w:val="000000"/>
          <w:sz w:val="24"/>
        </w:rPr>
        <w:t xml:space="preserve">（北京时间）前递交投标文件。</w:t>
      </w:r>
      <w:r/>
    </w:p>
    <w:p>
      <w:pPr>
        <w:pStyle w:val="796"/>
        <w:numPr>
          <w:ilvl w:val="0"/>
          <w:numId w:val="55"/>
        </w:numPr>
        <w:spacing w:before="240" w:after="120" w:line="360" w:lineRule="atLeast"/>
        <w:tabs>
          <w:tab w:val="left" w:pos="96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项目基本情况</w:t>
      </w:r>
      <w:r/>
    </w:p>
    <w:p>
      <w:pPr>
        <w:numPr>
          <w:ilvl w:val="0"/>
          <w:numId w:val="56"/>
        </w:numPr>
        <w:jc w:val="both"/>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JSZC-320623-JSHY-G2026-0233</w:t>
      </w:r>
      <w:r/>
    </w:p>
    <w:p>
      <w:pPr>
        <w:numPr>
          <w:ilvl w:val="0"/>
          <w:numId w:val="56"/>
        </w:numPr>
        <w:jc w:val="both"/>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项目名称：如东县人民医院钬激光治疗仪采购项目</w:t>
      </w:r>
      <w:r/>
    </w:p>
    <w:p>
      <w:pPr>
        <w:numPr>
          <w:ilvl w:val="0"/>
          <w:numId w:val="56"/>
        </w:numPr>
        <w:jc w:val="both"/>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w:t>
      </w:r>
      <w:r>
        <w:rPr>
          <w:rFonts w:ascii="Times New Roman" w:hAnsi="Times New Roman" w:eastAsia="Times New Roman" w:cs="Times New Roman"/>
          <w:color w:val="000000"/>
          <w:sz w:val="24"/>
        </w:rPr>
        <w:t xml:space="preserve">200</w:t>
      </w:r>
      <w:r>
        <w:rPr>
          <w:rFonts w:ascii="SimSun" w:hAnsi="SimSun" w:eastAsia="SimSun" w:cs="SimSun"/>
          <w:color w:val="000000"/>
          <w:sz w:val="24"/>
        </w:rPr>
        <w:t xml:space="preserve">万元</w:t>
      </w:r>
      <w:r/>
    </w:p>
    <w:p>
      <w:pPr>
        <w:numPr>
          <w:ilvl w:val="0"/>
          <w:numId w:val="56"/>
        </w:numPr>
        <w:jc w:val="both"/>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最高限价（如有）：</w:t>
      </w:r>
      <w:r>
        <w:rPr>
          <w:rFonts w:ascii="Times New Roman" w:hAnsi="Times New Roman" w:eastAsia="Times New Roman" w:cs="Times New Roman"/>
          <w:color w:val="000000"/>
          <w:sz w:val="24"/>
        </w:rPr>
        <w:t xml:space="preserve">200</w:t>
      </w:r>
      <w:r>
        <w:rPr>
          <w:rFonts w:ascii="SimSun" w:hAnsi="SimSun" w:eastAsia="SimSun" w:cs="SimSun"/>
          <w:color w:val="000000"/>
          <w:sz w:val="24"/>
        </w:rPr>
        <w:t xml:space="preserve">万元（供应商投标报价不得超过上述限价金额，否则将作无效标处理）</w:t>
      </w:r>
      <w:r/>
    </w:p>
    <w:p>
      <w:pPr>
        <w:numPr>
          <w:ilvl w:val="0"/>
          <w:numId w:val="56"/>
        </w:numPr>
        <w:jc w:val="both"/>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tbl>
      <w:tblPr>
        <w:tblStyle w:val="85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8"/>
        <w:gridCol w:w="2280"/>
        <w:gridCol w:w="798"/>
        <w:gridCol w:w="1403"/>
        <w:gridCol w:w="1575"/>
        <w:gridCol w:w="1575"/>
      </w:tblGrid>
      <w:tr>
        <w:trPr/>
        <w:tc>
          <w:tcPr>
            <w:tcBorders>
              <w:top w:val="single" w:color="000000" w:sz="8" w:space="0"/>
              <w:left w:val="single" w:color="000000" w:sz="8" w:space="0"/>
              <w:bottom w:val="single" w:color="000000" w:sz="8" w:space="0"/>
              <w:right w:val="single" w:color="000000" w:sz="8" w:space="0"/>
            </w:tcBorders>
            <w:tcMar>
              <w:left w:w="102" w:type="dxa"/>
              <w:top w:w="80" w:type="dxa"/>
              <w:right w:w="102" w:type="dxa"/>
              <w:bottom w:w="80" w:type="dxa"/>
            </w:tcMar>
            <w:tcW w:w="7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包号</w:t>
            </w:r>
            <w:r/>
          </w:p>
        </w:tc>
        <w:tc>
          <w:tcPr>
            <w:tcBorders>
              <w:top w:val="single" w:color="000000" w:sz="8" w:space="0"/>
              <w:left w:val="single" w:color="000000" w:sz="8" w:space="0"/>
              <w:bottom w:val="single" w:color="000000" w:sz="8" w:space="0"/>
              <w:right w:val="single" w:color="000000" w:sz="8" w:space="0"/>
            </w:tcBorders>
            <w:tcMar>
              <w:left w:w="102" w:type="dxa"/>
              <w:top w:w="80" w:type="dxa"/>
              <w:right w:w="102" w:type="dxa"/>
              <w:bottom w:w="80" w:type="dxa"/>
            </w:tcMar>
            <w:tcW w:w="22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2" w:type="dxa"/>
              <w:top w:w="80" w:type="dxa"/>
              <w:right w:w="102" w:type="dxa"/>
              <w:bottom w:w="80" w:type="dxa"/>
            </w:tcMar>
            <w:tcW w:w="7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2" w:type="dxa"/>
              <w:top w:w="80" w:type="dxa"/>
              <w:right w:w="102" w:type="dxa"/>
              <w:bottom w:w="80" w:type="dxa"/>
            </w:tcMar>
            <w:tcW w:w="14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预算金额（万元）</w:t>
            </w:r>
            <w:r/>
          </w:p>
        </w:tc>
        <w:tc>
          <w:tcPr>
            <w:tcBorders>
              <w:top w:val="single" w:color="000000" w:sz="8" w:space="0"/>
              <w:left w:val="single" w:color="000000" w:sz="8" w:space="0"/>
              <w:bottom w:val="single" w:color="000000" w:sz="8" w:space="0"/>
              <w:right w:val="single" w:color="000000" w:sz="8" w:space="0"/>
            </w:tcBorders>
            <w:tcMar>
              <w:left w:w="102" w:type="dxa"/>
              <w:top w:w="80" w:type="dxa"/>
              <w:right w:w="102" w:type="dxa"/>
              <w:bottom w:w="80" w:type="dxa"/>
            </w:tcMar>
            <w:tcW w:w="15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最高限价（万元）</w:t>
            </w:r>
            <w:r/>
          </w:p>
        </w:tc>
        <w:tc>
          <w:tcPr>
            <w:tcBorders>
              <w:top w:val="single" w:color="000000" w:sz="8" w:space="0"/>
              <w:left w:val="single" w:color="000000" w:sz="8" w:space="0"/>
              <w:bottom w:val="single" w:color="000000" w:sz="8" w:space="0"/>
              <w:right w:val="single" w:color="000000" w:sz="8" w:space="0"/>
            </w:tcBorders>
            <w:tcMar>
              <w:left w:w="102" w:type="dxa"/>
              <w:top w:w="80" w:type="dxa"/>
              <w:right w:w="102" w:type="dxa"/>
              <w:bottom w:w="80" w:type="dxa"/>
            </w:tcMar>
            <w:tcW w:w="15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是否接受进口产品投标</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钬激光治疗仪</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15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15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numPr>
          <w:ilvl w:val="0"/>
          <w:numId w:val="56"/>
        </w:numPr>
        <w:jc w:val="both"/>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合同履行期限：详见项目需求</w:t>
      </w:r>
      <w:r/>
    </w:p>
    <w:p>
      <w:pPr>
        <w:numPr>
          <w:ilvl w:val="0"/>
          <w:numId w:val="56"/>
        </w:numPr>
        <w:jc w:val="both"/>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否）接受联合体投标：否</w:t>
      </w:r>
      <w:r/>
    </w:p>
    <w:p>
      <w:pPr>
        <w:pStyle w:val="796"/>
        <w:numPr>
          <w:ilvl w:val="0"/>
          <w:numId w:val="55"/>
        </w:numPr>
        <w:spacing w:before="240" w:after="120" w:line="360" w:lineRule="atLeast"/>
        <w:tabs>
          <w:tab w:val="left" w:pos="96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申请人的资格要求：</w:t>
      </w:r>
      <w:r/>
    </w:p>
    <w:p>
      <w:pPr>
        <w:pStyle w:val="797"/>
        <w:numPr>
          <w:ilvl w:val="0"/>
          <w:numId w:val="57"/>
        </w:numPr>
        <w:jc w:val="both"/>
        <w:spacing w:before="199" w:after="120" w:line="360" w:lineRule="atLeast"/>
        <w:tabs>
          <w:tab w:val="left" w:pos="12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满足《中华人民共和国政府采购法》第二十二条规定：</w:t>
      </w:r>
      <w:r/>
    </w:p>
    <w:p>
      <w:pPr>
        <w:numPr>
          <w:ilvl w:val="0"/>
          <w:numId w:val="58"/>
        </w:numPr>
        <w:jc w:val="both"/>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具有独立承担民事责任的能力；（提供法人或者其他组织的营业执照等证明文件，自然人的身份证明）</w:t>
      </w:r>
      <w:r/>
    </w:p>
    <w:p>
      <w:pPr>
        <w:numPr>
          <w:ilvl w:val="0"/>
          <w:numId w:val="58"/>
        </w:numPr>
        <w:jc w:val="both"/>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具有良好的商业信誉和健全的财务会计制度；（提供上一年度的财务状况报告，成立不满一年不需提供）</w:t>
      </w:r>
      <w:r/>
    </w:p>
    <w:p>
      <w:pPr>
        <w:numPr>
          <w:ilvl w:val="0"/>
          <w:numId w:val="58"/>
        </w:numPr>
        <w:jc w:val="both"/>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有依法缴纳税收和社会保障资金的良好记录；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依法纳税凭据：提供参加政府采购活动前</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个月内任意一个月依法纳税的凭据，如完税凭证或税务机关开具的完税证明（个人所得税除外）；缴纳社会保险的凭据：提供参加政府采购活动前</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个月内任意一个月缴纳社会保险的凭据，如专用收据或社会保险缴纳清单；依法免税或不需要缴纳社会保障资金的证明文件。如果供应商依法免税或不需要缴纳社会保障资金，则须提供相应的证明文件，以说明其免税或无需缴纳的依据和情况</w:t>
      </w:r>
      <w:r>
        <w:rPr>
          <w:rFonts w:ascii="Times New Roman" w:hAnsi="Times New Roman" w:eastAsia="Times New Roman" w:cs="Times New Roman"/>
          <w:color w:val="000000"/>
          <w:sz w:val="24"/>
        </w:rPr>
        <w:t xml:space="preserve">]</w:t>
      </w:r>
      <w:r/>
    </w:p>
    <w:p>
      <w:pPr>
        <w:numPr>
          <w:ilvl w:val="0"/>
          <w:numId w:val="58"/>
        </w:numPr>
        <w:jc w:val="both"/>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具有履行合同所必需的设备和专业技术能力；（提供书面声明）</w:t>
      </w:r>
      <w:r/>
    </w:p>
    <w:p>
      <w:pPr>
        <w:numPr>
          <w:ilvl w:val="0"/>
          <w:numId w:val="58"/>
        </w:numPr>
        <w:jc w:val="both"/>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参加政府采购活动前</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年内在经营活动中没有重大违法记录；（提供书面声明）</w:t>
      </w:r>
      <w:r/>
    </w:p>
    <w:p>
      <w:pPr>
        <w:pStyle w:val="797"/>
        <w:numPr>
          <w:ilvl w:val="0"/>
          <w:numId w:val="57"/>
        </w:numPr>
        <w:jc w:val="both"/>
        <w:spacing w:before="199" w:after="120" w:line="360" w:lineRule="atLeast"/>
        <w:tabs>
          <w:tab w:val="left" w:pos="12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落实政府采购政策需满足的资格要求：</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p>
      <w:pPr>
        <w:pStyle w:val="797"/>
        <w:numPr>
          <w:ilvl w:val="0"/>
          <w:numId w:val="57"/>
        </w:numPr>
        <w:jc w:val="both"/>
        <w:spacing w:before="199" w:after="120" w:line="360" w:lineRule="atLeast"/>
        <w:tabs>
          <w:tab w:val="left" w:pos="12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本项目的特定资格要求：</w:t>
      </w:r>
      <w:r/>
    </w:p>
    <w:p>
      <w:pPr>
        <w:numPr>
          <w:ilvl w:val="0"/>
          <w:numId w:val="59"/>
        </w:numPr>
        <w:jc w:val="both"/>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numPr>
          <w:ilvl w:val="0"/>
          <w:numId w:val="59"/>
        </w:numPr>
        <w:jc w:val="both"/>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投标人须根据投标产品的类别，提供有效的《医疗器械经营许可证》或者其他相关经营许可文件（扫描件）；</w:t>
      </w:r>
      <w:r/>
    </w:p>
    <w:p>
      <w:pPr>
        <w:numPr>
          <w:ilvl w:val="0"/>
          <w:numId w:val="59"/>
        </w:numPr>
        <w:jc w:val="both"/>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投标人须提供投标产品的有效期内的《医疗器械注册证》（扫描件）；</w:t>
      </w:r>
      <w:r/>
    </w:p>
    <w:p>
      <w:pPr>
        <w:numPr>
          <w:ilvl w:val="0"/>
          <w:numId w:val="59"/>
        </w:numPr>
        <w:jc w:val="both"/>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本项目接受投标人选用进口产品参与投标。如所投产品为进口产品，投标人须提供代理商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经销商证书或针对本项目的专项授权书；（提供证书或授权书扫描件并加盖公章，所称进口产品是指通过中国海关报关验放进入中国境内且产自关境外的产品，如所投产品为国产则无需提供）</w:t>
      </w:r>
      <w:r/>
    </w:p>
    <w:p>
      <w:pPr>
        <w:pStyle w:val="796"/>
        <w:numPr>
          <w:ilvl w:val="0"/>
          <w:numId w:val="55"/>
        </w:numPr>
        <w:spacing w:before="240" w:after="120" w:line="360" w:lineRule="atLeast"/>
        <w:tabs>
          <w:tab w:val="left" w:pos="96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获取招标文件</w:t>
      </w:r>
      <w:r/>
    </w:p>
    <w:p>
      <w:pPr>
        <w:numPr>
          <w:ilvl w:val="0"/>
          <w:numId w:val="60"/>
        </w:numPr>
        <w:jc w:val="both"/>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时间：自招标文件公告发布之日起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w:t>
      </w:r>
      <w:r/>
    </w:p>
    <w:p>
      <w:pPr>
        <w:numPr>
          <w:ilvl w:val="0"/>
          <w:numId w:val="60"/>
        </w:numPr>
        <w:jc w:val="both"/>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w:t>
      </w:r>
      <w:r/>
    </w:p>
    <w:p>
      <w:pPr>
        <w:numPr>
          <w:ilvl w:val="0"/>
          <w:numId w:val="60"/>
        </w:numPr>
        <w:jc w:val="both"/>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潜在供应商访问电子招标响应交易平台的网络地址和方法：</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系统用户注册－－获取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绑定与登录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网上报名－－下载采购文件（后缀名为</w:t>
      </w:r>
      <w:r>
        <w:rPr>
          <w:rFonts w:ascii="Times New Roman" w:hAnsi="Times New Roman" w:eastAsia="Times New Roman" w:cs="Times New Roman"/>
          <w:color w:val="000000"/>
          <w:sz w:val="24"/>
        </w:rPr>
        <w:t xml:space="preserve">“kedt”</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将后缀名为</w:t>
      </w:r>
      <w:r>
        <w:rPr>
          <w:rFonts w:ascii="Times New Roman" w:hAnsi="Times New Roman" w:eastAsia="Times New Roman" w:cs="Times New Roman"/>
          <w:color w:val="000000"/>
          <w:sz w:val="24"/>
        </w:rPr>
        <w:t xml:space="preserve">“kedt”</w:t>
      </w:r>
      <w:r>
        <w:rPr>
          <w:rFonts w:ascii="SimSun" w:hAnsi="SimSun" w:eastAsia="SimSun" w:cs="SimSun"/>
          <w:color w:val="000000"/>
          <w:sz w:val="24"/>
        </w:rPr>
        <w:t xml:space="preserve">的采购文件导入政府采购客户端工具－－制作响应文件－－导出加密的响应文件（后缀名为</w:t>
      </w:r>
      <w:r>
        <w:rPr>
          <w:rFonts w:ascii="Times New Roman" w:hAnsi="Times New Roman" w:eastAsia="Times New Roman" w:cs="Times New Roman"/>
          <w:color w:val="000000"/>
          <w:sz w:val="24"/>
        </w:rPr>
        <w:t xml:space="preserve">zip</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通过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系统上传响应文件。具体见《江苏省政府采购管理交易系统（苏采云）供应商操作手册》。</w:t>
      </w:r>
      <w:r/>
    </w:p>
    <w:p>
      <w:pPr>
        <w:numPr>
          <w:ilvl w:val="0"/>
          <w:numId w:val="60"/>
        </w:numPr>
        <w:jc w:val="both"/>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潜在供应商访问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系统的网络地址和方法：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系统的网址：</w:t>
      </w:r>
      <w:r>
        <w:rPr>
          <w:rFonts w:ascii="Times New Roman" w:hAnsi="Times New Roman" w:eastAsia="Times New Roman" w:cs="Times New Roman"/>
          <w:color w:val="000000"/>
          <w:sz w:val="24"/>
        </w:rPr>
        <w:t xml:space="preserve">http://jszfcg.jsczt.cn/</w:t>
      </w:r>
      <w:r/>
    </w:p>
    <w:p>
      <w:pPr>
        <w:numPr>
          <w:ilvl w:val="0"/>
          <w:numId w:val="60"/>
        </w:numPr>
        <w:jc w:val="both"/>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的获取</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供应商需办理</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办理指南及</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操作手册可至江苏省政府采购网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办事指南－资料下载中心下载。</w:t>
      </w:r>
      <w:r/>
    </w:p>
    <w:p>
      <w:pPr>
        <w:numPr>
          <w:ilvl w:val="0"/>
          <w:numId w:val="60"/>
        </w:numPr>
        <w:jc w:val="both"/>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采购文件（后缀名为</w:t>
      </w:r>
      <w:r>
        <w:rPr>
          <w:rFonts w:ascii="Times New Roman" w:hAnsi="Times New Roman" w:eastAsia="Times New Roman" w:cs="Times New Roman"/>
          <w:color w:val="000000"/>
          <w:sz w:val="24"/>
        </w:rPr>
        <w:t xml:space="preserve">“kedt”</w:t>
      </w:r>
      <w:r>
        <w:rPr>
          <w:rFonts w:ascii="SimSun" w:hAnsi="SimSun" w:eastAsia="SimSun" w:cs="SimSun"/>
          <w:color w:val="000000"/>
          <w:sz w:val="24"/>
        </w:rPr>
        <w:t xml:space="preserve">）、供应商操作手册及政府采购客户端工具可通过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系统－－已报名项目－－报名详情页面内相应链接进行下载。</w:t>
      </w:r>
      <w:r/>
    </w:p>
    <w:p>
      <w:pPr>
        <w:numPr>
          <w:ilvl w:val="0"/>
          <w:numId w:val="60"/>
        </w:numPr>
        <w:jc w:val="both"/>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采购人或采购代理机构将数据电文形式的采购文件加载至</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系统，供潜在供应商下载或者查阅。</w:t>
      </w:r>
      <w:r/>
    </w:p>
    <w:p>
      <w:pPr>
        <w:numPr>
          <w:ilvl w:val="0"/>
          <w:numId w:val="60"/>
        </w:numPr>
        <w:jc w:val="both"/>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请潜在供应商提前安装相应的控件，详见《江苏省政府采购管理交易系统（苏采云）供应商操作手册》，并使用谷歌浏览器登录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系统参与不见面开评标。</w:t>
      </w:r>
      <w:r/>
    </w:p>
    <w:p>
      <w:pPr>
        <w:ind w:left="0" w:right="0" w:firstLine="482"/>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注：如潜在供应商未按上述要求操作，将自行承担所产生的风险。</w:t>
      </w:r>
      <w:r/>
    </w:p>
    <w:p>
      <w:pPr>
        <w:pStyle w:val="796"/>
        <w:numPr>
          <w:ilvl w:val="0"/>
          <w:numId w:val="55"/>
        </w:numPr>
        <w:spacing w:before="240" w:after="120" w:line="360" w:lineRule="atLeast"/>
        <w:tabs>
          <w:tab w:val="left" w:pos="96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提交投标文件截止时间、开标时间和地点</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00</w:t>
      </w:r>
      <w:r>
        <w:rPr>
          <w:rFonts w:ascii="SimSun" w:hAnsi="SimSun" w:eastAsia="SimSun" w:cs="SimSun"/>
          <w:color w:val="000000"/>
          <w:sz w:val="24"/>
        </w:rPr>
        <w:t xml:space="preserve">分（北京时间）</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逾时，交易系统将拒绝接受上传投标文件电子文档。</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系统（网址：</w:t>
      </w:r>
      <w:r>
        <w:rPr>
          <w:rFonts w:ascii="Times New Roman" w:hAnsi="Times New Roman" w:eastAsia="Times New Roman" w:cs="Times New Roman"/>
          <w:color w:val="000000"/>
          <w:sz w:val="24"/>
        </w:rPr>
        <w:t xml:space="preserve">http://jszfcg.jsczt.cn</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开标大厅</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解密：开标当天各供应商及时登录不见面开标大厅，投标文件递交截止时间后，采购人将在系统内公布投标供应商名单，然后通过开标会议区发出响应文件解密的指令，投标供应商在开标室按规定时间自行实施远程解密，投标供应商解密限定在开标后</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r/>
    </w:p>
    <w:p>
      <w:pPr>
        <w:pStyle w:val="796"/>
        <w:numPr>
          <w:ilvl w:val="0"/>
          <w:numId w:val="55"/>
        </w:numPr>
        <w:spacing w:before="240" w:after="120" w:line="360" w:lineRule="atLeast"/>
        <w:tabs>
          <w:tab w:val="left" w:pos="96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公告期限</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w:t>
      </w:r>
      <w:r/>
    </w:p>
    <w:p>
      <w:pPr>
        <w:pStyle w:val="796"/>
        <w:numPr>
          <w:ilvl w:val="0"/>
          <w:numId w:val="55"/>
        </w:numPr>
        <w:spacing w:before="240" w:after="120" w:line="360" w:lineRule="atLeast"/>
        <w:tabs>
          <w:tab w:val="left" w:pos="96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其他补充事宜</w:t>
      </w:r>
      <w:r/>
    </w:p>
    <w:p>
      <w:pPr>
        <w:numPr>
          <w:ilvl w:val="0"/>
          <w:numId w:val="61"/>
        </w:numPr>
        <w:jc w:val="both"/>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投标保证金：免收</w:t>
      </w:r>
      <w:r/>
    </w:p>
    <w:p>
      <w:pPr>
        <w:numPr>
          <w:ilvl w:val="0"/>
          <w:numId w:val="61"/>
        </w:numPr>
        <w:jc w:val="both"/>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项目开标活动模式：不见面远程开标模式，投标人在各自地点通过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系统参加开标会。</w:t>
      </w:r>
      <w:r/>
    </w:p>
    <w:p>
      <w:pPr>
        <w:numPr>
          <w:ilvl w:val="0"/>
          <w:numId w:val="61"/>
        </w:numPr>
        <w:jc w:val="both"/>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numPr>
          <w:ilvl w:val="0"/>
          <w:numId w:val="61"/>
        </w:numPr>
        <w:jc w:val="both"/>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系统操作过程中如遇问题，请致电“苏采云”客服</w:t>
      </w:r>
      <w:r>
        <w:rPr>
          <w:rFonts w:ascii="Times New Roman" w:hAnsi="Times New Roman" w:eastAsia="Times New Roman" w:cs="Times New Roman"/>
          <w:color w:val="000000"/>
          <w:sz w:val="24"/>
        </w:rPr>
        <w:t xml:space="preserve">0519-86722801</w:t>
      </w:r>
      <w:r>
        <w:rPr>
          <w:rFonts w:ascii="SimSun" w:hAnsi="SimSun" w:eastAsia="SimSun" w:cs="SimSun"/>
          <w:color w:val="000000"/>
          <w:sz w:val="24"/>
        </w:rPr>
        <w:t xml:space="preserve">。</w:t>
      </w:r>
      <w:r/>
    </w:p>
    <w:p>
      <w:pPr>
        <w:numPr>
          <w:ilvl w:val="0"/>
          <w:numId w:val="61"/>
        </w:numPr>
        <w:jc w:val="both"/>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有关本次招标的事项若存在变动或修改，均以江苏政府采购网发布的更正或补充通知为准，敬请及时关注。</w:t>
      </w:r>
      <w:r/>
    </w:p>
    <w:p>
      <w:pPr>
        <w:numPr>
          <w:ilvl w:val="0"/>
          <w:numId w:val="61"/>
        </w:numPr>
        <w:jc w:val="both"/>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pStyle w:val="796"/>
        <w:numPr>
          <w:ilvl w:val="0"/>
          <w:numId w:val="55"/>
        </w:numPr>
        <w:spacing w:before="240" w:after="120" w:line="360" w:lineRule="atLeast"/>
        <w:tabs>
          <w:tab w:val="left" w:pos="96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对本次招标提出询问，请按以下方式联系。</w:t>
      </w:r>
      <w:r/>
    </w:p>
    <w:p>
      <w:pPr>
        <w:pStyle w:val="797"/>
        <w:numPr>
          <w:ilvl w:val="0"/>
          <w:numId w:val="62"/>
        </w:numPr>
        <w:jc w:val="both"/>
        <w:spacing w:before="199" w:after="120" w:line="360" w:lineRule="atLeast"/>
        <w:tabs>
          <w:tab w:val="left" w:pos="78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采购人信息</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名称：如东县人民医院</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地址：江苏省南通市如东县城中街道江海西路</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号</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联系人：徐科</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Times New Roman" w:hAnsi="Times New Roman" w:eastAsia="Times New Roman" w:cs="Times New Roman"/>
          <w:color w:val="000000"/>
          <w:sz w:val="24"/>
        </w:rPr>
        <w:t xml:space="preserve">0513-84118336</w:t>
      </w:r>
      <w:r>
        <w:rPr>
          <w:rFonts w:ascii="SimSun" w:hAnsi="SimSun" w:eastAsia="SimSun" w:cs="SimSun"/>
          <w:color w:val="000000"/>
          <w:sz w:val="24"/>
        </w:rPr>
        <w:t xml:space="preserve"> </w:t>
      </w:r>
      <w:r/>
    </w:p>
    <w:p>
      <w:pPr>
        <w:pStyle w:val="797"/>
        <w:numPr>
          <w:ilvl w:val="0"/>
          <w:numId w:val="62"/>
        </w:numPr>
        <w:jc w:val="both"/>
        <w:spacing w:before="199" w:after="120" w:line="360" w:lineRule="atLeast"/>
        <w:tabs>
          <w:tab w:val="left" w:pos="78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采购代理机构信息</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名称：江苏弘业国际技术工程有限公司</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地址：南京市中华路</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号弘业大厦</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楼</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联系人：王老师、茅老师</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Times New Roman" w:hAnsi="Times New Roman" w:eastAsia="Times New Roman" w:cs="Times New Roman"/>
          <w:color w:val="000000"/>
          <w:sz w:val="24"/>
        </w:rPr>
        <w:t xml:space="preserve">18352665859</w:t>
      </w:r>
      <w:r/>
    </w:p>
    <w:p>
      <w:pPr>
        <w:pStyle w:val="797"/>
        <w:numPr>
          <w:ilvl w:val="0"/>
          <w:numId w:val="62"/>
        </w:numPr>
        <w:jc w:val="both"/>
        <w:spacing w:before="199" w:after="120" w:line="360" w:lineRule="atLeast"/>
        <w:tabs>
          <w:tab w:val="left" w:pos="78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软件技术支持：</w:t>
      </w:r>
      <w:r>
        <w:rPr>
          <w:rFonts w:ascii="Times New Roman" w:hAnsi="Times New Roman" w:eastAsia="Times New Roman" w:cs="Times New Roman"/>
          <w:b/>
          <w:color w:val="000000"/>
          <w:sz w:val="24"/>
        </w:rPr>
        <w:t xml:space="preserve">0519-86722801</w:t>
      </w:r>
      <w:r/>
    </w:p>
    <w:p>
      <w:pPr>
        <w:ind w:left="1625" w:right="0" w:hanging="1205"/>
        <w:jc w:val="both"/>
        <w:spacing w:before="240" w:after="120" w:line="36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w:t>
      </w:r>
      <w:r/>
    </w:p>
    <w:p>
      <w:pPr>
        <w:ind w:left="1625" w:right="0" w:hanging="1205"/>
        <w:jc w:val="both"/>
        <w:spacing w:before="240" w:after="120" w:line="360" w:lineRule="atLeast"/>
        <w:tabs>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招标文件</w:t>
      </w:r>
      <w:r/>
    </w:p>
    <w:p>
      <w:pPr>
        <w:ind w:left="1625" w:right="0" w:hanging="1205"/>
        <w:jc w:val="both"/>
        <w:spacing w:before="240" w:after="120" w:line="360" w:lineRule="atLeast"/>
        <w:tabs>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采购人信用承诺</w:t>
      </w:r>
      <w:r/>
    </w:p>
    <w:p>
      <w:pPr>
        <w:ind w:left="1625" w:right="0" w:hanging="1205"/>
        <w:jc w:val="both"/>
        <w:spacing w:before="240" w:after="120" w:line="360" w:lineRule="atLeast"/>
        <w:tabs>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公平竞争审查二维码</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第二部分投标须知</w:t>
      </w:r>
      <w:r/>
    </w:p>
    <w:p>
      <w:pPr>
        <w:pStyle w:val="796"/>
        <w:numPr>
          <w:ilvl w:val="0"/>
          <w:numId w:val="63"/>
        </w:numPr>
        <w:spacing w:before="240" w:after="120" w:line="360" w:lineRule="atLeast"/>
        <w:tabs>
          <w:tab w:val="left" w:pos="96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总则</w:t>
      </w:r>
      <w:r/>
    </w:p>
    <w:p>
      <w:pPr>
        <w:pStyle w:val="797"/>
        <w:numPr>
          <w:ilvl w:val="0"/>
          <w:numId w:val="55"/>
        </w:numPr>
        <w:jc w:val="both"/>
        <w:spacing w:before="199" w:after="120" w:line="360" w:lineRule="atLeast"/>
        <w:tabs>
          <w:tab w:val="left" w:pos="78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招标方式</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本次招标采取公开招标方式，本招标文件仅适用于招标公告中所述项目。</w:t>
      </w:r>
      <w:r/>
    </w:p>
    <w:p>
      <w:pPr>
        <w:pStyle w:val="797"/>
        <w:numPr>
          <w:ilvl w:val="0"/>
          <w:numId w:val="55"/>
        </w:numPr>
        <w:jc w:val="both"/>
        <w:spacing w:before="199" w:after="120" w:line="360" w:lineRule="atLeast"/>
        <w:tabs>
          <w:tab w:val="left" w:pos="78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合格的投标人</w:t>
      </w:r>
      <w:r/>
    </w:p>
    <w:p>
      <w:pPr>
        <w:numPr>
          <w:ilvl w:val="0"/>
          <w:numId w:val="55"/>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满足招标公告中供应商的资格要求的规定。</w:t>
      </w:r>
      <w:r/>
    </w:p>
    <w:p>
      <w:pPr>
        <w:numPr>
          <w:ilvl w:val="0"/>
          <w:numId w:val="55"/>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满足本文件实质性条款的规定。</w:t>
      </w:r>
      <w:r>
        <w:rPr>
          <w:rFonts w:ascii="SimSun" w:hAnsi="SimSun" w:eastAsia="SimSun" w:cs="SimSun"/>
          <w:b/>
          <w:color w:val="000000"/>
          <w:sz w:val="24"/>
          <w:u w:val="single"/>
        </w:rPr>
        <w:t xml:space="preserve">（本招标文件中实质性条款包括但不限于带有下划线、加注</w:t>
      </w:r>
      <w:r>
        <w:rPr>
          <w:rFonts w:ascii="Times New Roman" w:hAnsi="Times New Roman" w:eastAsia="Times New Roman" w:cs="Times New Roman"/>
          <w:b/>
          <w:color w:val="000000"/>
          <w:sz w:val="24"/>
          <w:u w:val="single"/>
        </w:rPr>
        <w:t xml:space="preserve">“*”</w:t>
      </w:r>
      <w:r>
        <w:rPr>
          <w:rFonts w:ascii="SimSun" w:hAnsi="SimSun" w:eastAsia="SimSun" w:cs="SimSun"/>
          <w:b/>
          <w:color w:val="000000"/>
          <w:sz w:val="24"/>
          <w:u w:val="single"/>
        </w:rPr>
        <w:t xml:space="preserve">、加注</w:t>
      </w:r>
      <w:r>
        <w:rPr>
          <w:rFonts w:ascii="Times New Roman" w:hAnsi="Times New Roman" w:eastAsia="Times New Roman" w:cs="Times New Roman"/>
          <w:b/>
          <w:color w:val="000000"/>
          <w:sz w:val="24"/>
          <w:u w:val="single"/>
        </w:rPr>
        <w:t xml:space="preserve">“★”</w:t>
      </w:r>
      <w:r>
        <w:rPr>
          <w:rFonts w:ascii="SimSun" w:hAnsi="SimSun" w:eastAsia="SimSun" w:cs="SimSun"/>
          <w:b/>
          <w:color w:val="000000"/>
          <w:sz w:val="24"/>
          <w:u w:val="single"/>
        </w:rPr>
        <w:t xml:space="preserve">号部分及其他可能对本项目产生实质性影响的条款）</w:t>
      </w:r>
      <w:r/>
    </w:p>
    <w:p>
      <w:pPr>
        <w:pStyle w:val="797"/>
        <w:numPr>
          <w:ilvl w:val="0"/>
          <w:numId w:val="55"/>
        </w:numPr>
        <w:jc w:val="both"/>
        <w:spacing w:before="199" w:after="120" w:line="360" w:lineRule="atLeast"/>
        <w:tabs>
          <w:tab w:val="left" w:pos="78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适用法律</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本次招标及由此产生的合同受中华人民共和国有关的法律法规制约和保护。</w:t>
      </w:r>
      <w:r/>
    </w:p>
    <w:p>
      <w:pPr>
        <w:pStyle w:val="797"/>
        <w:numPr>
          <w:ilvl w:val="0"/>
          <w:numId w:val="55"/>
        </w:numPr>
        <w:jc w:val="both"/>
        <w:spacing w:before="199" w:after="120" w:line="360" w:lineRule="atLeast"/>
        <w:tabs>
          <w:tab w:val="left" w:pos="78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投标费用</w:t>
      </w:r>
      <w:r/>
    </w:p>
    <w:p>
      <w:pPr>
        <w:numPr>
          <w:ilvl w:val="0"/>
          <w:numId w:val="55"/>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供应商应自行承担所有与参加投标有关的费用，无论招标过程中的做法和结果如何，采购人在任何情况下均无义务和责任承担这些费用。</w:t>
      </w:r>
      <w:r/>
    </w:p>
    <w:p>
      <w:pPr>
        <w:numPr>
          <w:ilvl w:val="0"/>
          <w:numId w:val="55"/>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履约保证金：详见招标文件第三部分。</w:t>
      </w:r>
      <w:r/>
    </w:p>
    <w:p>
      <w:pPr>
        <w:numPr>
          <w:ilvl w:val="0"/>
          <w:numId w:val="55"/>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代理服务费由中标人支付，代理服务费应包含（分摊）在响应报价中，但无须单独列出。中标人应在领取中标通知书前向代理机构支付服务费，招标服务费以中标价为基数，根据《江苏省政府采购代理服务收费指导意见》(苏政采协[2024]20号)规定收费标准的65%向中标人收取</w:t>
      </w:r>
      <w:r/>
    </w:p>
    <w:p>
      <w:pPr>
        <w:pStyle w:val="797"/>
        <w:numPr>
          <w:ilvl w:val="0"/>
          <w:numId w:val="55"/>
        </w:numPr>
        <w:jc w:val="both"/>
        <w:spacing w:before="199" w:after="120" w:line="360" w:lineRule="atLeast"/>
        <w:tabs>
          <w:tab w:val="left" w:pos="78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招标文件的约束力</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投标人一旦参加本项目采购活动，即被认为接受了本招标文件的规定和约束。</w:t>
      </w:r>
      <w:r/>
    </w:p>
    <w:p>
      <w:pPr>
        <w:pStyle w:val="797"/>
        <w:numPr>
          <w:ilvl w:val="0"/>
          <w:numId w:val="55"/>
        </w:numPr>
        <w:jc w:val="both"/>
        <w:spacing w:before="199" w:after="120" w:line="360" w:lineRule="atLeast"/>
        <w:tabs>
          <w:tab w:val="left" w:pos="78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招标文件的解释</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w:t>
      </w:r>
      <w:r>
        <w:rPr>
          <w:rFonts w:ascii="SimSun" w:hAnsi="SimSun" w:eastAsia="SimSun" w:cs="SimSun"/>
          <w:color w:val="000000"/>
          <w:sz w:val="24"/>
        </w:rPr>
        <w:t xml:space="preserve">招标文件需求部分（供应商资格要求、项目需求、商务技术评分标准）由采购人解释，其他部分由采购代理机构解释。</w:t>
      </w:r>
      <w:r/>
    </w:p>
    <w:p>
      <w:pPr>
        <w:pStyle w:val="796"/>
        <w:numPr>
          <w:ilvl w:val="0"/>
          <w:numId w:val="63"/>
        </w:numPr>
        <w:spacing w:before="240" w:after="120" w:line="360" w:lineRule="atLeast"/>
        <w:tabs>
          <w:tab w:val="left" w:pos="96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招标文件</w:t>
      </w:r>
      <w:r/>
    </w:p>
    <w:p>
      <w:pPr>
        <w:numPr>
          <w:ilvl w:val="0"/>
          <w:numId w:val="55"/>
        </w:numPr>
        <w:jc w:val="both"/>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招标文件构成</w:t>
      </w:r>
      <w:r/>
    </w:p>
    <w:p>
      <w:pPr>
        <w:numPr>
          <w:ilvl w:val="0"/>
          <w:numId w:val="55"/>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招标文件由以下部分组成：</w:t>
      </w:r>
      <w:r/>
    </w:p>
    <w:p>
      <w:pPr>
        <w:numPr>
          <w:ilvl w:val="0"/>
          <w:numId w:val="55"/>
        </w:numPr>
        <w:jc w:val="both"/>
        <w:spacing w:before="240" w:after="120" w:line="36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w:t>
      </w:r>
      <w:r/>
    </w:p>
    <w:p>
      <w:pPr>
        <w:numPr>
          <w:ilvl w:val="0"/>
          <w:numId w:val="55"/>
        </w:numPr>
        <w:jc w:val="both"/>
        <w:spacing w:before="240" w:after="120" w:line="36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投标须知</w:t>
      </w:r>
      <w:r/>
    </w:p>
    <w:p>
      <w:pPr>
        <w:numPr>
          <w:ilvl w:val="0"/>
          <w:numId w:val="55"/>
        </w:numPr>
        <w:jc w:val="both"/>
        <w:spacing w:before="240" w:after="120" w:line="36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项目需求</w:t>
      </w:r>
      <w:r/>
    </w:p>
    <w:p>
      <w:pPr>
        <w:numPr>
          <w:ilvl w:val="0"/>
          <w:numId w:val="55"/>
        </w:numPr>
        <w:jc w:val="both"/>
        <w:spacing w:before="240" w:after="120" w:line="36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开标和评标</w:t>
      </w:r>
      <w:r/>
    </w:p>
    <w:p>
      <w:pPr>
        <w:numPr>
          <w:ilvl w:val="0"/>
          <w:numId w:val="55"/>
        </w:numPr>
        <w:jc w:val="both"/>
        <w:spacing w:before="240" w:after="120" w:line="36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合同格式</w:t>
      </w:r>
      <w:r/>
    </w:p>
    <w:p>
      <w:pPr>
        <w:numPr>
          <w:ilvl w:val="0"/>
          <w:numId w:val="55"/>
        </w:numPr>
        <w:jc w:val="both"/>
        <w:spacing w:before="240" w:after="120" w:line="36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投标文件组成</w:t>
      </w:r>
      <w:r/>
    </w:p>
    <w:p>
      <w:pPr>
        <w:numPr>
          <w:ilvl w:val="0"/>
          <w:numId w:val="55"/>
        </w:numPr>
        <w:jc w:val="both"/>
        <w:spacing w:before="240" w:after="120" w:line="36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请仔细检查招标文件是否齐全，如有缺漏请立即与采购人或采购代理机构联系解决。</w:t>
      </w:r>
      <w:r/>
    </w:p>
    <w:p>
      <w:pPr>
        <w:numPr>
          <w:ilvl w:val="0"/>
          <w:numId w:val="55"/>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numPr>
          <w:ilvl w:val="0"/>
          <w:numId w:val="55"/>
        </w:numPr>
        <w:jc w:val="both"/>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招标文件的澄清</w:t>
      </w:r>
      <w:r/>
    </w:p>
    <w:p>
      <w:pPr>
        <w:numPr>
          <w:ilvl w:val="0"/>
          <w:numId w:val="55"/>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任何要求对招标文件进行澄清的供应商，均应根据相关法律法规规定按招标公告中的通讯地址，以书面形式向采购代理机构提出，逾期不再受理。采购代理机构将对收到的澄清要求予以答复，并在认为有必要时，将澄清答复在“江苏政府采购网”（</w:t>
      </w:r>
      <w:r>
        <w:rPr>
          <w:rFonts w:ascii="Times New Roman" w:hAnsi="Times New Roman" w:eastAsia="Times New Roman" w:cs="Times New Roman"/>
          <w:color w:val="000000"/>
          <w:sz w:val="24"/>
        </w:rPr>
        <w:t xml:space="preserve">http://www.ccgp-jiangsu.gov.cn/</w:t>
      </w:r>
      <w:r>
        <w:rPr>
          <w:rFonts w:ascii="SimSun" w:hAnsi="SimSun" w:eastAsia="SimSun" w:cs="SimSun"/>
          <w:color w:val="000000"/>
          <w:sz w:val="24"/>
        </w:rPr>
        <w:t xml:space="preserve">）上予以公告，答复中包括所问问题（但不包括问题的来源）。</w:t>
      </w:r>
      <w:r/>
    </w:p>
    <w:p>
      <w:pPr>
        <w:numPr>
          <w:ilvl w:val="0"/>
          <w:numId w:val="55"/>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澄清答复内容为招标文件的组成部分，并对供应商具有约束力。澄清内容可能影响投标文件编制的，采购人或者采购代理机构将顺延递交投标文件的截止时间。</w:t>
      </w:r>
      <w:r/>
    </w:p>
    <w:p>
      <w:pPr>
        <w:numPr>
          <w:ilvl w:val="0"/>
          <w:numId w:val="55"/>
        </w:numPr>
        <w:jc w:val="both"/>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招标文件的修改</w:t>
      </w:r>
      <w:r/>
    </w:p>
    <w:p>
      <w:pPr>
        <w:numPr>
          <w:ilvl w:val="0"/>
          <w:numId w:val="55"/>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在投标截止时间前，采购人或采购代理机构可以对招标文件进行修改。</w:t>
      </w:r>
      <w:r/>
    </w:p>
    <w:p>
      <w:pPr>
        <w:numPr>
          <w:ilvl w:val="0"/>
          <w:numId w:val="55"/>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采购人或采购代理机构有权按照法定的要求推迟投标截止日期和开标日期。</w:t>
      </w:r>
      <w:r/>
    </w:p>
    <w:p>
      <w:pPr>
        <w:numPr>
          <w:ilvl w:val="0"/>
          <w:numId w:val="55"/>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招标文件的修改将在江苏政府采购网公布，补充文件将作为招标文件的组成部分，并对投标人具有约束力。</w:t>
      </w:r>
      <w:r/>
    </w:p>
    <w:p>
      <w:pPr>
        <w:numPr>
          <w:ilvl w:val="0"/>
          <w:numId w:val="55"/>
        </w:numPr>
        <w:jc w:val="both"/>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在投标响应截止日期前，采购单位对采购文件进行澄清或者修改的，通过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系统发布澄清公告或者修改的内容。澄清或者修改的内容以所发布的本项目的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更正（澄清）公告</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的形式通知所有获取采购文件的投标人。发布本项目的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更正（澄清）公告</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后采购代理机构已尽通知义务。敬请各潜投标人关注本项目的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更正（澄清）公告</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，并通过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系统重新下载更正（澄清）后的采购文件（后缀名为</w:t>
      </w:r>
      <w:r>
        <w:rPr>
          <w:rFonts w:ascii="Times New Roman" w:hAnsi="Times New Roman" w:eastAsia="Times New Roman" w:cs="Times New Roman"/>
          <w:color w:val="000000"/>
          <w:sz w:val="24"/>
        </w:rPr>
        <w:t xml:space="preserve">“kedt”</w:t>
      </w:r>
      <w:r>
        <w:rPr>
          <w:rFonts w:ascii="SimSun" w:hAnsi="SimSun" w:eastAsia="SimSun" w:cs="SimSun"/>
          <w:color w:val="000000"/>
          <w:sz w:val="24"/>
        </w:rPr>
        <w:t xml:space="preserve">），离线编制响应文件，否则，将自行承担相应的风险。</w:t>
      </w:r>
      <w:r/>
    </w:p>
    <w:p>
      <w:pPr>
        <w:numPr>
          <w:ilvl w:val="0"/>
          <w:numId w:val="55"/>
        </w:numPr>
        <w:jc w:val="both"/>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投标人对采购人提供的采购文件所做出的推论、解释和结论，采购人概不负责。供应商由于对采购文件的任何推论和误解以及采购人对有关问题的口头解释所造成的后果，均由各潜在投标人自负。</w:t>
      </w:r>
      <w:r/>
    </w:p>
    <w:p>
      <w:pPr>
        <w:pStyle w:val="796"/>
        <w:numPr>
          <w:ilvl w:val="0"/>
          <w:numId w:val="63"/>
        </w:numPr>
        <w:spacing w:before="240" w:after="120" w:line="360" w:lineRule="atLeast"/>
        <w:tabs>
          <w:tab w:val="left" w:pos="96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投标文件的编制</w:t>
      </w:r>
      <w:r/>
    </w:p>
    <w:p>
      <w:pPr>
        <w:numPr>
          <w:ilvl w:val="0"/>
          <w:numId w:val="55"/>
        </w:numPr>
        <w:jc w:val="both"/>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投标文件的语言及度量衡单位</w:t>
      </w:r>
      <w:r/>
    </w:p>
    <w:p>
      <w:pPr>
        <w:numPr>
          <w:ilvl w:val="0"/>
          <w:numId w:val="55"/>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投标人提交的投标文件以及投标人与采购人或采购代理机构就有关投标的所有来往通知、函件和文件均应使用简体中文。</w:t>
      </w:r>
      <w:r/>
    </w:p>
    <w:p>
      <w:pPr>
        <w:numPr>
          <w:ilvl w:val="0"/>
          <w:numId w:val="55"/>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除技术性能另有规定外，投标文件所使用的度量衡单位，均须采用国家法定计量单位。</w:t>
      </w:r>
      <w:r/>
    </w:p>
    <w:p>
      <w:pPr>
        <w:numPr>
          <w:ilvl w:val="0"/>
          <w:numId w:val="55"/>
        </w:numPr>
        <w:jc w:val="both"/>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投标文件构成</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投标人编写的投标文件应包括资格审查证明材料文件，商务、技术标文件，价格标文件。供应商按</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第六部分 投标文件组成</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要求编写投标文件</w:t>
      </w:r>
      <w:r/>
    </w:p>
    <w:p>
      <w:pPr>
        <w:numPr>
          <w:ilvl w:val="0"/>
          <w:numId w:val="55"/>
        </w:numPr>
        <w:jc w:val="both"/>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投标有效期为招标文件规定的开标之日后</w:t>
      </w:r>
      <w:r>
        <w:rPr>
          <w:rFonts w:ascii="SimSun" w:hAnsi="SimSun" w:eastAsia="SimSun" w:cs="SimSun"/>
          <w:b/>
          <w:color w:val="000000"/>
          <w:sz w:val="24"/>
          <w:u w:val="single"/>
        </w:rPr>
        <w:t xml:space="preserve">九十（</w:t>
      </w:r>
      <w:r>
        <w:rPr>
          <w:rFonts w:ascii="Times New Roman" w:hAnsi="Times New Roman" w:eastAsia="Times New Roman" w:cs="Times New Roman"/>
          <w:b/>
          <w:color w:val="000000"/>
          <w:sz w:val="24"/>
          <w:u w:val="single"/>
        </w:rPr>
        <w:t xml:space="preserve">90</w:t>
      </w:r>
      <w:r>
        <w:rPr>
          <w:rFonts w:ascii="SimSun" w:hAnsi="SimSun" w:eastAsia="SimSun" w:cs="SimSun"/>
          <w:b/>
          <w:color w:val="000000"/>
          <w:sz w:val="24"/>
          <w:u w:val="single"/>
        </w:rPr>
        <w:t xml:space="preserve">）天</w:t>
      </w:r>
      <w:r>
        <w:rPr>
          <w:rFonts w:ascii="SimSun" w:hAnsi="SimSun" w:eastAsia="SimSun" w:cs="SimSun"/>
          <w:color w:val="000000"/>
          <w:sz w:val="24"/>
        </w:rPr>
        <w:t xml:space="preserve">。投标有效期比规定短的将被视为非响应性投标而予以拒绝。</w:t>
      </w:r>
      <w:r/>
    </w:p>
    <w:p>
      <w:pPr>
        <w:numPr>
          <w:ilvl w:val="0"/>
          <w:numId w:val="55"/>
        </w:numPr>
        <w:jc w:val="both"/>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投标有效期的延长</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r/>
    </w:p>
    <w:p>
      <w:pPr>
        <w:numPr>
          <w:ilvl w:val="0"/>
          <w:numId w:val="55"/>
        </w:numPr>
        <w:jc w:val="both"/>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电子响应文件其他要求</w:t>
      </w:r>
      <w:r/>
    </w:p>
    <w:p>
      <w:pPr>
        <w:numPr>
          <w:ilvl w:val="0"/>
          <w:numId w:val="56"/>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电子招标投标交易平台（即</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系统）相关要求是本采购文件的组成部分。</w:t>
      </w:r>
      <w:r/>
    </w:p>
    <w:p>
      <w:pPr>
        <w:numPr>
          <w:ilvl w:val="0"/>
          <w:numId w:val="56"/>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投标人应对</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证书妥善保管，如被他人盗用投标，因此带来的结果均由供应商自行承担。</w:t>
      </w:r>
      <w:r/>
    </w:p>
    <w:p>
      <w:pPr>
        <w:numPr>
          <w:ilvl w:val="0"/>
          <w:numId w:val="56"/>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投标人应当对采购文件提出的实质性要求和条件作出实质性响应，并在电子投标系统逐条应答。</w:t>
      </w:r>
      <w:r/>
    </w:p>
    <w:p>
      <w:pPr>
        <w:numPr>
          <w:ilvl w:val="0"/>
          <w:numId w:val="56"/>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投标人应对要求提供的资格证明文件（如资质证书、资格证书）、技术资料（如白皮书、彩页、手册、检测报告等）扫描上传至投标系统。</w:t>
      </w:r>
      <w:r/>
    </w:p>
    <w:p>
      <w:pPr>
        <w:numPr>
          <w:ilvl w:val="0"/>
          <w:numId w:val="55"/>
        </w:numPr>
        <w:jc w:val="both"/>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投标人应当在采购文件要求提交投标文件的截止时间前，将投标文件提交至</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系统，逾期提交的投标文件，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系统将自动拒收。各投标人应在规定时间内凭</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证书进行网上解密。</w:t>
      </w:r>
      <w:r/>
    </w:p>
    <w:p>
      <w:pPr>
        <w:pStyle w:val="796"/>
        <w:numPr>
          <w:ilvl w:val="0"/>
          <w:numId w:val="63"/>
        </w:numPr>
        <w:spacing w:before="240" w:after="120" w:line="360" w:lineRule="atLeast"/>
        <w:tabs>
          <w:tab w:val="left" w:pos="96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投标文件的递交</w:t>
      </w:r>
      <w:r/>
    </w:p>
    <w:p>
      <w:pPr>
        <w:pStyle w:val="797"/>
        <w:numPr>
          <w:ilvl w:val="0"/>
          <w:numId w:val="56"/>
        </w:numPr>
        <w:jc w:val="both"/>
        <w:spacing w:before="199" w:after="120" w:line="360" w:lineRule="atLeast"/>
        <w:tabs>
          <w:tab w:val="left" w:pos="78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投标文件的递交</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线上提交与接收地点：供应商应当通过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系统提交数据电文形式的响应文件（即电子投标），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系统自动接收。</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说明：电子投标文件应由其法定代表人（或组织负责人、自然人投标的为其本人，下同）或法定代表人（主要负责人）授权代表在规定的网上投标时间内，凭</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证书登录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系统在线编制投标文件（电子数据），并在投标截止时间之前上传投标文件。投标人应在达到开标时间后，使用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数字证书解密各自投标文件。</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投标人委托授权代表投标的，须提供法定代表人（或组织负责人）授权书及授权代表身份证（扫描件）；法定代表人（或组织负责人）本人参与投标的，提供法定代表人（或组织负责人）身份证明书及法定代表人身份证（扫描件）。</w:t>
      </w:r>
      <w:r/>
    </w:p>
    <w:p>
      <w:pPr>
        <w:pStyle w:val="797"/>
        <w:numPr>
          <w:ilvl w:val="0"/>
          <w:numId w:val="56"/>
        </w:numPr>
        <w:jc w:val="both"/>
        <w:spacing w:before="199" w:after="120" w:line="360" w:lineRule="atLeast"/>
        <w:tabs>
          <w:tab w:val="left" w:pos="78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投标截止日期</w:t>
      </w:r>
      <w:r/>
    </w:p>
    <w:p>
      <w:pPr>
        <w:numPr>
          <w:ilvl w:val="0"/>
          <w:numId w:val="56"/>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投标人上传电子投标文件的时间不得迟于招标公告中规定的投标截止时间。</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投标人应充分考虑网络环境、网络带宽等风险因素，如因投标人自身原因造成的电子投标文件上传不成功由投标人自行承担全部责任。</w:t>
      </w:r>
      <w:r/>
    </w:p>
    <w:p>
      <w:pPr>
        <w:numPr>
          <w:ilvl w:val="0"/>
          <w:numId w:val="56"/>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采购人或采购代理机构可以按照规定，通过修改招标文件酌情延长投标截止日期，在此情况下，投标人的所有权利和义务以及投标人受制的截止日期均应以延长后新的截止日期为准。</w:t>
      </w:r>
      <w:r/>
    </w:p>
    <w:p>
      <w:pPr>
        <w:pStyle w:val="797"/>
        <w:numPr>
          <w:ilvl w:val="0"/>
          <w:numId w:val="56"/>
        </w:numPr>
        <w:jc w:val="both"/>
        <w:spacing w:before="199" w:after="120" w:line="360" w:lineRule="atLeast"/>
        <w:tabs>
          <w:tab w:val="left" w:pos="78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投标文件的加密要求：</w:t>
      </w:r>
      <w:r/>
    </w:p>
    <w:p>
      <w:pPr>
        <w:numPr>
          <w:ilvl w:val="0"/>
          <w:numId w:val="56"/>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投标人应当按照采购文件和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系统的要求编制并加密响应文件。本项目投标人须通过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系统提供的政府采购客户端工具（使用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）对其数据电文形式的投标文件加密。</w:t>
      </w:r>
      <w:r/>
    </w:p>
    <w:p>
      <w:pPr>
        <w:numPr>
          <w:ilvl w:val="0"/>
          <w:numId w:val="56"/>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投标人须通过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系统提供的政府采购客户端工具（使用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）加盖电子签章。</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说明：投标人应使用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数字证书以及自备的能够登录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系统的笔记本电脑，在达到开标时间后，使用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数字证书解密各自投标文件。</w:t>
      </w:r>
      <w:r/>
    </w:p>
    <w:p>
      <w:pPr>
        <w:numPr>
          <w:ilvl w:val="0"/>
          <w:numId w:val="56"/>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投标人未按规定加密的投标文件，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系统应当拒收并提示。</w:t>
      </w:r>
      <w:r/>
    </w:p>
    <w:p>
      <w:pPr>
        <w:pStyle w:val="797"/>
        <w:numPr>
          <w:ilvl w:val="0"/>
          <w:numId w:val="56"/>
        </w:numPr>
        <w:jc w:val="both"/>
        <w:spacing w:before="199" w:after="120" w:line="360" w:lineRule="atLeast"/>
        <w:tabs>
          <w:tab w:val="left" w:pos="78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投标文件的拒收</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采购人或采购代理机构拒绝接收在其规定的投标截止时间后上传的任何投标文件。</w:t>
      </w:r>
      <w:r/>
    </w:p>
    <w:p>
      <w:pPr>
        <w:pStyle w:val="797"/>
        <w:numPr>
          <w:ilvl w:val="0"/>
          <w:numId w:val="56"/>
        </w:numPr>
        <w:jc w:val="both"/>
        <w:spacing w:before="199" w:after="120" w:line="360" w:lineRule="atLeast"/>
        <w:tabs>
          <w:tab w:val="left" w:pos="78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投标文件的撤回和修改</w:t>
      </w:r>
      <w:r/>
    </w:p>
    <w:p>
      <w:pPr>
        <w:numPr>
          <w:ilvl w:val="0"/>
          <w:numId w:val="56"/>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投标文件的撤回</w:t>
      </w:r>
      <w:r/>
    </w:p>
    <w:p>
      <w:pPr>
        <w:ind w:left="0" w:right="0" w:firstLine="480"/>
        <w:jc w:val="both"/>
        <w:spacing w:before="240" w:after="120" w:line="360" w:lineRule="atLeast"/>
        <w:tabs>
          <w:tab w:val="left" w:pos="4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5.1.1</w:t>
      </w:r>
      <w:r>
        <w:rPr>
          <w:rFonts w:ascii="SimSun" w:hAnsi="SimSun" w:eastAsia="SimSun" w:cs="SimSun"/>
          <w:color w:val="000000"/>
          <w:sz w:val="24"/>
        </w:rPr>
        <w:t xml:space="preserve">电子投标文件的撤回</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办理指南及</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操作手册，可至江苏省政府采购网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办事指南－资料下载中心下载。</w:t>
      </w:r>
      <w:r/>
    </w:p>
    <w:p>
      <w:pPr>
        <w:ind w:left="0" w:right="0" w:firstLine="480"/>
        <w:jc w:val="both"/>
        <w:spacing w:before="240" w:after="120" w:line="360" w:lineRule="atLeast"/>
        <w:tabs>
          <w:tab w:val="left" w:pos="4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5.1.2</w:t>
      </w:r>
      <w:r>
        <w:rPr>
          <w:rFonts w:ascii="SimSun" w:hAnsi="SimSun" w:eastAsia="SimSun" w:cs="SimSun"/>
          <w:color w:val="000000"/>
          <w:sz w:val="24"/>
        </w:rPr>
        <w:t xml:space="preserve">投标人撤回电子投标文件，则认为其不再参与本项目投标活动。</w:t>
      </w:r>
      <w:r/>
    </w:p>
    <w:p>
      <w:pPr>
        <w:numPr>
          <w:ilvl w:val="0"/>
          <w:numId w:val="56"/>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投标文件的修改</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投标人可在投标截止时间前，对其电子投标文件进行修改。</w:t>
      </w:r>
      <w:r/>
    </w:p>
    <w:p>
      <w:pPr>
        <w:numPr>
          <w:ilvl w:val="0"/>
          <w:numId w:val="56"/>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在投标截止时间之后，投标人不得对其电子投标文件作任何修改。</w:t>
      </w:r>
      <w:r/>
    </w:p>
    <w:p>
      <w:pPr>
        <w:numPr>
          <w:ilvl w:val="0"/>
          <w:numId w:val="56"/>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在投标截止时间至招标文件中规定的投标有效期满之间的这段时间内，投标人不得撤回其投标。</w:t>
      </w:r>
      <w:r/>
    </w:p>
    <w:p>
      <w:pPr>
        <w:pStyle w:val="796"/>
        <w:numPr>
          <w:ilvl w:val="0"/>
          <w:numId w:val="63"/>
        </w:numPr>
        <w:spacing w:before="240" w:after="120" w:line="360" w:lineRule="atLeast"/>
        <w:tabs>
          <w:tab w:val="left" w:pos="96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开标与评标</w:t>
      </w:r>
      <w:r/>
    </w:p>
    <w:p>
      <w:pPr>
        <w:pStyle w:val="797"/>
        <w:numPr>
          <w:ilvl w:val="0"/>
          <w:numId w:val="56"/>
        </w:numPr>
        <w:jc w:val="both"/>
        <w:spacing w:before="199" w:after="120" w:line="360" w:lineRule="atLeast"/>
        <w:tabs>
          <w:tab w:val="left" w:pos="78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开标</w:t>
      </w:r>
      <w:r/>
    </w:p>
    <w:p>
      <w:pPr>
        <w:numPr>
          <w:ilvl w:val="0"/>
          <w:numId w:val="56"/>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采购人或采购代理机构将在招标公告中规定的时间和地点组织公开开标。</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当天投标人及时登录不见面开标大厅，投标文件递交截止时间后，采购人将在系统内公布投标人名单，然后通过开标会议区发出投标文件解密的指令，投标人在开标室按规定时间自行实施远程解密，投标人解密限定在开标后</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numPr>
          <w:ilvl w:val="0"/>
          <w:numId w:val="56"/>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开标仪式由采购代理机构组织，在不见面交易系统中进行开标，并公布各投标人的《开标一览表》。</w:t>
      </w:r>
      <w:r/>
    </w:p>
    <w:p>
      <w:pPr>
        <w:pStyle w:val="797"/>
        <w:numPr>
          <w:ilvl w:val="0"/>
          <w:numId w:val="56"/>
        </w:numPr>
        <w:jc w:val="both"/>
        <w:spacing w:before="199" w:after="120" w:line="360" w:lineRule="atLeast"/>
        <w:tabs>
          <w:tab w:val="left" w:pos="78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评标委员会</w:t>
      </w:r>
      <w:r/>
    </w:p>
    <w:p>
      <w:pPr>
        <w:numPr>
          <w:ilvl w:val="0"/>
          <w:numId w:val="56"/>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开标后，采购人或采购代理机构将立即组织评标委员会（以下简称评委会）进行评标。</w:t>
      </w:r>
      <w:r/>
    </w:p>
    <w:p>
      <w:pPr>
        <w:numPr>
          <w:ilvl w:val="0"/>
          <w:numId w:val="56"/>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评委会由采购人代表和有关技术、经济等方面的专家组成，且人员构成符合政府采购有关规定。</w:t>
      </w:r>
      <w:r/>
    </w:p>
    <w:p>
      <w:pPr>
        <w:numPr>
          <w:ilvl w:val="0"/>
          <w:numId w:val="56"/>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评委会独立工作，负责评审所有投标文件并确定中标候选人。</w:t>
      </w:r>
      <w:r/>
    </w:p>
    <w:p>
      <w:pPr>
        <w:pStyle w:val="797"/>
        <w:numPr>
          <w:ilvl w:val="0"/>
          <w:numId w:val="56"/>
        </w:numPr>
        <w:jc w:val="both"/>
        <w:spacing w:before="199" w:after="120" w:line="360" w:lineRule="atLeast"/>
        <w:tabs>
          <w:tab w:val="left" w:pos="78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评标过程的保密与公正</w:t>
      </w:r>
      <w:r/>
    </w:p>
    <w:p>
      <w:pPr>
        <w:numPr>
          <w:ilvl w:val="0"/>
          <w:numId w:val="56"/>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公开开标后，直至向中标的投标人授予合同时止，凡是与审查、澄清、评价和比较投标的有关资料以及授标建议等，采购人、评委、采购代理机构均不得向投标人或与评标无关的其他人员透露。</w:t>
      </w:r>
      <w:r/>
    </w:p>
    <w:p>
      <w:pPr>
        <w:numPr>
          <w:ilvl w:val="0"/>
          <w:numId w:val="56"/>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在评标过程中，投标人不得以任何行为影响评标过程，否则其投标文件将被作为无效投标文件。</w:t>
      </w:r>
      <w:r/>
    </w:p>
    <w:p>
      <w:pPr>
        <w:numPr>
          <w:ilvl w:val="0"/>
          <w:numId w:val="56"/>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在评标期间，采购代理机构将设专门人员与投标人联系。</w:t>
      </w:r>
      <w:r/>
    </w:p>
    <w:p>
      <w:pPr>
        <w:numPr>
          <w:ilvl w:val="0"/>
          <w:numId w:val="56"/>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采购人或采购代理机构和评标委员会不向未中标的投标人解释未中标原因，也不公布评标过程中的相关细节。</w:t>
      </w:r>
      <w:r/>
    </w:p>
    <w:p>
      <w:pPr>
        <w:numPr>
          <w:ilvl w:val="0"/>
          <w:numId w:val="56"/>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采用综合评分法的项目，公布评标结果时一并公布所有投标人的评审得分及排序情况。</w:t>
      </w:r>
      <w:r/>
    </w:p>
    <w:p>
      <w:pPr>
        <w:pStyle w:val="797"/>
        <w:numPr>
          <w:ilvl w:val="0"/>
          <w:numId w:val="56"/>
        </w:numPr>
        <w:jc w:val="both"/>
        <w:spacing w:before="199" w:after="120" w:line="360" w:lineRule="atLeast"/>
        <w:tabs>
          <w:tab w:val="left" w:pos="78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投标的澄清</w:t>
      </w:r>
      <w:r/>
    </w:p>
    <w:p>
      <w:pPr>
        <w:numPr>
          <w:ilvl w:val="0"/>
          <w:numId w:val="56"/>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评标期间，为有助于对投标文件的审查、评价和比较，评委会有权以电子函件形式要求投标人对其投标文件进行澄清，但并非对每个投标人都作澄清要求。</w:t>
      </w:r>
      <w:r/>
    </w:p>
    <w:p>
      <w:pPr>
        <w:numPr>
          <w:ilvl w:val="0"/>
          <w:numId w:val="56"/>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接到评委会澄清要求的投标人应派人按评委会规定的时间和格式在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苏采云系统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中做出澄清，澄清的内容作为投标文件的补充部分，但投标的价格和实质性的内容不得做任何更改。</w:t>
      </w:r>
      <w:r/>
    </w:p>
    <w:p>
      <w:pPr>
        <w:numPr>
          <w:ilvl w:val="0"/>
          <w:numId w:val="56"/>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接到评委会澄清要求的投标人如未按规定作出澄清，其风险由投标人自行承担。</w:t>
      </w:r>
      <w:r/>
    </w:p>
    <w:p>
      <w:pPr>
        <w:pStyle w:val="797"/>
        <w:numPr>
          <w:ilvl w:val="0"/>
          <w:numId w:val="56"/>
        </w:numPr>
        <w:jc w:val="both"/>
        <w:spacing w:before="199" w:after="120" w:line="360" w:lineRule="atLeast"/>
        <w:tabs>
          <w:tab w:val="left" w:pos="78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对投标文件的初审</w:t>
      </w:r>
      <w:r/>
    </w:p>
    <w:p>
      <w:pPr>
        <w:numPr>
          <w:ilvl w:val="0"/>
          <w:numId w:val="57"/>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投标文件初审分为资格审查和符合性审查。</w:t>
      </w:r>
      <w:r/>
    </w:p>
    <w:p>
      <w:pPr>
        <w:ind w:left="0" w:right="0" w:firstLine="480"/>
        <w:jc w:val="both"/>
        <w:spacing w:before="240" w:after="120" w:line="360" w:lineRule="atLeast"/>
        <w:tabs>
          <w:tab w:val="left" w:pos="4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5.1.1</w:t>
      </w:r>
      <w:r>
        <w:rPr>
          <w:rFonts w:ascii="SimSun" w:hAnsi="SimSun" w:eastAsia="SimSun" w:cs="SimSun"/>
          <w:color w:val="000000"/>
          <w:sz w:val="24"/>
        </w:rPr>
        <w:t xml:space="preserve">资格审查：依据法律法规和招标文件的规定（详见招标文件第一、第六部分要求），由采购人对投标文件中的资格证明文件进行审查。资格审查的结论，采购人以书面形式向评委会进行反馈。</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采购人在进行资格审查的同时，评标委员会从</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信用中国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网站查询供应商的信用记录，以确定供应商是否具备参加本项目投标的资格。查询结果将在“苏采云”系统中上传并归档。</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240" w:after="120" w:line="360" w:lineRule="atLeast"/>
        <w:tabs>
          <w:tab w:val="left" w:pos="4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5.1.2</w:t>
      </w:r>
      <w:r>
        <w:rPr>
          <w:rFonts w:ascii="SimSun" w:hAnsi="SimSun" w:eastAsia="SimSun" w:cs="SimSun"/>
          <w:color w:val="000000"/>
          <w:sz w:val="24"/>
        </w:rPr>
        <w:t xml:space="preserve">符合性审查：依据招标文件的规定，由评委会从投标文件的有效性、完整性和对招标文件的响应程度进行审查，以确定是否对招标文件的实质性要求作出响应。</w:t>
      </w:r>
      <w:r/>
    </w:p>
    <w:tbl>
      <w:tblPr>
        <w:tblStyle w:val="85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52"/>
        <w:gridCol w:w="4252"/>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投标函</w:t>
            </w:r>
            <w:r>
              <w:rPr>
                <w:rFonts w:ascii="SimSun" w:hAnsi="SimSun" w:eastAsia="SimSun" w:cs="SimSun"/>
                <w:color w:val="000000"/>
                <w:sz w:val="24"/>
              </w:rPr>
              <w:t xml:space="preserve">及其他招标文件第六部分要求提供的格式文件</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投标文件签署、盖章齐全完整</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人委托授权代表投标的，须提供法定代表人（或组织负责人）授权书及授权代表身份证（扫描件）；法定代表人（或组织负责人）本人参与投标的，提供法定代表人（或组织负责人）身份证明书及法定代表人身份证（扫描件）</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项目需求中的实质性要求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符合招标文件要求</w:t>
            </w:r>
            <w:r/>
          </w:p>
        </w:tc>
      </w:tr>
    </w:tbl>
    <w:p>
      <w:pPr>
        <w:ind w:left="0" w:right="0" w:firstLine="480"/>
        <w:jc w:val="both"/>
        <w:spacing w:before="240" w:after="120" w:line="360" w:lineRule="atLeast"/>
        <w:tabs>
          <w:tab w:val="left" w:pos="4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5.1.3</w:t>
      </w:r>
      <w:r>
        <w:rPr>
          <w:rFonts w:ascii="SimSun" w:hAnsi="SimSun" w:eastAsia="SimSun" w:cs="SimSun"/>
          <w:color w:val="000000"/>
          <w:sz w:val="24"/>
        </w:rPr>
        <w:t xml:space="preserve">未通过资格审查或符合性审查的投标人，采购人或采购代理机构将在苏采云系统中告知未通过资格审查或符合性审查的原因，评审结束后，采购人或采购代理机构将不再告知未通过资格审查或符合性审查的原因。</w:t>
      </w:r>
      <w:r/>
    </w:p>
    <w:p>
      <w:pPr>
        <w:numPr>
          <w:ilvl w:val="0"/>
          <w:numId w:val="57"/>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numPr>
          <w:ilvl w:val="0"/>
          <w:numId w:val="57"/>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如果投标文件实质上没有响应招标文件的要求，评委会将予以拒绝，投标人不得通过修改或撤销不符合要求的偏离或保留而使其投标成为实质性响应的投标。</w:t>
      </w:r>
      <w:r/>
    </w:p>
    <w:p>
      <w:pPr>
        <w:numPr>
          <w:ilvl w:val="0"/>
          <w:numId w:val="57"/>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评委会将对确定为实质性响应的投标进行进一步审核，看其是否有计算上或累加上的算术错误，修正错误的原则如下：</w:t>
      </w:r>
      <w:r/>
    </w:p>
    <w:p>
      <w:pPr>
        <w:numPr>
          <w:ilvl w:val="0"/>
          <w:numId w:val="57"/>
        </w:numPr>
        <w:jc w:val="both"/>
        <w:spacing w:before="240" w:after="120" w:line="36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投标文件中开标一览表内容与投标文件中相应内容不一致的，以开标一览表为准。</w:t>
      </w:r>
      <w:r/>
    </w:p>
    <w:p>
      <w:pPr>
        <w:numPr>
          <w:ilvl w:val="0"/>
          <w:numId w:val="57"/>
        </w:numPr>
        <w:jc w:val="both"/>
        <w:spacing w:before="240" w:after="120" w:line="36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大写金额和小写金额不一致的，以大写金额为准。</w:t>
      </w:r>
      <w:r/>
    </w:p>
    <w:p>
      <w:pPr>
        <w:numPr>
          <w:ilvl w:val="0"/>
          <w:numId w:val="57"/>
        </w:numPr>
        <w:jc w:val="both"/>
        <w:spacing w:before="240" w:after="120" w:line="36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单价金额小数点或者百分比有明显错位的，以开标一览表的总价为准，并修改单价。</w:t>
      </w:r>
      <w:r/>
    </w:p>
    <w:p>
      <w:pPr>
        <w:numPr>
          <w:ilvl w:val="0"/>
          <w:numId w:val="57"/>
        </w:numPr>
        <w:jc w:val="both"/>
        <w:spacing w:before="240" w:after="120" w:line="36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总价金额与按单价汇总金额不一致的，以单价金额计算结果为准。</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numPr>
          <w:ilvl w:val="0"/>
          <w:numId w:val="57"/>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评委会将按上述修正错误的方法调整投标文件中的投标报价，并通过苏采云系统告知投标人，调整后的价格对投标人具有约束力。如果投标人不接受修正后的价格，则其投标将被拒绝。</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评委会将允许修正投标文件中不构成重大偏离的、微小的、非正规的、不一致的或不规则的地方，但这些修改不能影响任何投标人相应的名次排列。</w:t>
      </w:r>
      <w:r/>
    </w:p>
    <w:p>
      <w:pPr>
        <w:numPr>
          <w:ilvl w:val="0"/>
          <w:numId w:val="57"/>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numPr>
          <w:ilvl w:val="0"/>
          <w:numId w:val="57"/>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投标人在开、评标全过程中应保持通信畅通，并安排专人与采购人或采购代理机构及评标委员会联系。</w:t>
      </w:r>
      <w:r/>
    </w:p>
    <w:p>
      <w:pPr>
        <w:pStyle w:val="797"/>
        <w:numPr>
          <w:ilvl w:val="0"/>
          <w:numId w:val="56"/>
        </w:numPr>
        <w:jc w:val="both"/>
        <w:spacing w:before="199" w:after="120" w:line="360" w:lineRule="atLeast"/>
        <w:tabs>
          <w:tab w:val="left" w:pos="78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无效投标条款和废标条款</w:t>
      </w:r>
      <w:r/>
    </w:p>
    <w:p>
      <w:pPr>
        <w:numPr>
          <w:ilvl w:val="0"/>
          <w:numId w:val="57"/>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无效投标条款</w:t>
      </w:r>
      <w:r/>
    </w:p>
    <w:p>
      <w:pPr>
        <w:ind w:left="0" w:right="0" w:firstLine="480"/>
        <w:jc w:val="both"/>
        <w:spacing w:before="240" w:after="120" w:line="360" w:lineRule="atLeast"/>
        <w:tabs>
          <w:tab w:val="left" w:pos="4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6.1.1</w:t>
      </w:r>
      <w:r>
        <w:rPr>
          <w:rFonts w:ascii="SimSun" w:hAnsi="SimSun" w:eastAsia="SimSun" w:cs="SimSun"/>
          <w:color w:val="000000"/>
          <w:sz w:val="24"/>
        </w:rPr>
        <w:t xml:space="preserve">投标人在规定的时间内未成功解密电子投标文件的。</w:t>
      </w:r>
      <w:r/>
    </w:p>
    <w:p>
      <w:pPr>
        <w:ind w:left="0" w:right="0" w:firstLine="480"/>
        <w:jc w:val="both"/>
        <w:spacing w:before="240" w:after="120" w:line="360" w:lineRule="atLeast"/>
        <w:tabs>
          <w:tab w:val="left" w:pos="4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6.1.2</w:t>
      </w:r>
      <w:r>
        <w:rPr>
          <w:rFonts w:ascii="SimSun" w:hAnsi="SimSun" w:eastAsia="SimSun" w:cs="SimSun"/>
          <w:color w:val="000000"/>
          <w:sz w:val="24"/>
        </w:rPr>
        <w:t xml:space="preserve">投标人未按照招标文件要求上传电子投标文件的。</w:t>
      </w:r>
      <w:r/>
    </w:p>
    <w:p>
      <w:pPr>
        <w:ind w:left="0" w:right="0" w:firstLine="480"/>
        <w:jc w:val="both"/>
        <w:spacing w:before="240" w:after="120" w:line="360" w:lineRule="atLeast"/>
        <w:tabs>
          <w:tab w:val="left" w:pos="4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6.1.3</w:t>
      </w:r>
      <w:r>
        <w:rPr>
          <w:rFonts w:ascii="SimSun" w:hAnsi="SimSun" w:eastAsia="SimSun" w:cs="SimSun"/>
          <w:color w:val="000000"/>
          <w:sz w:val="24"/>
        </w:rPr>
        <w:t xml:space="preserve">同一投标人提交两个（含两个）以上不同的投标报价的。</w:t>
      </w:r>
      <w:r/>
    </w:p>
    <w:p>
      <w:pPr>
        <w:ind w:left="0" w:right="0" w:firstLine="480"/>
        <w:jc w:val="both"/>
        <w:spacing w:before="240" w:after="120" w:line="360" w:lineRule="atLeast"/>
        <w:tabs>
          <w:tab w:val="left" w:pos="4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6.1.4</w:t>
      </w:r>
      <w:r>
        <w:rPr>
          <w:rFonts w:ascii="SimSun" w:hAnsi="SimSun" w:eastAsia="SimSun" w:cs="SimSun"/>
          <w:color w:val="000000"/>
          <w:sz w:val="24"/>
        </w:rPr>
        <w:t xml:space="preserve">投标人不具备招标文件中规定的资格要求或投标文件未按招标文件规定提供资格证明文件的。</w:t>
      </w:r>
      <w:r/>
    </w:p>
    <w:p>
      <w:pPr>
        <w:ind w:left="0" w:right="0" w:firstLine="480"/>
        <w:jc w:val="both"/>
        <w:spacing w:before="240" w:after="120" w:line="360" w:lineRule="atLeast"/>
        <w:tabs>
          <w:tab w:val="left" w:pos="4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6.1.5</w:t>
      </w:r>
      <w:r>
        <w:rPr>
          <w:rFonts w:ascii="SimSun" w:hAnsi="SimSun" w:eastAsia="SimSun" w:cs="SimSun"/>
          <w:color w:val="000000"/>
          <w:sz w:val="24"/>
        </w:rPr>
        <w:t xml:space="preserve">投标人的报价超过了采购预算或最高限价的。</w:t>
      </w:r>
      <w:r/>
    </w:p>
    <w:p>
      <w:pPr>
        <w:ind w:left="0" w:right="0" w:firstLine="480"/>
        <w:jc w:val="both"/>
        <w:spacing w:before="240" w:after="120" w:line="360" w:lineRule="atLeast"/>
        <w:tabs>
          <w:tab w:val="left" w:pos="4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6.1.6</w:t>
      </w:r>
      <w:r>
        <w:rPr>
          <w:rFonts w:ascii="SimSun" w:hAnsi="SimSun" w:eastAsia="SimSun" w:cs="SimSun"/>
          <w:color w:val="000000"/>
          <w:sz w:val="24"/>
        </w:rPr>
        <w:t xml:space="preserve">未通过符合性检查的。</w:t>
      </w:r>
      <w:r/>
    </w:p>
    <w:p>
      <w:pPr>
        <w:ind w:left="0" w:right="0" w:firstLine="480"/>
        <w:jc w:val="both"/>
        <w:spacing w:before="240" w:after="120" w:line="360" w:lineRule="atLeast"/>
        <w:tabs>
          <w:tab w:val="left" w:pos="4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6.1.7</w:t>
      </w:r>
      <w:r>
        <w:rPr>
          <w:rFonts w:ascii="SimSun" w:hAnsi="SimSun" w:eastAsia="SimSun" w:cs="SimSun"/>
          <w:color w:val="000000"/>
          <w:sz w:val="24"/>
        </w:rPr>
        <w:t xml:space="preserve">不符合招标文件中规定的其他实质性要求和条件的。（实质性要求和条件包括但不限于加注“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”“★”号、带有</w:t>
      </w:r>
      <w:r>
        <w:rPr>
          <w:rFonts w:ascii="SimSun" w:hAnsi="SimSun" w:eastAsia="SimSun" w:cs="SimSun"/>
          <w:color w:val="000000"/>
          <w:sz w:val="24"/>
          <w:u w:val="single"/>
        </w:rPr>
        <w:t xml:space="preserve">下划线</w:t>
      </w:r>
      <w:r>
        <w:rPr>
          <w:rFonts w:ascii="SimSun" w:hAnsi="SimSun" w:eastAsia="SimSun" w:cs="SimSun"/>
          <w:color w:val="000000"/>
          <w:sz w:val="24"/>
        </w:rPr>
        <w:t xml:space="preserve">的条款或其他可能对本项目产生实质性影响的条款）</w:t>
      </w:r>
      <w:r/>
    </w:p>
    <w:p>
      <w:pPr>
        <w:ind w:left="0" w:right="0" w:firstLine="480"/>
        <w:jc w:val="both"/>
        <w:spacing w:before="240" w:after="120" w:line="360" w:lineRule="atLeast"/>
        <w:tabs>
          <w:tab w:val="left" w:pos="4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6.1.8</w:t>
      </w:r>
      <w:r>
        <w:rPr>
          <w:rFonts w:ascii="SimSun" w:hAnsi="SimSun" w:eastAsia="SimSun" w:cs="SimSun"/>
          <w:color w:val="000000"/>
          <w:sz w:val="24"/>
        </w:rPr>
        <w:t xml:space="preserve">投标人被</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信用中国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网站列入失信被执行人或重大税收违法案件当事人名单或政府采购严重失信行为记录名单。或查询</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信用中国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网站后发现投标人存在其他不符合《中华人民共和国政府采购法》第二十二条规定条件的信用记录。</w:t>
      </w:r>
      <w:r/>
    </w:p>
    <w:p>
      <w:pPr>
        <w:ind w:left="0" w:right="0" w:firstLine="480"/>
        <w:jc w:val="both"/>
        <w:spacing w:before="240" w:after="120" w:line="360" w:lineRule="atLeast"/>
        <w:tabs>
          <w:tab w:val="left" w:pos="4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6.1.9</w:t>
      </w:r>
      <w:r>
        <w:rPr>
          <w:rFonts w:ascii="SimSun" w:hAnsi="SimSun" w:eastAsia="SimSun" w:cs="SimSun"/>
          <w:color w:val="000000"/>
          <w:sz w:val="24"/>
        </w:rPr>
        <w:t xml:space="preserve">投标文件含有采购人不能接受的附加条件的。</w:t>
      </w:r>
      <w:r/>
    </w:p>
    <w:p>
      <w:pPr>
        <w:ind w:left="0" w:right="0" w:firstLine="480"/>
        <w:jc w:val="both"/>
        <w:spacing w:before="240" w:after="120" w:line="360" w:lineRule="atLeast"/>
        <w:tabs>
          <w:tab w:val="left" w:pos="4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6.1.10</w:t>
      </w:r>
      <w:r>
        <w:rPr>
          <w:rFonts w:ascii="SimSun" w:hAnsi="SimSun" w:eastAsia="SimSun" w:cs="SimSun"/>
          <w:color w:val="000000"/>
          <w:sz w:val="24"/>
        </w:rPr>
        <w:t xml:space="preserve">评标委员会认为投标人的报价明显低于其他通过符合性审查的投标人的报价，有可能影响产品质量或者不能诚信履约的，通过苏采云系统要求其在合理的时间内提供说明并提交相关证明材料；投标人未响应或不能证明其报价合理性的，评标委员会应当将其作为无效投标处理。</w:t>
      </w:r>
      <w:r/>
    </w:p>
    <w:p>
      <w:pPr>
        <w:ind w:left="0" w:right="0" w:firstLine="480"/>
        <w:jc w:val="both"/>
        <w:spacing w:before="240" w:after="120" w:line="360" w:lineRule="atLeast"/>
        <w:tabs>
          <w:tab w:val="left" w:pos="4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6.1.11</w:t>
      </w:r>
      <w:r>
        <w:rPr>
          <w:rFonts w:ascii="SimSun" w:hAnsi="SimSun" w:eastAsia="SimSun" w:cs="SimSun"/>
          <w:color w:val="000000"/>
          <w:sz w:val="24"/>
        </w:rPr>
        <w:t xml:space="preserve">投标文件未按照招标文件要求加盖电子签章、签字的。</w:t>
      </w:r>
      <w:r/>
    </w:p>
    <w:p>
      <w:pPr>
        <w:ind w:left="0" w:right="0" w:firstLine="480"/>
        <w:jc w:val="both"/>
        <w:spacing w:before="240" w:after="120" w:line="360" w:lineRule="atLeast"/>
        <w:tabs>
          <w:tab w:val="left" w:pos="4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6.1.12</w:t>
      </w:r>
      <w:r>
        <w:rPr>
          <w:rFonts w:ascii="SimSun" w:hAnsi="SimSun" w:eastAsia="SimSun" w:cs="SimSun"/>
          <w:color w:val="000000"/>
          <w:sz w:val="24"/>
        </w:rPr>
        <w:t xml:space="preserve">不同的投标人投标文件制作机器码、文件创建标识码一致的。</w:t>
      </w:r>
      <w:r/>
    </w:p>
    <w:p>
      <w:pPr>
        <w:ind w:left="0" w:right="0" w:firstLine="480"/>
        <w:jc w:val="both"/>
        <w:spacing w:before="240" w:after="120" w:line="360" w:lineRule="atLeast"/>
        <w:tabs>
          <w:tab w:val="left" w:pos="4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6.1.13</w:t>
      </w:r>
      <w:r>
        <w:rPr>
          <w:rFonts w:ascii="SimSun" w:hAnsi="SimSun" w:eastAsia="SimSun" w:cs="SimSun"/>
          <w:color w:val="000000"/>
          <w:sz w:val="24"/>
        </w:rPr>
        <w:t xml:space="preserve">投标人的商务、技术部分得分相差异常悬殊，评标委员会一致认为得分畸低者有可能影响产品质量或者不能诚信履约的。</w:t>
      </w:r>
      <w:r/>
    </w:p>
    <w:p>
      <w:pPr>
        <w:ind w:left="0" w:right="0" w:firstLine="480"/>
        <w:jc w:val="both"/>
        <w:spacing w:before="240" w:after="120" w:line="360" w:lineRule="atLeast"/>
        <w:tabs>
          <w:tab w:val="left" w:pos="4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6.1.14</w:t>
      </w:r>
      <w:r>
        <w:rPr>
          <w:rFonts w:ascii="SimSun" w:hAnsi="SimSun" w:eastAsia="SimSun" w:cs="SimSun"/>
          <w:color w:val="000000"/>
          <w:sz w:val="24"/>
        </w:rPr>
        <w:t xml:space="preserve">其他法律法规及本招标文件规定的无效投标的情形。</w:t>
      </w:r>
      <w:r/>
    </w:p>
    <w:p>
      <w:pPr>
        <w:numPr>
          <w:ilvl w:val="0"/>
          <w:numId w:val="57"/>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废标条款：</w:t>
      </w:r>
      <w:r/>
    </w:p>
    <w:p>
      <w:pPr>
        <w:ind w:left="0" w:right="0" w:firstLine="480"/>
        <w:jc w:val="both"/>
        <w:spacing w:before="240" w:after="120" w:line="360" w:lineRule="atLeast"/>
        <w:tabs>
          <w:tab w:val="left" w:pos="4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6.2.1</w:t>
      </w:r>
      <w:r>
        <w:rPr>
          <w:rFonts w:ascii="SimSun" w:hAnsi="SimSun" w:eastAsia="SimSun" w:cs="SimSun"/>
          <w:color w:val="000000"/>
          <w:sz w:val="24"/>
        </w:rPr>
        <w:t xml:space="preserve">符合专业条件的供应商或者对招标文件作出实质响应的供应商不足三家的。</w:t>
      </w:r>
      <w:r/>
    </w:p>
    <w:p>
      <w:pPr>
        <w:ind w:left="0" w:right="0" w:firstLine="480"/>
        <w:jc w:val="both"/>
        <w:spacing w:before="240" w:after="120" w:line="360" w:lineRule="atLeast"/>
        <w:tabs>
          <w:tab w:val="left" w:pos="4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6.2.2</w:t>
      </w:r>
      <w:r>
        <w:rPr>
          <w:rFonts w:ascii="SimSun" w:hAnsi="SimSun" w:eastAsia="SimSun" w:cs="SimSun"/>
          <w:color w:val="000000"/>
          <w:sz w:val="24"/>
        </w:rPr>
        <w:t xml:space="preserve">出现影响采购公正的违法、违规行为的。</w:t>
      </w:r>
      <w:r/>
    </w:p>
    <w:p>
      <w:pPr>
        <w:ind w:left="0" w:right="0" w:firstLine="480"/>
        <w:jc w:val="both"/>
        <w:spacing w:before="240" w:after="120" w:line="360" w:lineRule="atLeast"/>
        <w:tabs>
          <w:tab w:val="left" w:pos="4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6.2.3</w:t>
      </w:r>
      <w:r>
        <w:rPr>
          <w:rFonts w:ascii="SimSun" w:hAnsi="SimSun" w:eastAsia="SimSun" w:cs="SimSun"/>
          <w:color w:val="000000"/>
          <w:sz w:val="24"/>
        </w:rPr>
        <w:t xml:space="preserve">因重大变故，采购任务取消的。</w:t>
      </w:r>
      <w:r/>
    </w:p>
    <w:p>
      <w:pPr>
        <w:ind w:left="0" w:right="0" w:firstLine="480"/>
        <w:jc w:val="both"/>
        <w:spacing w:before="240" w:after="120" w:line="360" w:lineRule="atLeast"/>
        <w:tabs>
          <w:tab w:val="left" w:pos="4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6.2.4</w:t>
      </w:r>
      <w:r>
        <w:rPr>
          <w:rFonts w:ascii="SimSun" w:hAnsi="SimSun" w:eastAsia="SimSun" w:cs="SimSun"/>
          <w:color w:val="000000"/>
          <w:sz w:val="24"/>
        </w:rPr>
        <w:t xml:space="preserve">评标委员会认定招标文件存在歧义、重大缺陷导致评审工作无法进行。</w:t>
      </w:r>
      <w:r/>
    </w:p>
    <w:p>
      <w:pPr>
        <w:ind w:left="0" w:right="0" w:firstLine="480"/>
        <w:jc w:val="both"/>
        <w:spacing w:before="240" w:after="120" w:line="360" w:lineRule="atLeast"/>
        <w:tabs>
          <w:tab w:val="left" w:pos="4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6.2.5</w:t>
      </w:r>
      <w:r>
        <w:rPr>
          <w:rFonts w:ascii="SimSun" w:hAnsi="SimSun" w:eastAsia="SimSun" w:cs="SimSun"/>
          <w:color w:val="000000"/>
          <w:sz w:val="24"/>
        </w:rPr>
        <w:t xml:space="preserve">因系统故障原因造成开标不成功的。</w:t>
      </w:r>
      <w:r/>
    </w:p>
    <w:p>
      <w:pPr>
        <w:numPr>
          <w:ilvl w:val="0"/>
          <w:numId w:val="57"/>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投标截止时间结束后参加投标的供应商不足三家的处理：如出现投标截止时间结束后参加投标的供应商或者在评标期间对招标文件做出实质响应的供应商不足三家情况，按政府采购相关规定执行。</w:t>
      </w:r>
      <w:r/>
    </w:p>
    <w:p>
      <w:pPr>
        <w:pStyle w:val="797"/>
        <w:numPr>
          <w:ilvl w:val="0"/>
          <w:numId w:val="56"/>
        </w:numPr>
        <w:jc w:val="both"/>
        <w:spacing w:before="199" w:after="120" w:line="360" w:lineRule="atLeast"/>
        <w:tabs>
          <w:tab w:val="left" w:pos="78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投标文件线上格式要求</w:t>
      </w:r>
      <w:r/>
    </w:p>
    <w:p>
      <w:pPr>
        <w:numPr>
          <w:ilvl w:val="0"/>
          <w:numId w:val="57"/>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投标人应当通过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系统提交数据电文形式的投标文件（即电子投标）。</w:t>
      </w:r>
      <w:r/>
    </w:p>
    <w:p>
      <w:pPr>
        <w:numPr>
          <w:ilvl w:val="0"/>
          <w:numId w:val="57"/>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系统提交政府采购客户端工具导出加密的投标文件。</w:t>
      </w:r>
      <w:r/>
    </w:p>
    <w:p>
      <w:pPr>
        <w:numPr>
          <w:ilvl w:val="0"/>
          <w:numId w:val="57"/>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本项目采用线上投标，即投标人的投标文件从政府采购客户端工具制作通过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系统提交，未提供线上投标文件的，投标无效。</w:t>
      </w:r>
      <w:r/>
    </w:p>
    <w:p>
      <w:pPr>
        <w:pStyle w:val="796"/>
        <w:numPr>
          <w:ilvl w:val="0"/>
          <w:numId w:val="63"/>
        </w:numPr>
        <w:spacing w:before="240" w:after="120" w:line="360" w:lineRule="atLeast"/>
        <w:tabs>
          <w:tab w:val="left" w:pos="96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定标</w:t>
      </w:r>
      <w:r/>
    </w:p>
    <w:p>
      <w:pPr>
        <w:pStyle w:val="797"/>
        <w:numPr>
          <w:ilvl w:val="0"/>
          <w:numId w:val="57"/>
        </w:numPr>
        <w:jc w:val="both"/>
        <w:spacing w:before="199" w:after="120" w:line="360" w:lineRule="atLeast"/>
        <w:tabs>
          <w:tab w:val="left" w:pos="78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确定中标单位</w:t>
      </w:r>
      <w:r/>
    </w:p>
    <w:p>
      <w:pPr>
        <w:numPr>
          <w:ilvl w:val="0"/>
          <w:numId w:val="57"/>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中标候选人的选取原则和数量见招标文件第四部分规定。</w:t>
      </w:r>
      <w:r/>
    </w:p>
    <w:p>
      <w:pPr>
        <w:numPr>
          <w:ilvl w:val="0"/>
          <w:numId w:val="57"/>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采购人应根据评标委员会推荐的中标候选人确定中标供应商。</w:t>
      </w:r>
      <w:r/>
    </w:p>
    <w:p>
      <w:pPr>
        <w:numPr>
          <w:ilvl w:val="0"/>
          <w:numId w:val="57"/>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采购人或采购代理机构将在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江苏政府采购网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发布中标公告，公告期限为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个工作日。</w:t>
      </w:r>
      <w:r/>
    </w:p>
    <w:p>
      <w:pPr>
        <w:numPr>
          <w:ilvl w:val="0"/>
          <w:numId w:val="57"/>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若有充分证据证明，中标人出现下列情况之一的，一经查实，将被取消中标资格：</w:t>
      </w:r>
      <w:r/>
    </w:p>
    <w:p>
      <w:pPr>
        <w:ind w:left="0" w:right="0" w:firstLine="480"/>
        <w:jc w:val="both"/>
        <w:spacing w:before="240" w:after="120" w:line="360" w:lineRule="atLeast"/>
        <w:tabs>
          <w:tab w:val="left" w:pos="4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提供虚假材料谋取中标的。</w:t>
      </w:r>
      <w:r/>
    </w:p>
    <w:p>
      <w:pPr>
        <w:ind w:left="0" w:right="0" w:firstLine="480"/>
        <w:jc w:val="both"/>
        <w:spacing w:before="240" w:after="120" w:line="360" w:lineRule="atLeast"/>
        <w:tabs>
          <w:tab w:val="left" w:pos="4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1.4.2</w:t>
      </w:r>
      <w:r>
        <w:rPr>
          <w:rFonts w:ascii="SimSun" w:hAnsi="SimSun" w:eastAsia="SimSun" w:cs="SimSun"/>
          <w:color w:val="000000"/>
          <w:sz w:val="24"/>
        </w:rPr>
        <w:t xml:space="preserve">向采购人或采购代理机构行贿或者评审专家提供其他不正当利益的。</w:t>
      </w:r>
      <w:r/>
    </w:p>
    <w:p>
      <w:pPr>
        <w:ind w:left="0" w:right="0" w:firstLine="480"/>
        <w:jc w:val="both"/>
        <w:spacing w:before="240" w:after="120" w:line="360" w:lineRule="atLeast"/>
        <w:tabs>
          <w:tab w:val="left" w:pos="4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1.4.3</w:t>
      </w:r>
      <w:r>
        <w:rPr>
          <w:rFonts w:ascii="SimSun" w:hAnsi="SimSun" w:eastAsia="SimSun" w:cs="SimSun"/>
          <w:color w:val="000000"/>
          <w:sz w:val="24"/>
        </w:rPr>
        <w:t xml:space="preserve">恶意竞争，投标总报价明显低于其自身合理成本且又无法提供证明的。</w:t>
      </w:r>
      <w:r/>
    </w:p>
    <w:p>
      <w:pPr>
        <w:ind w:left="0" w:right="0" w:firstLine="480"/>
        <w:jc w:val="both"/>
        <w:spacing w:before="240" w:after="120" w:line="360" w:lineRule="atLeast"/>
        <w:tabs>
          <w:tab w:val="left" w:pos="4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1.4.4</w:t>
      </w:r>
      <w:r>
        <w:rPr>
          <w:rFonts w:ascii="SimSun" w:hAnsi="SimSun" w:eastAsia="SimSun" w:cs="SimSun"/>
          <w:color w:val="000000"/>
          <w:sz w:val="24"/>
        </w:rPr>
        <w:t xml:space="preserve">属于本文件规定的无效条件，但在评标过程中又未被评委会发现的。</w:t>
      </w:r>
      <w:r/>
    </w:p>
    <w:p>
      <w:pPr>
        <w:ind w:left="0" w:right="0" w:firstLine="480"/>
        <w:jc w:val="both"/>
        <w:spacing w:before="240" w:after="120" w:line="360" w:lineRule="atLeast"/>
        <w:tabs>
          <w:tab w:val="left" w:pos="4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1.4.5</w:t>
      </w:r>
      <w:r>
        <w:rPr>
          <w:rFonts w:ascii="SimSun" w:hAnsi="SimSun" w:eastAsia="SimSun" w:cs="SimSun"/>
          <w:color w:val="000000"/>
          <w:sz w:val="24"/>
        </w:rPr>
        <w:t xml:space="preserve">与采购人或者其他供应商恶意串通的。</w:t>
      </w:r>
      <w:r/>
    </w:p>
    <w:p>
      <w:pPr>
        <w:ind w:left="0" w:right="0" w:firstLine="480"/>
        <w:jc w:val="both"/>
        <w:spacing w:before="240" w:after="120" w:line="360" w:lineRule="atLeast"/>
        <w:tabs>
          <w:tab w:val="left" w:pos="4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1.4.6</w:t>
      </w:r>
      <w:r>
        <w:rPr>
          <w:rFonts w:ascii="SimSun" w:hAnsi="SimSun" w:eastAsia="SimSun" w:cs="SimSun"/>
          <w:color w:val="000000"/>
          <w:sz w:val="24"/>
        </w:rPr>
        <w:t xml:space="preserve">采取不正当手段诋毁、排挤其他供应商的。</w:t>
      </w:r>
      <w:r/>
    </w:p>
    <w:p>
      <w:pPr>
        <w:numPr>
          <w:ilvl w:val="0"/>
          <w:numId w:val="57"/>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有下列情形之一的，视为投标人串通投标，投标无效：</w:t>
      </w:r>
      <w:r/>
    </w:p>
    <w:p>
      <w:pPr>
        <w:ind w:left="0" w:right="0" w:firstLine="480"/>
        <w:jc w:val="both"/>
        <w:spacing w:before="240" w:after="120" w:line="360" w:lineRule="atLeast"/>
        <w:tabs>
          <w:tab w:val="left" w:pos="4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1.5.1</w:t>
      </w:r>
      <w:r>
        <w:rPr>
          <w:rFonts w:ascii="SimSun" w:hAnsi="SimSun" w:eastAsia="SimSun" w:cs="SimSun"/>
          <w:color w:val="000000"/>
          <w:sz w:val="24"/>
        </w:rPr>
        <w:t xml:space="preserve">不同投标人的投标文件由同一单位或者个人编制；</w:t>
      </w:r>
      <w:r/>
    </w:p>
    <w:p>
      <w:pPr>
        <w:ind w:left="0" w:right="0" w:firstLine="480"/>
        <w:jc w:val="both"/>
        <w:spacing w:before="240" w:after="120" w:line="360" w:lineRule="atLeast"/>
        <w:tabs>
          <w:tab w:val="left" w:pos="4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1.5.2</w:t>
      </w:r>
      <w:r>
        <w:rPr>
          <w:rFonts w:ascii="SimSun" w:hAnsi="SimSun" w:eastAsia="SimSun" w:cs="SimSun"/>
          <w:color w:val="000000"/>
          <w:sz w:val="24"/>
        </w:rPr>
        <w:t xml:space="preserve">不同投标人委托同一单位或者个人办理投标事宜；</w:t>
      </w:r>
      <w:r/>
    </w:p>
    <w:p>
      <w:pPr>
        <w:ind w:left="0" w:right="0" w:firstLine="480"/>
        <w:jc w:val="both"/>
        <w:spacing w:before="240" w:after="120" w:line="360" w:lineRule="atLeast"/>
        <w:tabs>
          <w:tab w:val="left" w:pos="4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1.5.3</w:t>
      </w:r>
      <w:r>
        <w:rPr>
          <w:rFonts w:ascii="SimSun" w:hAnsi="SimSun" w:eastAsia="SimSun" w:cs="SimSun"/>
          <w:color w:val="000000"/>
          <w:sz w:val="24"/>
        </w:rPr>
        <w:t xml:space="preserve">不同投标人的投标文件载明的项目管理成员或者联系人员为同一人；</w:t>
      </w:r>
      <w:r/>
    </w:p>
    <w:p>
      <w:pPr>
        <w:ind w:left="0" w:right="0" w:firstLine="480"/>
        <w:jc w:val="both"/>
        <w:spacing w:before="240" w:after="120" w:line="360" w:lineRule="atLeast"/>
        <w:tabs>
          <w:tab w:val="left" w:pos="4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1.5.4</w:t>
      </w:r>
      <w:r>
        <w:rPr>
          <w:rFonts w:ascii="SimSun" w:hAnsi="SimSun" w:eastAsia="SimSun" w:cs="SimSun"/>
          <w:color w:val="000000"/>
          <w:sz w:val="24"/>
        </w:rPr>
        <w:t xml:space="preserve">不同投标人的投标文件异常一致或者投标报价呈规律性差异；</w:t>
      </w:r>
      <w:r/>
    </w:p>
    <w:p>
      <w:pPr>
        <w:ind w:left="0" w:right="0" w:firstLine="480"/>
        <w:jc w:val="both"/>
        <w:spacing w:before="240" w:after="120" w:line="360" w:lineRule="atLeast"/>
        <w:tabs>
          <w:tab w:val="left" w:pos="4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1.5.5</w:t>
      </w:r>
      <w:r>
        <w:rPr>
          <w:rFonts w:ascii="SimSun" w:hAnsi="SimSun" w:eastAsia="SimSun" w:cs="SimSun"/>
          <w:color w:val="000000"/>
          <w:sz w:val="24"/>
        </w:rPr>
        <w:t xml:space="preserve">不同投标人的投标文件相互混装；</w:t>
      </w:r>
      <w:r/>
    </w:p>
    <w:p>
      <w:pPr>
        <w:pStyle w:val="797"/>
        <w:numPr>
          <w:ilvl w:val="0"/>
          <w:numId w:val="57"/>
        </w:numPr>
        <w:jc w:val="both"/>
        <w:spacing w:before="199" w:after="120" w:line="360" w:lineRule="atLeast"/>
        <w:tabs>
          <w:tab w:val="left" w:pos="78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质疑与投诉</w:t>
      </w:r>
      <w:r/>
    </w:p>
    <w:p>
      <w:pPr>
        <w:numPr>
          <w:ilvl w:val="0"/>
          <w:numId w:val="57"/>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提出质疑的供应商应当是参与所质疑项目采购活动的供应商。潜在供应商依法获取其可质疑的采购文件的，可以对采购文件提出质疑。</w:t>
      </w:r>
      <w:r/>
    </w:p>
    <w:p>
      <w:pPr>
        <w:numPr>
          <w:ilvl w:val="0"/>
          <w:numId w:val="57"/>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认为采购文件、采购过程和采购结果使自己的权益受到损害的，可以在知道或应知其权益受到损害之日起七个工作日内，以书面形式向采购人或采购代理机构提出质疑。上述应知其权益受到损害之日，是指：</w:t>
      </w:r>
      <w:r/>
    </w:p>
    <w:p>
      <w:pPr>
        <w:ind w:left="0" w:right="0" w:firstLine="480"/>
        <w:jc w:val="both"/>
        <w:spacing w:before="240" w:after="120" w:line="360" w:lineRule="atLeast"/>
        <w:tabs>
          <w:tab w:val="left" w:pos="4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2.2.1</w:t>
      </w:r>
      <w:r>
        <w:rPr>
          <w:rFonts w:ascii="SimSun" w:hAnsi="SimSun" w:eastAsia="SimSun" w:cs="SimSun"/>
          <w:color w:val="000000"/>
          <w:sz w:val="24"/>
        </w:rPr>
        <w:t xml:space="preserve">对可以质疑的采购文件提出质疑的，为收到采购文件之日或者采购文件公告期限届满之日；</w:t>
      </w:r>
      <w:r/>
    </w:p>
    <w:p>
      <w:pPr>
        <w:ind w:left="0" w:right="0" w:firstLine="480"/>
        <w:jc w:val="both"/>
        <w:spacing w:before="240" w:after="120" w:line="360" w:lineRule="atLeast"/>
        <w:tabs>
          <w:tab w:val="left" w:pos="4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2.2.2</w:t>
      </w:r>
      <w:r>
        <w:rPr>
          <w:rFonts w:ascii="SimSun" w:hAnsi="SimSun" w:eastAsia="SimSun" w:cs="SimSun"/>
          <w:color w:val="000000"/>
          <w:sz w:val="24"/>
        </w:rPr>
        <w:t xml:space="preserve">对采购过程提出质疑的，为各采购程序环节结束之日；</w:t>
      </w:r>
      <w:r/>
    </w:p>
    <w:p>
      <w:pPr>
        <w:ind w:left="0" w:right="0" w:firstLine="480"/>
        <w:jc w:val="both"/>
        <w:spacing w:before="240" w:after="120" w:line="360" w:lineRule="atLeast"/>
        <w:tabs>
          <w:tab w:val="left" w:pos="4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2.2.3</w:t>
      </w:r>
      <w:r>
        <w:rPr>
          <w:rFonts w:ascii="SimSun" w:hAnsi="SimSun" w:eastAsia="SimSun" w:cs="SimSun"/>
          <w:color w:val="000000"/>
          <w:sz w:val="24"/>
        </w:rPr>
        <w:t xml:space="preserve">对中标或者成交结果提出质疑的，为中标或者成交结果公告期限届满之日。</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w:t>
      </w:r>
      <w:r/>
    </w:p>
    <w:p>
      <w:pPr>
        <w:numPr>
          <w:ilvl w:val="0"/>
          <w:numId w:val="57"/>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numPr>
          <w:ilvl w:val="0"/>
          <w:numId w:val="57"/>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质疑答复依据《政府采购质疑和投诉办法》（财政部令第</w:t>
      </w:r>
      <w:r>
        <w:rPr>
          <w:rFonts w:ascii="Times New Roman" w:hAnsi="Times New Roman" w:eastAsia="Times New Roman" w:cs="Times New Roman"/>
          <w:color w:val="000000"/>
          <w:sz w:val="24"/>
        </w:rPr>
        <w:t xml:space="preserve">94</w:t>
      </w:r>
      <w:r>
        <w:rPr>
          <w:rFonts w:ascii="SimSun" w:hAnsi="SimSun" w:eastAsia="SimSun" w:cs="SimSun"/>
          <w:color w:val="000000"/>
          <w:sz w:val="24"/>
        </w:rPr>
        <w:t xml:space="preserve">号）。</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采购人质疑接收人及联系方式，见招标文件第一部分。</w:t>
      </w:r>
      <w:r/>
    </w:p>
    <w:p>
      <w:pPr>
        <w:numPr>
          <w:ilvl w:val="0"/>
          <w:numId w:val="57"/>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以下情形的质疑不予受理</w:t>
      </w:r>
      <w:r/>
    </w:p>
    <w:p>
      <w:pPr>
        <w:ind w:left="0" w:right="0" w:firstLine="480"/>
        <w:jc w:val="both"/>
        <w:spacing w:before="240" w:after="120" w:line="360" w:lineRule="atLeast"/>
        <w:tabs>
          <w:tab w:val="left" w:pos="4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2.5.1</w:t>
      </w:r>
      <w:r>
        <w:rPr>
          <w:rFonts w:ascii="SimSun" w:hAnsi="SimSun" w:eastAsia="SimSun" w:cs="SimSun"/>
          <w:color w:val="000000"/>
          <w:sz w:val="24"/>
        </w:rPr>
        <w:t xml:space="preserve">内容不符合《政府采购质疑和投诉办法》第十二条规定的质疑。</w:t>
      </w:r>
      <w:r/>
    </w:p>
    <w:p>
      <w:pPr>
        <w:ind w:left="0" w:right="0" w:firstLine="480"/>
        <w:jc w:val="both"/>
        <w:spacing w:before="240" w:after="120" w:line="360" w:lineRule="atLeast"/>
        <w:tabs>
          <w:tab w:val="left" w:pos="4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2.5.2</w:t>
      </w:r>
      <w:r>
        <w:rPr>
          <w:rFonts w:ascii="SimSun" w:hAnsi="SimSun" w:eastAsia="SimSun" w:cs="SimSun"/>
          <w:color w:val="000000"/>
          <w:sz w:val="24"/>
        </w:rPr>
        <w:t xml:space="preserve">超出政府采购法定期限的质疑。</w:t>
      </w:r>
      <w:r/>
    </w:p>
    <w:p>
      <w:pPr>
        <w:ind w:left="0" w:right="0" w:firstLine="480"/>
        <w:jc w:val="both"/>
        <w:spacing w:before="240" w:after="120" w:line="360" w:lineRule="atLeast"/>
        <w:tabs>
          <w:tab w:val="left" w:pos="4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2.5.3</w:t>
      </w:r>
      <w:r>
        <w:rPr>
          <w:rFonts w:ascii="SimSun" w:hAnsi="SimSun" w:eastAsia="SimSun" w:cs="SimSun"/>
          <w:color w:val="000000"/>
          <w:sz w:val="24"/>
        </w:rPr>
        <w:t xml:space="preserve">未参加投标活动的供应商或在投标活动中自身权益未受到损害的供应商所提出的质疑。</w:t>
      </w:r>
      <w:r/>
    </w:p>
    <w:p>
      <w:pPr>
        <w:ind w:left="0" w:right="0" w:firstLine="480"/>
        <w:jc w:val="both"/>
        <w:spacing w:before="240" w:after="120" w:line="360" w:lineRule="atLeast"/>
        <w:tabs>
          <w:tab w:val="left" w:pos="4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2.5.4</w:t>
      </w:r>
      <w:r>
        <w:rPr>
          <w:rFonts w:ascii="SimSun" w:hAnsi="SimSun" w:eastAsia="SimSun" w:cs="SimSun"/>
          <w:color w:val="000000"/>
          <w:sz w:val="24"/>
        </w:rPr>
        <w:t xml:space="preserve">供应商组成联合体参加投标，联合体中任何一方或多方未按要求签字、盖章、加盖公章的质疑。</w:t>
      </w:r>
      <w:r/>
    </w:p>
    <w:p>
      <w:pPr>
        <w:numPr>
          <w:ilvl w:val="0"/>
          <w:numId w:val="57"/>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numPr>
          <w:ilvl w:val="0"/>
          <w:numId w:val="57"/>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对采购人、采购代理机构的答复不满意或者采购人、采购代理机构未在规定的时间内作出答复的，可以在答复期满后十五个工作日内向同级财政政府采购监管部门投诉。投诉事项不得超出已质疑事项的范围。</w:t>
      </w:r>
      <w:r/>
    </w:p>
    <w:p>
      <w:pPr>
        <w:pStyle w:val="797"/>
        <w:numPr>
          <w:ilvl w:val="0"/>
          <w:numId w:val="57"/>
        </w:numPr>
        <w:jc w:val="both"/>
        <w:spacing w:before="199" w:after="120" w:line="360" w:lineRule="atLeast"/>
        <w:tabs>
          <w:tab w:val="left" w:pos="78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中标通知书</w:t>
      </w:r>
      <w:r/>
    </w:p>
    <w:p>
      <w:pPr>
        <w:numPr>
          <w:ilvl w:val="0"/>
          <w:numId w:val="57"/>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中标结果确定后，采购人或采购代理机构将向中标供应商发出中标通知书。</w:t>
      </w:r>
      <w:r/>
    </w:p>
    <w:p>
      <w:pPr>
        <w:numPr>
          <w:ilvl w:val="0"/>
          <w:numId w:val="57"/>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796"/>
        <w:numPr>
          <w:ilvl w:val="0"/>
          <w:numId w:val="63"/>
        </w:numPr>
        <w:spacing w:before="240" w:after="120" w:line="360" w:lineRule="atLeast"/>
        <w:tabs>
          <w:tab w:val="left" w:pos="96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授予合同</w:t>
      </w:r>
      <w:r/>
    </w:p>
    <w:p>
      <w:pPr>
        <w:pStyle w:val="797"/>
        <w:numPr>
          <w:ilvl w:val="0"/>
          <w:numId w:val="57"/>
        </w:numPr>
        <w:jc w:val="both"/>
        <w:spacing w:before="199" w:after="120" w:line="360" w:lineRule="atLeast"/>
        <w:tabs>
          <w:tab w:val="left" w:pos="78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签订合同</w:t>
      </w:r>
      <w:r/>
    </w:p>
    <w:p>
      <w:pPr>
        <w:numPr>
          <w:ilvl w:val="0"/>
          <w:numId w:val="57"/>
        </w:numPr>
        <w:jc w:val="both"/>
        <w:spacing w:before="240" w:after="120" w:line="360" w:lineRule="atLeast"/>
        <w:tabs>
          <w:tab w:val="left" w:pos="21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中标人应当在中标通知书发出之日起三十日内，按照招标文件确定的事项与采购人签订政府采购合同。</w:t>
      </w:r>
      <w:r/>
    </w:p>
    <w:p>
      <w:pPr>
        <w:numPr>
          <w:ilvl w:val="0"/>
          <w:numId w:val="57"/>
        </w:numPr>
        <w:jc w:val="both"/>
        <w:spacing w:before="240" w:after="120" w:line="360" w:lineRule="atLeast"/>
        <w:tabs>
          <w:tab w:val="left" w:pos="21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招标文件、中标人的投标文件及招标过程中有关澄清、承诺文件均应作为合同附件。</w:t>
      </w:r>
      <w:r/>
    </w:p>
    <w:p>
      <w:pPr>
        <w:numPr>
          <w:ilvl w:val="0"/>
          <w:numId w:val="57"/>
        </w:numPr>
        <w:jc w:val="both"/>
        <w:spacing w:before="240" w:after="120" w:line="360" w:lineRule="atLeast"/>
        <w:tabs>
          <w:tab w:val="left" w:pos="21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合同后，中标人不得将货物及其他相关服务进行转包。未经采购人同意，中标人也不得采用分包的形式履行合同，否则采购人有权终止合同。政府采购合同分包履行的，中标、成交供应商就采购项目和分包项目向采购人负责，分包供应商就分包项目承担责任。转包或分包造成采购人损失的，中标人应承担相应赔偿责任。</w:t>
      </w:r>
      <w:r/>
    </w:p>
    <w:p>
      <w:pPr>
        <w:pStyle w:val="797"/>
        <w:numPr>
          <w:ilvl w:val="0"/>
          <w:numId w:val="57"/>
        </w:numPr>
        <w:jc w:val="both"/>
        <w:spacing w:before="199" w:after="120" w:line="360" w:lineRule="atLeast"/>
        <w:tabs>
          <w:tab w:val="left" w:pos="78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货物和服务的追加、减少和添购</w:t>
      </w:r>
      <w:r/>
    </w:p>
    <w:p>
      <w:pPr>
        <w:numPr>
          <w:ilvl w:val="0"/>
          <w:numId w:val="58"/>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政府采购合同履行中，采购人需追加与合同标的相同的货物和服务的，在不改变合同其他条款的前提下，可以与中标人协商签订补充合同，但所有补充合同的采购金额不超过原合同金额的</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w:t>
      </w:r>
      <w:r/>
    </w:p>
    <w:p>
      <w:pPr>
        <w:numPr>
          <w:ilvl w:val="0"/>
          <w:numId w:val="58"/>
        </w:numPr>
        <w:jc w:val="both"/>
        <w:spacing w:before="24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采购结束后，采购人若由于各种客观原因，必须对采购项目所牵涉的货物和服务进行适当的减少时，在双方协商一致的前提下，可以按照招标采购时的价格水平做相应的调减，并据此签订补充合同。</w:t>
      </w:r>
      <w:r/>
    </w:p>
    <w:p>
      <w:pPr>
        <w:pStyle w:val="797"/>
        <w:numPr>
          <w:ilvl w:val="0"/>
          <w:numId w:val="57"/>
        </w:numPr>
        <w:jc w:val="both"/>
        <w:spacing w:before="199" w:after="120" w:line="360" w:lineRule="atLeast"/>
        <w:tabs>
          <w:tab w:val="left" w:pos="78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政府采购履约保证资金</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以履约保函（保险）形式向采购人缴纳的，按照《关于在全省政府采购领域推行电子履约保函（保险）的通知》，登录江苏政府采购网，选择</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保险保函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模块，进行相关操作。供应商可登录江苏政府采购网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资料下载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栏目下载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政府采购电子履约（保函）保险操作手册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pStyle w:val="797"/>
        <w:numPr>
          <w:ilvl w:val="0"/>
          <w:numId w:val="57"/>
        </w:numPr>
        <w:jc w:val="both"/>
        <w:spacing w:before="199" w:after="120" w:line="360" w:lineRule="atLeast"/>
        <w:tabs>
          <w:tab w:val="left" w:pos="78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政府采购履约资金扶持政策</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根据《关于深入开展南通市政府采购线上合同信用融资工作的通知》（通财购〔</w:t>
      </w:r>
      <w:r>
        <w:rPr>
          <w:rFonts w:ascii="Times New Roman" w:hAnsi="Times New Roman" w:eastAsia="Times New Roman" w:cs="Times New Roman"/>
          <w:color w:val="000000"/>
          <w:sz w:val="24"/>
        </w:rPr>
        <w:t xml:space="preserve">2022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68</w:t>
      </w:r>
      <w:r>
        <w:rPr>
          <w:rFonts w:ascii="SimSun" w:hAnsi="SimSun" w:eastAsia="SimSun" w:cs="SimSun"/>
          <w:color w:val="000000"/>
          <w:sz w:val="24"/>
        </w:rPr>
        <w:t xml:space="preserve">号），对政府采购中标供应商提出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政采贷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融资申请的，采购人应当依法按时在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系统中录入并公开政府采购合同信息，勾选</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融资贷款</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选项，并在合同签订、验收付款、账号维护等环节提供必要便利，持续降低参与政府采购的中小企业融资成本。中标供应商如需获得合同信用融资支持，可凭政府采购合同办理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政采贷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融资贷款，详情请见江苏省政府采购网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政采贷专栏。</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640"/>
        <w:spacing w:before="240" w:after="240"/>
        <w:tabs>
          <w:tab w:val="left" w:pos="640" w:leader="none"/>
        </w:tabs>
        <w:pBdr>
          <w:top w:val="none" w:color="000000" w:sz="4" w:space="0"/>
          <w:left w:val="none" w:color="000000" w:sz="4" w:space="0"/>
          <w:bottom w:val="none" w:color="000000" w:sz="4" w:space="0"/>
          <w:right w:val="none" w:color="000000" w:sz="4" w:space="0"/>
        </w:pBdr>
      </w:pPr>
      <w:r>
        <w:br w:type="page" w:clear="all"/>
      </w:r>
      <w:r/>
    </w:p>
    <w:p>
      <w:pPr>
        <w:ind w:left="0" w:right="0" w:firstLine="640"/>
        <w:spacing w:before="240" w:after="240"/>
        <w:tabs>
          <w:tab w:val="left" w:pos="6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第三部分项目需求</w:t>
      </w:r>
      <w:r/>
    </w:p>
    <w:p>
      <w:pPr>
        <w:ind w:left="0" w:right="0" w:firstLine="482"/>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在制作投标文件时仔细研究项目需求说明。项目需求包括技术要求和商务要求：技术要求是指对采购标的功能和质量要求，包括性能、质量、材料、结构、外观、安全，或者服务内容和标准等；商务要求是指取得采购标的的时间、地点、财务和服务要求，包括交付（实施）的时间（期限）、方式、地点（范围），付款条件（进度和方法），包装和运输，售后服务，保险等。</w:t>
      </w:r>
      <w:r/>
    </w:p>
    <w:p>
      <w:pPr>
        <w:ind w:left="0" w:right="0" w:firstLine="482"/>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不能简单照搬照抄招标文件项目需求说明中的技术、商务要求，必须实事求是地响应。如投标人提供的货物和服务同采购人提出的项目需求说明中的技术、商务要求不同的，必须在《商务部分正负偏离表》和《技术部分正负偏离表》上明示，</w:t>
      </w:r>
      <w:r>
        <w:rPr>
          <w:rFonts w:ascii="SimSun" w:hAnsi="SimSun" w:eastAsia="SimSun" w:cs="SimSun"/>
          <w:b/>
          <w:color w:val="000000"/>
          <w:sz w:val="24"/>
          <w:u w:val="single"/>
        </w:rPr>
        <w:t xml:space="preserve">本章节带有下划线及加“</w:t>
      </w:r>
      <w:r>
        <w:rPr>
          <w:rFonts w:ascii="Times New Roman" w:hAnsi="Times New Roman" w:eastAsia="Times New Roman" w:cs="Times New Roman"/>
          <w:color w:val="000000"/>
          <w:sz w:val="24"/>
          <w:u w:val="single"/>
        </w:rPr>
        <w:t xml:space="preserve">★</w:t>
      </w:r>
      <w:r>
        <w:rPr>
          <w:rFonts w:ascii="SimSun" w:hAnsi="SimSun" w:eastAsia="SimSun" w:cs="SimSun"/>
          <w:b/>
          <w:color w:val="000000"/>
          <w:sz w:val="24"/>
          <w:u w:val="single"/>
        </w:rPr>
        <w:t xml:space="preserve">”的内容为实质性要求，有任意一条负偏离的均按无效投标处理</w:t>
      </w:r>
      <w:r>
        <w:rPr>
          <w:rFonts w:ascii="SimSun" w:hAnsi="SimSun" w:eastAsia="SimSun" w:cs="SimSun"/>
          <w:b/>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一、★采购需求一览表</w:t>
      </w:r>
      <w:r/>
    </w:p>
    <w:tbl>
      <w:tblPr>
        <w:tblStyle w:val="85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86"/>
        <w:gridCol w:w="884"/>
        <w:gridCol w:w="2135"/>
        <w:gridCol w:w="2192"/>
        <w:gridCol w:w="1607"/>
      </w:tblGrid>
      <w:tr>
        <w:trPr/>
        <w:tc>
          <w:tcPr>
            <w:tcBorders>
              <w:top w:val="single" w:color="000000" w:sz="8" w:space="0"/>
              <w:left w:val="single" w:color="000000" w:sz="8" w:space="0"/>
              <w:bottom w:val="single" w:color="000000" w:sz="8" w:space="0"/>
              <w:right w:val="single" w:color="000000" w:sz="8" w:space="0"/>
            </w:tcBorders>
            <w:tcMar>
              <w:left w:w="102" w:type="dxa"/>
              <w:top w:w="80" w:type="dxa"/>
              <w:right w:w="102" w:type="dxa"/>
              <w:bottom w:w="80" w:type="dxa"/>
            </w:tcMar>
            <w:tcW w:w="1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2" w:type="dxa"/>
              <w:top w:w="80" w:type="dxa"/>
              <w:right w:w="102" w:type="dxa"/>
              <w:bottom w:w="80" w:type="dxa"/>
            </w:tcMar>
            <w:tcW w:w="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2" w:type="dxa"/>
              <w:top w:w="80" w:type="dxa"/>
              <w:right w:w="102" w:type="dxa"/>
              <w:bottom w:w="80" w:type="dxa"/>
            </w:tcMar>
            <w:tcW w:w="2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交货期</w:t>
            </w:r>
            <w:r/>
          </w:p>
        </w:tc>
        <w:tc>
          <w:tcPr>
            <w:tcBorders>
              <w:top w:val="single" w:color="000000" w:sz="8" w:space="0"/>
              <w:left w:val="none" w:color="000000" w:sz="4" w:space="0"/>
              <w:bottom w:val="single" w:color="000000" w:sz="8" w:space="0"/>
              <w:right w:val="single" w:color="000000" w:sz="8" w:space="0"/>
            </w:tcBorders>
            <w:tcMar>
              <w:left w:w="102" w:type="dxa"/>
              <w:top w:w="80" w:type="dxa"/>
              <w:right w:w="102" w:type="dxa"/>
              <w:bottom w:w="80" w:type="dxa"/>
            </w:tcMar>
            <w:tcW w:w="2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交货地点</w:t>
            </w:r>
            <w:r/>
          </w:p>
        </w:tc>
        <w:tc>
          <w:tcPr>
            <w:tcBorders>
              <w:top w:val="single" w:color="000000" w:sz="8" w:space="0"/>
              <w:left w:val="none" w:color="000000" w:sz="4" w:space="0"/>
              <w:bottom w:val="single" w:color="000000" w:sz="8" w:space="0"/>
              <w:right w:val="single" w:color="000000" w:sz="8" w:space="0"/>
            </w:tcBorders>
            <w:tcMar>
              <w:left w:w="102" w:type="dxa"/>
              <w:top w:w="80" w:type="dxa"/>
              <w:right w:w="102" w:type="dxa"/>
              <w:bottom w:w="8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免费保修期</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1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钬激光治疗仪</w:t>
            </w:r>
            <w:r/>
          </w:p>
        </w:tc>
        <w:tc>
          <w:tcPr>
            <w:tcBorders>
              <w:top w:val="none" w:color="000000" w:sz="4" w:space="0"/>
              <w:left w:val="none" w:color="000000" w:sz="4" w:space="0"/>
              <w:bottom w:val="single" w:color="000000" w:sz="8" w:space="0"/>
              <w:right w:val="single" w:color="000000" w:sz="8" w:space="0"/>
            </w:tcBorders>
            <w:tcMar>
              <w:left w:w="102" w:type="dxa"/>
              <w:top w:w="80" w:type="dxa"/>
              <w:right w:w="102" w:type="dxa"/>
              <w:bottom w:w="80" w:type="dxa"/>
            </w:tcMar>
            <w:tcW w:w="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tcBorders>
              <w:top w:val="none" w:color="000000" w:sz="4" w:space="0"/>
              <w:left w:val="none" w:color="000000" w:sz="4" w:space="0"/>
              <w:bottom w:val="single" w:color="000000" w:sz="8" w:space="0"/>
              <w:right w:val="single" w:color="000000" w:sz="8" w:space="0"/>
            </w:tcBorders>
            <w:tcMar>
              <w:left w:w="102" w:type="dxa"/>
              <w:top w:w="80" w:type="dxa"/>
              <w:right w:w="102" w:type="dxa"/>
              <w:bottom w:w="80" w:type="dxa"/>
            </w:tcMar>
            <w:tcW w:w="2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合同生效后60日历天内交货</w:t>
            </w:r>
            <w:r/>
          </w:p>
        </w:tc>
        <w:tc>
          <w:tcPr>
            <w:tcBorders>
              <w:top w:val="none" w:color="000000" w:sz="4" w:space="0"/>
              <w:left w:val="none" w:color="000000" w:sz="4" w:space="0"/>
              <w:bottom w:val="single" w:color="000000" w:sz="8" w:space="0"/>
              <w:right w:val="single" w:color="000000" w:sz="8" w:space="0"/>
            </w:tcBorders>
            <w:tcMar>
              <w:left w:w="102" w:type="dxa"/>
              <w:top w:w="80" w:type="dxa"/>
              <w:right w:w="102" w:type="dxa"/>
              <w:bottom w:w="80" w:type="dxa"/>
            </w:tcMar>
            <w:tcW w:w="2192" w:type="dxa"/>
            <w:vAlign w:val="center"/>
            <w:textDirection w:val="lrTb"/>
            <w:noWrap w:val="false"/>
          </w:tcPr>
          <w:p>
            <w:pPr>
              <w:ind w:left="0" w:right="0" w:firstLine="0"/>
              <w:jc w:val="center"/>
              <w:spacing w:before="0" w:after="0"/>
              <w:tabs>
                <w:tab w:val="left" w:pos="11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如东县人民医院指定地点</w:t>
            </w:r>
            <w:r/>
          </w:p>
        </w:tc>
        <w:tc>
          <w:tcPr>
            <w:tcBorders>
              <w:top w:val="none" w:color="000000" w:sz="4" w:space="0"/>
              <w:left w:val="none" w:color="000000" w:sz="4" w:space="0"/>
              <w:bottom w:val="single" w:color="000000" w:sz="8" w:space="0"/>
              <w:right w:val="single" w:color="000000" w:sz="8" w:space="0"/>
            </w:tcBorders>
            <w:tcMar>
              <w:left w:w="102" w:type="dxa"/>
              <w:top w:w="80" w:type="dxa"/>
              <w:right w:w="102" w:type="dxa"/>
              <w:bottom w:w="8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≥3年</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二、政府采购中实施本国产品标准及相关政策:</w:t>
      </w:r>
      <w:r/>
    </w:p>
    <w:p>
      <w:pPr>
        <w:ind w:left="0" w:right="0" w:firstLine="480"/>
        <w:jc w:val="both"/>
        <w:spacing w:before="0" w:after="0" w:line="85"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采购本国产品的支持政策</w:t>
      </w:r>
      <w:r/>
    </w:p>
    <w:p>
      <w:pPr>
        <w:ind w:left="0" w:right="0" w:firstLine="480"/>
        <w:jc w:val="both"/>
        <w:spacing w:before="0" w:after="0" w:line="85"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0" w:after="0" w:line="85"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采购项目或者采购包中含有多种产品，供应商为该采购项目或者采购包提供的符合本国产品标准的产品成本之和占该供应商提供的全部产品成本之和的比例达到80%以上时（供应商需在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both"/>
        <w:spacing w:before="0" w:after="0" w:line="85"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供应商需按照招标文件的要求提供《关于符合本国产品标准的声明函》（以下简称《声明函》），如不提供将不享受本国产品价格评审优惠。</w:t>
      </w:r>
      <w:r/>
    </w:p>
    <w:p>
      <w:pPr>
        <w:ind w:left="0" w:right="0" w:firstLine="480"/>
        <w:jc w:val="both"/>
        <w:spacing w:before="0" w:after="0" w:line="85"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jc w:val="both"/>
        <w:spacing w:before="0" w:after="0" w:line="85"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三、项目需求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★（一）适用范围：可用于泌尿系软组织的汽（气）化或可治疗膀胱肿瘤；可治疗泌尿系统结石（以注册证适用范围为准）。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★（二）基本配置要求：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1、钬激光主机     一台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2、脚踏开关       一个</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3、激光防护眼镜   两副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4、光纤检查器     一个</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5、保护镜         两个</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6、光纤切割器     一个</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7、光纤剥削工具   两个（型号于交货前由采购方确认）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8、复用光纤       两根（与激光主机品牌一致，于交货前由采购方确认）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9、激光警告牌     两张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10、内窥镜手术刨削系统含配套剜除镜组，刨削镜组一套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（三）、技术参数：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1、激光波长：2100nm±100nm；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▲2、激光管：装配激光棒数量：4根（需提供佐证资料）；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▲3、单脉冲最大可调频率＞50赫兹，操作屏幕实际可调（需提供佐证资料）；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4、频率显示条：可提示当前模式下可调频率的最大范围；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5、最小脉冲能量：≤0.2J，</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6、最大脉冲能量：≥3.5J</w:t>
        <w:tab/>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7、能量显示条：可提示当前模式下可调能量的最大范围；</w:t>
        <w:tab/>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8、能量统计：可累计手术中能量输出总值</w:t>
        <w:tab/>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▲9、激光最大输出功率＞90W，操作屏幕实际可调（需提供佐证资料）；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10、最小脉冲宽度：≤160μs；</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11、最大脉冲宽度：≥550μs；</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12、脉冲宽度可调，切换挡位≥2档；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▲13、激光终端最大脉冲功率：12KW（以提供的检测报告扫描件显示实际数值为准）；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▲14、脚闸：双踏板设计，并且两个踏板可以控制两组参数（即两组能量）（提供脚踏图片）；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15、激光功率不稳定度：优于±5％；</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16、绿色指示光：三档可调及闪烁模式；</w:t>
        <w:tab/>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17、指示光波长：532nm±5nm；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18、有同品牌光纤，并入围阳光平台（即“江苏省药品和医用耗材招采管理系统”）（提供官方截图证明）；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19、同品牌光纤长度：≥300cm；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▲20、显示屏：彩色触摸屏并可折叠和旋转（需提供佐证资料）；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▲21、显示屏控制：单屏双显可同时设置并显示两组不同的激光输出参数（需提供佐证资料）；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22、急停开关：可在设备出现故障时紧急关闭机器；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23、冷却装置：内置热交换器；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24、节约模式：部分激光棒故障时，仍能发射激光，保障手术；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25、能量监控系统：可实时监控并调节激光能量，确保其输出；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26、配备外部门互锁插头：可确保机器外部门打开时激光不能发射；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27、保护镜系统：透镜保护镜可在机身立刻更换，无须拆机更换，方便操作，用以保护激光光路。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三、★商务条款</w:t>
      </w:r>
      <w:r/>
    </w:p>
    <w:p>
      <w:pPr>
        <w:numPr>
          <w:ilvl w:val="0"/>
          <w:numId w:val="5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设备生产日期：</w:t>
      </w:r>
      <w:r>
        <w:rPr>
          <w:rFonts w:ascii="SimSun" w:hAnsi="SimSun" w:eastAsia="SimSun" w:cs="SimSun"/>
          <w:color w:val="000000"/>
          <w:sz w:val="21"/>
        </w:rPr>
        <w:t xml:space="preserve">不早于设备到货日期前</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个月。</w:t>
      </w:r>
      <w:r/>
    </w:p>
    <w:p>
      <w:pPr>
        <w:numPr>
          <w:ilvl w:val="0"/>
          <w:numId w:val="5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交货期：</w:t>
      </w:r>
      <w:r>
        <w:rPr>
          <w:rFonts w:ascii="SimSun" w:hAnsi="SimSun" w:eastAsia="SimSun" w:cs="SimSun"/>
          <w:color w:val="000000"/>
          <w:sz w:val="21"/>
        </w:rPr>
        <w:t xml:space="preserve">合同签订之日起</w:t>
      </w: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日内。</w:t>
      </w:r>
      <w:r/>
    </w:p>
    <w:p>
      <w:pPr>
        <w:numPr>
          <w:ilvl w:val="0"/>
          <w:numId w:val="5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交货地点：</w:t>
      </w:r>
      <w:r>
        <w:rPr>
          <w:rFonts w:ascii="SimSun" w:hAnsi="SimSun" w:eastAsia="SimSun" w:cs="SimSun"/>
          <w:color w:val="000000"/>
          <w:sz w:val="21"/>
        </w:rPr>
        <w:t xml:space="preserve">如东县人民医院院内指定地点。</w:t>
      </w:r>
      <w:r/>
    </w:p>
    <w:p>
      <w:pPr>
        <w:numPr>
          <w:ilvl w:val="0"/>
          <w:numId w:val="5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质量保证及售后服务要求：</w:t>
      </w:r>
      <w:r/>
    </w:p>
    <w:p>
      <w:pPr>
        <w:ind w:left="0" w:right="0" w:firstLine="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w:t>
      </w:r>
      <w:r>
        <w:rPr>
          <w:rFonts w:ascii="SimSun" w:hAnsi="SimSun" w:eastAsia="SimSun" w:cs="SimSun"/>
          <w:color w:val="000000"/>
          <w:sz w:val="21"/>
        </w:rPr>
        <w:t xml:space="preserve">免费质保期：自设备验收之日起，原厂质保≥3年。投标人须承诺在中标后提供原厂出具的售后服务函（格式自拟）。投标人应在验收时提供符合采购人要求的原厂质保证明材料，否则不予验收。</w:t>
      </w:r>
      <w:r/>
    </w:p>
    <w:p>
      <w:pPr>
        <w:ind w:left="0" w:right="0" w:firstLine="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投标人投标文件中承诺的质保期长于招标文件要求的，以投标文件承诺的质保期为准。在产品质保期内，中标人对所供产品的质量负全部责任，包括但不限于免费维修、免费更换和经每年维修达两次仍不能正常使用时及时退货等。</w:t>
      </w:r>
      <w:r/>
    </w:p>
    <w:p>
      <w:pPr>
        <w:ind w:left="0" w:right="0" w:firstLine="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w:t>
      </w:r>
      <w:r>
        <w:rPr>
          <w:rFonts w:ascii="SimSun" w:hAnsi="SimSun" w:eastAsia="SimSun" w:cs="SimSun"/>
          <w:color w:val="000000"/>
          <w:sz w:val="21"/>
        </w:rPr>
        <w:t xml:space="preserve">质保范围：合同项目下所有货物，包括配套附件、软件等所出现的任何故障及性能偏差。确保设备保修期内开机率为95%，如设备故障停机率超过5%（一年按365天计算，每年18天），每超过一天，保修期延长两周。</w:t>
      </w:r>
      <w:r/>
    </w:p>
    <w:p>
      <w:pPr>
        <w:ind w:left="0" w:right="0" w:firstLine="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4.3</w:t>
      </w:r>
      <w:r>
        <w:rPr>
          <w:rFonts w:ascii="SimSun" w:hAnsi="SimSun" w:eastAsia="SimSun" w:cs="SimSun"/>
          <w:color w:val="000000"/>
          <w:sz w:val="21"/>
        </w:rPr>
        <w:t xml:space="preserve">质保期内如设备发生故障，供应商在接到甲方报修电话后2小时内予以响应，否则甲方可自行采取必要的措施，由此产生的风险和费用由乙方承担。供应商应采取必要的措施保证充足的备件，确保故障设备在接到采购人报修电话</w:t>
      </w:r>
      <w:r>
        <w:rPr>
          <w:rFonts w:ascii="Times New Roman" w:hAnsi="Times New Roman" w:eastAsia="Times New Roman" w:cs="Times New Roman"/>
          <w:color w:val="000000"/>
          <w:sz w:val="21"/>
        </w:rPr>
        <w:t xml:space="preserve">48</w:t>
      </w:r>
      <w:r>
        <w:rPr>
          <w:rFonts w:ascii="SimSun" w:hAnsi="SimSun" w:eastAsia="SimSun" w:cs="SimSun"/>
          <w:color w:val="000000"/>
          <w:sz w:val="21"/>
        </w:rPr>
        <w:t xml:space="preserve">小时内现场修复。供应商另须提供每年不少于</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次全面的维护保养，每次维护保养后提供设备维修、保养详细工作报告单。</w:t>
      </w:r>
      <w:r/>
    </w:p>
    <w:p>
      <w:pPr>
        <w:ind w:left="0" w:right="0" w:firstLine="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4.4</w:t>
      </w:r>
      <w:r>
        <w:rPr>
          <w:rFonts w:ascii="SimSun" w:hAnsi="SimSun" w:eastAsia="SimSun" w:cs="SimSun"/>
          <w:color w:val="000000"/>
          <w:sz w:val="21"/>
        </w:rPr>
        <w:t xml:space="preserve">质保期外如需更换配件，投标人保证先维修后收费，所更换的配件保修不少于一年。供应商保证零配件供应时间不少于厂家对设备限定的使用年限。</w:t>
      </w:r>
      <w:r/>
    </w:p>
    <w:p>
      <w:pPr>
        <w:ind w:left="0" w:right="0" w:firstLine="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w:t>
      </w:r>
      <w:r>
        <w:rPr>
          <w:rFonts w:ascii="SimSun" w:hAnsi="SimSun" w:eastAsia="SimSun" w:cs="SimSun"/>
          <w:color w:val="000000"/>
          <w:sz w:val="21"/>
        </w:rPr>
        <w:t xml:space="preserve">需返厂维修的设备，投标人承担拆卸、包装、运输及再安装等费用。</w:t>
      </w:r>
      <w:r/>
    </w:p>
    <w:p>
      <w:pPr>
        <w:ind w:left="0" w:right="0" w:firstLine="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4.6</w:t>
      </w:r>
      <w:r>
        <w:rPr>
          <w:rFonts w:ascii="SimSun" w:hAnsi="SimSun" w:eastAsia="SimSun" w:cs="SimSun"/>
          <w:color w:val="000000"/>
          <w:sz w:val="21"/>
        </w:rPr>
        <w:t xml:space="preserve">投标人应在交货时免费提供维修手册、专业工具等设备运行、维护、维修等必需的资料、材料。</w:t>
      </w:r>
      <w:r/>
    </w:p>
    <w:p>
      <w:pPr>
        <w:ind w:left="0" w:right="0" w:firstLine="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4.7</w:t>
      </w:r>
      <w:r>
        <w:rPr>
          <w:rFonts w:ascii="SimSun" w:hAnsi="SimSun" w:eastAsia="SimSun" w:cs="SimSun"/>
          <w:color w:val="000000"/>
          <w:sz w:val="21"/>
        </w:rPr>
        <w:t xml:space="preserve">上述条款需经设备厂商或厂商指定的售后服务机构另行书面确认或直接加盖公章确认并在最终验收前提交给采购人。如涉及其他厂商产品则须得到该厂商的售后服务保证。</w:t>
      </w:r>
      <w:r/>
    </w:p>
    <w:p>
      <w:pPr>
        <w:ind w:left="0" w:right="0" w:firstLine="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4.8</w:t>
      </w:r>
      <w:r>
        <w:rPr>
          <w:rFonts w:ascii="SimSun" w:hAnsi="SimSun" w:eastAsia="SimSun" w:cs="SimSun"/>
          <w:color w:val="000000"/>
          <w:sz w:val="21"/>
        </w:rPr>
        <w:t xml:space="preserve">配套软件免费升级。</w:t>
      </w:r>
      <w:r/>
    </w:p>
    <w:p>
      <w:pPr>
        <w:numPr>
          <w:ilvl w:val="0"/>
          <w:numId w:val="5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培训：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w:t>
      </w:r>
      <w:r>
        <w:rPr>
          <w:rFonts w:ascii="SimSun" w:hAnsi="SimSun" w:eastAsia="SimSun" w:cs="SimSun"/>
          <w:color w:val="000000"/>
          <w:sz w:val="21"/>
        </w:rPr>
        <w:t xml:space="preserve">卖方负责对买方的操作、维修人员在项目所在地进行业务培训。培训应达到能熟练操作，并能排除常见故障的标准。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5.2卖方负责提供数据分析软件和信息管理软件所需的操作培训，技术支持，并协助数据库建立和服务器管理，24小时在线响应。</w:t>
      </w:r>
      <w:r/>
    </w:p>
    <w:p>
      <w:pPr>
        <w:numPr>
          <w:ilvl w:val="0"/>
          <w:numId w:val="5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设备验收方式及标准</w:t>
      </w:r>
      <w:r/>
    </w:p>
    <w:p>
      <w:pPr>
        <w:ind w:left="0" w:right="0" w:firstLine="0"/>
        <w:jc w:val="both"/>
        <w:spacing w:before="0" w:after="0" w:line="85" w:lineRule="atLeast"/>
        <w:tabs>
          <w:tab w:val="left" w:pos="7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w:t>
      </w:r>
      <w:r>
        <w:rPr>
          <w:rFonts w:ascii="SimSun" w:hAnsi="SimSun" w:eastAsia="SimSun" w:cs="SimSun"/>
          <w:color w:val="000000"/>
          <w:sz w:val="21"/>
        </w:rPr>
        <w:t xml:space="preserve">验收方式</w:t>
      </w:r>
      <w:r/>
    </w:p>
    <w:p>
      <w:pPr>
        <w:numPr>
          <w:ilvl w:val="0"/>
          <w:numId w:val="58"/>
        </w:numPr>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人交货后，买卖双方共同进行开箱初检，初步核对货物型号、规格、数量、产地、生产日期等内容与采购要求是否一致，如果发现不符或有缺损，可以要求投标人立即采取增补、更换等补救措施。开箱初检合格后投标人应及时安排安装、调试、试用。</w:t>
      </w:r>
      <w:r/>
    </w:p>
    <w:p>
      <w:pPr>
        <w:numPr>
          <w:ilvl w:val="0"/>
          <w:numId w:val="58"/>
        </w:numPr>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投标人负责货物的安装、调试、试用过程中的现场安全管理，若安装、调试及试用过程中发生安全事故，投标人应承担全部责任。</w:t>
      </w:r>
      <w:r/>
    </w:p>
    <w:p>
      <w:pPr>
        <w:numPr>
          <w:ilvl w:val="0"/>
          <w:numId w:val="58"/>
        </w:numPr>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买卖双方应在安装、调试完成后进行试用，试用不应少于一个月，具体程序由投标人提供并经买卖双方协商一致后确认。在试使用期间，如果未能达到合同约定的要求或者质量标准，或者试用期内因设备本身原因出现故障达两次，投标人则必须无条件换货或退货，由此引起的一切损失由投标人承担。</w:t>
      </w:r>
      <w:r/>
    </w:p>
    <w:p>
      <w:pPr>
        <w:numPr>
          <w:ilvl w:val="0"/>
          <w:numId w:val="58"/>
        </w:numPr>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试用结束后双方应及时对货物进行最终验收，验收合格后双方共同签署验收文件；验收时投标人应提交产品检验合格证书或其他产品合格证明文件，进口产品需提交报关单、商检证明以及中文产品质量保证书及中文产品说明书；同时还需提交厂商或厂商授权售后服务机构签字盖章且符合本合同售后服务条款要求的承诺函。</w:t>
      </w:r>
      <w:r/>
    </w:p>
    <w:p>
      <w:pPr>
        <w:numPr>
          <w:ilvl w:val="0"/>
          <w:numId w:val="58"/>
        </w:numPr>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对货物的最终验收在采购人所在地进行，该验收只表明对货物外观质量的初步认可，并不代表采购人对内在质量的最终确认，即验收合格不排除采购人在质保期内外提出质量异议。质量异议期限为</w:t>
      </w:r>
      <w:r>
        <w:rPr>
          <w:rFonts w:ascii="Times New Roman" w:hAnsi="Times New Roman" w:eastAsia="Times New Roman" w:cs="Times New Roman"/>
          <w:color w:val="000000"/>
          <w:sz w:val="21"/>
        </w:rPr>
        <w:t xml:space="preserve">180</w:t>
      </w:r>
      <w:r>
        <w:rPr>
          <w:rFonts w:ascii="SimSun" w:hAnsi="SimSun" w:eastAsia="SimSun" w:cs="SimSun"/>
          <w:color w:val="000000"/>
          <w:sz w:val="21"/>
        </w:rPr>
        <w:t xml:space="preserve">天，自验收合格之次日起计算，如果在质量异议期内如投标人提供的产品未能达到采购人的参数要求、合同约定的要求或者质量标准及因设备本身原因出现故障两次及以上，投标人则必须无条件换货或退货，由此引起的一切损失由投标人承担。</w:t>
      </w:r>
      <w:r/>
    </w:p>
    <w:p>
      <w:pPr>
        <w:ind w:left="0" w:right="0" w:firstLine="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 </w:t>
      </w:r>
      <w:r>
        <w:rPr>
          <w:rFonts w:ascii="SimSun" w:hAnsi="SimSun" w:eastAsia="SimSun" w:cs="SimSun"/>
          <w:color w:val="000000"/>
          <w:sz w:val="21"/>
        </w:rPr>
        <w:t xml:space="preserve">验收标准</w:t>
      </w:r>
      <w:r/>
    </w:p>
    <w:p>
      <w:pPr>
        <w:ind w:left="0" w:right="0" w:firstLine="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招标文件、中标人投标文件、采购合同、产品说明书及技术规格书中明确的标准和技术要求</w:t>
      </w:r>
      <w:r>
        <w:rPr>
          <w:rFonts w:ascii="Times New Roman" w:hAnsi="Times New Roman" w:eastAsia="Times New Roman" w:cs="Times New Roman"/>
          <w:color w:val="000000"/>
          <w:sz w:val="21"/>
        </w:rPr>
        <w:t xml:space="preserve">;</w:t>
      </w:r>
      <w:r/>
    </w:p>
    <w:p>
      <w:pPr>
        <w:ind w:left="0" w:right="0" w:firstLine="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与合同货物有关的最新版本的中华人民共和国国家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国际标准和部颁标准；</w:t>
      </w:r>
      <w:r/>
    </w:p>
    <w:p>
      <w:pPr>
        <w:ind w:left="0" w:right="0" w:firstLine="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卖方随投标文件提供货物制造国的制造及验收的官方标准或货物验收大纲，经买方确认后，将作为对货物的验收依据之一。</w:t>
      </w:r>
      <w:r/>
    </w:p>
    <w:p>
      <w:pPr>
        <w:ind w:left="0" w:right="0" w:firstLine="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卖方在澄清投标文件时作出的承诺，经买方确认后，将作为对货物的验收依据之一。</w:t>
      </w:r>
      <w:r/>
    </w:p>
    <w:p>
      <w:pPr>
        <w:ind w:left="0" w:right="0" w:firstLine="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双方签订的合同条款规定的其他产品配置与技术指标。</w:t>
      </w:r>
      <w:r/>
    </w:p>
    <w:p>
      <w:pPr>
        <w:numPr>
          <w:ilvl w:val="0"/>
          <w:numId w:val="5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安装与调试：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卖方应派有经验、有资格的人员及时对货物及全系统进行调试。若在合同规定的日期前未完成调试，或买方对调试情况不满意，则买方有权要求货物原制造厂派员前来调试，卖方不得拒绝，所发生的费用由卖方承担，安装调试的费用由卖方承担。</w:t>
      </w:r>
      <w:r/>
    </w:p>
    <w:p>
      <w:pPr>
        <w:numPr>
          <w:ilvl w:val="0"/>
          <w:numId w:val="5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付款方式：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设备安装、调试、培训、验收合格后凭合同、验收单、增值税普通发票，首付合同款的</w:t>
      </w:r>
      <w:r>
        <w:rPr>
          <w:rFonts w:ascii="Times New Roman" w:hAnsi="Times New Roman" w:eastAsia="Times New Roman" w:cs="Times New Roman"/>
          <w:color w:val="000000"/>
          <w:sz w:val="21"/>
        </w:rPr>
        <w:t xml:space="preserve">70%</w:t>
      </w:r>
      <w:r>
        <w:rPr>
          <w:rFonts w:ascii="SimSun" w:hAnsi="SimSun" w:eastAsia="SimSun" w:cs="SimSun"/>
          <w:color w:val="000000"/>
          <w:sz w:val="21"/>
        </w:rPr>
        <w:t xml:space="preserve">，验收合格使用正常</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个月后付合同款的</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，以上均不计息。</w:t>
      </w:r>
      <w:r/>
    </w:p>
    <w:p>
      <w:pPr>
        <w:numPr>
          <w:ilvl w:val="0"/>
          <w:numId w:val="5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设备如需使用专用耗材、试剂或在维修保养中需要专用工具、易损件、维修配件，则应在合同签订时提供耗材配件供货清单及报价表。</w:t>
      </w:r>
      <w:r/>
    </w:p>
    <w:p>
      <w:pPr>
        <w:numPr>
          <w:ilvl w:val="0"/>
          <w:numId w:val="5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商品包装环保要求：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应当按《关于印发〈商品包装政府采购需求标准（试行）〉、〈快递包装政府采购需求标准（试行）〉的通知》（财办库〔</w:t>
      </w:r>
      <w:r>
        <w:rPr>
          <w:rFonts w:ascii="Times New Roman" w:hAnsi="Times New Roman" w:eastAsia="Times New Roman" w:cs="Times New Roman"/>
          <w:color w:val="000000"/>
          <w:sz w:val="21"/>
        </w:rPr>
        <w:t xml:space="preserve">2020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123</w:t>
      </w:r>
      <w:r>
        <w:rPr>
          <w:rFonts w:ascii="SimSun" w:hAnsi="SimSun" w:eastAsia="SimSun" w:cs="SimSun"/>
          <w:color w:val="000000"/>
          <w:sz w:val="21"/>
        </w:rPr>
        <w:t xml:space="preserve">号）文件执行。（</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）商品包装层数不得超过</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层，空隙率不大于</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）商品包装尽可能使用单一材质的包装材料，如因功能需求必须使用不同材质，不同材质间应便于分离；（</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）商品包装中铅、汞、镉、六价铬的总含量应不大于</w:t>
      </w:r>
      <w:r>
        <w:rPr>
          <w:rFonts w:ascii="Times New Roman" w:hAnsi="Times New Roman" w:eastAsia="Times New Roman" w:cs="Times New Roman"/>
          <w:color w:val="000000"/>
          <w:sz w:val="21"/>
        </w:rPr>
        <w:t xml:space="preserve">100mg/kg</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）商品包装印刷使用的油墨中挥发性有机化合物</w:t>
      </w:r>
      <w:r>
        <w:rPr>
          <w:rFonts w:ascii="Times New Roman" w:hAnsi="Times New Roman" w:eastAsia="Times New Roman" w:cs="Times New Roman"/>
          <w:color w:val="000000"/>
          <w:sz w:val="21"/>
        </w:rPr>
        <w:t xml:space="preserve">(VOCs)</w:t>
      </w:r>
      <w:r>
        <w:rPr>
          <w:rFonts w:ascii="SimSun" w:hAnsi="SimSun" w:eastAsia="SimSun" w:cs="SimSun"/>
          <w:color w:val="000000"/>
          <w:sz w:val="21"/>
        </w:rPr>
        <w:t xml:space="preserve">含量应不大于</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（以重量计）；（</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）塑料材质商品包装上呈现的印刷颜色不得超过</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色；（</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）纸质商品包装应使用</w:t>
      </w:r>
      <w:r>
        <w:rPr>
          <w:rFonts w:ascii="Times New Roman" w:hAnsi="Times New Roman" w:eastAsia="Times New Roman" w:cs="Times New Roman"/>
          <w:color w:val="000000"/>
          <w:sz w:val="21"/>
        </w:rPr>
        <w:t xml:space="preserve">75%</w:t>
      </w:r>
      <w:r>
        <w:rPr>
          <w:rFonts w:ascii="SimSun" w:hAnsi="SimSun" w:eastAsia="SimSun" w:cs="SimSun"/>
          <w:color w:val="000000"/>
          <w:sz w:val="21"/>
        </w:rPr>
        <w:t xml:space="preserve">以上的可再生纤维原料生产；（</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）木质商品包装的原料应来源于可持续性森林。</w:t>
      </w:r>
      <w:r/>
    </w:p>
    <w:p>
      <w:pPr>
        <w:numPr>
          <w:ilvl w:val="0"/>
          <w:numId w:val="5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快递包装环保要求：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）快递包装中重金属（铅、汞、镉、六价铬）总量应不大于</w:t>
      </w:r>
      <w:r>
        <w:rPr>
          <w:rFonts w:ascii="Times New Roman" w:hAnsi="Times New Roman" w:eastAsia="Times New Roman" w:cs="Times New Roman"/>
          <w:color w:val="000000"/>
          <w:sz w:val="21"/>
        </w:rPr>
        <w:t xml:space="preserve">100mg/kg</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）快递包装印刷使用的油墨中不应添加邻苯二甲酸酯，其挥发性有机化合物</w:t>
      </w:r>
      <w:r>
        <w:rPr>
          <w:rFonts w:ascii="Times New Roman" w:hAnsi="Times New Roman" w:eastAsia="Times New Roman" w:cs="Times New Roman"/>
          <w:color w:val="000000"/>
          <w:sz w:val="21"/>
        </w:rPr>
        <w:t xml:space="preserve">(VOCs)</w:t>
      </w:r>
      <w:r>
        <w:rPr>
          <w:rFonts w:ascii="SimSun" w:hAnsi="SimSun" w:eastAsia="SimSun" w:cs="SimSun"/>
          <w:color w:val="000000"/>
          <w:sz w:val="21"/>
        </w:rPr>
        <w:t xml:space="preserve">含量应不大于</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（以重量计）；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）快递包装中使用纸基材的包装材料，纸基材中的有机氯的含量应不大于</w:t>
      </w:r>
      <w:r>
        <w:rPr>
          <w:rFonts w:ascii="Times New Roman" w:hAnsi="Times New Roman" w:eastAsia="Times New Roman" w:cs="Times New Roman"/>
          <w:color w:val="000000"/>
          <w:sz w:val="21"/>
        </w:rPr>
        <w:t xml:space="preserve">150mg/kg</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）快递包装中使用塑料基材的包装材料不得使用邻苯二甲酸二异壬酯、邻苯二甲酸二正辛酯、邻苯二甲酸二</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－乙基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己酯、邻苯二甲酸二异癸酯、邻苯二甲酸丁基苄基酯、邻苯二甲酸二丁酯等作为增塑剂；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）快递中使用的塑料包装袋不得使用聚氯乙烯作为原料，且原料应为单一材质制成，生物分解率大于</w:t>
      </w: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）快递中使用的充气类填充物不得使用聚氯乙烯作为原料，且原料为单一材质制成，生物分解率大于</w:t>
      </w: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）快递中使用的集装袋应为单一材质制成，其重复使用次数应不小于</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）快递中应使用幅宽不大于</w:t>
      </w:r>
      <w:r>
        <w:rPr>
          <w:rFonts w:ascii="Times New Roman" w:hAnsi="Times New Roman" w:eastAsia="Times New Roman" w:cs="Times New Roman"/>
          <w:color w:val="000000"/>
          <w:sz w:val="21"/>
        </w:rPr>
        <w:t xml:space="preserve">45mm</w:t>
      </w:r>
      <w:r>
        <w:rPr>
          <w:rFonts w:ascii="SimSun" w:hAnsi="SimSun" w:eastAsia="SimSun" w:cs="SimSun"/>
          <w:color w:val="000000"/>
          <w:sz w:val="21"/>
        </w:rPr>
        <w:t xml:space="preserve">的生物降解胶带；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）快递包装中不得使用溶剂型胶粘剂；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）快递应使用电子面单；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）直接使用商品包装作为快递包装的商品，其商品包装满足《商品包装政府采购需求标准（试行）》即可；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）快递包装产品质量和封装方式应符合相关国家或行业标准技术指标要求。</w:t>
      </w:r>
      <w:r/>
    </w:p>
    <w:p>
      <w:pPr>
        <w:numPr>
          <w:ilvl w:val="0"/>
          <w:numId w:val="5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低挥发性有机化合物产品：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本项目中如有涉及涂料、胶黏剂、油墨、清洗剂等挥发性有机物产品的，属于强制性标准的，供应商应当执行国家和我省</w:t>
      </w:r>
      <w:r>
        <w:rPr>
          <w:rFonts w:ascii="Times New Roman" w:hAnsi="Times New Roman" w:eastAsia="Times New Roman" w:cs="Times New Roman"/>
          <w:color w:val="000000"/>
          <w:sz w:val="21"/>
        </w:rPr>
        <w:t xml:space="preserve">VOCs</w:t>
      </w:r>
      <w:r>
        <w:rPr>
          <w:rFonts w:ascii="SimSun" w:hAnsi="SimSun" w:eastAsia="SimSun" w:cs="SimSun"/>
          <w:color w:val="000000"/>
          <w:sz w:val="21"/>
        </w:rPr>
        <w:t xml:space="preserve">含量限制标准。供应商提供符合推荐性标准的涂料、胶黏剂、油墨、清洗剂等挥发性有机物产品的，予以评审优惠。在通用类货物、家具、印刷、公务车辆维修等采购项目中，供应商应优先使用低挥发性原辅材料，将使用低</w:t>
      </w:r>
      <w:r>
        <w:rPr>
          <w:rFonts w:ascii="Times New Roman" w:hAnsi="Times New Roman" w:eastAsia="Times New Roman" w:cs="Times New Roman"/>
          <w:color w:val="000000"/>
          <w:sz w:val="21"/>
        </w:rPr>
        <w:t xml:space="preserve">VOCs</w:t>
      </w:r>
      <w:r>
        <w:rPr>
          <w:rFonts w:ascii="SimSun" w:hAnsi="SimSun" w:eastAsia="SimSun" w:cs="SimSun"/>
          <w:color w:val="000000"/>
          <w:sz w:val="21"/>
        </w:rPr>
        <w:t xml:space="preserve">含量的涂料、胶黏剂等纳入合同条款。</w:t>
      </w:r>
      <w:r/>
    </w:p>
    <w:p>
      <w:pPr>
        <w:numPr>
          <w:ilvl w:val="0"/>
          <w:numId w:val="5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节能环保产品：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numPr>
          <w:ilvl w:val="0"/>
          <w:numId w:val="5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政府采购中实施本国产品标准及相关政策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本项目对采购本国产品给予政策支持。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第四部分开标和评标</w:t>
      </w:r>
      <w:r/>
    </w:p>
    <w:p>
      <w:pPr>
        <w:pStyle w:val="796"/>
        <w:numPr>
          <w:ilvl w:val="0"/>
          <w:numId w:val="58"/>
        </w:numPr>
        <w:spacing w:before="240" w:after="120" w:line="360" w:lineRule="atLeast"/>
        <w:tabs>
          <w:tab w:val="left" w:pos="96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开标</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不见面远程开标模式：投标人在各自地点通过苏采云系统参加开标会。</w:t>
      </w:r>
      <w:r/>
    </w:p>
    <w:p>
      <w:pPr>
        <w:pStyle w:val="796"/>
        <w:numPr>
          <w:ilvl w:val="0"/>
          <w:numId w:val="58"/>
        </w:numPr>
        <w:spacing w:before="240" w:after="120" w:line="360" w:lineRule="atLeast"/>
        <w:tabs>
          <w:tab w:val="left" w:pos="96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评标流程和评标标准</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采用综合评分法。分资格审查，商务、技术标，价格标三部分评审，总分值为</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分，加分和减分因素除外。</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开启、评审。投标人商务、技术部分和价格部分的合计分值，为该投标人的评标总得分。</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结果按评审后得分由高到低顺序排列。得分相同的，按投标报价由低到高顺序排列。得分且投标报价相同的以抽签的方式决定排序。投标文件满足招标文件全部实质性要求，且按照评审因素的量化指标评审得分前三名的投标人为中标候选人。</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采购人应按照评标委员会推荐的中标候选人顺序确定中标人。</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评委在认真审阅投标文件的基础上，根据各投标文件的响应程度独立评判，不得统一打分。</w:t>
      </w:r>
      <w:r/>
    </w:p>
    <w:p>
      <w:pPr>
        <w:numPr>
          <w:ilvl w:val="0"/>
          <w:numId w:val="58"/>
        </w:numPr>
        <w:jc w:val="both"/>
        <w:spacing w:before="240" w:after="120" w:line="360" w:lineRule="atLeast"/>
        <w:tabs>
          <w:tab w:val="left" w:pos="12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采购人（代表）对投标人资格进行审查。</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投标人资格不合格的，其投标文件判定为无效投标文件。</w:t>
      </w:r>
      <w:r/>
    </w:p>
    <w:p>
      <w:pPr>
        <w:numPr>
          <w:ilvl w:val="0"/>
          <w:numId w:val="58"/>
        </w:numPr>
        <w:jc w:val="both"/>
        <w:spacing w:before="240" w:after="120" w:line="360" w:lineRule="atLeast"/>
        <w:tabs>
          <w:tab w:val="left" w:pos="12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评标委员会对符合资格投标人的投标文件进行符合性审查。</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未通过符合性审查的投标文件，将被判定为不满足招标文件实质性要求。</w:t>
      </w:r>
      <w:r/>
    </w:p>
    <w:p>
      <w:pPr>
        <w:numPr>
          <w:ilvl w:val="0"/>
          <w:numId w:val="58"/>
        </w:numPr>
        <w:jc w:val="both"/>
        <w:spacing w:before="240" w:after="120" w:line="360" w:lineRule="atLeast"/>
        <w:tabs>
          <w:tab w:val="left" w:pos="12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商务技术分：</w:t>
      </w:r>
      <w:r>
        <w:rPr>
          <w:rFonts w:ascii="Times New Roman" w:hAnsi="Times New Roman" w:eastAsia="Times New Roman" w:cs="Times New Roman"/>
          <w:b/>
          <w:color w:val="000000"/>
          <w:sz w:val="24"/>
        </w:rPr>
        <w:t xml:space="preserve">70</w:t>
      </w:r>
      <w:r>
        <w:rPr>
          <w:rFonts w:ascii="SimSun" w:hAnsi="SimSun" w:eastAsia="SimSun" w:cs="SimSun"/>
          <w:b/>
          <w:color w:val="000000"/>
          <w:sz w:val="24"/>
        </w:rPr>
        <w:t xml:space="preserve">分</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各投标人商务技术分得分为评委会成员评分的算术平均分，分值保留小数点后两位。</w:t>
      </w:r>
      <w:r/>
    </w:p>
    <w:tbl>
      <w:tblPr>
        <w:tblStyle w:val="85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5"/>
        <w:gridCol w:w="1211"/>
        <w:gridCol w:w="730"/>
        <w:gridCol w:w="6241"/>
      </w:tblGrid>
      <w:tr>
        <w:trPr>
          <w:trHeight w:val="41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评分点名称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评审标准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功能参数及商务要求等响应情况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1"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评委根据投标人提供的《技术需求响应情况》对招标文件第三部分项目需求中技术参数部分的响应情况进行打分，最低得0分，最多得37分。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招标文件第三部分二、技术要求中：</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1.标注“★”的为实质性要求，不得负偏离。</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2.标注“▲”的为重要技术参数，每偏离一项扣3分；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3.未标注“★”“▲”的参数为一般技术参数，每偏离一项扣0.5分；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全部参数要求均需提供佐证材料，如有特殊说明的按要求提供证明材料。如招标文件第三部分无特别说明，证明材料可以为：设备制造商公开印刷发行的带有技术参数说明的产品彩页或产品说明书扫描件、设备制造商官方网站发布或下载的宣传材料（须同时提供网址链接）、产品实物照片、具备资质的第三方检测机构出具的检测报告。供应商提供的证明材料无法充分证明所投产品满足招标文件所列技术需求的、需提供证明材料而未提供材料、未能准确标示证明材料位置及内容的，评标委员会经评审后，可以对其做负偏离处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2.所有参数均须逐条响应。</w:t>
            </w:r>
            <w:r/>
          </w:p>
        </w:tc>
      </w:tr>
      <w:tr>
        <w:trPr>
          <w:trHeight w:val="9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1"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由评委根据各投标人针对本项目拟定的整体售后服务方案，包含但不限于售后保障体系、质保期服务、故障响应与维修处置、备品备件保障、人员技术支持、后期运维培训、回访巡检服务等内容，对照采购文件技术及服务要求符合性进行逐项评定，依据方案完整性、匹配度、落地可行性进行量化打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分：投标人售后服务方案体系完整、内容详实、措施完善，全面覆盖本项目所需各项售后服务内容，服务架构清晰、保障机制健全、服务流程规范。所有服务条款、响应时效、质保承诺、运维保障等内容完全响应采购文件全部服务要求，无缺项、无漏项、无任何负偏离，方案落地性、可行性极强，能够全方位保障项目后期稳定运行，完全符合采购人售后保障需求。</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分：投标人售后服务方案整体完整，核心售后保障内容、关键服务承诺均满足采购文件要求，可有效保障项目基本售后运维需求。仅部分非关键性服务内容描述较为简单、细化措施略有欠缺，无核心服务条款偏差、无重大服务缺项、无关键内容负偏离，整体服务方案符合本项目售后标准，能够基本满足采购人售后保障需求。</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分：投标人售后服务方案未完全响应采购文件部分售后服务要求，存在部分非核心服务条款、细化保障措施缺失或描述简略等问题，但整体售后服务体系无重大缺陷，服务响应、故障处置、质保运维等核心内容具备可行性，无重大负偏离，可满足项目基础售后服务需求。</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0分：方案整体可行性不强，无法保障项目正常售后服务需求；或未提供本项目售后服务方案的，本项不得分。</w:t>
            </w:r>
            <w:r/>
          </w:p>
        </w:tc>
      </w:tr>
      <w:tr>
        <w:trPr>
          <w:trHeight w:val="64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1"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由评委根据各投标人针对本项目拟定的专项培训方案进行评审，方案需保障采购人相关人员熟练掌握设备操作使用技能、设备常规维修保养能力，评审内容包含但不限于培训内容、培训计划安排、培训人员安排等核心要点。评委结合投标方案响应程度、服务细节、培训承诺内容及方案落地可行性，对照本项目采购需求符合性进行逐项量化评定打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分：投标人提供的项目培训方案完整详实、条理清晰，全面覆盖培训内容、培训计划安排、培训人员安排全部核心要点，培训体系完善、实施流程规范、服务细节饱满。方案能够精准匹配采购人实际岗位培训需求，可切实保障相关人员熟练掌握设备使用、常规维修保养等专业能力，完全响应采购文件全部培训要求，无缺项、无漏项、无负偏离，方案落地性、可行性极强，完全符合采购人项目培训需求。</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分：投标人项目培训方案内容完整，培训内容、培训计划安排、培训人员安排各模块均完整编制，核心培训措施、实施流程及服务承诺均满足项目基本要求。仅部分非关键性培训细节、实操细则、培训保障内容描述较为简单，无核心要点缺失、无关键内容偏差、无重大缺项，整体方案符合本项目培训标准，能够基本满足采购人培训需求。</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分：投标人已编制完整的项目培训方案，整体框架较为完善、覆盖大部分培训评审要点，具备较强的落地可行性。但方案内容深度不足、部分模块内容简略，培训细节、实操安排及服务承诺不够细化，未完全贴合采购人实际培训需求，无重大内容缺项，可满足项目基础培训要求。</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0分：无法保障采购人人员掌握设备使用及维保能力，可行性不强；或未提供本项目专项培训方案的，本项不得分。</w:t>
            </w:r>
            <w:r/>
          </w:p>
        </w:tc>
      </w:tr>
      <w:tr>
        <w:trPr>
          <w:trHeight w:val="27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安装调试方案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1"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各投标人针对本项目编制的运输、安装及调试方案，评审内容包含但不限于：a.设备出厂、运输及装卸保障措施；b.设备安装及初始化调试方案；c.设备验收检查流程；d.技术人员配置及各流程交接方案。对照采购需求对方案完整性、合理性、可行性进行综合评定：</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6分：投标人方案完整覆盖a、b、c、d全部四项评审内容，方案内容详实、措施具体可行，完全响应并满足采购人项目实施需求，无重大缺项，可保障项目顺利实施。</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3分：投标人方案满足本项基本要求，覆盖大部分评审内容；存在少量非关键性内容描述简略，核心实施措施完整，能够基本满足采购人项目实施需求。</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1分：投标人方案不完全覆盖上述评审内容，部分环节措施缺失或描述简单，但整体方案可行性较强，不存在重大缺陷。</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0分：投标人方案与本项目采购要求偏差较大，关键实施内容缺失、方案可行性不强；或未提供运输安装调试方案的，本项不得分。</w:t>
            </w:r>
            <w:r/>
          </w:p>
        </w:tc>
      </w:tr>
      <w:tr>
        <w:trPr>
          <w:trHeight w:val="8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产品综合性能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1"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由评委根据所投设备的配置选型、产品设计、制造工艺、质量保障等因素，结合投标文件提供的佐证材料（包括但不限于产品技术白皮书、公开发行的宣传彩页、技术指标的描述、检测文件及证明照片等内容），对照采购文件技术要求，对产品匹配性、完整性、可行性进行综合评审。</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分：投标产品配置选型、产品设计、生产制造体系完善，完全贴合本项目需求，投标佐证材料齐全、规范、有效，能够完整印证全部技术参数。整体内容完全涵盖并响应采购文件全部技术要求，无缺项、无漏项、无负偏离，方案成熟、可行性高，完全符合采购人项目需求。</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分：投标产品配置选型、产品设计、制造工艺基本符合项目要求，核心技术指标、关键配置均满足采购文件规定，佐证材料基本完整。仅部分非关键内容描述较为简单或辅助佐证资料略有欠缺，无核心参数偏差及重大缺项，整体符合本项目技术标准，能够基本满足采购人需求。</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分：投标产品未完全响应采购文件部分技术要求，存在少量非核心参数、次要配置匹配不足，佐证材料存在一定缺项、描述简略等问题，但产品整体设计、配置及制造体系无重大缺陷，整体可行性较强，可满足项目基础使用需求。</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0分：未提供相关佐证材料、提供材料无效无法印证参数的，本项不得分。</w:t>
            </w:r>
            <w:r/>
          </w:p>
        </w:tc>
      </w:tr>
      <w:tr>
        <w:trPr>
          <w:trHeight w:val="17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投标设备整体配置情况比较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1" w:type="dxa"/>
            <w:vAlign w:val="center"/>
            <w:textDirection w:val="lrTb"/>
            <w:noWrap w:val="false"/>
          </w:tcPr>
          <w:p>
            <w:pPr>
              <w:ind w:left="0" w:right="0" w:firstLine="0"/>
              <w:jc w:val="both"/>
              <w:spacing w:before="24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设备整体配置选型情况综合比较，针对本项目的投标产品配置选型先进合理，设计、材质明显有利于使用人员操作的，得6分；针对本项目的投标产品配置选型一般，部分设计、材质便于操作的，得3分；针对本项目的投标产品配置选型差，材质、设计明显不利于使用的，得1分；不提供不得分。</w:t>
            </w:r>
            <w:r/>
          </w:p>
        </w:tc>
      </w:tr>
      <w:tr>
        <w:trPr>
          <w:trHeight w:val="9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1" w:type="dxa"/>
            <w:vAlign w:val="center"/>
            <w:textDirection w:val="lrTb"/>
            <w:noWrap w:val="false"/>
          </w:tcPr>
          <w:p>
            <w:pPr>
              <w:ind w:left="0" w:right="0" w:firstLine="0"/>
              <w:jc w:val="both"/>
              <w:spacing w:before="24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具有2022年1月1日以来（以合同签订时间为准）投标产品供货及安装业绩的，每提供1份得1分，最多得3分（必须提供有效合同复印件，复印件需清晰可见内容主体）。</w:t>
            </w:r>
            <w:r/>
          </w:p>
        </w:tc>
      </w:tr>
    </w:tbl>
    <w:p>
      <w:pPr>
        <w:ind w:left="0" w:right="0" w:firstLine="482"/>
        <w:jc w:val="both"/>
        <w:spacing w:before="240" w:after="120" w:line="360" w:lineRule="atLeast"/>
        <w:tabs>
          <w:tab w:val="left" w:pos="120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numPr>
          <w:ilvl w:val="0"/>
          <w:numId w:val="58"/>
        </w:numPr>
        <w:jc w:val="both"/>
        <w:spacing w:before="240" w:after="120" w:line="360" w:lineRule="atLeast"/>
        <w:tabs>
          <w:tab w:val="left" w:pos="12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价格分：</w:t>
      </w:r>
      <w:r>
        <w:rPr>
          <w:rFonts w:ascii="Times New Roman" w:hAnsi="Times New Roman" w:eastAsia="Times New Roman" w:cs="Times New Roman"/>
          <w:b/>
          <w:color w:val="000000"/>
          <w:sz w:val="24"/>
        </w:rPr>
        <w:t xml:space="preserve">30</w:t>
      </w:r>
      <w:r>
        <w:rPr>
          <w:rFonts w:ascii="SimSun" w:hAnsi="SimSun" w:eastAsia="SimSun" w:cs="SimSun"/>
          <w:b/>
          <w:color w:val="000000"/>
          <w:sz w:val="24"/>
        </w:rPr>
        <w:t xml:space="preserve">分</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价格分统一采用低价优先法计算，即满足招标文件要求且投标价格最低的投标报价为评标基准价，其价格分为满分。其他投标人的价格分统一按照下列公式计算：</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（评标基准价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投标报价）×价格权值×</w:t>
      </w:r>
      <w:r>
        <w:rPr>
          <w:rFonts w:ascii="Times New Roman" w:hAnsi="Times New Roman" w:eastAsia="Times New Roman" w:cs="Times New Roman"/>
          <w:color w:val="000000"/>
          <w:sz w:val="24"/>
        </w:rPr>
        <w:t xml:space="preserve">100</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w:t>
      </w:r>
      <w:r>
        <w:rPr>
          <w:rFonts w:ascii="SimSun" w:hAnsi="SimSun" w:eastAsia="SimSun" w:cs="SimSun"/>
          <w:color w:val="000000"/>
          <w:sz w:val="24"/>
        </w:rPr>
        <w:t xml:space="preserve">根据财库〔</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号文件，评审委员会启动异常低价投标审查的情形和具体要求，包括：</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投标报价低于全部通过符合性审查供应商投标报价平均值</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的，即投标报价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全部通过符合性审查供应商投标报价平均值×</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投标报价低于通过符合性审查的次低报价供应商投标报价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的，即投标报价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通过符合性审查的次低报价供应商投标报价×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投标报价低于采购项目最高限价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的，即投标报价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采购项目最高限价×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评审委员会基于专业判断，认为供应商报价过低，有可能影响产品质量或者不能诚信履约的其他情形。</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（二）评审委员会启动异常低价投标审查后，属于前述第</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项至第</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项情形的，相关供应商应在</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分钟内对投标价格作出解释，提供项目具体成本测算等与报价合理性相关的书面说明及必要的证明材料，包括但不限于原材料成本、人工成本、制造费用等。其中，属于第</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项情形，供应商已随投标文件一并提交相关书面说明及必要的证明材料的，在评审现场可不再重复提交。</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80"/>
        <w:jc w:val="both"/>
        <w:spacing w:before="0" w:after="0" w:line="85"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5.1小微型企业价格扣除</w:t>
      </w:r>
      <w:r/>
    </w:p>
    <w:p>
      <w:pPr>
        <w:ind w:left="0" w:right="0" w:firstLine="480"/>
        <w:jc w:val="both"/>
        <w:spacing w:before="0" w:after="0" w:line="85"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本项目属于</w:t>
      </w:r>
      <w:r>
        <w:rPr>
          <w:rFonts w:ascii="SimSun" w:hAnsi="SimSun" w:eastAsia="SimSun" w:cs="SimSun"/>
          <w:color w:val="000000"/>
          <w:sz w:val="24"/>
          <w:u w:val="single"/>
        </w:rPr>
        <w:t xml:space="preserve">货物类</w:t>
      </w:r>
      <w:r>
        <w:rPr>
          <w:rFonts w:ascii="SimSun" w:hAnsi="SimSun" w:eastAsia="SimSun" w:cs="SimSun"/>
          <w:color w:val="000000"/>
          <w:sz w:val="24"/>
        </w:rPr>
        <w:t xml:space="preserve">采购，采购标的对应的行业主要为</w:t>
      </w:r>
      <w:r>
        <w:rPr>
          <w:rFonts w:ascii="SimSun" w:hAnsi="SimSun" w:eastAsia="SimSun" w:cs="SimSun"/>
          <w:color w:val="000000"/>
          <w:sz w:val="24"/>
          <w:u w:val="single"/>
        </w:rPr>
        <w:t xml:space="preserve">工业</w:t>
      </w:r>
      <w:r>
        <w:rPr>
          <w:rFonts w:ascii="SimSun" w:hAnsi="SimSun" w:eastAsia="SimSun" w:cs="SimSun"/>
          <w:color w:val="000000"/>
          <w:sz w:val="24"/>
        </w:rPr>
        <w:t xml:space="preserve">。本项目为非专门面向中小微企业的项目，对小型和微型企业产品价格给予10%的扣除，用扣除后的价格参与评审。[投标人须提供中小企业声明函方可享受价格折扣优惠政策，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p>
    <w:p>
      <w:pPr>
        <w:ind w:left="0" w:right="0" w:firstLine="480"/>
        <w:jc w:val="both"/>
        <w:spacing w:before="0" w:after="0" w:line="85"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在政府采购活动中，供应商提供的货物、工程或者服务符合下列情形的，享受价格扣除：</w:t>
      </w:r>
      <w:r/>
    </w:p>
    <w:p>
      <w:pPr>
        <w:numPr>
          <w:ilvl w:val="0"/>
          <w:numId w:val="58"/>
        </w:numPr>
        <w:jc w:val="both"/>
        <w:spacing w:before="0" w:after="0" w:line="85"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在货物采购项目中，货物由小微企业制造，即货物由小微企业生产且使用该小微企业商号或者注册商标；</w:t>
      </w:r>
      <w:r/>
    </w:p>
    <w:p>
      <w:pPr>
        <w:numPr>
          <w:ilvl w:val="0"/>
          <w:numId w:val="58"/>
        </w:numPr>
        <w:jc w:val="both"/>
        <w:spacing w:before="0" w:after="0" w:line="85"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在服务采购项目中，服务由小微企业承接，即提供服务的人员为小微企业依照《中华人民共和国劳动合同法》订立劳动合同的从业人员。</w:t>
      </w:r>
      <w:r/>
    </w:p>
    <w:p>
      <w:pPr>
        <w:ind w:left="0" w:right="0" w:firstLine="480"/>
        <w:jc w:val="both"/>
        <w:spacing w:before="0" w:after="0" w:line="85"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w:t>
      </w:r>
      <w:r>
        <w:rPr>
          <w:rFonts w:ascii="SimSun" w:hAnsi="SimSun" w:eastAsia="SimSun" w:cs="SimSun"/>
          <w:color w:val="000000"/>
          <w:sz w:val="24"/>
        </w:rPr>
        <w:t xml:space="preserve">体或者接受分包的小微企业与联合体内其他企业、分包企业之间存在直接控股、管理关系的，不享受价格扣除优惠政策。</w:t>
      </w:r>
      <w:r/>
    </w:p>
    <w:p>
      <w:pPr>
        <w:ind w:left="0" w:right="0" w:firstLine="480"/>
        <w:jc w:val="both"/>
        <w:spacing w:before="0" w:after="0" w:line="85"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left="0" w:right="0" w:firstLine="480"/>
        <w:jc w:val="both"/>
        <w:spacing w:before="0" w:after="0" w:line="85"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left="0" w:right="0" w:firstLine="480"/>
        <w:jc w:val="both"/>
        <w:spacing w:before="0" w:after="0" w:line="85"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④残疾人福利单位、监狱企业属于小型、微型企业的，不重复享受政策。</w:t>
      </w:r>
      <w:r/>
    </w:p>
    <w:p>
      <w:pPr>
        <w:ind w:left="0" w:right="0" w:firstLine="480"/>
        <w:jc w:val="both"/>
        <w:spacing w:before="0" w:after="0" w:line="85"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5.2采购本国产品的支持政策</w:t>
      </w:r>
      <w:r/>
    </w:p>
    <w:p>
      <w:pPr>
        <w:ind w:left="0" w:right="0" w:firstLine="480"/>
        <w:jc w:val="both"/>
        <w:spacing w:before="0" w:after="0" w:line="85"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0" w:after="0" w:line="85"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采购项目或者采购包中含有多种产品，供应商为该采购项目或者采购包提供的符合本国产品标准的产品成本之和占该供应商提供的全部产品成本之和的比例达到80%以上时（供应商需在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both"/>
        <w:spacing w:before="0" w:after="0" w:line="85"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供应商需按照招标文件的要求提供《关于符合本国产品标准的声明函》（以下简称《声明函》），如不提供将不享受本国产品价格评审优惠。</w:t>
      </w:r>
      <w:r/>
    </w:p>
    <w:p>
      <w:pPr>
        <w:ind w:left="0" w:right="0" w:firstLine="480"/>
        <w:jc w:val="both"/>
        <w:spacing w:before="0" w:after="0" w:line="85"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jc w:val="both"/>
        <w:spacing w:before="0" w:after="0" w:line="85"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58"/>
        </w:numPr>
        <w:jc w:val="both"/>
        <w:spacing w:before="240" w:after="120" w:line="360" w:lineRule="atLeast"/>
        <w:tabs>
          <w:tab w:val="left" w:pos="12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中标人的确定</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评委会汇总各评委评分后，按照得分从高到低的顺序推荐一名中标候选人，并编写评标报告。</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采购人应根据评标委员会推荐的中标候选人确定中标人。</w:t>
      </w:r>
      <w:r/>
    </w:p>
    <w:p>
      <w:pPr>
        <w:numPr>
          <w:ilvl w:val="0"/>
          <w:numId w:val="58"/>
        </w:numPr>
        <w:jc w:val="both"/>
        <w:spacing w:before="240" w:after="120" w:line="360" w:lineRule="atLeast"/>
        <w:tabs>
          <w:tab w:val="left" w:pos="12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采购人代表宣布评标结果</w:t>
      </w:r>
      <w:r/>
    </w:p>
    <w:p>
      <w:pPr>
        <w:numPr>
          <w:ilvl w:val="0"/>
          <w:numId w:val="58"/>
        </w:numPr>
        <w:jc w:val="both"/>
        <w:spacing w:before="240" w:after="120" w:line="360" w:lineRule="atLeast"/>
        <w:tabs>
          <w:tab w:val="left" w:pos="12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公告中标结果</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自确定中标人之日起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个工作日内，在江苏政府采购网公告中标结果，公告期限为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个工作日。</w:t>
      </w:r>
      <w:r/>
    </w:p>
    <w:p>
      <w:pPr>
        <w:numPr>
          <w:ilvl w:val="0"/>
          <w:numId w:val="58"/>
        </w:numPr>
        <w:jc w:val="both"/>
        <w:spacing w:before="240" w:after="120" w:line="360" w:lineRule="atLeast"/>
        <w:tabs>
          <w:tab w:val="left" w:pos="12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发放中标通知书</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公告中标结果的同时，采购代理机构向中标供应商发放中标通知书。中标通知书发出后，采购人不得违法改变中标结果，中标人无正当理由不得放弃中标。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中标人须在领取中标通知书前提供叁份纸质版投标文件正本至采购代理机构。</w:t>
        <w:br w:type="page" w:clear="all"/>
      </w:r>
      <w:r/>
    </w:p>
    <w:p>
      <w:pPr>
        <w:ind w:left="0" w:right="0" w:firstLine="0"/>
        <w:jc w:val="center"/>
        <w:spacing w:before="240" w:after="12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第五部分合同格式</w:t>
      </w:r>
      <w:r/>
    </w:p>
    <w:p>
      <w:pPr>
        <w:ind w:left="0" w:right="0" w:firstLine="0"/>
        <w:spacing w:before="36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以下为中标后签定本项目合同的通用条款，采购人与中标人应按此签订采购合同。中标人不得提出实质性的修改，关于专用条款将由采购人与中标人结合本项目具体情况协商后签订。</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XXXXXX</w:t>
      </w:r>
      <w:r>
        <w:rPr>
          <w:rFonts w:ascii="SimSun" w:hAnsi="SimSun" w:eastAsia="SimSun" w:cs="SimSun"/>
          <w:b/>
          <w:color w:val="000000"/>
          <w:sz w:val="30"/>
        </w:rPr>
        <w:t xml:space="preserve">购销合同</w:t>
      </w:r>
      <w:r/>
    </w:p>
    <w:p>
      <w:pPr>
        <w:ind w:left="5565" w:right="0" w:hanging="55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甲方：如东县人民医院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住所地：江苏省如东县江海西路</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号</w:t>
      </w:r>
      <w:r/>
    </w:p>
    <w:p>
      <w:pPr>
        <w:ind w:left="5565" w:right="0" w:hanging="55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                                                 乙方社会信用代码：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经甲、乙双方协商，就乙方销售给甲方设备，特订立本合同。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一、设备名称、型号、数量和价格</w:t>
      </w:r>
      <w:r/>
    </w:p>
    <w:tbl>
      <w:tblPr>
        <w:tblStyle w:val="85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46"/>
        <w:gridCol w:w="1662"/>
        <w:gridCol w:w="1363"/>
        <w:gridCol w:w="825"/>
        <w:gridCol w:w="825"/>
        <w:gridCol w:w="1237"/>
        <w:gridCol w:w="160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生产厂家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成交总价（元）</w:t>
            </w:r>
            <w:r/>
          </w:p>
        </w:tc>
      </w:tr>
      <w:tr>
        <w:trPr>
          <w:trHeight w:val="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41"/>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总计含税价人民币（大写）：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二、设备详细配置清单见附件。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三、付款方式：设备安装、调试、培训、验收合格后凭合同、验收单、增值税普通发票，首付合同款的</w:t>
      </w:r>
      <w:r>
        <w:rPr>
          <w:rFonts w:ascii="Times New Roman" w:hAnsi="Times New Roman" w:eastAsia="Times New Roman" w:cs="Times New Roman"/>
          <w:color w:val="000000"/>
          <w:sz w:val="21"/>
        </w:rPr>
        <w:t xml:space="preserve">70%</w:t>
      </w:r>
      <w:r>
        <w:rPr>
          <w:rFonts w:ascii="SimSun" w:hAnsi="SimSun" w:eastAsia="SimSun" w:cs="SimSun"/>
          <w:color w:val="000000"/>
          <w:sz w:val="21"/>
        </w:rPr>
        <w:t xml:space="preserve">，验收合格使用正常</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个月后付合同款的</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，以上均不计息。</w:t>
      </w:r>
      <w:r/>
    </w:p>
    <w:p>
      <w:pPr>
        <w:ind w:left="0" w:right="0" w:firstLine="2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本合同所涉款项均付至乙方指定的以下收款账户：</w:t>
      </w:r>
      <w:r/>
    </w:p>
    <w:tbl>
      <w:tblPr>
        <w:tblStyle w:val="85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户名：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开户行：</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银行账号：</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numPr>
          <w:ilvl w:val="0"/>
          <w:numId w:val="58"/>
        </w:numPr>
        <w:jc w:val="both"/>
        <w:spacing w:before="0" w:after="0" w:line="85" w:lineRule="atLeast"/>
        <w:tabs>
          <w:tab w:val="left" w:pos="4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交货期：合同签订之日起</w:t>
      </w:r>
      <w:r>
        <w:rPr>
          <w:rFonts w:ascii="SimSun" w:hAnsi="SimSun" w:eastAsia="SimSun" w:cs="SimSun"/>
          <w:color w:val="000000"/>
          <w:sz w:val="21"/>
          <w:u w:val="single"/>
        </w:rPr>
        <w:t xml:space="preserve">     </w:t>
      </w:r>
      <w:r>
        <w:rPr>
          <w:rFonts w:ascii="SimSun" w:hAnsi="SimSun" w:eastAsia="SimSun" w:cs="SimSun"/>
          <w:color w:val="000000"/>
          <w:sz w:val="21"/>
        </w:rPr>
        <w:t xml:space="preserve">天之内货物运抵甲方。乙方每逾期一周交货，按设备总价的</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向甲方支付违约金，该违约金可直接从甲方给付乙方的设备款中直接扣付。</w:t>
      </w:r>
      <w:r/>
    </w:p>
    <w:p>
      <w:pPr>
        <w:numPr>
          <w:ilvl w:val="0"/>
          <w:numId w:val="58"/>
        </w:numPr>
        <w:jc w:val="both"/>
        <w:spacing w:before="0" w:after="0" w:line="85" w:lineRule="atLeast"/>
        <w:tabs>
          <w:tab w:val="left" w:pos="4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交货地点：甲方所在地。</w:t>
      </w:r>
      <w:r/>
    </w:p>
    <w:p>
      <w:pPr>
        <w:numPr>
          <w:ilvl w:val="0"/>
          <w:numId w:val="58"/>
        </w:numPr>
        <w:jc w:val="both"/>
        <w:spacing w:before="0" w:after="0" w:line="85" w:lineRule="atLeast"/>
        <w:tabs>
          <w:tab w:val="left" w:pos="4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质保期：上述设备免费保修 </w:t>
      </w:r>
      <w:r>
        <w:rPr>
          <w:rFonts w:ascii="SimSun" w:hAnsi="SimSun" w:eastAsia="SimSun" w:cs="SimSun"/>
          <w:color w:val="000000"/>
          <w:sz w:val="21"/>
          <w:u w:val="single"/>
        </w:rPr>
        <w:t xml:space="preserve">    </w:t>
      </w:r>
      <w:r>
        <w:rPr>
          <w:rFonts w:ascii="SimSun" w:hAnsi="SimSun" w:eastAsia="SimSun" w:cs="SimSun"/>
          <w:color w:val="000000"/>
          <w:sz w:val="21"/>
        </w:rPr>
        <w:t xml:space="preserve">个月；保修期内如机器无法及时修复而影响临床使用时立即更换新机给院方，保修期外乙方对本设备终身负责维修。</w:t>
      </w:r>
      <w:r/>
    </w:p>
    <w:p>
      <w:pPr>
        <w:numPr>
          <w:ilvl w:val="0"/>
          <w:numId w:val="58"/>
        </w:numPr>
        <w:jc w:val="both"/>
        <w:spacing w:before="0" w:after="0" w:line="85" w:lineRule="atLeast"/>
        <w:tabs>
          <w:tab w:val="left" w:pos="4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资质、质量要求及技术标准：</w:t>
      </w:r>
      <w:r/>
    </w:p>
    <w:p>
      <w:pPr>
        <w:numPr>
          <w:ilvl w:val="0"/>
          <w:numId w:val="5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特别提醒条款：</w:t>
      </w:r>
      <w:r>
        <w:rPr>
          <w:rFonts w:ascii="Times New Roman" w:hAnsi="Times New Roman" w:eastAsia="Times New Roman" w:cs="Times New Roman"/>
          <w:b/>
          <w:color w:val="000000"/>
          <w:sz w:val="21"/>
        </w:rPr>
        <w:t xml:space="preserve">a</w:t>
      </w:r>
      <w:r>
        <w:rPr>
          <w:rFonts w:ascii="SimSun" w:hAnsi="SimSun" w:eastAsia="SimSun" w:cs="SimSun"/>
          <w:b/>
          <w:color w:val="000000"/>
          <w:sz w:val="21"/>
        </w:rPr>
        <w:t xml:space="preserve">、所提供医疗器械产品注册证必须真实有效；</w:t>
      </w:r>
      <w:r>
        <w:rPr>
          <w:rFonts w:ascii="Times New Roman" w:hAnsi="Times New Roman" w:eastAsia="Times New Roman" w:cs="Times New Roman"/>
          <w:b/>
          <w:color w:val="000000"/>
          <w:sz w:val="21"/>
        </w:rPr>
        <w:t xml:space="preserve">b</w:t>
      </w:r>
      <w:r>
        <w:rPr>
          <w:rFonts w:ascii="SimSun" w:hAnsi="SimSun" w:eastAsia="SimSun" w:cs="SimSun"/>
          <w:b/>
          <w:color w:val="000000"/>
          <w:sz w:val="21"/>
        </w:rPr>
        <w:t xml:space="preserve">、所提供设备上的中文品名、型号及产品说明书所注适用范围必须与医疗器械产品注册证所标明的完全一致；</w:t>
      </w:r>
      <w:r>
        <w:rPr>
          <w:rFonts w:ascii="Times New Roman" w:hAnsi="Times New Roman" w:eastAsia="Times New Roman" w:cs="Times New Roman"/>
          <w:b/>
          <w:color w:val="000000"/>
          <w:sz w:val="21"/>
        </w:rPr>
        <w:t xml:space="preserve">c</w:t>
      </w:r>
      <w:r>
        <w:rPr>
          <w:rFonts w:ascii="SimSun" w:hAnsi="SimSun" w:eastAsia="SimSun" w:cs="SimSun"/>
          <w:b/>
          <w:color w:val="000000"/>
          <w:sz w:val="21"/>
        </w:rPr>
        <w:t xml:space="preserve">、国产医疗设备上的铭牌必须标注医疗器械注册证号；</w:t>
      </w:r>
      <w:r>
        <w:rPr>
          <w:rFonts w:ascii="Times New Roman" w:hAnsi="Times New Roman" w:eastAsia="Times New Roman" w:cs="Times New Roman"/>
          <w:b/>
          <w:color w:val="000000"/>
          <w:sz w:val="21"/>
        </w:rPr>
        <w:t xml:space="preserve">d</w:t>
      </w:r>
      <w:r>
        <w:rPr>
          <w:rFonts w:ascii="SimSun" w:hAnsi="SimSun" w:eastAsia="SimSun" w:cs="SimSun"/>
          <w:b/>
          <w:color w:val="000000"/>
          <w:sz w:val="21"/>
        </w:rPr>
        <w:t xml:space="preserve">、进口货物或部件的原产地证明、报关证明、完税证明、商检证明及编号、质量合格证书、出厂前检测报告等资料；</w:t>
      </w:r>
      <w:r>
        <w:rPr>
          <w:rFonts w:ascii="Times New Roman" w:hAnsi="Times New Roman" w:eastAsia="Times New Roman" w:cs="Times New Roman"/>
          <w:b/>
          <w:color w:val="000000"/>
          <w:sz w:val="21"/>
        </w:rPr>
        <w:t xml:space="preserve">e</w:t>
      </w:r>
      <w:r>
        <w:rPr>
          <w:rFonts w:ascii="SimSun" w:hAnsi="SimSun" w:eastAsia="SimSun" w:cs="SimSun"/>
          <w:b/>
          <w:color w:val="000000"/>
          <w:sz w:val="21"/>
        </w:rPr>
        <w:t xml:space="preserve">、发票上所列品名与型号必须与合同所列品名与型号完全一致；</w:t>
      </w:r>
      <w:r>
        <w:rPr>
          <w:rFonts w:ascii="Times New Roman" w:hAnsi="Times New Roman" w:eastAsia="Times New Roman" w:cs="Times New Roman"/>
          <w:b/>
          <w:color w:val="000000"/>
          <w:sz w:val="21"/>
        </w:rPr>
        <w:t xml:space="preserve">f</w:t>
      </w:r>
      <w:r>
        <w:rPr>
          <w:rFonts w:ascii="SimSun" w:hAnsi="SimSun" w:eastAsia="SimSun" w:cs="SimSun"/>
          <w:b/>
          <w:color w:val="000000"/>
          <w:sz w:val="21"/>
        </w:rPr>
        <w:t xml:space="preserve">、其他未提及事项必须符合国家食品药品监督管理局的相关规定。以上条款必须满足，否则由此引起的一切责任由乙方负责，包括但不限于甲方解除本合同即设备作退货处理，乙方返还甲方已给付的设备款，乙方承担违约责任。</w:t>
      </w:r>
      <w:r/>
    </w:p>
    <w:p>
      <w:pPr>
        <w:ind w:left="0" w:right="0" w:firstLine="2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甲方已充分告知和说明且乙方已充分知晓以上特别提醒条款内容之实质，并承诺满足。</w:t>
      </w:r>
      <w:r/>
    </w:p>
    <w:p>
      <w:pPr>
        <w:ind w:left="0" w:right="0" w:firstLine="31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乙方法定（授权）代表人签字：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numPr>
          <w:ilvl w:val="0"/>
          <w:numId w:val="5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乙方保证向甲方提供的设备满足中国国家标准或相关行业标准。根据国家规定，如需要提供相关认证证书和标记的设备及有关配置，必须提供上述证书和标记。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．乙方保证所供设备型号是最新的，且是用符合国家相关行业标准的优质材料和工艺制成、全新，并严格保持原包装，否则造成的一切损失由乙方负全部责任。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乙方所供设备如验收不合格，根据甲方的要求，乙方必须无条件换货或退货，如换货或退货后仍验收不合格，则甲方有权解除本合同，设备作退货处理，乙方返还甲方已给付的设备款，乙方承担违约责任。由此引起的一切损失由乙方承担。</w:t>
      </w:r>
      <w:r/>
    </w:p>
    <w:p>
      <w:pPr>
        <w:numPr>
          <w:ilvl w:val="0"/>
          <w:numId w:val="58"/>
        </w:numPr>
        <w:jc w:val="both"/>
        <w:spacing w:before="0" w:after="0" w:line="85" w:lineRule="atLeast"/>
        <w:tabs>
          <w:tab w:val="left" w:pos="4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设备到货、安装和验收要求：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乙方须提前三天通知甲方，设备到货时间，以便甲方安排好接收工作。乙方负责运输（包括上、下力）；设备到货后，乙方应在二十四小时内开始进行设备的免费安装和调试。设备安装时，乙方必须事先与甲方设备科联系，并与设备科共同参与开箱验收、安装调试，否则引起的一切责任由乙方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．如乙方提供的设备设有维修软件密码，乙方应保证无条件地为甲方永久免费打开。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．设备安装、调试结束后，甲方对设备试用后进行验收（时间由甲、乙双方商定），乙方免费派工程师到达现场协助验收工作，直至通过验收。</w:t>
      </w:r>
      <w:r/>
    </w:p>
    <w:p>
      <w:pPr>
        <w:numPr>
          <w:ilvl w:val="0"/>
          <w:numId w:val="58"/>
        </w:numPr>
        <w:jc w:val="both"/>
        <w:spacing w:before="0" w:after="0" w:line="85" w:lineRule="atLeast"/>
        <w:tabs>
          <w:tab w:val="left" w:pos="4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．确保设备保修期内开机率为</w:t>
      </w:r>
      <w:r>
        <w:rPr>
          <w:rFonts w:ascii="Times New Roman" w:hAnsi="Times New Roman" w:eastAsia="Times New Roman" w:cs="Times New Roman"/>
          <w:color w:val="000000"/>
          <w:sz w:val="21"/>
        </w:rPr>
        <w:t xml:space="preserve">95%</w:t>
      </w:r>
      <w:r>
        <w:rPr>
          <w:rFonts w:ascii="SimSun" w:hAnsi="SimSun" w:eastAsia="SimSun" w:cs="SimSun"/>
          <w:color w:val="000000"/>
          <w:sz w:val="21"/>
        </w:rPr>
        <w:t xml:space="preserve">，如设备故障停机率超过</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（一年按</w:t>
      </w:r>
      <w:r>
        <w:rPr>
          <w:rFonts w:ascii="Times New Roman" w:hAnsi="Times New Roman" w:eastAsia="Times New Roman" w:cs="Times New Roman"/>
          <w:color w:val="000000"/>
          <w:sz w:val="21"/>
        </w:rPr>
        <w:t xml:space="preserve">365</w:t>
      </w:r>
      <w:r>
        <w:rPr>
          <w:rFonts w:ascii="SimSun" w:hAnsi="SimSun" w:eastAsia="SimSun" w:cs="SimSun"/>
          <w:color w:val="000000"/>
          <w:sz w:val="21"/>
        </w:rPr>
        <w:t xml:space="preserve">天计算，每年</w:t>
      </w:r>
      <w:r>
        <w:rPr>
          <w:rFonts w:ascii="Times New Roman" w:hAnsi="Times New Roman" w:eastAsia="Times New Roman" w:cs="Times New Roman"/>
          <w:color w:val="000000"/>
          <w:sz w:val="21"/>
        </w:rPr>
        <w:t xml:space="preserve">18</w:t>
      </w:r>
      <w:r>
        <w:rPr>
          <w:rFonts w:ascii="SimSun" w:hAnsi="SimSun" w:eastAsia="SimSun" w:cs="SimSun"/>
          <w:color w:val="000000"/>
          <w:sz w:val="21"/>
        </w:rPr>
        <w:t xml:space="preserve">天），每超过一天，保修期延长两周。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．保修期自甲方验收合格之日算起（以甲方的验收报告单日期为准），质保期内设备发生故障，乙方在接到甲方报修电话后</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小时内予以电话响应，二十四小时内人员到现场维修，否则甲方可自行采取必要的措施，由此产生的风险和费用由乙方承担。如有特殊情况，乙方应立即电话通知甲方不能响应的原因，在获得甲方同意后，才可推迟响应时间。在质保期满后，出现设备故障时，乙方仍需做好设备终身售后服务，并在上述时限内赶到现场，及时处理解决，以优于市场的价格只收配件费，免收人工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．无论在保修期内还是保修期外，乙方必须上门维修，乙方工程师来甲方维修本设备，必须事先与甲方设备科取得联系；在维修过程中与甲方工程师共同完成维修工作。否则由此引起的一切责任由乙方负责。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．乙方负责免费提供日常运行维护所需的全部技术资料（维修说明书包括详细电路图、操作说明书及光盘等），如技术资料不全，甲方有权不支付货款。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十、技术培训：</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在安装过程中或安装结束后，乙方工程师或有关人员有义务对甲方工程师和操作人员进行现场维修、保养、操作培训，解答甲方人员提出的问题。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十一、其他约定事项：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甲乙双方共同确认本合同首部所载明的住所地，为甲乙双方有效的送达地址。今后凡与本合同项下有关的文书函件以及相关法律文书的送达地址均以此为准。甲乙双方承诺在住所地发生变更时，应及时书面通知对方，否则因住所地不准确，或住所地变更后未及时书面告知合同相对方，导致合同往来文书函件及法律文书被拒绝签收、无法送达等情形的，应自行承担有效送达的法律后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、本合同经甲乙双方法定代表人签字加盖双方公章或合同专用章后生效。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、本合同履行过程中，如发生争议双方协商解决，协商不成双方均可向甲方所在地人民法院提起诉讼。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、甲乙双方均需按照合同约定履行合同义务，如违约违约方需向守约方支付合同价款</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所计取的违约金【本合同另有约定的，从其约定】，此外还需承担守约方因此而产生的案件受理费、保全费、保全保险费、律师代理费等费用。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、本合同一式四份，甲方执三份，乙方执一份。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协议签署地点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江苏如东。</w:t>
      </w:r>
      <w:r/>
    </w:p>
    <w:p>
      <w:pPr>
        <w:ind w:left="5565" w:right="0" w:hanging="55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甲方：如东县人民医院乙方：</w:t>
      </w:r>
      <w:r/>
    </w:p>
    <w:p>
      <w:pPr>
        <w:ind w:left="5565" w:right="0" w:hanging="55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法定【授权】代表人：法定代表人：</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分管领导：业务部门代表：</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2026</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2026</w:t>
      </w:r>
      <w:r>
        <w:rPr>
          <w:rFonts w:ascii="SimSun" w:hAnsi="SimSun" w:eastAsia="SimSun" w:cs="SimSun"/>
          <w:color w:val="000000"/>
          <w:sz w:val="21"/>
          <w:u w:val="single"/>
        </w:rPr>
        <w:t xml:space="preserve"> </w:t>
      </w:r>
      <w:r>
        <w:rPr>
          <w:rFonts w:ascii="SimSun" w:hAnsi="SimSun" w:eastAsia="SimSun" w:cs="SimSun"/>
          <w:color w:val="000000"/>
          <w:sz w:val="21"/>
        </w:rPr>
        <w:t xml:space="preserve"> 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w:t>
      </w:r>
      <w:r/>
    </w:p>
    <w:p>
      <w:pPr>
        <w:ind w:left="0" w:right="0" w:firstLine="0"/>
        <w:jc w:val="both"/>
        <w:spacing w:before="0" w:after="0" w:line="499" w:lineRule="atLeast"/>
        <w:tabs>
          <w:tab w:val="left" w:pos="7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设备配置</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第六部分投标文件组成</w:t>
      </w:r>
      <w:r/>
    </w:p>
    <w:p>
      <w:pPr>
        <w:ind w:left="0" w:right="0" w:firstLine="482"/>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投标文件由资格审查证明材料，商务、技术标，价格标三部分组成。请投标人根据本招标文件的要求在以上三部分中分别上传的投标材料。</w:t>
      </w:r>
      <w:r/>
    </w:p>
    <w:p>
      <w:pPr>
        <w:pStyle w:val="796"/>
        <w:numPr>
          <w:ilvl w:val="0"/>
          <w:numId w:val="58"/>
        </w:numPr>
        <w:spacing w:before="240" w:after="120" w:line="360" w:lineRule="atLeast"/>
        <w:tabs>
          <w:tab w:val="left" w:pos="96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资格审查证明材料</w:t>
      </w:r>
      <w:r/>
    </w:p>
    <w:p>
      <w:pPr>
        <w:numPr>
          <w:ilvl w:val="0"/>
          <w:numId w:val="58"/>
        </w:numPr>
        <w:jc w:val="both"/>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具有独立承担民事责任的能力；（提供法人或者其他组织的营业执照等证明文件，自然人的身份证明）</w:t>
      </w:r>
      <w:r/>
    </w:p>
    <w:p>
      <w:pPr>
        <w:numPr>
          <w:ilvl w:val="0"/>
          <w:numId w:val="58"/>
        </w:numPr>
        <w:jc w:val="both"/>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具有良好的商业信誉和健全的财务会计制度；（提供上一年度的财务状况报告，成立不满一年不需提供）</w:t>
      </w:r>
      <w:r/>
    </w:p>
    <w:p>
      <w:pPr>
        <w:numPr>
          <w:ilvl w:val="0"/>
          <w:numId w:val="58"/>
        </w:numPr>
        <w:jc w:val="both"/>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有依法缴纳税收和社会保障资金的良好记录；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依法纳税凭据：提供参加政府采购活动前</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个月内任意一个月依法纳税的凭据，如完税凭证或税务机关开具的完税证明（个人所得税除外）；缴纳社会保险的凭据：提供参加政府采购活动前</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个月内任意一个月缴纳社会保险的凭据，如专用收据或社会保险缴纳清单；依法免税或不需要缴纳社会保障资金的证明文件。如果供应商依法免税或不需要缴纳社会保障资金，则须提供相应的证明文件，以说明其免税或无需缴纳的依据和情况</w:t>
      </w:r>
      <w:r>
        <w:rPr>
          <w:rFonts w:ascii="Times New Roman" w:hAnsi="Times New Roman" w:eastAsia="Times New Roman" w:cs="Times New Roman"/>
          <w:color w:val="000000"/>
          <w:sz w:val="24"/>
        </w:rPr>
        <w:t xml:space="preserve">]</w:t>
      </w:r>
      <w:r/>
    </w:p>
    <w:p>
      <w:pPr>
        <w:numPr>
          <w:ilvl w:val="0"/>
          <w:numId w:val="58"/>
        </w:numPr>
        <w:jc w:val="both"/>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具有履行合同所必需的设备和专业技术能力；（提供书面声明）</w:t>
      </w:r>
      <w:r/>
    </w:p>
    <w:p>
      <w:pPr>
        <w:numPr>
          <w:ilvl w:val="0"/>
          <w:numId w:val="58"/>
        </w:numPr>
        <w:jc w:val="both"/>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参加政府采购活动前</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年内在经营活动中没有重大违法记录。（提供书面声明）</w:t>
      </w:r>
      <w:r/>
    </w:p>
    <w:p>
      <w:pPr>
        <w:numPr>
          <w:ilvl w:val="0"/>
          <w:numId w:val="58"/>
        </w:numPr>
        <w:jc w:val="both"/>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投标人须根据投标产品的类别，提供有效的《医疗器械经营许可证》或者其他相关经营许可文件（扫描件）；</w:t>
      </w:r>
      <w:r/>
    </w:p>
    <w:p>
      <w:pPr>
        <w:numPr>
          <w:ilvl w:val="0"/>
          <w:numId w:val="58"/>
        </w:numPr>
        <w:jc w:val="both"/>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投标人须提供投标产品的有效期内的《医疗器械注册证》（扫描件）；</w:t>
      </w:r>
      <w:r/>
    </w:p>
    <w:p>
      <w:pPr>
        <w:numPr>
          <w:ilvl w:val="0"/>
          <w:numId w:val="58"/>
        </w:numPr>
        <w:jc w:val="both"/>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本项目接受投标人选用进口产品参与投标。如所投产品为进口产品，投标人须提供代理商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经销商证书或针对本项目的专项授权书；（提供证书或授权书扫描件并加盖公章，所称进口产品是指通过中国海关报关验放进入中国境内且产自关境外的产品，如所投产品为国产则无需提供）。</w:t>
      </w:r>
      <w:r/>
    </w:p>
    <w:p>
      <w:pPr>
        <w:numPr>
          <w:ilvl w:val="0"/>
          <w:numId w:val="58"/>
        </w:numPr>
        <w:jc w:val="both"/>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其他需要提交的资格审查证明材料。</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（招标文件要求提供的</w:t>
      </w:r>
      <w:r>
        <w:rPr>
          <w:rFonts w:ascii="SimSun" w:hAnsi="SimSun" w:eastAsia="SimSun" w:cs="SimSun"/>
          <w:b/>
          <w:color w:val="000000"/>
          <w:sz w:val="24"/>
        </w:rPr>
        <w:t xml:space="preserve">资格审查证明材料</w:t>
      </w:r>
      <w:r>
        <w:rPr>
          <w:rFonts w:ascii="SimSun" w:hAnsi="SimSun" w:eastAsia="SimSun" w:cs="SimSun"/>
          <w:color w:val="000000"/>
          <w:sz w:val="24"/>
        </w:rPr>
        <w:t xml:space="preserve">中没有对应的接口上传的资料，可以在本部分的其他材料的接口中上传）</w:t>
      </w:r>
      <w:r/>
    </w:p>
    <w:p>
      <w:pPr>
        <w:pStyle w:val="796"/>
        <w:numPr>
          <w:ilvl w:val="0"/>
          <w:numId w:val="58"/>
        </w:numPr>
        <w:spacing w:before="240" w:after="120" w:line="360" w:lineRule="atLeast"/>
        <w:tabs>
          <w:tab w:val="left" w:pos="96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商务、技术标</w:t>
      </w:r>
      <w:r/>
    </w:p>
    <w:p>
      <w:pPr>
        <w:numPr>
          <w:ilvl w:val="0"/>
          <w:numId w:val="59"/>
        </w:numPr>
        <w:jc w:val="both"/>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委托授权代表投标的，须提供法定代表人（或组织负责人）授权书及授权代表身份证（扫描件）；法定代表人（或组织负责人）本人参与投标的，提供法定代表人（或组织负责人）身份证明书及法定代表人身份证（扫描件）；</w:t>
      </w:r>
      <w:r/>
    </w:p>
    <w:p>
      <w:pPr>
        <w:numPr>
          <w:ilvl w:val="0"/>
          <w:numId w:val="59"/>
        </w:numPr>
        <w:jc w:val="both"/>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投标函；（格式见附件）</w:t>
      </w:r>
      <w:r/>
    </w:p>
    <w:p>
      <w:pPr>
        <w:numPr>
          <w:ilvl w:val="0"/>
          <w:numId w:val="59"/>
        </w:numPr>
        <w:jc w:val="both"/>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投标人情况一览表；（格式见附件）</w:t>
      </w:r>
      <w:r/>
    </w:p>
    <w:p>
      <w:pPr>
        <w:numPr>
          <w:ilvl w:val="0"/>
          <w:numId w:val="59"/>
        </w:numPr>
        <w:jc w:val="both"/>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商务部分正负偏离表；（格式见附件）</w:t>
      </w:r>
      <w:r/>
    </w:p>
    <w:p>
      <w:pPr>
        <w:numPr>
          <w:ilvl w:val="0"/>
          <w:numId w:val="59"/>
        </w:numPr>
        <w:jc w:val="both"/>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技术部分正负偏离表；（格式见附件）</w:t>
      </w:r>
      <w:r/>
    </w:p>
    <w:p>
      <w:pPr>
        <w:numPr>
          <w:ilvl w:val="0"/>
          <w:numId w:val="59"/>
        </w:numPr>
        <w:jc w:val="both"/>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商务、技术评分标准中须提供的相关得分佐证材料；（评分方法中技术响应部分要求提供的佐证材料、业绩证明等）</w:t>
      </w:r>
      <w:r/>
    </w:p>
    <w:p>
      <w:pPr>
        <w:numPr>
          <w:ilvl w:val="0"/>
          <w:numId w:val="59"/>
        </w:numPr>
        <w:jc w:val="both"/>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商务、技术评分标准中须提供其他材料；（方案等）</w:t>
      </w:r>
      <w:r/>
    </w:p>
    <w:p>
      <w:pPr>
        <w:numPr>
          <w:ilvl w:val="0"/>
          <w:numId w:val="59"/>
        </w:numPr>
        <w:jc w:val="both"/>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投标人认为需要提交的其他商务、技术材料。</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（招标文件要求提供的</w:t>
      </w:r>
      <w:r>
        <w:rPr>
          <w:rFonts w:ascii="SimSun" w:hAnsi="SimSun" w:eastAsia="SimSun" w:cs="SimSun"/>
          <w:b/>
          <w:color w:val="000000"/>
          <w:sz w:val="24"/>
        </w:rPr>
        <w:t xml:space="preserve">商务、技术标材料</w:t>
      </w:r>
      <w:r>
        <w:rPr>
          <w:rFonts w:ascii="SimSun" w:hAnsi="SimSun" w:eastAsia="SimSun" w:cs="SimSun"/>
          <w:color w:val="000000"/>
          <w:sz w:val="24"/>
        </w:rPr>
        <w:t xml:space="preserve">中没有对应的接口上传的资料，可以在本部分的其他材料的接口中上传）</w:t>
      </w:r>
      <w:r/>
    </w:p>
    <w:p>
      <w:pPr>
        <w:pStyle w:val="796"/>
        <w:numPr>
          <w:ilvl w:val="0"/>
          <w:numId w:val="58"/>
        </w:numPr>
        <w:spacing w:before="240" w:after="120" w:line="360" w:lineRule="atLeast"/>
        <w:tabs>
          <w:tab w:val="left" w:pos="96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价格标</w:t>
      </w:r>
      <w:r/>
    </w:p>
    <w:p>
      <w:pPr>
        <w:numPr>
          <w:ilvl w:val="0"/>
          <w:numId w:val="59"/>
        </w:numPr>
        <w:jc w:val="both"/>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开标一览表；（格式见附件）</w:t>
      </w:r>
      <w:r/>
    </w:p>
    <w:p>
      <w:pPr>
        <w:numPr>
          <w:ilvl w:val="0"/>
          <w:numId w:val="59"/>
        </w:numPr>
        <w:jc w:val="both"/>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分项报价明细表；（格式见附件）</w:t>
      </w:r>
      <w:r/>
    </w:p>
    <w:p>
      <w:pPr>
        <w:numPr>
          <w:ilvl w:val="0"/>
          <w:numId w:val="59"/>
        </w:numPr>
        <w:jc w:val="both"/>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价格折扣声明。（中小企业声明函、格式见附件）</w:t>
      </w:r>
      <w:r/>
    </w:p>
    <w:p>
      <w:pPr>
        <w:ind w:left="0" w:right="0" w:firstLine="480"/>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（如招标文件要求提供的价格标资料中没有对应的接口上传的资料可以在本部分的其他材料的接口中上传）</w:t>
        <w:br w:type="page" w:clear="all"/>
      </w:r>
      <w:r/>
    </w:p>
    <w:p>
      <w:pPr>
        <w:ind w:left="0" w:right="0" w:firstLine="480"/>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rPr>
          <w:rFonts w:ascii="Times New Roman" w:hAnsi="Times New Roman" w:eastAsia="Times New Roman" w:cs="Times New Roman"/>
          <w:color w:val="000000"/>
          <w:sz w:val="24"/>
        </w:rPr>
        <w:t xml:space="preserve">1</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参加政府采购活动前 3 年内在经营活动中没有重大违法记录的书面声明</w:t>
      </w:r>
      <w:r/>
    </w:p>
    <w:p>
      <w:pPr>
        <w:ind w:left="0" w:right="0" w:firstLine="881"/>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我公司（本人）郑重声明：参加本次政府采购活动前</w:t>
      </w:r>
      <w:r>
        <w:rPr>
          <w:rFonts w:ascii="Times New Roman" w:hAnsi="Times New Roman" w:eastAsia="Times New Roman" w:cs="Times New Roman"/>
          <w:color w:val="000000"/>
          <w:sz w:val="24"/>
        </w:rPr>
        <w:t xml:space="preserve"> 3 </w:t>
      </w:r>
      <w:r>
        <w:rPr>
          <w:rFonts w:ascii="SimSun" w:hAnsi="SimSun" w:eastAsia="SimSun" w:cs="SimSun"/>
          <w:color w:val="000000"/>
          <w:sz w:val="24"/>
        </w:rPr>
        <w:t xml:space="preserve">年内，我公司在经营活动中没有因违法经营受到刑事处罚或者责令停产停业、吊销许可证或者执照、较大数额罚款等行政处罚。</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255"/>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投标人名称（公章）：</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授权代表签字：</w:t>
      </w:r>
      <w:r>
        <w:rPr>
          <w:rFonts w:ascii="Times New Roman" w:hAnsi="Times New Roman" w:eastAsia="Times New Roman" w:cs="Times New Roman"/>
          <w:color w:val="000000"/>
          <w:sz w:val="24"/>
          <w:u w:val="single"/>
        </w:rPr>
        <w:t xml:space="preserve">_______________________</w:t>
      </w:r>
      <w:r/>
    </w:p>
    <w:p>
      <w:pPr>
        <w:ind w:left="0" w:right="0" w:firstLine="0"/>
        <w:jc w:val="right"/>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Times New Roman" w:hAnsi="Times New Roman" w:eastAsia="Times New Roman" w:cs="Times New Roman"/>
          <w:color w:val="000000"/>
          <w:sz w:val="24"/>
        </w:rPr>
        <w:t xml:space="preserve">XXXX</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XX</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XX</w:t>
      </w:r>
      <w:r>
        <w:rPr>
          <w:rFonts w:ascii="SimSun" w:hAnsi="SimSun" w:eastAsia="SimSun" w:cs="SimSun"/>
          <w:color w:val="000000"/>
          <w:sz w:val="24"/>
        </w:rPr>
        <w:t xml:space="preserve">日</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w:t>
      </w:r>
      <w:r>
        <w:rPr>
          <w:rFonts w:ascii="Times New Roman" w:hAnsi="Times New Roman" w:eastAsia="Times New Roman" w:cs="Times New Roman"/>
          <w:b/>
          <w:color w:val="000000"/>
          <w:sz w:val="24"/>
        </w:rPr>
        <w:t xml:space="preserve">2</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具备履行合同所必需的设备和专业技术能力的声明函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我方参加你方的（项目名称）的投标，现我方向你方慎重承诺：</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本单位（具备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不具备）履行合同所必需的设备和专业技术能力。</w:t>
      </w:r>
      <w:r/>
    </w:p>
    <w:p>
      <w:pPr>
        <w:ind w:left="0" w:right="-512" w:firstLine="384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512" w:firstLine="3120"/>
        <w:jc w:val="both"/>
        <w:spacing w:before="0" w:after="120" w:line="85" w:lineRule="atLeast"/>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法定代表人或其授权委托人（签字或盖章）：</w:t>
      </w:r>
      <w:r/>
    </w:p>
    <w:p>
      <w:pPr>
        <w:ind w:left="0" w:right="0" w:firstLine="0"/>
        <w:jc w:val="right"/>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XXXX</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XX</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XX</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w:t>
      </w:r>
      <w:r>
        <w:rPr>
          <w:rFonts w:ascii="Times New Roman" w:hAnsi="Times New Roman" w:eastAsia="Times New Roman" w:cs="Times New Roman"/>
          <w:b/>
          <w:color w:val="000000"/>
          <w:sz w:val="24"/>
        </w:rPr>
        <w:t xml:space="preserve">3</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法定代表人（组织负责人）身份证明</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先生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女士： 现任我单位</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职务，为</w:t>
      </w:r>
      <w:r>
        <w:rPr>
          <w:rFonts w:ascii="SimSun" w:hAnsi="SimSun" w:eastAsia="SimSun" w:cs="SimSun"/>
          <w:color w:val="000000"/>
          <w:sz w:val="24"/>
          <w:u w:val="single"/>
        </w:rPr>
        <w:t xml:space="preserve">法定代表人</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组织负责人（请根据投标人组织性质自行填写）</w:t>
      </w:r>
      <w:r>
        <w:rPr>
          <w:rFonts w:ascii="SimSun" w:hAnsi="SimSun" w:eastAsia="SimSun" w:cs="SimSun"/>
          <w:color w:val="000000"/>
          <w:sz w:val="24"/>
        </w:rPr>
        <w:t xml:space="preserve">，特此证明。</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rPr>
          <w:rFonts w:ascii="Times New Roman" w:hAnsi="Times New Roman" w:eastAsia="Times New Roman" w:cs="Times New Roman"/>
          <w:color w:val="000000"/>
          <w:sz w:val="24"/>
          <w:u w:val="single"/>
        </w:rPr>
        <w:t xml:space="preserve">                                               </w:t>
      </w:r>
      <w:r/>
    </w:p>
    <w:p>
      <w:pPr>
        <w:ind w:left="0" w:right="0" w:firstLine="482"/>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注：提供法定代表人的身份证复印件盖公章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right"/>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          </w:t>
      </w:r>
      <w:r/>
    </w:p>
    <w:p>
      <w:pPr>
        <w:ind w:left="0" w:right="0" w:firstLine="0"/>
        <w:jc w:val="right"/>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XXXX</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XX</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XX</w:t>
      </w:r>
      <w:r>
        <w:rPr>
          <w:rFonts w:ascii="SimSun" w:hAnsi="SimSun" w:eastAsia="SimSun" w:cs="SimSun"/>
          <w:color w:val="000000"/>
          <w:sz w:val="24"/>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w:t>
      </w:r>
      <w:r>
        <w:rPr>
          <w:rFonts w:ascii="Times New Roman" w:hAnsi="Times New Roman" w:eastAsia="Times New Roman" w:cs="Times New Roman"/>
          <w:b/>
          <w:color w:val="000000"/>
          <w:sz w:val="24"/>
        </w:rPr>
        <w:t xml:space="preserve">4</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法定代表人（组织负责人）授权委托书</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w:t>
      </w:r>
      <w:r>
        <w:rPr>
          <w:rFonts w:ascii="SimSun" w:hAnsi="SimSun" w:eastAsia="SimSun" w:cs="SimSun"/>
          <w:color w:val="000000"/>
          <w:sz w:val="24"/>
        </w:rPr>
        <w:t xml:space="preserve">（姓名）系</w:t>
      </w:r>
      <w:r>
        <w:rPr>
          <w:rFonts w:ascii="SimSun" w:hAnsi="SimSun" w:eastAsia="SimSun" w:cs="SimSun"/>
          <w:color w:val="000000"/>
          <w:sz w:val="24"/>
          <w:u w:val="single"/>
        </w:rPr>
        <w:t xml:space="preserve">      </w:t>
      </w:r>
      <w:r>
        <w:rPr>
          <w:rFonts w:ascii="SimSun" w:hAnsi="SimSun" w:eastAsia="SimSun" w:cs="SimSun"/>
          <w:color w:val="000000"/>
          <w:sz w:val="24"/>
        </w:rPr>
        <w:t xml:space="preserve">授权单位名称）的</w:t>
      </w:r>
      <w:r>
        <w:rPr>
          <w:rFonts w:ascii="SimSun" w:hAnsi="SimSun" w:eastAsia="SimSun" w:cs="SimSun"/>
          <w:color w:val="000000"/>
          <w:sz w:val="24"/>
          <w:u w:val="single"/>
        </w:rPr>
        <w:t xml:space="preserve">法定代表人</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组织负责人（请根据投标人组织性质自行填写）</w:t>
      </w:r>
      <w:r>
        <w:rPr>
          <w:rFonts w:ascii="SimSun" w:hAnsi="SimSun" w:eastAsia="SimSun" w:cs="SimSun"/>
          <w:color w:val="000000"/>
          <w:sz w:val="24"/>
        </w:rPr>
        <w:t xml:space="preserve">，现委托</w:t>
      </w:r>
      <w:r>
        <w:rPr>
          <w:rFonts w:ascii="SimSun" w:hAnsi="SimSun" w:eastAsia="SimSun" w:cs="SimSun"/>
          <w:color w:val="000000"/>
          <w:sz w:val="24"/>
          <w:u w:val="single"/>
        </w:rPr>
        <w:t xml:space="preserve">      </w:t>
      </w:r>
      <w:r>
        <w:rPr>
          <w:rFonts w:ascii="SimSun" w:hAnsi="SimSun" w:eastAsia="SimSun" w:cs="SimSun"/>
          <w:color w:val="000000"/>
          <w:sz w:val="24"/>
        </w:rPr>
        <w:t xml:space="preserve">（姓名）（身份证号</w:t>
      </w:r>
      <w:r>
        <w:rPr>
          <w:rFonts w:ascii="SimSun" w:hAnsi="SimSun" w:eastAsia="SimSun" w:cs="SimSun"/>
          <w:color w:val="000000"/>
          <w:sz w:val="24"/>
          <w:u w:val="single"/>
        </w:rPr>
        <w:t xml:space="preserve">      </w:t>
      </w:r>
      <w:r>
        <w:rPr>
          <w:rFonts w:ascii="SimSun" w:hAnsi="SimSun" w:eastAsia="SimSun" w:cs="SimSun"/>
          <w:color w:val="000000"/>
          <w:sz w:val="24"/>
        </w:rPr>
        <w:t xml:space="preserve">）为我方代理人，以我方名义全权处理与本次采购项目（编号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）有关的一切事务，其法律后果由我方承担。</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日起生效。代理人无转委托权。</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被授权人</w:t>
      </w:r>
      <w:r>
        <w:rPr>
          <w:rFonts w:ascii="Times New Roman" w:hAnsi="Times New Roman" w:eastAsia="Times New Roman" w:cs="Times New Roman"/>
          <w:color w:val="000000"/>
          <w:sz w:val="24"/>
        </w:rPr>
        <w:t xml:space="preserve">):</w:t>
      </w:r>
      <w:r>
        <w:rPr>
          <w:rFonts w:ascii="SimSun" w:hAnsi="SimSun" w:eastAsia="SimSun" w:cs="SimSun"/>
          <w:color w:val="000000"/>
          <w:sz w:val="21"/>
          <w:u w:val="single"/>
        </w:rPr>
        <w:t xml:space="preserve">       </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授权单位名称（盖章）：</w:t>
      </w:r>
      <w:r>
        <w:rPr>
          <w:rFonts w:ascii="SimSun" w:hAnsi="SimSun" w:eastAsia="SimSun" w:cs="SimSun"/>
          <w:color w:val="000000"/>
          <w:sz w:val="21"/>
          <w:u w:val="single"/>
        </w:rPr>
        <w:t xml:space="preserve">      </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授权单位法定代表人（签字或盖章）：</w:t>
      </w:r>
      <w:r>
        <w:rPr>
          <w:rFonts w:ascii="SimSun" w:hAnsi="SimSun" w:eastAsia="SimSun" w:cs="SimSun"/>
          <w:color w:val="000000"/>
          <w:sz w:val="21"/>
          <w:u w:val="single"/>
        </w:rPr>
        <w:t xml:space="preserve">      </w:t>
      </w:r>
      <w:r/>
    </w:p>
    <w:p>
      <w:pPr>
        <w:ind w:left="0" w:right="0" w:firstLine="0"/>
        <w:jc w:val="right"/>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XXXX</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XX</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XX</w:t>
      </w:r>
      <w:r>
        <w:rPr>
          <w:rFonts w:ascii="SimSun" w:hAnsi="SimSun" w:eastAsia="SimSun" w:cs="SimSun"/>
          <w:color w:val="000000"/>
          <w:sz w:val="24"/>
        </w:rPr>
        <w:t xml:space="preserve">日</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2"/>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注：提供投标代表本人身份证复印件盖公章</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w:t>
      </w:r>
      <w:r>
        <w:rPr>
          <w:rFonts w:ascii="Times New Roman" w:hAnsi="Times New Roman" w:eastAsia="Times New Roman" w:cs="Times New Roman"/>
          <w:b/>
          <w:color w:val="000000"/>
          <w:sz w:val="24"/>
        </w:rPr>
        <w:t xml:space="preserve">5</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致：江苏弘业国际技术工程有限公司</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w:t>
      </w:r>
      <w:r>
        <w:rPr>
          <w:rFonts w:ascii="SimSun" w:hAnsi="SimSun" w:eastAsia="SimSun" w:cs="SimSun"/>
          <w:i/>
          <w:color w:val="000000"/>
          <w:sz w:val="24"/>
          <w:u w:val="single"/>
        </w:rPr>
        <w:t xml:space="preserve">（项目编号：）（项目名称）</w:t>
      </w:r>
      <w:r>
        <w:rPr>
          <w:rFonts w:ascii="SimSun" w:hAnsi="SimSun" w:eastAsia="SimSun" w:cs="SimSun"/>
          <w:color w:val="000000"/>
          <w:sz w:val="24"/>
        </w:rPr>
        <w:t xml:space="preserve">项目招标采购货物及服务的招标公告，投标人代表</w:t>
      </w:r>
      <w:r>
        <w:rPr>
          <w:rFonts w:ascii="SimSun" w:hAnsi="SimSun" w:eastAsia="SimSun" w:cs="SimSun"/>
          <w:i/>
          <w:color w:val="000000"/>
          <w:sz w:val="24"/>
          <w:u w:val="single"/>
        </w:rPr>
        <w:t xml:space="preserve">（姓名、职务）</w:t>
      </w:r>
      <w:r>
        <w:rPr>
          <w:rFonts w:ascii="SimSun" w:hAnsi="SimSun" w:eastAsia="SimSun" w:cs="SimSun"/>
          <w:color w:val="000000"/>
          <w:sz w:val="24"/>
        </w:rPr>
        <w:t xml:space="preserve">经正式授权并代表投标人</w:t>
      </w:r>
      <w:r>
        <w:rPr>
          <w:rFonts w:ascii="SimSun" w:hAnsi="SimSun" w:eastAsia="SimSun" w:cs="SimSun"/>
          <w:i/>
          <w:color w:val="000000"/>
          <w:sz w:val="24"/>
          <w:u w:val="single"/>
        </w:rPr>
        <w:t xml:space="preserve">（投标人名称、地址）</w:t>
      </w:r>
      <w:r>
        <w:rPr>
          <w:rFonts w:ascii="SimSun" w:hAnsi="SimSun" w:eastAsia="SimSun" w:cs="SimSun"/>
          <w:color w:val="000000"/>
          <w:sz w:val="24"/>
        </w:rPr>
        <w:t xml:space="preserve">提交投标文件。</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据此函，签字代表宣布同意如下：</w:t>
      </w:r>
      <w:r/>
    </w:p>
    <w:p>
      <w:pPr>
        <w:ind w:left="0" w:right="0" w:firstLine="566"/>
        <w:jc w:val="both"/>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、所附投标价格表中规定的应提交和交付的货物及服务的投标总价见开标一览表。</w:t>
      </w:r>
      <w:r/>
    </w:p>
    <w:p>
      <w:pPr>
        <w:ind w:left="0" w:right="0" w:firstLine="566"/>
        <w:jc w:val="both"/>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、投标人将按招标文件的规定履行合同责任和义务。</w:t>
      </w:r>
      <w:r/>
    </w:p>
    <w:p>
      <w:pPr>
        <w:ind w:left="0" w:right="0" w:firstLine="566"/>
        <w:jc w:val="both"/>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、投标人已详细审查全部招标文件，包括有关澄清和修改说明（如果有的话）。我们完全理解并同意放弃对这方面有不明及误解的权力。</w:t>
      </w:r>
      <w:r/>
    </w:p>
    <w:p>
      <w:pPr>
        <w:ind w:left="0" w:right="0" w:firstLine="566"/>
        <w:jc w:val="both"/>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、本投标有效期为自开标日起</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90 </w:t>
      </w:r>
      <w:r>
        <w:rPr>
          <w:rFonts w:ascii="SimSun" w:hAnsi="SimSun" w:eastAsia="SimSun" w:cs="SimSun"/>
          <w:color w:val="000000"/>
          <w:sz w:val="24"/>
        </w:rPr>
        <w:t xml:space="preserve">日历日。在这期间，本投标文件将始终对我方具有约束力。如果中标，本次招标文件和本投标文件（含承诺书）将作为买卖合用的附件。</w:t>
      </w:r>
      <w:r/>
    </w:p>
    <w:p>
      <w:pPr>
        <w:ind w:left="0" w:right="0" w:firstLine="566"/>
        <w:jc w:val="both"/>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、我方愿意向采购人提供任何与本次招标有关的其他资料。</w:t>
      </w:r>
      <w:r/>
    </w:p>
    <w:p>
      <w:pPr>
        <w:ind w:left="0" w:right="0" w:firstLine="566"/>
        <w:jc w:val="both"/>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、我方愿意履行自己在投标文件中的全部承诺和责任。</w:t>
      </w:r>
      <w:r/>
    </w:p>
    <w:p>
      <w:pPr>
        <w:ind w:left="0" w:right="0" w:firstLine="566"/>
        <w:jc w:val="both"/>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、我方愿意遵守招标文件中对投标者的所有规定。</w:t>
      </w:r>
      <w:r/>
    </w:p>
    <w:p>
      <w:pPr>
        <w:ind w:left="0" w:right="0" w:firstLine="566"/>
        <w:jc w:val="both"/>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、我方承诺不以任何形式向评标委员会成员和参与评标的有关工作人员探听对投标文件的评审和比较、中标候选人的推荐情况以及与评标有关的其他情况。</w:t>
      </w:r>
      <w:r/>
    </w:p>
    <w:p>
      <w:pPr>
        <w:ind w:left="0" w:right="0" w:firstLine="566"/>
        <w:jc w:val="both"/>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、我方完全理解采购代理机构和采购人有保留在授标之前任何时候接受或拒绝任何投标，以及宣布招标程序无效或拒绝所有投标的权力。我方完全理解采购代理机构和采购人无向未中标人解释未中标理由的义务。</w:t>
      </w:r>
      <w:r/>
    </w:p>
    <w:p>
      <w:pPr>
        <w:ind w:left="0" w:right="0" w:firstLine="566"/>
        <w:jc w:val="both"/>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、在规定的开标时间后，我方如在投标有效期内撤回投标，将无条件同意贵方没收投标保证金。</w:t>
      </w:r>
      <w:r/>
    </w:p>
    <w:p>
      <w:pPr>
        <w:ind w:left="0" w:right="0" w:firstLine="566"/>
        <w:jc w:val="both"/>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、我方承诺，与采购人聘请的为此项目提供咨询服务的公司及任何附属机构均无关联，我方不是采购人的附属机构。</w:t>
      </w:r>
      <w:r/>
    </w:p>
    <w:p>
      <w:pPr>
        <w:ind w:left="0" w:right="0" w:firstLine="566"/>
        <w:jc w:val="both"/>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、投标人同意提供按照贵方可能要求的与其投标有关的一切数据或资料，完全理解贵方不一定接受最低价的投标或收到的任何投标。</w:t>
      </w:r>
      <w:r/>
    </w:p>
    <w:p>
      <w:pPr>
        <w:ind w:left="0" w:right="0" w:firstLine="566"/>
        <w:jc w:val="both"/>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、其他说明：</w:t>
      </w:r>
      <w:r/>
    </w:p>
    <w:p>
      <w:pPr>
        <w:ind w:left="0" w:right="0" w:firstLine="566"/>
        <w:jc w:val="both"/>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、与本投标有关的一切正式往来信函请寄：</w:t>
      </w:r>
      <w:r/>
    </w:p>
    <w:p>
      <w:pPr>
        <w:ind w:left="0" w:right="0" w:firstLine="566"/>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电子邮件：</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投标人代表（签字）：</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投标人名称（盖章）：</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w:t>
      </w:r>
      <w:r>
        <w:rPr>
          <w:rFonts w:ascii="Times New Roman" w:hAnsi="Times New Roman" w:eastAsia="Times New Roman" w:cs="Times New Roman"/>
          <w:b/>
          <w:color w:val="000000"/>
          <w:sz w:val="24"/>
        </w:rPr>
        <w:t xml:space="preserve">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投标人情况一览表</w:t>
      </w:r>
      <w:r/>
    </w:p>
    <w:tbl>
      <w:tblPr>
        <w:tblStyle w:val="85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9"/>
        <w:gridCol w:w="709"/>
        <w:gridCol w:w="709"/>
        <w:gridCol w:w="709"/>
        <w:gridCol w:w="709"/>
        <w:gridCol w:w="709"/>
        <w:gridCol w:w="709"/>
        <w:gridCol w:w="709"/>
        <w:gridCol w:w="709"/>
        <w:gridCol w:w="709"/>
        <w:gridCol w:w="709"/>
        <w:gridCol w:w="709"/>
      </w:tblGrid>
      <w:tr>
        <w:trPr>
          <w:trHeight w:val="397"/>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tc>
        <w:tc>
          <w:tcPr>
            <w:gridSpan w:val="10"/>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7" w:type="dxa"/>
            <w:vAlign w:val="center"/>
            <w:textDirection w:val="lrTb"/>
            <w:noWrap w:val="false"/>
          </w:tcPr>
          <w:p>
            <w:pPr>
              <w:ind w:left="0" w:right="0" w:firstLine="0"/>
              <w:jc w:val="both"/>
              <w:spacing w:before="0" w:after="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9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both"/>
              <w:spacing w:before="0" w:after="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单位优势及特长</w:t>
            </w:r>
            <w:r/>
          </w:p>
        </w:tc>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78" w:type="dxa"/>
            <w:vAlign w:val="center"/>
            <w:textDirection w:val="lrTb"/>
            <w:noWrap w:val="false"/>
          </w:tcPr>
          <w:p>
            <w:pPr>
              <w:ind w:left="0" w:right="0" w:firstLine="0"/>
              <w:jc w:val="both"/>
              <w:spacing w:before="0" w:after="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vMerge w:val="restart"/>
            <w:textDirection w:val="lrTb"/>
            <w:noWrap w:val="false"/>
          </w:tcPr>
          <w:p>
            <w:pPr>
              <w:ind w:left="266" w:right="0" w:hanging="266"/>
              <w:jc w:val="both"/>
              <w:spacing w:before="0" w:after="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p>
            <w:pPr>
              <w:ind w:left="266" w:right="0" w:hanging="266"/>
              <w:jc w:val="both"/>
              <w:spacing w:before="0" w:after="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概况</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职工总数</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right"/>
              <w:spacing w:before="0" w:after="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vMerge w:val="restart"/>
            <w:textDirection w:val="lrTb"/>
            <w:noWrap w:val="false"/>
          </w:tcPr>
          <w:p>
            <w:pPr>
              <w:ind w:left="0" w:right="0" w:firstLine="0"/>
              <w:jc w:val="both"/>
              <w:spacing w:before="0" w:after="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上一年主要经济指标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营业额</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both"/>
              <w:spacing w:before="0" w:after="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实现利润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both"/>
              <w:spacing w:before="0" w:after="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97"/>
        </w:trPr>
        <w:tc>
          <w:tcPr>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流动资金</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right"/>
              <w:spacing w:before="0" w:after="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vMerge w:val="restart"/>
            <w:textDirection w:val="lrTb"/>
            <w:noWrap w:val="false"/>
          </w:tcPr>
          <w:p>
            <w:pPr>
              <w:ind w:left="0" w:right="0" w:firstLine="0"/>
              <w:jc w:val="center"/>
              <w:spacing w:before="0" w:after="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w:t>
            </w:r>
            <w:r/>
          </w:p>
          <w:p>
            <w:pPr>
              <w:ind w:left="0" w:right="0" w:firstLine="0"/>
              <w:jc w:val="center"/>
              <w:spacing w:before="0" w:after="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jc w:val="both"/>
              <w:spacing w:before="120" w:after="12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1116"/>
        </w:trPr>
        <w:tc>
          <w:tcPr>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固定资产</w:t>
            </w:r>
            <w:r/>
          </w:p>
          <w:p>
            <w:pPr>
              <w:ind w:left="0" w:right="0" w:firstLine="0"/>
              <w:jc w:val="center"/>
              <w:spacing w:before="0" w:after="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48" w:right="-133" w:hanging="48"/>
              <w:jc w:val="both"/>
              <w:spacing w:before="0" w:after="0"/>
              <w:tabs>
                <w:tab w:val="left" w:pos="-48" w:leader="none"/>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原值：</w:t>
            </w:r>
            <w:r/>
          </w:p>
          <w:p>
            <w:pPr>
              <w:ind w:left="48" w:right="0" w:hanging="48"/>
              <w:jc w:val="right"/>
              <w:spacing w:before="0" w:after="0"/>
              <w:tabs>
                <w:tab w:val="left" w:pos="-48" w:leader="none"/>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 w:right="-133" w:hanging="48"/>
              <w:jc w:val="both"/>
              <w:spacing w:before="0" w:after="0"/>
              <w:tabs>
                <w:tab w:val="left" w:pos="-48" w:leader="none"/>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净值：</w:t>
            </w:r>
            <w:r/>
          </w:p>
          <w:p>
            <w:pPr>
              <w:ind w:left="48" w:right="0" w:hanging="48"/>
              <w:jc w:val="right"/>
              <w:spacing w:before="0" w:after="0"/>
              <w:tabs>
                <w:tab w:val="left" w:pos="-48" w:leader="none"/>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vMerge w:val="continue"/>
            <w:textDirection w:val="lrTb"/>
            <w:noWrap w:val="false"/>
          </w:tcPr>
          <w:p>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jc w:val="both"/>
              <w:spacing w:before="0" w:after="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397"/>
        </w:trPr>
        <w:tc>
          <w:tcPr>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占地面积</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right"/>
              <w:spacing w:before="0" w:after="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w:t>
            </w:r>
            <w:r>
              <w:rPr>
                <w:rFonts w:ascii="SimSun" w:hAnsi="SimSun" w:eastAsia="SimSun" w:cs="SimSun"/>
                <w:color w:val="000000"/>
                <w:sz w:val="24"/>
                <w:vertAlign w:val="superscript"/>
              </w:rPr>
              <w:t xml:space="preserve">2</w:t>
            </w:r>
            <w:r/>
          </w:p>
        </w:tc>
        <w:tc>
          <w:tcPr>
            <w:vMerge w:val="continue"/>
            <w:textDirection w:val="lrTb"/>
            <w:noWrap w:val="false"/>
          </w:tcPr>
          <w:p>
            <w:r/>
            <w:r/>
          </w:p>
        </w:tc>
        <w:tc>
          <w:tcPr>
            <w:vMerge w:val="continue"/>
            <w:textDirection w:val="lrTb"/>
            <w:noWrap w:val="false"/>
          </w:tcPr>
          <w:p>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jc w:val="both"/>
              <w:spacing w:before="120" w:after="12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vMerge w:val="restart"/>
            <w:textDirection w:val="lrTb"/>
            <w:noWrap w:val="false"/>
          </w:tcPr>
          <w:p>
            <w:pPr>
              <w:ind w:left="266" w:right="0" w:hanging="266"/>
              <w:jc w:val="both"/>
              <w:spacing w:before="0" w:after="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w:t>
            </w:r>
            <w:r/>
          </w:p>
          <w:p>
            <w:pPr>
              <w:ind w:left="266" w:right="0" w:hanging="266"/>
              <w:jc w:val="both"/>
              <w:spacing w:before="0" w:after="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w:t>
            </w:r>
            <w:r/>
          </w:p>
          <w:p>
            <w:pPr>
              <w:ind w:left="266" w:right="0" w:hanging="266"/>
              <w:jc w:val="both"/>
              <w:spacing w:before="0" w:after="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w:t>
            </w:r>
            <w:r/>
          </w:p>
          <w:p>
            <w:pPr>
              <w:ind w:left="266" w:right="0" w:hanging="266"/>
              <w:jc w:val="both"/>
              <w:spacing w:before="0" w:after="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情况</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60" w:after="6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本次投标</w:t>
            </w:r>
            <w:r/>
          </w:p>
          <w:p>
            <w:pPr>
              <w:ind w:left="0" w:right="0" w:firstLine="0"/>
              <w:jc w:val="center"/>
              <w:spacing w:before="60" w:after="6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产品名称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60" w:after="6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    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60" w:after="6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上年</w:t>
            </w:r>
            <w:r/>
          </w:p>
          <w:p>
            <w:pPr>
              <w:ind w:left="0" w:right="0" w:firstLine="0"/>
              <w:jc w:val="center"/>
              <w:spacing w:before="60" w:after="6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产销量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60" w:after="6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产品技术</w:t>
            </w:r>
            <w:r/>
          </w:p>
          <w:p>
            <w:pPr>
              <w:ind w:left="0" w:right="0" w:firstLine="0"/>
              <w:jc w:val="center"/>
              <w:spacing w:before="60" w:after="6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先进水平</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60" w:after="6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曾获何级</w:t>
            </w:r>
            <w:r/>
          </w:p>
          <w:p>
            <w:pPr>
              <w:ind w:left="0" w:right="0" w:firstLine="0"/>
              <w:jc w:val="center"/>
              <w:spacing w:before="60" w:after="6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何种奖励</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60" w:after="6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主要用户</w:t>
            </w:r>
            <w:r/>
          </w:p>
          <w:p>
            <w:pPr>
              <w:ind w:left="0" w:right="0" w:firstLine="0"/>
              <w:jc w:val="center"/>
              <w:spacing w:before="60" w:after="6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r>
      <w:tr>
        <w:trPr>
          <w:trHeight w:val="397"/>
        </w:trPr>
        <w:tc>
          <w:tcPr>
            <w:vMerge w:val="continue"/>
            <w:textDirection w:val="lrTb"/>
            <w:noWrap w:val="false"/>
          </w:tcPr>
          <w:p>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both"/>
              <w:spacing w:before="0" w:after="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both"/>
              <w:spacing w:before="0" w:after="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both"/>
              <w:spacing w:before="0" w:after="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both"/>
              <w:spacing w:before="0" w:after="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both"/>
              <w:spacing w:before="0" w:after="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both"/>
              <w:spacing w:before="0" w:after="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97"/>
        </w:trPr>
        <w:tc>
          <w:tcPr>
            <w:vMerge w:val="continue"/>
            <w:textDirection w:val="lrTb"/>
            <w:noWrap w:val="false"/>
          </w:tcPr>
          <w:p>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both"/>
              <w:spacing w:before="0" w:after="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both"/>
              <w:spacing w:before="0" w:after="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both"/>
              <w:spacing w:before="0" w:after="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both"/>
              <w:spacing w:before="0" w:after="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both"/>
              <w:spacing w:before="0" w:after="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both"/>
              <w:spacing w:before="0" w:after="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97"/>
        </w:trPr>
        <w:tc>
          <w:tcPr>
            <w:vMerge w:val="continue"/>
            <w:textDirection w:val="lrTb"/>
            <w:noWrap w:val="false"/>
          </w:tcPr>
          <w:p>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both"/>
              <w:spacing w:before="0" w:after="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both"/>
              <w:spacing w:before="0" w:after="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both"/>
              <w:spacing w:before="0" w:after="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both"/>
              <w:spacing w:before="0" w:after="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both"/>
              <w:spacing w:before="0" w:after="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both"/>
              <w:spacing w:before="0" w:after="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97"/>
        </w:trPr>
        <w:tc>
          <w:tcPr>
            <w:vMerge w:val="continue"/>
            <w:textDirection w:val="lrTb"/>
            <w:noWrap w:val="false"/>
          </w:tcPr>
          <w:p>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both"/>
              <w:spacing w:before="0" w:after="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both"/>
              <w:spacing w:before="0" w:after="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both"/>
              <w:spacing w:before="0" w:after="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both"/>
              <w:spacing w:before="0" w:after="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both"/>
              <w:spacing w:before="0" w:after="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both"/>
              <w:spacing w:before="0" w:after="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vMerge w:val="restart"/>
            <w:textDirection w:val="lrTb"/>
            <w:noWrap w:val="false"/>
          </w:tcPr>
          <w:p>
            <w:pPr>
              <w:ind w:left="0" w:right="0" w:firstLine="0"/>
              <w:jc w:val="both"/>
              <w:spacing w:before="0" w:after="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2" w:type="dxa"/>
            <w:vAlign w:val="center"/>
            <w:textDirection w:val="lrTb"/>
            <w:noWrap w:val="false"/>
          </w:tcPr>
          <w:p>
            <w:pPr>
              <w:ind w:left="0" w:right="0" w:firstLine="0"/>
              <w:jc w:val="both"/>
              <w:spacing w:before="60" w:after="6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3年完成及正在执行的合同中发生的由于投标人违约或部分违约而引起诉讼和受到索赔的案件具体情况及结果（须如实填写，若对此进行隐瞒，而后又被采购人或采购代理机构发现，或被他人举证成立，其投标资格将被取消）。</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jc w:val="both"/>
              <w:spacing w:before="60" w:after="6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如有名称变更（非因该单位出现了与资格预审（如果经此程序）时的营业性质的根本改变以至不再满足本次招标的要求），说明原名称因何种原因变更为现名称，并提供由工商管理部门出具的变更证明文件。</w:t>
            </w:r>
            <w:r/>
          </w:p>
        </w:tc>
      </w:tr>
      <w:tr>
        <w:trPr>
          <w:trHeight w:val="2006"/>
        </w:trPr>
        <w:tc>
          <w:tcPr>
            <w:vMerge w:val="continue"/>
            <w:textDirection w:val="lrTb"/>
            <w:noWrap w:val="false"/>
          </w:tcPr>
          <w:p>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2" w:type="dxa"/>
            <w:vAlign w:val="center"/>
            <w:textDirection w:val="lrTb"/>
            <w:noWrap w:val="false"/>
          </w:tcPr>
          <w:p>
            <w:pPr>
              <w:ind w:left="0" w:right="0" w:firstLine="0"/>
              <w:jc w:val="both"/>
              <w:spacing w:before="0" w:after="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jc w:val="both"/>
              <w:spacing w:before="0" w:after="0"/>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w:t>
      </w:r>
      <w:r>
        <w:rPr>
          <w:rFonts w:ascii="Times New Roman" w:hAnsi="Times New Roman" w:eastAsia="Times New Roman" w:cs="Times New Roman"/>
          <w:b/>
          <w:color w:val="000000"/>
          <w:sz w:val="24"/>
        </w:rPr>
        <w:t xml:space="preserve">7</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商务部分正负偏离表</w:t>
      </w:r>
      <w:r/>
    </w:p>
    <w:p>
      <w:pPr>
        <w:ind w:left="0" w:right="0" w:firstLine="0"/>
        <w:jc w:val="center"/>
        <w:spacing w:before="21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（由投标人据实填写，表格不够自行添加）</w:t>
      </w:r>
      <w:r/>
    </w:p>
    <w:tbl>
      <w:tblPr>
        <w:tblStyle w:val="85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01"/>
        <w:gridCol w:w="1701"/>
        <w:gridCol w:w="1701"/>
        <w:gridCol w:w="1701"/>
        <w:gridCol w:w="1701"/>
      </w:tblGrid>
      <w:tr>
        <w:trPr>
          <w:trHeight w:val="99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货物或服务名称</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招标文件要求的商务条款</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投标文件响应情况</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70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r>
      <w:tr>
        <w:trPr>
          <w:trHeight w:val="41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01"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8"/>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01"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01"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9"/>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701"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2"/>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投标人提交的投标文件中与招标文件第三部分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项目需求</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中的商务部分的要求，应逐条填列在偏离表中。</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偏离说明</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一栏选择</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正偏离</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无偏离</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负偏离</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进行填写。正偏离、无偏离的确认和负偏离的是否响应招标文件，由评委认定。</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投标人如果虚假响应，将被暂停参加采购人组织政府采购活动。</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投标人若提供其他增值服务，可以在表中自行据实填写。</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w:t>
      </w:r>
      <w:r>
        <w:rPr>
          <w:rFonts w:ascii="Times New Roman" w:hAnsi="Times New Roman" w:eastAsia="Times New Roman" w:cs="Times New Roman"/>
          <w:b/>
          <w:color w:val="000000"/>
          <w:sz w:val="24"/>
        </w:rPr>
        <w:t xml:space="preserve">8</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技术部分正负偏离表</w:t>
      </w:r>
      <w:r/>
    </w:p>
    <w:p>
      <w:pPr>
        <w:ind w:left="0" w:right="0" w:firstLine="0"/>
        <w:jc w:val="center"/>
        <w:spacing w:before="21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（由投标人据实填写，表格不够自行添加）</w:t>
      </w:r>
      <w:r/>
    </w:p>
    <w:tbl>
      <w:tblPr>
        <w:tblStyle w:val="85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01"/>
        <w:gridCol w:w="1701"/>
        <w:gridCol w:w="1701"/>
        <w:gridCol w:w="1701"/>
        <w:gridCol w:w="1701"/>
      </w:tblGrid>
      <w:tr>
        <w:trPr>
          <w:trHeight w:val="99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货物或服务名称</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招标文件要求的技术要求</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投标文件响应情况</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70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偏离说明及证明材料页码</w:t>
            </w:r>
            <w:r/>
          </w:p>
        </w:tc>
      </w:tr>
      <w:tr>
        <w:trPr>
          <w:trHeight w:val="41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01"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8"/>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01"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01"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9"/>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701"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2"/>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投标人提交的投标文件中与招标文件第三部分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项目需求</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中的技术部分的要求，应逐条填列在偏离表中。</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偏离说明</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一栏选择</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正偏离</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无偏离</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负偏离</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进行填写。正偏离、无偏离的确认和负偏离的是否响应招标文件，由评委认定。</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投标人如果虚假响应，将被暂停参加采购人组织政府采购活动。</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投标人若提供其他增值服务，可以在表中自行据实填写。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w:t>
      </w:r>
      <w:r>
        <w:rPr>
          <w:rFonts w:ascii="Times New Roman" w:hAnsi="Times New Roman" w:eastAsia="Times New Roman" w:cs="Times New Roman"/>
          <w:b/>
          <w:color w:val="000000"/>
          <w:sz w:val="24"/>
        </w:rPr>
        <w:t xml:space="preserve">9</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开标一览表</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投标人全称（加盖公章）：</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w:t>
      </w:r>
      <w:r/>
    </w:p>
    <w:tbl>
      <w:tblPr>
        <w:tblStyle w:val="85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52"/>
        <w:gridCol w:w="425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投标货物、服务名称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投标总报价</w:t>
            </w:r>
            <w:r/>
          </w:p>
        </w:tc>
      </w:tr>
      <w:tr>
        <w:trPr>
          <w:trHeight w:val="10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大写：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小写：元（人民币）</w:t>
            </w:r>
            <w:r/>
          </w:p>
        </w:tc>
      </w:tr>
    </w:tbl>
    <w:p>
      <w:pPr>
        <w:ind w:left="48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填写说明：</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开标一览表必须加盖投标单位公章（复印件无效）。</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如有分包，投标人投任何一个包的标的，都需单独填写开标一览表。</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每项货物、服务等只允许有一个报价，任何有选择的报价将不予接受，将作为无效投标文件处理。</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w:t>
      </w:r>
      <w:r>
        <w:rPr>
          <w:rFonts w:ascii="Times New Roman" w:hAnsi="Times New Roman" w:eastAsia="Times New Roman" w:cs="Times New Roman"/>
          <w:b/>
          <w:color w:val="000000"/>
          <w:sz w:val="24"/>
        </w:rPr>
        <w:t xml:space="preserve">10</w:t>
      </w:r>
      <w:r/>
    </w:p>
    <w:p>
      <w:pPr>
        <w:ind w:left="0" w:right="0" w:firstLine="480"/>
        <w:jc w:val="center"/>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分项报价明细表</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48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采购代理编号：</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包号：金额单位：人民币万元</w:t>
      </w:r>
      <w:r/>
    </w:p>
    <w:tbl>
      <w:tblPr>
        <w:tblStyle w:val="85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5"/>
        <w:gridCol w:w="945"/>
        <w:gridCol w:w="945"/>
        <w:gridCol w:w="945"/>
        <w:gridCol w:w="945"/>
        <w:gridCol w:w="945"/>
        <w:gridCol w:w="945"/>
        <w:gridCol w:w="945"/>
        <w:gridCol w:w="945"/>
      </w:tblGrid>
      <w:tr>
        <w:trPr>
          <w:trHeight w:val="6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制造商名称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55"/>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4" w:type="dxa"/>
            <w:vAlign w:val="top"/>
            <w:textDirection w:val="lrTb"/>
            <w:noWrap w:val="false"/>
          </w:tcPr>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本采购包中提供的符合本国产品标准的产品成本之和占该采购包提供的全部产品成本之和的比例为</w:t>
            </w:r>
            <w:r>
              <w:rPr>
                <w:rFonts w:ascii="Arial" w:hAnsi="Arial" w:eastAsia="Arial" w:cs="Arial"/>
                <w:color w:val="000000"/>
                <w:sz w:val="22"/>
                <w:u w:val="single"/>
              </w:rPr>
              <w:t xml:space="preserve">***</w:t>
            </w:r>
            <w:r>
              <w:rPr>
                <w:rFonts w:ascii="Arial" w:hAnsi="Arial" w:eastAsia="Arial" w:cs="Arial"/>
                <w:color w:val="000000"/>
                <w:sz w:val="22"/>
              </w:rPr>
              <w:t xml:space="preserve">%。</w:t>
            </w:r>
            <w:r/>
          </w:p>
        </w:tc>
      </w:tr>
    </w:tbl>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投标人授权代表（签字）：</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w:t>
      </w:r>
      <w:r/>
    </w:p>
    <w:p>
      <w:pPr>
        <w:ind w:left="0" w:right="0" w:firstLine="0"/>
        <w:jc w:val="both"/>
        <w:spacing w:before="240" w:after="12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分项报价表</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中</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合计</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金额应当与</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开标一览表</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中</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投标总价</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金额一致。</w:t>
      </w:r>
      <w:r/>
    </w:p>
    <w:p>
      <w:pPr>
        <w:ind w:left="0" w:right="0" w:firstLine="0"/>
        <w:jc w:val="both"/>
        <w:spacing w:before="240" w:after="12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本采购包中含有多种产品时，供应商未填写本采购包中提供的符合本国产品标准的产品成本之和占该采购包提供的全部产品成本之和的比例数值的，或比例数值未达到</w:t>
      </w:r>
      <w:r>
        <w:rPr>
          <w:rFonts w:ascii="Times New Roman" w:hAnsi="Times New Roman" w:eastAsia="Times New Roman" w:cs="Times New Roman"/>
          <w:color w:val="000000"/>
          <w:sz w:val="22"/>
        </w:rPr>
        <w:t xml:space="preserve">80%</w:t>
      </w:r>
      <w:r>
        <w:rPr>
          <w:rFonts w:ascii="SimSun" w:hAnsi="SimSun" w:eastAsia="SimSun" w:cs="SimSun"/>
          <w:color w:val="000000"/>
          <w:sz w:val="22"/>
        </w:rPr>
        <w:t xml:space="preserve">的，将不享受本国产品价格评审优惠。</w:t>
      </w:r>
      <w:r/>
    </w:p>
    <w:p>
      <w:pPr>
        <w:ind w:left="0" w:right="0" w:firstLine="0"/>
        <w:jc w:val="both"/>
        <w:spacing w:before="240" w:after="12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投标人需认真填写本报价表，尤其注意规格型号的准确填写。</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w:t>
      </w:r>
      <w:r>
        <w:rPr>
          <w:rFonts w:ascii="Times New Roman" w:hAnsi="Times New Roman" w:eastAsia="Times New Roman" w:cs="Times New Roman"/>
          <w:b/>
          <w:color w:val="000000"/>
          <w:sz w:val="24"/>
        </w:rPr>
        <w:t xml:space="preserve">11</w:t>
      </w:r>
      <w:r>
        <w:rPr>
          <w:rFonts w:ascii="SimSun" w:hAnsi="SimSun" w:eastAsia="SimSun" w:cs="SimSun"/>
          <w:b/>
          <w:color w:val="000000"/>
          <w:sz w:val="24"/>
        </w:rPr>
        <w:t xml:space="preserve">：</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质保期满后的备品备件明细表</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48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采购代理编号：</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包号：金额单位：人民币元</w:t>
      </w:r>
      <w:r/>
    </w:p>
    <w:tbl>
      <w:tblPr>
        <w:tblStyle w:val="85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8"/>
        <w:gridCol w:w="1635"/>
        <w:gridCol w:w="1319"/>
        <w:gridCol w:w="1155"/>
        <w:gridCol w:w="1155"/>
        <w:gridCol w:w="1155"/>
        <w:gridCol w:w="2205"/>
      </w:tblGrid>
      <w:tr>
        <w:trPr>
          <w:trHeight w:val="6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center"/>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5" w:firstLine="0"/>
              <w:jc w:val="center"/>
              <w:spacing w:before="0" w:after="0" w:line="499" w:lineRule="atLeast"/>
              <w:tabs>
                <w:tab w:val="left" w:pos="9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备品备件</w:t>
            </w:r>
            <w:r/>
          </w:p>
          <w:p>
            <w:pPr>
              <w:ind w:left="0" w:right="-5" w:firstLine="0"/>
              <w:jc w:val="center"/>
              <w:spacing w:before="0" w:after="0" w:line="499" w:lineRule="atLeast"/>
              <w:tabs>
                <w:tab w:val="left" w:pos="9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型号及规格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如外购请注明产地、制造商</w:t>
            </w:r>
            <w:r>
              <w:rPr>
                <w:rFonts w:ascii="Times New Roman" w:hAnsi="Times New Roman" w:eastAsia="Times New Roman" w:cs="Times New Roman"/>
                <w:color w:val="000000"/>
                <w:sz w:val="21"/>
              </w:rPr>
              <w:t xml:space="preserve">)</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5" w:type="dxa"/>
            <w:vAlign w:val="top"/>
            <w:textDirection w:val="lrTb"/>
            <w:noWrap w:val="false"/>
          </w:tcPr>
          <w:p>
            <w:pPr>
              <w:ind w:left="0" w:right="-5" w:firstLine="0"/>
              <w:jc w:val="both"/>
              <w:spacing w:before="0" w:after="0" w:line="499" w:lineRule="atLeast"/>
              <w:tabs>
                <w:tab w:val="left" w:pos="97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9"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5" w:type="dxa"/>
            <w:vAlign w:val="top"/>
            <w:textDirection w:val="lrTb"/>
            <w:noWrap w:val="false"/>
          </w:tcPr>
          <w:p>
            <w:pPr>
              <w:ind w:left="0" w:right="-5" w:firstLine="0"/>
              <w:jc w:val="both"/>
              <w:spacing w:before="0" w:after="0" w:line="499" w:lineRule="atLeast"/>
              <w:tabs>
                <w:tab w:val="left" w:pos="97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9"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5" w:type="dxa"/>
            <w:vAlign w:val="top"/>
            <w:textDirection w:val="lrTb"/>
            <w:noWrap w:val="false"/>
          </w:tcPr>
          <w:p>
            <w:pPr>
              <w:ind w:left="0" w:right="-5" w:firstLine="0"/>
              <w:jc w:val="both"/>
              <w:spacing w:before="0" w:after="0" w:line="499" w:lineRule="atLeast"/>
              <w:tabs>
                <w:tab w:val="left" w:pos="97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9"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5" w:type="dxa"/>
            <w:vAlign w:val="top"/>
            <w:textDirection w:val="lrTb"/>
            <w:noWrap w:val="false"/>
          </w:tcPr>
          <w:p>
            <w:pPr>
              <w:ind w:left="0" w:right="-5" w:firstLine="0"/>
              <w:jc w:val="both"/>
              <w:spacing w:before="0" w:after="0" w:line="499" w:lineRule="atLeast"/>
              <w:tabs>
                <w:tab w:val="left" w:pos="97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9"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5" w:type="dxa"/>
            <w:vAlign w:val="top"/>
            <w:textDirection w:val="lrTb"/>
            <w:noWrap w:val="false"/>
          </w:tcPr>
          <w:p>
            <w:pPr>
              <w:ind w:left="0" w:right="-5" w:firstLine="0"/>
              <w:jc w:val="both"/>
              <w:spacing w:before="0" w:after="0" w:line="499" w:lineRule="atLeast"/>
              <w:tabs>
                <w:tab w:val="left" w:pos="97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9"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5" w:type="dxa"/>
            <w:vAlign w:val="top"/>
            <w:textDirection w:val="lrTb"/>
            <w:noWrap w:val="false"/>
          </w:tcPr>
          <w:p>
            <w:pPr>
              <w:ind w:left="0" w:right="-5" w:firstLine="0"/>
              <w:jc w:val="both"/>
              <w:spacing w:before="0" w:after="0" w:line="499" w:lineRule="atLeast"/>
              <w:tabs>
                <w:tab w:val="left" w:pos="97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9"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5" w:type="dxa"/>
            <w:vAlign w:val="top"/>
            <w:textDirection w:val="lrTb"/>
            <w:noWrap w:val="false"/>
          </w:tcPr>
          <w:p>
            <w:pPr>
              <w:ind w:left="0" w:right="-5" w:firstLine="0"/>
              <w:jc w:val="both"/>
              <w:spacing w:before="0" w:after="0" w:line="499" w:lineRule="atLeast"/>
              <w:tabs>
                <w:tab w:val="left" w:pos="97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9"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5" w:type="dxa"/>
            <w:vAlign w:val="top"/>
            <w:textDirection w:val="lrTb"/>
            <w:noWrap w:val="false"/>
          </w:tcPr>
          <w:p>
            <w:pPr>
              <w:ind w:left="0" w:right="-5" w:firstLine="0"/>
              <w:jc w:val="both"/>
              <w:spacing w:before="0" w:after="0" w:line="499" w:lineRule="atLeast"/>
              <w:tabs>
                <w:tab w:val="left" w:pos="97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9"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5" w:type="dxa"/>
            <w:vAlign w:val="top"/>
            <w:textDirection w:val="lrTb"/>
            <w:noWrap w:val="false"/>
          </w:tcPr>
          <w:p>
            <w:pPr>
              <w:ind w:left="0" w:right="-5" w:firstLine="0"/>
              <w:jc w:val="both"/>
              <w:spacing w:before="0" w:after="0" w:line="499" w:lineRule="atLeast"/>
              <w:tabs>
                <w:tab w:val="left" w:pos="97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9"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bl>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投标人授权代表（签字）：</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w:t>
      </w:r>
      <w:r/>
    </w:p>
    <w:p>
      <w:pPr>
        <w:ind w:left="0" w:right="0" w:firstLine="0"/>
        <w:jc w:val="both"/>
        <w:spacing w:before="240" w:after="12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、投标人承诺的质保期内的所有备品备件均应包含在投标报价内，无论是否在分项报价明细表中单列，采购人均不额外付费。</w:t>
      </w:r>
      <w:r/>
    </w:p>
    <w:p>
      <w:pPr>
        <w:ind w:left="0" w:right="0" w:firstLine="0"/>
        <w:jc w:val="both"/>
        <w:spacing w:before="240" w:after="12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、如所投产品不涉及备品备件，可在投标文件中将本表空置。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w:t>
      </w:r>
      <w:r>
        <w:rPr>
          <w:rFonts w:ascii="Times New Roman" w:hAnsi="Times New Roman" w:eastAsia="Times New Roman" w:cs="Times New Roman"/>
          <w:b/>
          <w:color w:val="000000"/>
          <w:sz w:val="24"/>
        </w:rPr>
        <w:t xml:space="preserve">12</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中小企业声明函（货物）</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 </w:t>
      </w:r>
      <w:r>
        <w:rPr>
          <w:rFonts w:ascii="SimSun" w:hAnsi="SimSun" w:eastAsia="SimSun" w:cs="SimSun"/>
          <w:color w:val="000000"/>
          <w:sz w:val="24"/>
        </w:rPr>
        <w:t xml:space="preserve">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采购活动，提供的货物全部由符合政策要求的中小企业制造。相关企业（含联合体中的中小企业、签订分包意向协议的中小企业）的具体情况如下：</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（标的名称）</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，属于</w:t>
      </w:r>
      <w:r>
        <w:rPr>
          <w:rFonts w:ascii="SimSun" w:hAnsi="SimSun" w:eastAsia="SimSun" w:cs="SimSun"/>
          <w:color w:val="000000"/>
          <w:sz w:val="24"/>
          <w:u w:val="single"/>
        </w:rPr>
        <w:t xml:space="preserve">（工业）</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中型企业、</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小型企业、</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微型企业</w:t>
      </w:r>
      <w:r>
        <w:rPr>
          <w:rFonts w:ascii="SimSun" w:hAnsi="SimSun" w:eastAsia="SimSun" w:cs="SimSun"/>
          <w:color w:val="000000"/>
          <w:sz w:val="24"/>
        </w:rPr>
        <w:t xml:space="preserve">；</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（标的名称）</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，属于</w:t>
      </w:r>
      <w:r>
        <w:rPr>
          <w:rFonts w:ascii="SimSun" w:hAnsi="SimSun" w:eastAsia="SimSun" w:cs="SimSun"/>
          <w:color w:val="000000"/>
          <w:sz w:val="24"/>
          <w:u w:val="single"/>
        </w:rPr>
        <w:t xml:space="preserve">（工业）</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，从业人员人，营业收入为万元，资产总额为万元，属于</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中型企业、</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小型企业、</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微型企业）</w:t>
      </w:r>
      <w:r>
        <w:rPr>
          <w:rFonts w:ascii="SimSun" w:hAnsi="SimSun" w:eastAsia="SimSun" w:cs="SimSun"/>
          <w:color w:val="000000"/>
          <w:sz w:val="24"/>
        </w:rPr>
        <w:t xml:space="preserve">；</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80"/>
        <w:jc w:val="right"/>
        <w:spacing w:before="240" w:after="120" w:line="360" w:lineRule="atLeast"/>
        <w:tabs>
          <w:tab w:val="left" w:pos="70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投标人或制造商名称（盖章）：</w:t>
      </w:r>
      <w:r/>
    </w:p>
    <w:p>
      <w:pPr>
        <w:ind w:left="0" w:right="0" w:firstLine="6000"/>
        <w:jc w:val="both"/>
        <w:spacing w:before="240" w:after="120" w:line="360" w:lineRule="atLeast"/>
        <w:tabs>
          <w:tab w:val="left" w:pos="70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从业人员、营业收入、资产总额填报上一年度数据，无上一年度数据的新成立企业可不填报。专门面向中小微型企业采购的项目，供应商如不提供此声明函，则不能通过资格审查；非专门面向中小微型企业采购的项目，供应商如不提供此声明函，价格将不做相应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供应商应对照《工业和信息化部、国家统计局、国家发展和改革委员会、财政部关于印发中小企业划型标准规定的通知》</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工信部联企业〔</w:t>
      </w:r>
      <w:r>
        <w:rPr>
          <w:rFonts w:ascii="Times New Roman" w:hAnsi="Times New Roman" w:eastAsia="Times New Roman" w:cs="Times New Roman"/>
          <w:color w:val="000000"/>
          <w:sz w:val="21"/>
        </w:rPr>
        <w:t xml:space="preserve">2011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《国家统计局关于印发〈统计上大中小微型企业划分办法（</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）〉的通知》（国统字〔</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213</w:t>
      </w:r>
      <w:r>
        <w:rPr>
          <w:rFonts w:ascii="SimSun" w:hAnsi="SimSun" w:eastAsia="SimSun" w:cs="SimSun"/>
          <w:color w:val="000000"/>
          <w:sz w:val="21"/>
        </w:rPr>
        <w:t xml:space="preserve">号）的规定，自行勾选制造商的企业规模类型。</w:t>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w:t>
      </w:r>
      <w:r>
        <w:rPr>
          <w:rFonts w:ascii="Times New Roman" w:hAnsi="Times New Roman" w:eastAsia="Times New Roman" w:cs="Times New Roman"/>
          <w:b/>
          <w:color w:val="000000"/>
          <w:sz w:val="24"/>
        </w:rPr>
        <w:t xml:space="preserve">13</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民政部</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中国残疾人联合会关于促进残疾人就业政府采购政策的通知》（财库〔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号）的规定，本单位为符合条件的残疾人福利性单位，且本单位参加</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单位的项目编号为</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的</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项目采购活动提供本单位制造的货物（由本单位承担工程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提供服务），或者提供其他残疾人福利性单位制造的货物（不包括使用非残疾人福利性单位注册商标的货物）。</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58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584"/>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专门面向中小微型企业采购的项目，供应商为残疾人福利性单位并提供本单位制造的货物，或者提供其他残疾人福利性单位制造的货物，必须提供此声明函，否则将不能通过资格审查。</w:t>
      </w:r>
      <w:r/>
    </w:p>
    <w:p>
      <w:pPr>
        <w:ind w:left="0" w:right="0" w:firstLine="584"/>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非专门面向中小微型企业采购的项目，供应商如不提供此声明函，价格将不做相应扣除。</w:t>
      </w:r>
      <w:r/>
    </w:p>
    <w:p>
      <w:pPr>
        <w:ind w:left="0" w:right="0" w:firstLine="584"/>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中标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成交供应商为残疾人福利性单位的，此声明函将随中标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成交结果同时公告，接受社会监督</w:t>
      </w:r>
      <w:r/>
    </w:p>
    <w:p>
      <w:pPr>
        <w:ind w:left="0" w:right="0" w:firstLine="58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 </w:t>
      </w:r>
      <w:r/>
    </w:p>
    <w:p>
      <w:pPr>
        <w:ind w:left="0" w:right="0" w:firstLine="58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 </w:t>
      </w:r>
      <w:r/>
    </w:p>
    <w:p>
      <w:pPr>
        <w:ind w:left="0" w:right="1560" w:firstLine="584"/>
        <w:jc w:val="center"/>
        <w:spacing w:before="0" w:after="12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rPr>
          <w:rFonts w:ascii="SimSun" w:hAnsi="SimSun" w:eastAsia="SimSun" w:cs="SimSun"/>
          <w:color w:val="000000"/>
          <w:sz w:val="24"/>
        </w:rPr>
        <w:t xml:space="preserve">           供应商全称（盖章）：</w:t>
      </w:r>
      <w:r/>
    </w:p>
    <w:p>
      <w:pPr>
        <w:ind w:left="0" w:right="1560" w:firstLine="560"/>
        <w:jc w:val="center"/>
        <w:spacing w:before="0" w:after="12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附件14</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关于符合本国产品标准的声明函</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71500" cy="14287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62416" name=""/>
                        <pic:cNvPicPr>
                          <a:picLocks noChangeAspect="1"/>
                        </pic:cNvPicPr>
                        <pic:nvPr/>
                      </pic:nvPicPr>
                      <pic:blipFill>
                        <a:blip/>
                        <a:stretch/>
                      </pic:blipFill>
                      <pic:spPr bwMode="auto">
                        <a:xfrm>
                          <a:off x="0" y="0"/>
                          <a:ext cx="571500"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5.0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09550" cy="11430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652814" name=""/>
                        <pic:cNvPicPr>
                          <a:picLocks noChangeAspect="1"/>
                        </pic:cNvPicPr>
                        <pic:nvPr/>
                      </pic:nvPicPr>
                      <pic:blipFill>
                        <a:blip/>
                        <a:stretch/>
                      </pic:blipFill>
                      <pic:spPr bwMode="auto">
                        <a:xfrm>
                          <a:off x="0" y="0"/>
                          <a:ext cx="2095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5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161925"/>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954126" name=""/>
                        <pic:cNvPicPr>
                          <a:picLocks noChangeAspect="1"/>
                        </pic:cNvPicPr>
                        <pic:nvPr/>
                      </pic:nvPicPr>
                      <pic:blipFill>
                        <a:blip/>
                        <a:stretch/>
                      </pic:blipFill>
                      <pic:spPr bwMode="auto">
                        <a:xfrm>
                          <a:off x="0" y="0"/>
                          <a:ext cx="819149"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4.5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371475" cy="11430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830599" name=""/>
                        <pic:cNvPicPr>
                          <a:picLocks noChangeAspect="1"/>
                        </pic:cNvPicPr>
                        <pic:nvPr/>
                      </pic:nvPicPr>
                      <pic:blipFill>
                        <a:blip/>
                        <a:stretch/>
                      </pic:blipFill>
                      <pic:spPr bwMode="auto">
                        <a:xfrm>
                          <a:off x="0" y="0"/>
                          <a:ext cx="371475"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9.2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81025" cy="10477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382651" name=""/>
                        <pic:cNvPicPr>
                          <a:picLocks noChangeAspect="1"/>
                        </pic:cNvPicPr>
                        <pic:nvPr/>
                      </pic:nvPicPr>
                      <pic:blipFill>
                        <a:blip/>
                        <a:stretch/>
                      </pic:blipFill>
                      <pic:spPr bwMode="auto">
                        <a:xfrm>
                          <a:off x="0" y="0"/>
                          <a:ext cx="581024"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5.8pt;height:8.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85825" cy="133350"/>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825658" name=""/>
                        <pic:cNvPicPr>
                          <a:picLocks noChangeAspect="1"/>
                        </pic:cNvPicPr>
                        <pic:nvPr/>
                      </pic:nvPicPr>
                      <pic:blipFill>
                        <a:blip/>
                        <a:stretch/>
                      </pic:blipFill>
                      <pic:spPr bwMode="auto">
                        <a:xfrm>
                          <a:off x="0" y="0"/>
                          <a:ext cx="885825"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9.8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114300"/>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452060" name=""/>
                        <pic:cNvPicPr>
                          <a:picLocks noChangeAspect="1"/>
                        </pic:cNvPicPr>
                        <pic:nvPr/>
                      </pic:nvPicPr>
                      <pic:blipFill>
                        <a:blip/>
                        <a:stretch/>
                      </pic:blipFill>
                      <pic:spPr bwMode="auto">
                        <a:xfrm>
                          <a:off x="0" y="0"/>
                          <a:ext cx="8191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4.5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85725"/>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407482" name=""/>
                        <pic:cNvPicPr>
                          <a:picLocks noChangeAspect="1"/>
                        </pic:cNvPicPr>
                        <pic:nvPr/>
                      </pic:nvPicPr>
                      <pic:blipFill>
                        <a:blip/>
                        <a:stretch/>
                      </pic:blipFill>
                      <pic:spPr bwMode="auto">
                        <a:xfrm>
                          <a:off x="0" y="0"/>
                          <a:ext cx="819149"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4.5pt;height:6.8pt;mso-wrap-distance-left:0.0pt;mso-wrap-distance-top:0.0pt;mso-wrap-distance-right:0.0pt;mso-wrap-distance-bottom:0.0pt;" stroked="false">
                <v:path textboxrect="0,0,0,0"/>
              </v:shape>
            </w:pict>
          </mc:Fallback>
        </mc:AlternateContent>
      </w:r>
      <w:r>
        <w:rPr>
          <w:rFonts w:ascii="Arial" w:hAnsi="Arial" w:eastAsia="Arial" w:cs="Arial"/>
          <w:color w:val="000000"/>
          <w:sz w:val="24"/>
          <w:highlight w:val="white"/>
        </w:rPr>
        <w:t xml:space="preserve">1.</w:t>
      </w:r>
      <w:r>
        <w:rPr>
          <w:rFonts w:ascii="Arial" w:hAnsi="Arial" w:eastAsia="Arial" w:cs="Arial"/>
          <w:color w:val="000000"/>
          <w:sz w:val="24"/>
          <w:highlight w:val="white"/>
          <w:u w:val="single"/>
        </w:rPr>
        <w:t xml:space="preserve">（产品名称1）</w:t>
      </w:r>
      <w:r>
        <w:rPr>
          <w:rFonts w:ascii="Arial" w:hAnsi="Arial" w:eastAsia="Arial" w:cs="Arial"/>
          <w:color w:val="000000"/>
          <w:sz w:val="20"/>
          <w:highlight w:val="white"/>
          <w:vertAlign w:val="superscript"/>
        </w:rPr>
        <w:t xml:space="preserve">1</w:t>
      </w:r>
      <w:r>
        <w:rPr>
          <w:rFonts w:ascii="Arial" w:hAnsi="Arial" w:eastAsia="Arial" w:cs="Arial"/>
          <w:color w:val="000000"/>
          <w:sz w:val="24"/>
          <w:highlight w:val="white"/>
        </w:rPr>
        <w:t xml:space="preserve">，生产厂为</w:t>
      </w:r>
      <w:r>
        <w:rPr>
          <w:rFonts w:ascii="Arial" w:hAnsi="Arial" w:eastAsia="Arial" w:cs="Arial"/>
          <w:color w:val="000000"/>
          <w:sz w:val="24"/>
          <w:highlight w:val="white"/>
          <w:u w:val="single"/>
        </w:rPr>
        <w:t xml:space="preserve">（厂名）</w:t>
      </w:r>
      <w:r>
        <w:rPr>
          <w:rFonts w:ascii="Arial" w:hAnsi="Arial" w:eastAsia="Arial" w:cs="Arial"/>
          <w:color w:val="000000"/>
          <w:sz w:val="20"/>
          <w:highlight w:val="white"/>
          <w:vertAlign w:val="superscript"/>
        </w:rPr>
        <w:t xml:space="preserve">2</w:t>
      </w:r>
      <w:r>
        <w:rPr>
          <w:rFonts w:ascii="Arial" w:hAnsi="Arial" w:eastAsia="Arial" w:cs="Arial"/>
          <w:color w:val="000000"/>
          <w:sz w:val="24"/>
          <w:highlight w:val="white"/>
        </w:rPr>
        <w:t xml:space="preserve">，厂址为</w:t>
      </w:r>
      <w:r>
        <w:rPr>
          <w:rFonts w:ascii="Arial" w:hAnsi="Arial" w:eastAsia="Arial" w:cs="Arial"/>
          <w:color w:val="000000"/>
          <w:sz w:val="24"/>
          <w:highlight w:val="white"/>
          <w:u w:val="single"/>
        </w:rPr>
        <w:t xml:space="preserve">（生产厂址）</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 （产品名称1） </w:t>
      </w:r>
      <w:r>
        <w:rPr>
          <w:rFonts w:ascii="Arial" w:hAnsi="Arial" w:eastAsia="Arial" w:cs="Arial"/>
          <w:color w:val="000000"/>
          <w:sz w:val="24"/>
          <w:highlight w:val="white"/>
        </w:rPr>
        <w:t xml:space="preserve">的中国境内生产的组件成本占比≥</w:t>
      </w:r>
      <w:r>
        <w:rPr>
          <w:rFonts w:ascii="Arial" w:hAnsi="Arial" w:eastAsia="Arial" w:cs="Arial"/>
          <w:color w:val="000000"/>
          <w:sz w:val="24"/>
          <w:highlight w:val="white"/>
          <w:u w:val="single"/>
        </w:rPr>
        <w:t xml:space="preserve">（规定比例）</w:t>
      </w:r>
      <w:r>
        <w:rPr>
          <w:rFonts w:ascii="Arial" w:hAnsi="Arial" w:eastAsia="Arial" w:cs="Arial"/>
          <w:color w:val="000000"/>
          <w:sz w:val="20"/>
          <w:highlight w:val="white"/>
          <w:vertAlign w:val="superscript"/>
        </w:rPr>
        <w:t xml:space="preserve">3</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（产品名称1）</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（关键组件）</w:t>
      </w:r>
      <w:r>
        <w:rPr>
          <w:rFonts w:ascii="Arial" w:hAnsi="Arial" w:eastAsia="Arial" w:cs="Arial"/>
          <w:color w:val="000000"/>
          <w:sz w:val="20"/>
          <w:highlight w:val="white"/>
          <w:vertAlign w:val="superscript"/>
        </w:rPr>
        <w:t xml:space="preserve">4</w:t>
      </w:r>
      <w:r>
        <w:rPr>
          <w:rFonts w:ascii="Arial" w:hAnsi="Arial" w:eastAsia="Arial" w:cs="Arial"/>
          <w:color w:val="000000"/>
          <w:sz w:val="24"/>
          <w:highlight w:val="white"/>
        </w:rPr>
        <w:t xml:space="preserve">在中国境内生产。</w:t>
      </w:r>
      <w:r>
        <w:rPr>
          <w:rFonts w:ascii="Arial" w:hAnsi="Arial" w:eastAsia="Arial" w:cs="Arial"/>
          <w:color w:val="000000"/>
          <w:sz w:val="24"/>
          <w:highlight w:val="white"/>
          <w:u w:val="single"/>
        </w:rPr>
        <w:t xml:space="preserve">（产品名称1）</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（关键工序）</w:t>
      </w:r>
      <w:r>
        <w:rPr>
          <w:rFonts w:ascii="Arial" w:hAnsi="Arial" w:eastAsia="Arial" w:cs="Arial"/>
          <w:color w:val="000000"/>
          <w:sz w:val="20"/>
          <w:highlight w:val="white"/>
          <w:vertAlign w:val="superscript"/>
        </w:rPr>
        <w:t xml:space="preserve">5</w:t>
      </w:r>
      <w:r>
        <w:rPr>
          <w:rFonts w:ascii="Arial" w:hAnsi="Arial" w:eastAsia="Arial" w:cs="Arial"/>
          <w:color w:val="00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66725" cy="161925"/>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576656" name=""/>
                        <pic:cNvPicPr>
                          <a:picLocks noChangeAspect="1"/>
                        </pic:cNvPicPr>
                        <pic:nvPr/>
                      </pic:nvPicPr>
                      <pic:blipFill>
                        <a:blip/>
                        <a:stretch/>
                      </pic:blipFill>
                      <pic:spPr bwMode="auto">
                        <a:xfrm>
                          <a:off x="0" y="0"/>
                          <a:ext cx="466724"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6.8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428625" cy="123825"/>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470016" name=""/>
                        <pic:cNvPicPr>
                          <a:picLocks noChangeAspect="1"/>
                        </pic:cNvPicPr>
                        <pic:nvPr/>
                      </pic:nvPicPr>
                      <pic:blipFill>
                        <a:blip/>
                        <a:stretch/>
                      </pic:blipFill>
                      <pic:spPr bwMode="auto">
                        <a:xfrm>
                          <a:off x="0" y="0"/>
                          <a:ext cx="428625"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33.8pt;height: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38125" cy="104775"/>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132846" name=""/>
                        <pic:cNvPicPr>
                          <a:picLocks noChangeAspect="1"/>
                        </pic:cNvPicPr>
                        <pic:nvPr/>
                      </pic:nvPicPr>
                      <pic:blipFill>
                        <a:blip/>
                        <a:stretch/>
                      </pic:blipFill>
                      <pic:spPr bwMode="auto">
                        <a:xfrm>
                          <a:off x="0" y="0"/>
                          <a:ext cx="238124"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8.8pt;height:8.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23900" cy="114300"/>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523445" name=""/>
                        <pic:cNvPicPr>
                          <a:picLocks noChangeAspect="1"/>
                        </pic:cNvPicPr>
                        <pic:nvPr/>
                      </pic:nvPicPr>
                      <pic:blipFill>
                        <a:blip/>
                        <a:stretch/>
                      </pic:blipFill>
                      <pic:spPr bwMode="auto">
                        <a:xfrm>
                          <a:off x="0" y="0"/>
                          <a:ext cx="7238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57.0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14400" cy="152400"/>
                <wp:effectExtent l="0" t="0" r="0" b="0"/>
                <wp:docPr id="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927103" name=""/>
                        <pic:cNvPicPr>
                          <a:picLocks noChangeAspect="1"/>
                        </pic:cNvPicPr>
                        <pic:nvPr/>
                      </pic:nvPicPr>
                      <pic:blipFill>
                        <a:blip/>
                        <a:stretch/>
                      </pic:blipFill>
                      <pic:spPr bwMode="auto">
                        <a:xfrm>
                          <a:off x="0" y="0"/>
                          <a:ext cx="914400"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2.0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28675" cy="114300"/>
                <wp:effectExtent l="0" t="0" r="0" b="0"/>
                <wp:docPr id="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848102" name=""/>
                        <pic:cNvPicPr>
                          <a:picLocks noChangeAspect="1"/>
                        </pic:cNvPicPr>
                        <pic:nvPr/>
                      </pic:nvPicPr>
                      <pic:blipFill>
                        <a:blip/>
                        <a:stretch/>
                      </pic:blipFill>
                      <pic:spPr bwMode="auto">
                        <a:xfrm>
                          <a:off x="0" y="0"/>
                          <a:ext cx="828675"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65.2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0" cy="133350"/>
                <wp:effectExtent l="0" t="0" r="0" b="0"/>
                <wp:docPr id="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366875" name=""/>
                        <pic:cNvPicPr>
                          <a:picLocks noChangeAspect="1"/>
                        </pic:cNvPicPr>
                        <pic:nvPr/>
                      </pic:nvPicPr>
                      <pic:blipFill>
                        <a:blip/>
                        <a:stretch/>
                      </pic:blipFill>
                      <pic:spPr bwMode="auto">
                        <a:xfrm>
                          <a:off x="0" y="0"/>
                          <a:ext cx="857250"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67.5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47725" cy="142875"/>
                <wp:effectExtent l="0" t="0" r="0" b="0"/>
                <wp:docPr id="1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67663" name=""/>
                        <pic:cNvPicPr>
                          <a:picLocks noChangeAspect="1"/>
                        </pic:cNvPicPr>
                        <pic:nvPr/>
                      </pic:nvPicPr>
                      <pic:blipFill>
                        <a:blip/>
                        <a:stretch/>
                      </pic:blipFill>
                      <pic:spPr bwMode="auto">
                        <a:xfrm>
                          <a:off x="0" y="0"/>
                          <a:ext cx="847724"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66.8pt;height:11.2pt;mso-wrap-distance-left:0.0pt;mso-wrap-distance-top:0.0pt;mso-wrap-distance-right:0.0pt;mso-wrap-distance-bottom:0.0pt;" stroked="false">
                <v:path textboxrect="0,0,0,0"/>
              </v:shape>
            </w:pict>
          </mc:Fallback>
        </mc:AlternateContent>
      </w:r>
      <w:r>
        <w:rPr>
          <w:rFonts w:ascii="Arial" w:hAnsi="Arial" w:eastAsia="Arial" w:cs="Arial"/>
          <w:color w:val="000000"/>
          <w:sz w:val="24"/>
          <w:highlight w:val="white"/>
        </w:rPr>
        <w:t xml:space="preserve">2.</w:t>
      </w:r>
      <w:r>
        <w:rPr>
          <w:rFonts w:ascii="Arial" w:hAnsi="Arial" w:eastAsia="Arial" w:cs="Arial"/>
          <w:color w:val="000000"/>
          <w:sz w:val="24"/>
          <w:highlight w:val="white"/>
          <w:u w:val="single"/>
        </w:rPr>
        <w:t xml:space="preserve">（产品名称2）</w:t>
      </w:r>
      <w:r>
        <w:rPr>
          <w:rFonts w:ascii="Arial" w:hAnsi="Arial" w:eastAsia="Arial" w:cs="Arial"/>
          <w:color w:val="000000"/>
          <w:sz w:val="24"/>
          <w:highlight w:val="white"/>
        </w:rPr>
        <w:t xml:space="preserve">，生产厂为</w:t>
      </w:r>
      <w:r>
        <w:rPr>
          <w:rFonts w:ascii="Arial" w:hAnsi="Arial" w:eastAsia="Arial" w:cs="Arial"/>
          <w:color w:val="000000"/>
          <w:sz w:val="24"/>
          <w:highlight w:val="white"/>
          <w:u w:val="single"/>
        </w:rPr>
        <w:t xml:space="preserve">（厂名）</w:t>
      </w:r>
      <w:r>
        <w:rPr>
          <w:rFonts w:ascii="Arial" w:hAnsi="Arial" w:eastAsia="Arial" w:cs="Arial"/>
          <w:color w:val="000000"/>
          <w:sz w:val="24"/>
          <w:highlight w:val="white"/>
        </w:rPr>
        <w:t xml:space="preserve">，厂址为</w:t>
      </w:r>
      <w:r>
        <w:rPr>
          <w:rFonts w:ascii="Arial" w:hAnsi="Arial" w:eastAsia="Arial" w:cs="Arial"/>
          <w:color w:val="000000"/>
          <w:sz w:val="24"/>
          <w:highlight w:val="white"/>
          <w:u w:val="single"/>
        </w:rPr>
        <w:t xml:space="preserve">（生产厂址）</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（产品名称2）</w:t>
      </w:r>
      <w:r>
        <w:rPr>
          <w:rFonts w:ascii="Arial" w:hAnsi="Arial" w:eastAsia="Arial" w:cs="Arial"/>
          <w:color w:val="000000"/>
          <w:sz w:val="24"/>
          <w:highlight w:val="white"/>
        </w:rPr>
        <w:t xml:space="preserve">的中国境内生产的组件成本占比≥</w:t>
      </w:r>
      <w:r>
        <w:rPr>
          <w:rFonts w:ascii="Arial" w:hAnsi="Arial" w:eastAsia="Arial" w:cs="Arial"/>
          <w:color w:val="000000"/>
          <w:sz w:val="24"/>
          <w:highlight w:val="white"/>
          <w:u w:val="single"/>
        </w:rPr>
        <w:t xml:space="preserve">（规定比例）</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（产品名称2）</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（关键组件）</w:t>
      </w:r>
      <w:r>
        <w:rPr>
          <w:rFonts w:ascii="Arial" w:hAnsi="Arial" w:eastAsia="Arial" w:cs="Arial"/>
          <w:color w:val="000000"/>
          <w:sz w:val="24"/>
          <w:highlight w:val="white"/>
        </w:rPr>
        <w:t xml:space="preserve">在中国境内生产。</w:t>
      </w:r>
      <w:r>
        <w:rPr>
          <w:rFonts w:ascii="Arial" w:hAnsi="Arial" w:eastAsia="Arial" w:cs="Arial"/>
          <w:color w:val="000000"/>
          <w:sz w:val="24"/>
          <w:highlight w:val="white"/>
          <w:u w:val="single"/>
        </w:rPr>
        <w:t xml:space="preserve">（产品名称1）</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（关键工序）</w:t>
      </w:r>
      <w:r>
        <w:rPr>
          <w:rFonts w:ascii="Arial" w:hAnsi="Arial" w:eastAsia="Arial" w:cs="Arial"/>
          <w:color w:val="00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本公司（单位）对上述声明内容的真实性负责。如有虚假，愿承担相应法律责任。</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480" w:firstLine="372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公司（单位）名称（盖章）：　</w:t>
      </w:r>
      <w:r/>
    </w:p>
    <w:p>
      <w:pPr>
        <w:ind w:left="0" w:right="0" w:firstLine="0"/>
        <w:jc w:val="center"/>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                                日期：　   年　  月　  日         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__________________</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1.产品如有型号，请在“产品名称”栏一并填写。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2.生产厂名与厂址应与生产厂营业执照载明的相关信息保持一致。</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3.该产品的中国境内生产的组件成本占比相关要求实施前，“规定比例”栏可不填，下同。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4.该产品的关键组件要求实施前，“关键组件”栏可不填，下同。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5.该产品的关键工序要求实施前，“关键工序”栏可不填，下同。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6.用斜线划除的地方无需填写。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w:t>
      </w:r>
      <w:r>
        <w:rPr>
          <w:rFonts w:ascii="Times New Roman" w:hAnsi="Times New Roman" w:eastAsia="Times New Roman" w:cs="Times New Roman"/>
          <w:b/>
          <w:color w:val="000000"/>
          <w:sz w:val="24"/>
        </w:rPr>
        <w:t xml:space="preserve">15</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监狱和戒毒企业证明材料</w:t>
      </w:r>
      <w:r/>
    </w:p>
    <w:p>
      <w:pPr>
        <w:ind w:left="0" w:right="0" w:firstLine="0"/>
        <w:jc w:val="center"/>
        <w:spacing w:before="21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（格式自拟）</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根据《财政部司法部关于政府采购支持监狱企业发展有关问题的通知》（财库〔</w:t>
      </w:r>
      <w:r>
        <w:rPr>
          <w:rFonts w:ascii="Times New Roman" w:hAnsi="Times New Roman" w:eastAsia="Times New Roman" w:cs="Times New Roman"/>
          <w:color w:val="000000"/>
          <w:sz w:val="24"/>
        </w:rPr>
        <w:t xml:space="preserve">2014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68</w:t>
      </w:r>
      <w:r>
        <w:rPr>
          <w:rFonts w:ascii="SimSun" w:hAnsi="SimSun" w:eastAsia="SimSun" w:cs="SimSun"/>
          <w:color w:val="000000"/>
          <w:sz w:val="24"/>
        </w:rPr>
        <w:t xml:space="preserve">号），监狱企业参加政府采购活动时，应当提供由省级以上监狱管理局、戒毒管理局（含新疆生产建设兵团）出具的，供应商属于监狱企业的证明文件。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w:t>
      </w:r>
      <w:r>
        <w:rPr>
          <w:rFonts w:ascii="Times New Roman" w:hAnsi="Times New Roman" w:eastAsia="Times New Roman" w:cs="Times New Roman"/>
          <w:b/>
          <w:color w:val="000000"/>
          <w:sz w:val="24"/>
        </w:rPr>
        <w:t xml:space="preserve">16</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办理政采贷和履约保函(保险)告知函</w:t>
      </w:r>
      <w:r/>
    </w:p>
    <w:p>
      <w:pPr>
        <w:ind w:left="0" w:right="0" w:firstLine="0"/>
        <w:jc w:val="both"/>
        <w:spacing w:before="240" w:after="12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各政府采购供应商</w:t>
      </w:r>
      <w:r>
        <w:rPr>
          <w:rFonts w:ascii="Times New Roman" w:hAnsi="Times New Roman" w:eastAsia="Times New Roman" w:cs="Times New Roman"/>
          <w:color w:val="000000"/>
          <w:sz w:val="24"/>
        </w:rPr>
        <w:t xml:space="preserve">:</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欢迎贵公司参与南通市政府采购活动</w:t>
      </w:r>
      <w:r>
        <w:rPr>
          <w:rFonts w:ascii="Times New Roman" w:hAnsi="Times New Roman" w:eastAsia="Times New Roman" w:cs="Times New Roman"/>
          <w:color w:val="000000"/>
          <w:sz w:val="24"/>
        </w:rPr>
        <w:t xml:space="preserve">!</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政府采购线上合同信用融资和履约保函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保险</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是支持企业发展，针对参与政府采购活动的企业融资难、现金流不足等问题推出的一项服务举措。</w:t>
      </w:r>
      <w:r/>
    </w:p>
    <w:p>
      <w:pPr>
        <w:ind w:left="0" w:right="0" w:firstLine="48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贵公司若成为本次政府采购项目的中标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成交</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供应商，可自愿选择履约保函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保险</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形式替代履约保证金，也可持政府采购合同在线向金融机构申请无抵押无担保贷款。第三方机构将根据《转发关于在全省政府采购领域推行电子履约保函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保险</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的通知》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通财购〔</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57</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和《关于深入开展南通市政府采购线上合同信用融资业务的通知》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通财购〔</w:t>
      </w:r>
      <w:r>
        <w:rPr>
          <w:rFonts w:ascii="Times New Roman" w:hAnsi="Times New Roman" w:eastAsia="Times New Roman" w:cs="Times New Roman"/>
          <w:color w:val="000000"/>
          <w:sz w:val="24"/>
        </w:rPr>
        <w:t xml:space="preserve">2022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68</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，按照双方自愿的原则提供便捷、优惠的服务。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w:t>
      </w:r>
      <w:r>
        <w:rPr>
          <w:rFonts w:ascii="Times New Roman" w:hAnsi="Times New Roman" w:eastAsia="Times New Roman" w:cs="Times New Roman"/>
          <w:b/>
          <w:color w:val="000000"/>
          <w:sz w:val="24"/>
        </w:rPr>
        <w:t xml:space="preserve">17</w:t>
      </w:r>
      <w:r/>
    </w:p>
    <w:p>
      <w:pPr>
        <w:pStyle w:val="797"/>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质疑函范本</w:t>
      </w:r>
      <w:r/>
    </w:p>
    <w:p>
      <w:pPr>
        <w:ind w:left="0" w:right="0" w:firstLine="0"/>
        <w:jc w:val="both"/>
        <w:spacing w:before="29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一、质疑供应商基本信息</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质疑供应商：</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地址：邮编：</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联系人：联系电话：</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授权代表：</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地址：邮编：</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二、质疑项目基本情况</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质疑项目的名称：</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质疑项目的编号：包号：</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采购人名称：</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采购文件获取日期：</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三、质疑事项具体内容</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质疑事项1：</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事实依据：</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法律依据：</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质疑事项2</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四、与质疑事项相关的质疑请求</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请求：</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签字(签章)：</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公章：</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质疑函制作说明：</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1.供应商提出质疑时，应提交质疑函和必要的证明材料。</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3.质疑供应商若对项目的某一分包进行质疑，质疑函中应列明具体分包号。</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4.质疑函的质疑事项应具体、明确，并有必要的事实依据和法律依据。</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5.质疑函的质疑请求应与质疑事项相关。</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erReference w:type="default" r:id="rId9"/>
      <w:footnotePr/>
      <w:endnotePr/>
      <w:type w:val="nextPage"/>
      <w:pgSz w:w="11906" w:h="16838" w:orient="portrait"/>
      <w:pgMar w:top="1440" w:right="1701" w:bottom="1440"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SimSun">
    <w:panose1 w:val="02010600030101010101"/>
  </w:font>
  <w:font w:name="汉仪雅酷黑简">
    <w:panose1 w:val="020B0503020202020204"/>
  </w:font>
  <w:font w:name="Cambria">
    <w:panose1 w:val="02040503050406030204"/>
  </w:font>
  <w:font w:name="方正黑体_GBK">
    <w:panose1 w:val="020B0503020202020204"/>
  </w:font>
  <w:font w:name="Miss Sweetie">
    <w:panose1 w:val="020B0503020202020204"/>
  </w:font>
  <w:font w:name="Wingdings">
    <w:panose1 w:val="05000000000000000000"/>
  </w:font>
  <w:font w:name="方正小标宋_GBK">
    <w:panose1 w:val="020B0503020202020204"/>
  </w:font>
  <w:font w:name="华文细黑">
    <w:panose1 w:val="02010600040101010101"/>
  </w:font>
  <w:font w:name="方正仿宋简体">
    <w:panose1 w:val="020B0503020202020204"/>
  </w:font>
  <w:font w:name="Tahoma">
    <w:panose1 w:val="020B0604030504040204"/>
  </w:font>
  <w:font w:name="Symbol">
    <w:panose1 w:val="05050102010706020507"/>
  </w:font>
  <w:font w:name="新宋体">
    <w:panose1 w:val="02010609030101010101"/>
  </w:font>
  <w:font w:name="等线">
    <w:panose1 w:val="02010600030101010101"/>
  </w:font>
  <w:font w:name="等线 Light">
    <w:panose1 w:val="02010600030101010101"/>
  </w:font>
  <w:font w:name="仿宋">
    <w:panose1 w:val="0201060906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楷体_GB2312">
    <w:panose1 w:val="02010609060101010101"/>
  </w:font>
  <w:font w:name="Bell MT">
    <w:panose1 w:val="02020503060305020303"/>
  </w:font>
  <w:font w:name="微软雅黑">
    <w:panose1 w:val="020B0503020204020204"/>
  </w:font>
  <w:font w:name="Helvetica Neue">
    <w:panose1 w:val="020B0503020202020204"/>
  </w:font>
  <w:font w:name="Calibri">
    <w:panose1 w:val="020F050202020403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3"/>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3"/>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5.%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2.%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upperLetter"/>
      <w:pStyle w:val="116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4.%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bullet"/>
      <w:pStyle w:val="1132"/>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26">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6.%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2.%1"/>
      <w:lvlJc w:val="left"/>
      <w:pPr>
        <w:ind w:left="15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tab"/>
      <w:lvlText w:val="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5.%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tab"/>
      <w:lvlText w:val="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chineseCounting"/>
      <w:isLgl w:val="false"/>
      <w:suff w:val="nothing"/>
      <w:lvlText w:val="（%1）"/>
      <w:lvlJc w:val="left"/>
      <w:pPr>
        <w:ind w:left="0" w:firstLine="4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tab"/>
      <w:lvlText w:val="7.%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tab"/>
      <w:lvlText w:val="4.%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pStyle w:val="117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3">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4"/>
      <w:numFmt w:val="japaneseCounting"/>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
      <w:isLgl w:val="false"/>
      <w:suff w:val="tab"/>
      <w:lvlText w:val="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
      <w:isLgl w:val="false"/>
      <w:suff w:val="tab"/>
      <w:lvlText w:val="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decimal"/>
      <w:isLgl w:val="false"/>
      <w:suff w:val="tab"/>
      <w:lvlText w:val="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decimal"/>
      <w:isLgl w:val="false"/>
      <w:suff w:val="tab"/>
      <w:lvlText w:val="5.%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5">
    <w:multiLevelType w:val="hybridMultilevel"/>
    <w:lvl w:ilvl="0">
      <w:start w:val="1"/>
      <w:numFmt w:val="decimal"/>
      <w:isLgl w:val="false"/>
      <w:suff w:val="tab"/>
      <w:lvlText w:val="%1."/>
      <w:lvlJc w:val="left"/>
      <w:pPr>
        <w:ind w:left="0" w:firstLine="48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6">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7">
    <w:multiLevelType w:val="hybridMultilevel"/>
    <w:lvl w:ilvl="0">
      <w:start w:val="1"/>
      <w:numFmt w:val="decimal"/>
      <w:isLgl w:val="false"/>
      <w:suff w:val="tab"/>
      <w:lvlText w:val="%1."/>
      <w:lvlJc w:val="left"/>
      <w:pPr>
        <w:ind w:left="0" w:firstLine="48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8">
    <w:multiLevelType w:val="hybridMultilevel"/>
    <w:lvl w:ilvl="0">
      <w:start w:val="1"/>
      <w:numFmt w:val="decimal"/>
      <w:isLgl w:val="false"/>
      <w:suff w:val="tab"/>
      <w:lvlText w:val="%1."/>
      <w:lvlJc w:val="left"/>
      <w:pPr>
        <w:ind w:left="0" w:firstLine="48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9">
    <w:multiLevelType w:val="hybridMultilevel"/>
    <w:lvl w:ilvl="0">
      <w:start w:val="1"/>
      <w:numFmt w:val="decimal"/>
      <w:isLgl w:val="false"/>
      <w:suff w:val="tab"/>
      <w:lvlText w:val="%1."/>
      <w:lvlJc w:val="left"/>
      <w:pPr>
        <w:ind w:left="0" w:firstLine="48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0">
    <w:multiLevelType w:val="hybridMultilevel"/>
    <w:lvl w:ilvl="0">
      <w:start w:val="1"/>
      <w:numFmt w:val="decimal"/>
      <w:isLgl w:val="false"/>
      <w:suff w:val="tab"/>
      <w:lvlText w:val="%1."/>
      <w:lvlJc w:val="left"/>
      <w:pPr>
        <w:ind w:left="0" w:firstLine="48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1">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25"/>
  </w:num>
  <w:num w:numId="2">
    <w:abstractNumId w:val="14"/>
  </w:num>
  <w:num w:numId="3">
    <w:abstractNumId w:val="42"/>
  </w:num>
  <w:num w:numId="4">
    <w:abstractNumId w:val="12"/>
  </w:num>
  <w:num w:numId="5">
    <w:abstractNumId w:val="8"/>
  </w:num>
  <w:num w:numId="6">
    <w:abstractNumId w:val="27"/>
  </w:num>
  <w:num w:numId="7">
    <w:abstractNumId w:val="21"/>
  </w:num>
  <w:num w:numId="8">
    <w:abstractNumId w:val="16"/>
  </w:num>
  <w:num w:numId="9">
    <w:abstractNumId w:val="26"/>
  </w:num>
  <w:num w:numId="10">
    <w:abstractNumId w:val="3"/>
  </w:num>
  <w:num w:numId="11">
    <w:abstractNumId w:val="32"/>
  </w:num>
  <w:num w:numId="12">
    <w:abstractNumId w:val="43"/>
  </w:num>
  <w:num w:numId="13">
    <w:abstractNumId w:val="49"/>
  </w:num>
  <w:num w:numId="14">
    <w:abstractNumId w:val="13"/>
  </w:num>
  <w:num w:numId="15">
    <w:abstractNumId w:val="22"/>
  </w:num>
  <w:num w:numId="16">
    <w:abstractNumId w:val="31"/>
  </w:num>
  <w:num w:numId="17">
    <w:abstractNumId w:val="19"/>
  </w:num>
  <w:num w:numId="18">
    <w:abstractNumId w:val="18"/>
  </w:num>
  <w:num w:numId="19">
    <w:abstractNumId w:val="6"/>
  </w:num>
  <w:num w:numId="20">
    <w:abstractNumId w:val="38"/>
  </w:num>
  <w:num w:numId="21">
    <w:abstractNumId w:val="45"/>
  </w:num>
  <w:num w:numId="22">
    <w:abstractNumId w:val="29"/>
  </w:num>
  <w:num w:numId="23">
    <w:abstractNumId w:val="37"/>
  </w:num>
  <w:num w:numId="24">
    <w:abstractNumId w:val="7"/>
  </w:num>
  <w:num w:numId="25">
    <w:abstractNumId w:val="52"/>
  </w:num>
  <w:num w:numId="26">
    <w:abstractNumId w:val="50"/>
  </w:num>
  <w:num w:numId="27">
    <w:abstractNumId w:val="11"/>
  </w:num>
  <w:num w:numId="28">
    <w:abstractNumId w:val="46"/>
  </w:num>
  <w:num w:numId="29">
    <w:abstractNumId w:val="4"/>
  </w:num>
  <w:num w:numId="30">
    <w:abstractNumId w:val="36"/>
  </w:num>
  <w:num w:numId="31">
    <w:abstractNumId w:val="2"/>
  </w:num>
  <w:num w:numId="32">
    <w:abstractNumId w:val="41"/>
  </w:num>
  <w:num w:numId="33">
    <w:abstractNumId w:val="53"/>
  </w:num>
  <w:num w:numId="34">
    <w:abstractNumId w:val="0"/>
  </w:num>
  <w:num w:numId="35">
    <w:abstractNumId w:val="30"/>
  </w:num>
  <w:num w:numId="36">
    <w:abstractNumId w:val="40"/>
  </w:num>
  <w:num w:numId="37">
    <w:abstractNumId w:val="23"/>
  </w:num>
  <w:num w:numId="38">
    <w:abstractNumId w:val="20"/>
  </w:num>
  <w:num w:numId="39">
    <w:abstractNumId w:val="33"/>
  </w:num>
  <w:num w:numId="40">
    <w:abstractNumId w:val="51"/>
  </w:num>
  <w:num w:numId="41">
    <w:abstractNumId w:val="15"/>
  </w:num>
  <w:num w:numId="42">
    <w:abstractNumId w:val="1"/>
  </w:num>
  <w:num w:numId="43">
    <w:abstractNumId w:val="9"/>
  </w:num>
  <w:num w:numId="44">
    <w:abstractNumId w:val="5"/>
  </w:num>
  <w:num w:numId="45">
    <w:abstractNumId w:val="24"/>
  </w:num>
  <w:num w:numId="46">
    <w:abstractNumId w:val="48"/>
  </w:num>
  <w:num w:numId="47">
    <w:abstractNumId w:val="39"/>
  </w:num>
  <w:num w:numId="48">
    <w:abstractNumId w:val="34"/>
  </w:num>
  <w:num w:numId="49">
    <w:abstractNumId w:val="44"/>
  </w:num>
  <w:num w:numId="50">
    <w:abstractNumId w:val="35"/>
  </w:num>
  <w:num w:numId="51">
    <w:abstractNumId w:val="47"/>
  </w:num>
  <w:num w:numId="52">
    <w:abstractNumId w:val="10"/>
  </w:num>
  <w:num w:numId="53">
    <w:abstractNumId w:val="28"/>
  </w:num>
  <w:num w:numId="54">
    <w:abstractNumId w:val="17"/>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5" w:default="1">
    <w:name w:val="Normal"/>
    <w:uiPriority w:val="0"/>
    <w:qFormat/>
    <w:pPr>
      <w:jc w:val="both"/>
      <w:widowControl w:val="off"/>
    </w:pPr>
    <w:rPr>
      <w:rFonts w:hint="default" w:ascii="Times New Roman" w:hAnsi="Times New Roman" w:eastAsia="宋体" w:cs="Times New Roman"/>
      <w:sz w:val="21"/>
      <w:szCs w:val="24"/>
    </w:rPr>
  </w:style>
  <w:style w:type="paragraph" w:styleId="796">
    <w:name w:val="Heading 1"/>
    <w:next w:val="795"/>
    <w:link w:val="872"/>
    <w:uiPriority w:val="0"/>
    <w:qFormat/>
    <w:pPr>
      <w:spacing w:before="240" w:after="120" w:line="360" w:lineRule="auto"/>
      <w:widowControl w:val="off"/>
      <w:outlineLvl w:val="0"/>
    </w:pPr>
    <w:rPr>
      <w:rFonts w:hint="default" w:ascii="宋体" w:hAnsi="宋体" w:eastAsia="宋体" w:cs="宋体"/>
      <w:b/>
      <w:bCs/>
      <w:sz w:val="24"/>
      <w:szCs w:val="30"/>
    </w:rPr>
  </w:style>
  <w:style w:type="paragraph" w:styleId="797">
    <w:name w:val="Heading 2"/>
    <w:basedOn w:val="795"/>
    <w:next w:val="795"/>
    <w:link w:val="1062"/>
    <w:uiPriority w:val="0"/>
    <w:qFormat/>
    <w:pPr>
      <w:spacing w:after="120" w:line="360" w:lineRule="auto"/>
      <w:outlineLvl w:val="1"/>
    </w:pPr>
    <w:rPr>
      <w:b/>
      <w:sz w:val="24"/>
    </w:rPr>
  </w:style>
  <w:style w:type="paragraph" w:styleId="798">
    <w:name w:val="Heading 3"/>
    <w:next w:val="795"/>
    <w:link w:val="1063"/>
    <w:uiPriority w:val="99"/>
    <w:qFormat/>
    <w:pPr>
      <w:spacing w:after="120" w:line="360" w:lineRule="auto"/>
      <w:widowControl w:val="off"/>
      <w:outlineLvl w:val="2"/>
    </w:pPr>
    <w:rPr>
      <w:rFonts w:hint="default" w:ascii="Times New Roman" w:hAnsi="Times New Roman" w:eastAsia="宋体" w:cs="Times New Roman"/>
      <w:b/>
      <w:sz w:val="24"/>
    </w:rPr>
  </w:style>
  <w:style w:type="paragraph" w:styleId="799">
    <w:name w:val="Heading 4"/>
    <w:next w:val="795"/>
    <w:link w:val="1064"/>
    <w:uiPriority w:val="0"/>
    <w:qFormat/>
    <w:pPr>
      <w:spacing w:after="120" w:line="360" w:lineRule="auto"/>
      <w:widowControl w:val="off"/>
      <w:outlineLvl w:val="3"/>
    </w:pPr>
    <w:rPr>
      <w:rFonts w:hint="default" w:ascii="Times New Roman" w:hAnsi="Times New Roman" w:eastAsia="宋体" w:cs="Times New Roman"/>
      <w:sz w:val="24"/>
    </w:rPr>
  </w:style>
  <w:style w:type="paragraph" w:styleId="800">
    <w:name w:val="Heading 5"/>
    <w:next w:val="795"/>
    <w:link w:val="1065"/>
    <w:uiPriority w:val="0"/>
    <w:qFormat/>
    <w:pPr>
      <w:spacing w:after="120" w:line="440" w:lineRule="exact"/>
      <w:widowControl w:val="off"/>
      <w:outlineLvl w:val="4"/>
    </w:pPr>
    <w:rPr>
      <w:rFonts w:hint="default" w:ascii="Times New Roman" w:hAnsi="Times New Roman" w:eastAsia="宋体" w:cs="Times New Roman"/>
      <w:sz w:val="24"/>
    </w:rPr>
  </w:style>
  <w:style w:type="paragraph" w:styleId="801">
    <w:name w:val="Heading 6"/>
    <w:next w:val="807"/>
    <w:link w:val="1066"/>
    <w:uiPriority w:val="0"/>
    <w:qFormat/>
    <w:pPr>
      <w:spacing w:after="120" w:line="360" w:lineRule="auto"/>
      <w:widowControl w:val="off"/>
      <w:outlineLvl w:val="5"/>
    </w:pPr>
    <w:rPr>
      <w:rFonts w:hint="default" w:ascii="Times New Roman" w:hAnsi="Times New Roman" w:eastAsia="宋体" w:cs="Times New Roman"/>
      <w:sz w:val="24"/>
    </w:rPr>
  </w:style>
  <w:style w:type="paragraph" w:styleId="802">
    <w:name w:val="Heading 7"/>
    <w:next w:val="795"/>
    <w:link w:val="1068"/>
    <w:uiPriority w:val="0"/>
    <w:qFormat/>
    <w:pPr>
      <w:spacing w:after="120" w:line="360" w:lineRule="auto"/>
      <w:widowControl w:val="off"/>
      <w:outlineLvl w:val="6"/>
    </w:pPr>
    <w:rPr>
      <w:rFonts w:hint="default" w:ascii="Times New Roman" w:hAnsi="Times New Roman" w:eastAsia="宋体" w:cs="Times New Roman"/>
      <w:sz w:val="24"/>
    </w:rPr>
  </w:style>
  <w:style w:type="paragraph" w:styleId="803">
    <w:name w:val="Heading 8"/>
    <w:next w:val="795"/>
    <w:link w:val="1069"/>
    <w:uiPriority w:val="0"/>
    <w:qFormat/>
    <w:pPr>
      <w:spacing w:after="120" w:line="360" w:lineRule="auto"/>
      <w:widowControl w:val="off"/>
      <w:outlineLvl w:val="7"/>
    </w:pPr>
    <w:rPr>
      <w:rFonts w:hint="default" w:ascii="Times New Roman" w:hAnsi="Times New Roman" w:eastAsia="宋体" w:cs="Times New Roman"/>
      <w:sz w:val="24"/>
    </w:rPr>
  </w:style>
  <w:style w:type="paragraph" w:styleId="804">
    <w:name w:val="Heading 9"/>
    <w:next w:val="795"/>
    <w:link w:val="1070"/>
    <w:uiPriority w:val="0"/>
    <w:qFormat/>
    <w:pPr>
      <w:spacing w:after="120" w:line="360" w:lineRule="auto"/>
      <w:widowControl w:val="off"/>
      <w:outlineLvl w:val="8"/>
    </w:pPr>
    <w:rPr>
      <w:rFonts w:hint="default" w:ascii="Times New Roman" w:hAnsi="Times New Roman" w:eastAsia="宋体" w:cs="Times New Roman"/>
      <w:sz w:val="24"/>
    </w:rPr>
  </w:style>
  <w:style w:type="character" w:styleId="805" w:default="1">
    <w:name w:val="Default Paragraph Font"/>
    <w:uiPriority w:val="1"/>
    <w:semiHidden/>
    <w:unhideWhenUsed/>
    <w:qFormat/>
  </w:style>
  <w:style w:type="table" w:styleId="806" w:default="1">
    <w:name w:val="Normal Table"/>
    <w:uiPriority w:val="99"/>
    <w:semiHidden/>
    <w:unhideWhenUsed/>
    <w:qFormat/>
    <w:tblPr>
      <w:tblCellMar>
        <w:left w:w="108" w:type="dxa"/>
        <w:top w:w="0" w:type="dxa"/>
        <w:right w:w="108" w:type="dxa"/>
        <w:bottom w:w="0" w:type="dxa"/>
      </w:tblCellMar>
    </w:tblPr>
  </w:style>
  <w:style w:type="paragraph" w:styleId="807">
    <w:name w:val="Normal Indent"/>
    <w:basedOn w:val="795"/>
    <w:link w:val="1067"/>
    <w:uiPriority w:val="0"/>
    <w:qFormat/>
    <w:pPr>
      <w:ind w:firstLine="420"/>
    </w:pPr>
    <w:rPr>
      <w:sz w:val="20"/>
      <w:szCs w:val="20"/>
    </w:rPr>
  </w:style>
  <w:style w:type="paragraph" w:styleId="808">
    <w:name w:val="List 3"/>
    <w:basedOn w:val="795"/>
    <w:uiPriority w:val="0"/>
    <w:qFormat/>
    <w:pPr>
      <w:ind w:left="100" w:hanging="200"/>
    </w:pPr>
    <w:rPr>
      <w:szCs w:val="21"/>
    </w:rPr>
  </w:style>
  <w:style w:type="paragraph" w:styleId="809">
    <w:name w:val="toc 7"/>
    <w:basedOn w:val="795"/>
    <w:next w:val="795"/>
    <w:uiPriority w:val="39"/>
    <w:unhideWhenUsed/>
    <w:qFormat/>
    <w:pPr>
      <w:ind w:left="1701"/>
      <w:spacing w:after="57"/>
    </w:pPr>
  </w:style>
  <w:style w:type="paragraph" w:styleId="810">
    <w:name w:val="index 8"/>
    <w:basedOn w:val="795"/>
    <w:next w:val="795"/>
    <w:uiPriority w:val="0"/>
    <w:qFormat/>
    <w:pPr>
      <w:ind w:left="2940"/>
    </w:pPr>
    <w:rPr>
      <w:rFonts w:ascii="Calibri" w:hAnsi="Calibri" w:eastAsia="楷体_GB2312"/>
      <w:sz w:val="26"/>
      <w:szCs w:val="20"/>
    </w:rPr>
  </w:style>
  <w:style w:type="paragraph" w:styleId="811">
    <w:name w:val="Caption"/>
    <w:basedOn w:val="795"/>
    <w:next w:val="795"/>
    <w:uiPriority w:val="35"/>
    <w:semiHidden/>
    <w:unhideWhenUsed/>
    <w:qFormat/>
    <w:pPr>
      <w:spacing w:line="276" w:lineRule="auto"/>
    </w:pPr>
    <w:rPr>
      <w:b/>
      <w:bCs/>
      <w:color w:val="4f81bd"/>
      <w:sz w:val="18"/>
      <w:szCs w:val="18"/>
    </w:rPr>
  </w:style>
  <w:style w:type="paragraph" w:styleId="812">
    <w:name w:val="index 5"/>
    <w:basedOn w:val="795"/>
    <w:next w:val="795"/>
    <w:uiPriority w:val="0"/>
    <w:qFormat/>
    <w:pPr>
      <w:ind w:left="1680"/>
    </w:pPr>
    <w:rPr>
      <w:rFonts w:ascii="Calibri" w:hAnsi="Calibri" w:eastAsia="楷体_GB2312"/>
      <w:sz w:val="26"/>
      <w:szCs w:val="20"/>
    </w:rPr>
  </w:style>
  <w:style w:type="paragraph" w:styleId="813">
    <w:name w:val="Document Map"/>
    <w:basedOn w:val="795"/>
    <w:link w:val="1071"/>
    <w:uiPriority w:val="0"/>
    <w:qFormat/>
    <w:pPr>
      <w:shd w:val="clear" w:color="auto" w:fill="000080"/>
    </w:pPr>
    <w:rPr>
      <w:sz w:val="20"/>
    </w:rPr>
  </w:style>
  <w:style w:type="paragraph" w:styleId="814">
    <w:name w:val="toa heading"/>
    <w:basedOn w:val="795"/>
    <w:next w:val="795"/>
    <w:uiPriority w:val="0"/>
    <w:qFormat/>
    <w:rPr>
      <w:rFonts w:ascii="Arial" w:hAnsi="Arial"/>
      <w:sz w:val="24"/>
      <w:szCs w:val="21"/>
    </w:rPr>
  </w:style>
  <w:style w:type="paragraph" w:styleId="815">
    <w:name w:val="annotation text"/>
    <w:basedOn w:val="795"/>
    <w:link w:val="1148"/>
    <w:uiPriority w:val="0"/>
    <w:unhideWhenUsed/>
    <w:qFormat/>
    <w:pPr>
      <w:jc w:val="left"/>
    </w:pPr>
    <w:rPr>
      <w:rFonts w:ascii="Calibri" w:hAnsi="Calibri"/>
      <w:szCs w:val="22"/>
    </w:rPr>
  </w:style>
  <w:style w:type="paragraph" w:styleId="816">
    <w:name w:val="index 6"/>
    <w:basedOn w:val="795"/>
    <w:next w:val="795"/>
    <w:uiPriority w:val="0"/>
    <w:qFormat/>
    <w:pPr>
      <w:ind w:left="2100"/>
    </w:pPr>
    <w:rPr>
      <w:rFonts w:ascii="Calibri" w:hAnsi="Calibri" w:eastAsia="楷体_GB2312"/>
      <w:sz w:val="26"/>
      <w:szCs w:val="20"/>
    </w:rPr>
  </w:style>
  <w:style w:type="paragraph" w:styleId="817">
    <w:name w:val="Body Text 3"/>
    <w:basedOn w:val="795"/>
    <w:link w:val="1072"/>
    <w:uiPriority w:val="0"/>
    <w:qFormat/>
    <w:pPr>
      <w:spacing w:after="120"/>
    </w:pPr>
    <w:rPr>
      <w:sz w:val="16"/>
      <w:szCs w:val="16"/>
    </w:rPr>
  </w:style>
  <w:style w:type="paragraph" w:styleId="818">
    <w:name w:val="Body Text"/>
    <w:basedOn w:val="795"/>
    <w:next w:val="795"/>
    <w:link w:val="1073"/>
    <w:uiPriority w:val="0"/>
    <w:qFormat/>
    <w:pPr>
      <w:ind w:firstLine="420"/>
      <w:spacing w:after="120" w:line="360" w:lineRule="auto"/>
    </w:pPr>
    <w:rPr>
      <w:sz w:val="24"/>
    </w:rPr>
  </w:style>
  <w:style w:type="paragraph" w:styleId="819">
    <w:name w:val="Body Text Indent"/>
    <w:basedOn w:val="795"/>
    <w:next w:val="820"/>
    <w:link w:val="1074"/>
    <w:uiPriority w:val="0"/>
    <w:qFormat/>
    <w:pPr>
      <w:ind w:left="765"/>
    </w:pPr>
    <w:rPr>
      <w:rFonts w:ascii="仿宋_GB2312" w:eastAsia="仿宋_GB2312"/>
      <w:sz w:val="28"/>
      <w:szCs w:val="20"/>
    </w:rPr>
  </w:style>
  <w:style w:type="paragraph" w:styleId="820">
    <w:name w:val="envelope return"/>
    <w:basedOn w:val="795"/>
    <w:uiPriority w:val="99"/>
    <w:unhideWhenUsed/>
    <w:qFormat/>
    <w:rPr>
      <w:rFonts w:ascii="Arial" w:hAnsi="Arial"/>
      <w:szCs w:val="22"/>
    </w:rPr>
  </w:style>
  <w:style w:type="paragraph" w:styleId="821">
    <w:name w:val="List 2"/>
    <w:basedOn w:val="795"/>
    <w:uiPriority w:val="0"/>
    <w:qFormat/>
    <w:pPr>
      <w:ind w:left="100" w:hanging="200"/>
    </w:pPr>
    <w:rPr>
      <w:szCs w:val="21"/>
    </w:rPr>
  </w:style>
  <w:style w:type="paragraph" w:styleId="822">
    <w:name w:val="Block Text"/>
    <w:basedOn w:val="795"/>
    <w:next w:val="818"/>
    <w:uiPriority w:val="0"/>
    <w:qFormat/>
    <w:pPr>
      <w:ind w:firstLine="640"/>
      <w:jc w:val="left"/>
      <w:spacing w:line="360" w:lineRule="auto"/>
    </w:pPr>
    <w:rPr>
      <w:sz w:val="24"/>
      <w:szCs w:val="22"/>
    </w:rPr>
  </w:style>
  <w:style w:type="paragraph" w:styleId="823">
    <w:name w:val="index 4"/>
    <w:basedOn w:val="795"/>
    <w:next w:val="795"/>
    <w:uiPriority w:val="0"/>
    <w:qFormat/>
    <w:pPr>
      <w:ind w:left="1260"/>
    </w:pPr>
    <w:rPr>
      <w:rFonts w:ascii="Calibri" w:hAnsi="Calibri"/>
      <w:szCs w:val="20"/>
    </w:rPr>
  </w:style>
  <w:style w:type="paragraph" w:styleId="824">
    <w:name w:val="toc 5"/>
    <w:basedOn w:val="795"/>
    <w:next w:val="795"/>
    <w:uiPriority w:val="39"/>
    <w:unhideWhenUsed/>
    <w:qFormat/>
    <w:pPr>
      <w:ind w:left="1134"/>
      <w:spacing w:after="57"/>
    </w:pPr>
  </w:style>
  <w:style w:type="paragraph" w:styleId="825">
    <w:name w:val="toc 3"/>
    <w:basedOn w:val="795"/>
    <w:next w:val="795"/>
    <w:uiPriority w:val="39"/>
    <w:unhideWhenUsed/>
    <w:qFormat/>
    <w:pPr>
      <w:ind w:left="567"/>
      <w:spacing w:after="57"/>
    </w:pPr>
  </w:style>
  <w:style w:type="paragraph" w:styleId="826">
    <w:name w:val="Plain Text"/>
    <w:basedOn w:val="795"/>
    <w:link w:val="1075"/>
    <w:uiPriority w:val="0"/>
    <w:qFormat/>
    <w:rPr>
      <w:rFonts w:ascii="宋体" w:hAnsi="Courier New"/>
      <w:sz w:val="20"/>
      <w:szCs w:val="21"/>
    </w:rPr>
  </w:style>
  <w:style w:type="paragraph" w:styleId="827">
    <w:name w:val="toc 8"/>
    <w:basedOn w:val="795"/>
    <w:next w:val="795"/>
    <w:uiPriority w:val="39"/>
    <w:unhideWhenUsed/>
    <w:qFormat/>
    <w:pPr>
      <w:ind w:left="1984"/>
      <w:spacing w:after="57"/>
    </w:pPr>
  </w:style>
  <w:style w:type="paragraph" w:styleId="828">
    <w:name w:val="index 3"/>
    <w:basedOn w:val="795"/>
    <w:next w:val="795"/>
    <w:uiPriority w:val="0"/>
    <w:qFormat/>
    <w:pPr>
      <w:ind w:left="840"/>
    </w:pPr>
    <w:rPr>
      <w:rFonts w:ascii="Calibri" w:hAnsi="Calibri" w:eastAsia="楷体_GB2312"/>
      <w:sz w:val="26"/>
      <w:szCs w:val="20"/>
    </w:rPr>
  </w:style>
  <w:style w:type="paragraph" w:styleId="829">
    <w:name w:val="Date"/>
    <w:basedOn w:val="795"/>
    <w:next w:val="795"/>
    <w:link w:val="1076"/>
    <w:uiPriority w:val="0"/>
    <w:qFormat/>
    <w:rPr>
      <w:sz w:val="24"/>
      <w:szCs w:val="20"/>
    </w:rPr>
  </w:style>
  <w:style w:type="paragraph" w:styleId="830">
    <w:name w:val="Body Text Indent 2"/>
    <w:basedOn w:val="795"/>
    <w:link w:val="1077"/>
    <w:uiPriority w:val="0"/>
    <w:qFormat/>
    <w:pPr>
      <w:ind w:firstLine="560"/>
      <w:spacing w:line="500" w:lineRule="exact"/>
    </w:pPr>
    <w:rPr>
      <w:rFonts w:eastAsia="仿宋_GB2312"/>
      <w:sz w:val="28"/>
      <w:szCs w:val="20"/>
    </w:rPr>
  </w:style>
  <w:style w:type="paragraph" w:styleId="831">
    <w:name w:val="endnote text"/>
    <w:basedOn w:val="795"/>
    <w:link w:val="1060"/>
    <w:uiPriority w:val="99"/>
    <w:semiHidden/>
    <w:unhideWhenUsed/>
    <w:qFormat/>
    <w:rPr>
      <w:sz w:val="20"/>
    </w:rPr>
  </w:style>
  <w:style w:type="paragraph" w:styleId="832">
    <w:name w:val="Balloon Text"/>
    <w:basedOn w:val="795"/>
    <w:link w:val="1078"/>
    <w:uiPriority w:val="0"/>
    <w:qFormat/>
    <w:rPr>
      <w:sz w:val="18"/>
      <w:szCs w:val="18"/>
    </w:rPr>
  </w:style>
  <w:style w:type="paragraph" w:styleId="833">
    <w:name w:val="Footer"/>
    <w:basedOn w:val="795"/>
    <w:link w:val="1079"/>
    <w:uiPriority w:val="99"/>
    <w:qFormat/>
    <w:pPr>
      <w:jc w:val="left"/>
      <w:tabs>
        <w:tab w:val="center" w:pos="4153" w:leader="none"/>
        <w:tab w:val="right" w:pos="8306" w:leader="none"/>
      </w:tabs>
    </w:pPr>
    <w:rPr>
      <w:sz w:val="18"/>
      <w:szCs w:val="20"/>
    </w:rPr>
  </w:style>
  <w:style w:type="paragraph" w:styleId="834">
    <w:name w:val="Header"/>
    <w:basedOn w:val="795"/>
    <w:link w:val="1080"/>
    <w:uiPriority w:val="99"/>
    <w:qFormat/>
    <w:pPr>
      <w:jc w:val="center"/>
      <w:tabs>
        <w:tab w:val="center" w:pos="4153" w:leader="none"/>
        <w:tab w:val="right" w:pos="8306" w:leader="none"/>
      </w:tabs>
      <w:pBdr>
        <w:bottom w:val="single" w:color="000000" w:sz="6" w:space="1"/>
      </w:pBdr>
    </w:pPr>
    <w:rPr>
      <w:sz w:val="18"/>
      <w:szCs w:val="18"/>
    </w:rPr>
  </w:style>
  <w:style w:type="paragraph" w:styleId="835">
    <w:name w:val="Signature"/>
    <w:basedOn w:val="795"/>
    <w:link w:val="1149"/>
    <w:uiPriority w:val="0"/>
    <w:qFormat/>
    <w:pPr>
      <w:jc w:val="center"/>
      <w:spacing w:after="600" w:line="312" w:lineRule="atLeast"/>
    </w:pPr>
    <w:rPr>
      <w:rFonts w:ascii="Calibri" w:hAnsi="Calibri" w:eastAsia="仿宋_GB2312"/>
      <w:sz w:val="24"/>
      <w:szCs w:val="20"/>
    </w:rPr>
  </w:style>
  <w:style w:type="paragraph" w:styleId="836">
    <w:name w:val="toc 1"/>
    <w:basedOn w:val="795"/>
    <w:next w:val="795"/>
    <w:uiPriority w:val="39"/>
    <w:unhideWhenUsed/>
    <w:qFormat/>
    <w:pPr>
      <w:spacing w:after="57"/>
    </w:pPr>
  </w:style>
  <w:style w:type="paragraph" w:styleId="837">
    <w:name w:val="toc 4"/>
    <w:basedOn w:val="795"/>
    <w:next w:val="795"/>
    <w:uiPriority w:val="39"/>
    <w:unhideWhenUsed/>
    <w:qFormat/>
    <w:pPr>
      <w:ind w:left="850"/>
      <w:spacing w:after="57"/>
    </w:pPr>
  </w:style>
  <w:style w:type="paragraph" w:styleId="838">
    <w:name w:val="index heading"/>
    <w:basedOn w:val="795"/>
    <w:next w:val="839"/>
    <w:uiPriority w:val="0"/>
    <w:qFormat/>
    <w:rPr>
      <w:rFonts w:ascii="Calibri" w:hAnsi="Calibri" w:eastAsia="楷体_GB2312"/>
      <w:sz w:val="26"/>
      <w:szCs w:val="20"/>
    </w:rPr>
  </w:style>
  <w:style w:type="paragraph" w:styleId="839">
    <w:name w:val="index 1"/>
    <w:basedOn w:val="795"/>
    <w:next w:val="795"/>
    <w:uiPriority w:val="0"/>
    <w:unhideWhenUsed/>
    <w:qFormat/>
  </w:style>
  <w:style w:type="paragraph" w:styleId="840">
    <w:name w:val="Subtitle"/>
    <w:next w:val="795"/>
    <w:link w:val="943"/>
    <w:uiPriority w:val="11"/>
    <w:qFormat/>
    <w:pPr>
      <w:jc w:val="center"/>
      <w:spacing w:after="240"/>
      <w:widowControl w:val="off"/>
    </w:pPr>
    <w:rPr>
      <w:rFonts w:hint="default" w:ascii="Times New Roman" w:hAnsi="Times New Roman" w:eastAsia="宋体" w:cs="Times New Roman"/>
      <w:sz w:val="21"/>
    </w:rPr>
  </w:style>
  <w:style w:type="paragraph" w:styleId="841">
    <w:name w:val="List"/>
    <w:basedOn w:val="795"/>
    <w:uiPriority w:val="0"/>
    <w:qFormat/>
    <w:pPr>
      <w:ind w:left="200" w:hanging="200"/>
    </w:pPr>
  </w:style>
  <w:style w:type="paragraph" w:styleId="842">
    <w:name w:val="footnote text"/>
    <w:basedOn w:val="795"/>
    <w:link w:val="1059"/>
    <w:uiPriority w:val="0"/>
    <w:unhideWhenUsed/>
    <w:qFormat/>
    <w:pPr>
      <w:spacing w:after="40"/>
    </w:pPr>
    <w:rPr>
      <w:sz w:val="18"/>
    </w:rPr>
  </w:style>
  <w:style w:type="paragraph" w:styleId="843">
    <w:name w:val="toc 6"/>
    <w:basedOn w:val="795"/>
    <w:next w:val="795"/>
    <w:uiPriority w:val="39"/>
    <w:unhideWhenUsed/>
    <w:qFormat/>
    <w:pPr>
      <w:ind w:left="1417"/>
      <w:spacing w:after="57"/>
    </w:pPr>
  </w:style>
  <w:style w:type="paragraph" w:styleId="844">
    <w:name w:val="Body Text Indent 3"/>
    <w:basedOn w:val="795"/>
    <w:link w:val="1082"/>
    <w:uiPriority w:val="0"/>
    <w:qFormat/>
    <w:pPr>
      <w:ind w:left="420"/>
      <w:spacing w:after="120"/>
    </w:pPr>
    <w:rPr>
      <w:sz w:val="16"/>
      <w:szCs w:val="16"/>
    </w:rPr>
  </w:style>
  <w:style w:type="paragraph" w:styleId="845">
    <w:name w:val="index 7"/>
    <w:basedOn w:val="795"/>
    <w:next w:val="795"/>
    <w:uiPriority w:val="0"/>
    <w:qFormat/>
    <w:pPr>
      <w:ind w:left="2520"/>
    </w:pPr>
    <w:rPr>
      <w:rFonts w:ascii="Calibri" w:hAnsi="Calibri" w:eastAsia="楷体_GB2312"/>
      <w:sz w:val="26"/>
      <w:szCs w:val="20"/>
    </w:rPr>
  </w:style>
  <w:style w:type="paragraph" w:styleId="846">
    <w:name w:val="index 9"/>
    <w:basedOn w:val="795"/>
    <w:next w:val="795"/>
    <w:uiPriority w:val="0"/>
    <w:qFormat/>
    <w:pPr>
      <w:ind w:left="3360"/>
    </w:pPr>
    <w:rPr>
      <w:rFonts w:ascii="Calibri" w:hAnsi="Calibri" w:eastAsia="楷体_GB2312"/>
      <w:sz w:val="26"/>
      <w:szCs w:val="20"/>
    </w:rPr>
  </w:style>
  <w:style w:type="paragraph" w:styleId="847">
    <w:name w:val="table of figures"/>
    <w:basedOn w:val="795"/>
    <w:next w:val="795"/>
    <w:uiPriority w:val="0"/>
    <w:unhideWhenUsed/>
    <w:qFormat/>
  </w:style>
  <w:style w:type="paragraph" w:styleId="848">
    <w:name w:val="toc 2"/>
    <w:basedOn w:val="795"/>
    <w:next w:val="795"/>
    <w:uiPriority w:val="39"/>
    <w:unhideWhenUsed/>
    <w:qFormat/>
    <w:pPr>
      <w:ind w:left="283"/>
      <w:spacing w:after="57"/>
    </w:pPr>
  </w:style>
  <w:style w:type="paragraph" w:styleId="849">
    <w:name w:val="toc 9"/>
    <w:basedOn w:val="795"/>
    <w:next w:val="795"/>
    <w:uiPriority w:val="39"/>
    <w:unhideWhenUsed/>
    <w:qFormat/>
    <w:pPr>
      <w:ind w:left="2268"/>
      <w:spacing w:after="57"/>
    </w:pPr>
  </w:style>
  <w:style w:type="paragraph" w:styleId="850">
    <w:name w:val="Body Text 2"/>
    <w:basedOn w:val="795"/>
    <w:link w:val="1083"/>
    <w:uiPriority w:val="0"/>
    <w:qFormat/>
    <w:rPr>
      <w:b/>
      <w:bCs/>
      <w:sz w:val="18"/>
    </w:rPr>
  </w:style>
  <w:style w:type="paragraph" w:styleId="851">
    <w:name w:val="HTML Preformatted"/>
    <w:basedOn w:val="795"/>
    <w:link w:val="108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等线 Light" w:hAnsi="等线 Light" w:eastAsia="幼圆" w:cs="等线 Light"/>
      <w:sz w:val="24"/>
      <w:szCs w:val="22"/>
    </w:rPr>
  </w:style>
  <w:style w:type="paragraph" w:styleId="852">
    <w:name w:val="Normal (Web)"/>
    <w:basedOn w:val="795"/>
    <w:link w:val="1343"/>
    <w:uiPriority w:val="0"/>
    <w:qFormat/>
    <w:pPr>
      <w:jc w:val="left"/>
      <w:spacing w:before="100" w:beforeAutospacing="1" w:after="100" w:afterAutospacing="1"/>
      <w:widowControl/>
    </w:pPr>
    <w:rPr>
      <w:rFonts w:ascii="宋体" w:hAnsi="宋体"/>
      <w:color w:val="000000"/>
      <w:sz w:val="24"/>
    </w:rPr>
  </w:style>
  <w:style w:type="paragraph" w:styleId="853">
    <w:name w:val="index 2"/>
    <w:basedOn w:val="795"/>
    <w:next w:val="795"/>
    <w:uiPriority w:val="0"/>
    <w:qFormat/>
    <w:pPr>
      <w:ind w:left="420"/>
    </w:pPr>
    <w:rPr>
      <w:rFonts w:ascii="Calibri" w:hAnsi="Calibri" w:eastAsia="楷体_GB2312"/>
      <w:sz w:val="26"/>
      <w:szCs w:val="20"/>
    </w:rPr>
  </w:style>
  <w:style w:type="paragraph" w:styleId="854">
    <w:name w:val="Title"/>
    <w:next w:val="795"/>
    <w:link w:val="942"/>
    <w:uiPriority w:val="10"/>
    <w:qFormat/>
    <w:pPr>
      <w:jc w:val="center"/>
      <w:spacing w:before="240" w:after="240"/>
    </w:pPr>
    <w:rPr>
      <w:rFonts w:hint="default" w:ascii="Times New Roman" w:hAnsi="Times New Roman" w:eastAsia="宋体" w:cs="Times New Roman"/>
      <w:b/>
      <w:sz w:val="32"/>
    </w:rPr>
  </w:style>
  <w:style w:type="paragraph" w:styleId="855">
    <w:name w:val="annotation subject"/>
    <w:basedOn w:val="815"/>
    <w:next w:val="815"/>
    <w:link w:val="1150"/>
    <w:uiPriority w:val="99"/>
    <w:qFormat/>
    <w:rPr>
      <w:rFonts w:ascii="Times New Roman" w:hAnsi="Times New Roman"/>
      <w:b/>
      <w:bCs/>
      <w:sz w:val="20"/>
      <w:szCs w:val="21"/>
    </w:rPr>
  </w:style>
  <w:style w:type="paragraph" w:styleId="856">
    <w:name w:val="Body Text First Indent"/>
    <w:basedOn w:val="818"/>
    <w:uiPriority w:val="0"/>
    <w:qFormat/>
    <w:rPr>
      <w:sz w:val="21"/>
      <w:lang w:val="zh-CN"/>
    </w:rPr>
  </w:style>
  <w:style w:type="paragraph" w:styleId="857">
    <w:name w:val="Body Text First Indent 2"/>
    <w:basedOn w:val="819"/>
    <w:uiPriority w:val="0"/>
    <w:unhideWhenUsed/>
    <w:qFormat/>
    <w:pPr>
      <w:ind w:left="0"/>
      <w:jc w:val="center"/>
      <w:spacing w:line="360" w:lineRule="auto"/>
    </w:pPr>
    <w:rPr>
      <w:rFonts w:ascii="Times New Roman" w:eastAsia="宋体" w:cs="宋体"/>
      <w:b/>
      <w:color w:val="000000" w:themeColor="text1"/>
      <w:sz w:val="48"/>
      <w:szCs w:val="48"/>
      <w14:textFill>
        <w14:solidFill>
          <w14:schemeClr w14:val="tx1"/>
        </w14:solidFill>
      </w14:textFill>
    </w:rPr>
  </w:style>
  <w:style w:type="table" w:styleId="858">
    <w:name w:val="Table Grid"/>
    <w:basedOn w:val="80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9">
    <w:name w:val="Strong"/>
    <w:uiPriority w:val="22"/>
    <w:qFormat/>
    <w:rPr>
      <w:b/>
      <w:bCs/>
    </w:rPr>
  </w:style>
  <w:style w:type="character" w:styleId="860">
    <w:name w:val="endnote reference"/>
    <w:uiPriority w:val="99"/>
    <w:semiHidden/>
    <w:unhideWhenUsed/>
    <w:qFormat/>
    <w:rPr>
      <w:vertAlign w:val="superscript"/>
    </w:rPr>
  </w:style>
  <w:style w:type="character" w:styleId="861">
    <w:name w:val="page number"/>
    <w:uiPriority w:val="0"/>
    <w:qFormat/>
  </w:style>
  <w:style w:type="character" w:styleId="862">
    <w:name w:val="Emphasis"/>
    <w:uiPriority w:val="0"/>
    <w:qFormat/>
    <w:rPr>
      <w:i/>
      <w:iCs/>
    </w:rPr>
  </w:style>
  <w:style w:type="character" w:styleId="863">
    <w:name w:val="line number"/>
    <w:uiPriority w:val="0"/>
    <w:qFormat/>
  </w:style>
  <w:style w:type="character" w:styleId="864">
    <w:name w:val="HTML Definition"/>
    <w:uiPriority w:val="0"/>
    <w:qFormat/>
    <w:rPr>
      <w:i/>
    </w:rPr>
  </w:style>
  <w:style w:type="character" w:styleId="865">
    <w:name w:val="Hyperlink"/>
    <w:uiPriority w:val="99"/>
    <w:qFormat/>
    <w:rPr>
      <w:color w:val="0000ff"/>
      <w:u w:val="single"/>
    </w:rPr>
  </w:style>
  <w:style w:type="character" w:styleId="866">
    <w:name w:val="HTML Code"/>
    <w:uiPriority w:val="0"/>
    <w:qFormat/>
    <w:rPr>
      <w:rFonts w:ascii="Bell MT" w:hAnsi="Bell MT" w:eastAsia="Bell MT" w:cs="Bell MT"/>
      <w:color w:val="c7254e"/>
      <w:sz w:val="21"/>
      <w:szCs w:val="21"/>
      <w:shd w:val="clear" w:color="auto" w:fill="f9f2f4"/>
    </w:rPr>
  </w:style>
  <w:style w:type="character" w:styleId="867">
    <w:name w:val="annotation reference"/>
    <w:uiPriority w:val="0"/>
    <w:qFormat/>
    <w:rPr>
      <w:sz w:val="21"/>
      <w:szCs w:val="21"/>
    </w:rPr>
  </w:style>
  <w:style w:type="character" w:styleId="868">
    <w:name w:val="HTML Cite"/>
    <w:uiPriority w:val="0"/>
    <w:qFormat/>
  </w:style>
  <w:style w:type="character" w:styleId="869">
    <w:name w:val="footnote reference"/>
    <w:uiPriority w:val="0"/>
    <w:unhideWhenUsed/>
    <w:qFormat/>
    <w:rPr>
      <w:vertAlign w:val="superscript"/>
    </w:rPr>
  </w:style>
  <w:style w:type="character" w:styleId="870">
    <w:name w:val="HTML Keyboard"/>
    <w:uiPriority w:val="0"/>
    <w:qFormat/>
    <w:rPr>
      <w:rFonts w:ascii="Bell MT" w:hAnsi="Bell MT" w:eastAsia="Bell MT" w:cs="Bell MT"/>
      <w:sz w:val="21"/>
      <w:szCs w:val="21"/>
    </w:rPr>
  </w:style>
  <w:style w:type="character" w:styleId="871">
    <w:name w:val="HTML Sample"/>
    <w:uiPriority w:val="0"/>
    <w:qFormat/>
    <w:rPr>
      <w:rFonts w:ascii="Bell MT" w:hAnsi="Bell MT" w:eastAsia="Bell MT" w:cs="Bell MT"/>
      <w:sz w:val="21"/>
      <w:szCs w:val="21"/>
    </w:rPr>
  </w:style>
  <w:style w:type="character" w:styleId="872" w:customStyle="1">
    <w:name w:val="标题 1 字符"/>
    <w:link w:val="796"/>
    <w:uiPriority w:val="0"/>
    <w:qFormat/>
    <w:rPr>
      <w:rFonts w:ascii="Times New Roman" w:hAnsi="Times New Roman" w:eastAsia="宋体" w:cs="Times New Roman"/>
      <w:b/>
      <w:bCs/>
      <w:sz w:val="44"/>
      <w:szCs w:val="44"/>
    </w:rPr>
  </w:style>
  <w:style w:type="table" w:styleId="873" w:customStyle="1">
    <w:name w:val="Plain Table 1"/>
    <w:basedOn w:val="80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Plain Table 2"/>
    <w:basedOn w:val="80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Plain Table 3"/>
    <w:basedOn w:val="80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6" w:customStyle="1">
    <w:name w:val="Plain Table 4"/>
    <w:basedOn w:val="80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7" w:customStyle="1">
    <w:name w:val="Plain Table 5"/>
    <w:basedOn w:val="80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8" w:customStyle="1">
    <w:name w:val="Grid Table 1 Light"/>
    <w:basedOn w:val="80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9" w:customStyle="1">
    <w:name w:val="Grid Table 2"/>
    <w:basedOn w:val="80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0" w:customStyle="1">
    <w:name w:val="Grid Table 3"/>
    <w:basedOn w:val="80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4"/>
    <w:basedOn w:val="80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2" w:customStyle="1">
    <w:name w:val="Grid Table 5 Dark"/>
    <w:basedOn w:val="80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3" w:customStyle="1">
    <w:name w:val="Grid Table 6 Colorful"/>
    <w:basedOn w:val="80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4" w:customStyle="1">
    <w:name w:val="Grid Table 7 Colorful"/>
    <w:basedOn w:val="80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5" w:customStyle="1">
    <w:name w:val="List Table 1 Light"/>
    <w:basedOn w:val="80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6" w:customStyle="1">
    <w:name w:val="List Table 2"/>
    <w:basedOn w:val="80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7" w:customStyle="1">
    <w:name w:val="List Table 3"/>
    <w:basedOn w:val="80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4"/>
    <w:basedOn w:val="80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5 Dark"/>
    <w:basedOn w:val="80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6 Colorful"/>
    <w:basedOn w:val="80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1" w:customStyle="1">
    <w:name w:val="List Table 7 Colorful"/>
    <w:basedOn w:val="80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92" w:customStyle="1">
    <w:name w:val="TOC Heading"/>
    <w:uiPriority w:val="39"/>
    <w:unhideWhenUsed/>
    <w:qFormat/>
    <w:rPr>
      <w:rFonts w:hint="default" w:ascii="Calibri" w:hAnsi="Calibri" w:eastAsia="宋体" w:cs="Calibri"/>
    </w:rPr>
  </w:style>
  <w:style w:type="table" w:styleId="893" w:customStyle="1">
    <w:name w:val="无格式表格 11"/>
    <w:basedOn w:val="806"/>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无格式表格 21"/>
    <w:basedOn w:val="806"/>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无格式表格 31"/>
    <w:basedOn w:val="80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6" w:customStyle="1">
    <w:name w:val="无格式表格 41"/>
    <w:basedOn w:val="80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7" w:customStyle="1">
    <w:name w:val="无格式表格 51"/>
    <w:basedOn w:val="80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8" w:customStyle="1">
    <w:name w:val="网格表 1 浅色1"/>
    <w:basedOn w:val="806"/>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9" w:customStyle="1">
    <w:name w:val="网格表 21"/>
    <w:basedOn w:val="806"/>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0" w:customStyle="1">
    <w:name w:val="网格表 31"/>
    <w:basedOn w:val="806"/>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网格表 41"/>
    <w:basedOn w:val="806"/>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2" w:customStyle="1">
    <w:name w:val="网格表 5 深色1"/>
    <w:basedOn w:val="80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3" w:customStyle="1">
    <w:name w:val="网格表 6 彩色1"/>
    <w:basedOn w:val="806"/>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4" w:customStyle="1">
    <w:name w:val="网格表 7 彩色1"/>
    <w:basedOn w:val="806"/>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5" w:customStyle="1">
    <w:name w:val="清单表 1 浅色1"/>
    <w:basedOn w:val="806"/>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6" w:customStyle="1">
    <w:name w:val="清单表 21"/>
    <w:basedOn w:val="806"/>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7" w:customStyle="1">
    <w:name w:val="清单表 31"/>
    <w:basedOn w:val="806"/>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清单表 41"/>
    <w:basedOn w:val="80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清单表 5 深色1"/>
    <w:basedOn w:val="806"/>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清单表 6 彩色1"/>
    <w:basedOn w:val="806"/>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1" w:customStyle="1">
    <w:name w:val="清单表 7 彩色1"/>
    <w:basedOn w:val="806"/>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12" w:customStyle="1">
    <w:name w:val="TOC 标题1"/>
    <w:uiPriority w:val="39"/>
    <w:unhideWhenUsed/>
    <w:qFormat/>
    <w:rPr>
      <w:rFonts w:hint="default" w:ascii="Times New Roman" w:hAnsi="Times New Roman" w:eastAsia="宋体" w:cs="Times New Roman"/>
    </w:rPr>
  </w:style>
  <w:style w:type="paragraph" w:styleId="913" w:customStyle="1">
    <w:name w:val="TOC 标题113"/>
    <w:uiPriority w:val="39"/>
    <w:unhideWhenUsed/>
    <w:qFormat/>
    <w:rPr>
      <w:rFonts w:hint="default" w:ascii="Times New Roman" w:hAnsi="Times New Roman" w:eastAsia="宋体" w:cs="Times New Roman"/>
    </w:rPr>
  </w:style>
  <w:style w:type="paragraph" w:styleId="914" w:customStyle="1">
    <w:name w:val="TOC 标题112"/>
    <w:uiPriority w:val="39"/>
    <w:unhideWhenUsed/>
    <w:qFormat/>
    <w:rPr>
      <w:rFonts w:hint="default" w:ascii="Times New Roman" w:hAnsi="Times New Roman" w:eastAsia="宋体" w:cs="Times New Roman"/>
    </w:rPr>
  </w:style>
  <w:style w:type="paragraph" w:styleId="915" w:customStyle="1">
    <w:name w:val="TOC 标题111"/>
    <w:uiPriority w:val="39"/>
    <w:unhideWhenUsed/>
    <w:qFormat/>
    <w:rPr>
      <w:rFonts w:hint="default" w:ascii="Times New Roman" w:hAnsi="Times New Roman" w:eastAsia="宋体" w:cs="Times New Roman"/>
    </w:rPr>
  </w:style>
  <w:style w:type="character" w:styleId="916" w:customStyle="1">
    <w:name w:val="Title Char"/>
    <w:basedOn w:val="805"/>
    <w:uiPriority w:val="10"/>
    <w:qFormat/>
    <w:rPr>
      <w:sz w:val="48"/>
      <w:szCs w:val="48"/>
    </w:rPr>
  </w:style>
  <w:style w:type="character" w:styleId="917" w:customStyle="1">
    <w:name w:val="Subtitle Char"/>
    <w:basedOn w:val="805"/>
    <w:uiPriority w:val="11"/>
    <w:qFormat/>
    <w:rPr>
      <w:sz w:val="24"/>
      <w:szCs w:val="24"/>
    </w:rPr>
  </w:style>
  <w:style w:type="character" w:styleId="918" w:customStyle="1">
    <w:name w:val="Quote Char"/>
    <w:uiPriority w:val="29"/>
    <w:qFormat/>
    <w:rPr>
      <w:i/>
    </w:rPr>
  </w:style>
  <w:style w:type="character" w:styleId="919" w:customStyle="1">
    <w:name w:val="Intense Quote Char"/>
    <w:uiPriority w:val="30"/>
    <w:qFormat/>
    <w:rPr>
      <w:i/>
    </w:rPr>
  </w:style>
  <w:style w:type="character" w:styleId="920" w:customStyle="1">
    <w:name w:val="Footnote Text Char"/>
    <w:uiPriority w:val="99"/>
    <w:qFormat/>
    <w:rPr>
      <w:sz w:val="18"/>
    </w:rPr>
  </w:style>
  <w:style w:type="character" w:styleId="921" w:customStyle="1">
    <w:name w:val="Endnote Text Char"/>
    <w:uiPriority w:val="99"/>
    <w:qFormat/>
    <w:rPr>
      <w:sz w:val="20"/>
    </w:rPr>
  </w:style>
  <w:style w:type="character" w:styleId="922" w:customStyle="1">
    <w:name w:val="Heading 1 Char"/>
    <w:link w:val="923"/>
    <w:uiPriority w:val="9"/>
    <w:qFormat/>
    <w:rPr>
      <w:rFonts w:ascii="Arial" w:hAnsi="Arial" w:eastAsia="Arial" w:cs="Arial"/>
      <w:sz w:val="40"/>
      <w:szCs w:val="40"/>
    </w:rPr>
  </w:style>
  <w:style w:type="paragraph" w:styleId="923" w:customStyle="1">
    <w:name w:val="标题 11"/>
    <w:basedOn w:val="795"/>
    <w:next w:val="795"/>
    <w:link w:val="922"/>
    <w:uiPriority w:val="0"/>
    <w:qFormat/>
    <w:pPr>
      <w:keepLines/>
      <w:keepNext/>
      <w:spacing w:before="480" w:after="200"/>
      <w:outlineLvl w:val="0"/>
    </w:pPr>
    <w:rPr>
      <w:rFonts w:ascii="Arial" w:hAnsi="Arial" w:eastAsia="Arial" w:cs="Arial"/>
      <w:sz w:val="40"/>
      <w:szCs w:val="40"/>
    </w:rPr>
  </w:style>
  <w:style w:type="character" w:styleId="924" w:customStyle="1">
    <w:name w:val="Heading 2 Char"/>
    <w:link w:val="925"/>
    <w:uiPriority w:val="9"/>
    <w:qFormat/>
    <w:rPr>
      <w:rFonts w:ascii="Arial" w:hAnsi="Arial" w:eastAsia="Arial" w:cs="Arial"/>
      <w:sz w:val="34"/>
    </w:rPr>
  </w:style>
  <w:style w:type="paragraph" w:styleId="925" w:customStyle="1">
    <w:name w:val="标题 21"/>
    <w:basedOn w:val="795"/>
    <w:next w:val="795"/>
    <w:link w:val="924"/>
    <w:uiPriority w:val="0"/>
    <w:unhideWhenUsed/>
    <w:qFormat/>
    <w:pPr>
      <w:keepLines/>
      <w:keepNext/>
      <w:spacing w:before="360" w:after="200"/>
      <w:outlineLvl w:val="1"/>
    </w:pPr>
    <w:rPr>
      <w:rFonts w:ascii="Arial" w:hAnsi="Arial" w:eastAsia="Arial" w:cs="Arial"/>
      <w:sz w:val="34"/>
      <w:szCs w:val="20"/>
    </w:rPr>
  </w:style>
  <w:style w:type="character" w:styleId="926" w:customStyle="1">
    <w:name w:val="Heading 3 Char"/>
    <w:link w:val="927"/>
    <w:uiPriority w:val="9"/>
    <w:qFormat/>
    <w:rPr>
      <w:rFonts w:ascii="Arial" w:hAnsi="Arial" w:eastAsia="Arial" w:cs="Arial"/>
      <w:sz w:val="30"/>
      <w:szCs w:val="30"/>
    </w:rPr>
  </w:style>
  <w:style w:type="paragraph" w:styleId="927" w:customStyle="1">
    <w:name w:val="标题 31"/>
    <w:basedOn w:val="795"/>
    <w:next w:val="795"/>
    <w:link w:val="926"/>
    <w:uiPriority w:val="99"/>
    <w:unhideWhenUsed/>
    <w:qFormat/>
    <w:pPr>
      <w:keepLines/>
      <w:keepNext/>
      <w:spacing w:before="320" w:after="200"/>
      <w:outlineLvl w:val="2"/>
    </w:pPr>
    <w:rPr>
      <w:rFonts w:ascii="Arial" w:hAnsi="Arial" w:eastAsia="Arial" w:cs="Arial"/>
      <w:sz w:val="30"/>
      <w:szCs w:val="30"/>
    </w:rPr>
  </w:style>
  <w:style w:type="character" w:styleId="928" w:customStyle="1">
    <w:name w:val="Heading 4 Char"/>
    <w:link w:val="929"/>
    <w:uiPriority w:val="9"/>
    <w:qFormat/>
    <w:rPr>
      <w:rFonts w:ascii="Arial" w:hAnsi="Arial" w:eastAsia="Arial" w:cs="Arial"/>
      <w:b/>
      <w:bCs/>
      <w:sz w:val="26"/>
      <w:szCs w:val="26"/>
    </w:rPr>
  </w:style>
  <w:style w:type="paragraph" w:styleId="929" w:customStyle="1">
    <w:name w:val="标题 41"/>
    <w:basedOn w:val="795"/>
    <w:next w:val="795"/>
    <w:link w:val="928"/>
    <w:uiPriority w:val="0"/>
    <w:unhideWhenUsed/>
    <w:qFormat/>
    <w:pPr>
      <w:keepLines/>
      <w:keepNext/>
      <w:spacing w:before="320" w:after="200"/>
      <w:outlineLvl w:val="3"/>
    </w:pPr>
    <w:rPr>
      <w:rFonts w:ascii="Arial" w:hAnsi="Arial" w:eastAsia="Arial" w:cs="Arial"/>
      <w:b/>
      <w:bCs/>
      <w:sz w:val="26"/>
      <w:szCs w:val="26"/>
    </w:rPr>
  </w:style>
  <w:style w:type="character" w:styleId="930" w:customStyle="1">
    <w:name w:val="Heading 5 Char"/>
    <w:link w:val="931"/>
    <w:uiPriority w:val="9"/>
    <w:qFormat/>
    <w:rPr>
      <w:rFonts w:ascii="Arial" w:hAnsi="Arial" w:eastAsia="Arial" w:cs="Arial"/>
      <w:b/>
      <w:bCs/>
      <w:sz w:val="24"/>
      <w:szCs w:val="24"/>
    </w:rPr>
  </w:style>
  <w:style w:type="paragraph" w:styleId="931" w:customStyle="1">
    <w:name w:val="标题 51"/>
    <w:basedOn w:val="795"/>
    <w:next w:val="795"/>
    <w:link w:val="930"/>
    <w:uiPriority w:val="0"/>
    <w:unhideWhenUsed/>
    <w:qFormat/>
    <w:pPr>
      <w:keepLines/>
      <w:keepNext/>
      <w:spacing w:before="320" w:after="200"/>
      <w:outlineLvl w:val="4"/>
    </w:pPr>
    <w:rPr>
      <w:rFonts w:ascii="Arial" w:hAnsi="Arial" w:eastAsia="Arial" w:cs="Arial"/>
      <w:b/>
      <w:bCs/>
      <w:sz w:val="24"/>
    </w:rPr>
  </w:style>
  <w:style w:type="character" w:styleId="932" w:customStyle="1">
    <w:name w:val="Heading 6 Char"/>
    <w:link w:val="933"/>
    <w:uiPriority w:val="9"/>
    <w:qFormat/>
    <w:rPr>
      <w:rFonts w:ascii="Arial" w:hAnsi="Arial" w:eastAsia="Arial" w:cs="Arial"/>
      <w:b/>
      <w:bCs/>
      <w:sz w:val="22"/>
      <w:szCs w:val="22"/>
    </w:rPr>
  </w:style>
  <w:style w:type="paragraph" w:styleId="933" w:customStyle="1">
    <w:name w:val="标题 61"/>
    <w:basedOn w:val="795"/>
    <w:next w:val="795"/>
    <w:link w:val="932"/>
    <w:uiPriority w:val="0"/>
    <w:unhideWhenUsed/>
    <w:qFormat/>
    <w:pPr>
      <w:keepLines/>
      <w:keepNext/>
      <w:spacing w:before="320" w:after="200"/>
      <w:outlineLvl w:val="5"/>
    </w:pPr>
    <w:rPr>
      <w:rFonts w:ascii="Arial" w:hAnsi="Arial" w:eastAsia="Arial" w:cs="Arial"/>
      <w:b/>
      <w:bCs/>
      <w:sz w:val="22"/>
      <w:szCs w:val="22"/>
    </w:rPr>
  </w:style>
  <w:style w:type="character" w:styleId="934" w:customStyle="1">
    <w:name w:val="Heading 7 Char"/>
    <w:link w:val="935"/>
    <w:uiPriority w:val="9"/>
    <w:qFormat/>
    <w:rPr>
      <w:rFonts w:ascii="Arial" w:hAnsi="Arial" w:eastAsia="Arial" w:cs="Arial"/>
      <w:b/>
      <w:bCs/>
      <w:i/>
      <w:iCs/>
      <w:sz w:val="22"/>
      <w:szCs w:val="22"/>
    </w:rPr>
  </w:style>
  <w:style w:type="paragraph" w:styleId="935" w:customStyle="1">
    <w:name w:val="标题 71"/>
    <w:basedOn w:val="795"/>
    <w:next w:val="795"/>
    <w:link w:val="934"/>
    <w:uiPriority w:val="0"/>
    <w:unhideWhenUsed/>
    <w:qFormat/>
    <w:pPr>
      <w:keepLines/>
      <w:keepNext/>
      <w:spacing w:before="320" w:after="200"/>
      <w:outlineLvl w:val="6"/>
    </w:pPr>
    <w:rPr>
      <w:rFonts w:ascii="Arial" w:hAnsi="Arial" w:eastAsia="Arial" w:cs="Arial"/>
      <w:b/>
      <w:bCs/>
      <w:i/>
      <w:iCs/>
      <w:sz w:val="22"/>
      <w:szCs w:val="22"/>
    </w:rPr>
  </w:style>
  <w:style w:type="character" w:styleId="936" w:customStyle="1">
    <w:name w:val="Heading 8 Char"/>
    <w:link w:val="937"/>
    <w:uiPriority w:val="9"/>
    <w:qFormat/>
    <w:rPr>
      <w:rFonts w:ascii="Arial" w:hAnsi="Arial" w:eastAsia="Arial" w:cs="Arial"/>
      <w:i/>
      <w:iCs/>
      <w:sz w:val="22"/>
      <w:szCs w:val="22"/>
    </w:rPr>
  </w:style>
  <w:style w:type="paragraph" w:styleId="937" w:customStyle="1">
    <w:name w:val="标题 81"/>
    <w:basedOn w:val="795"/>
    <w:next w:val="795"/>
    <w:link w:val="936"/>
    <w:uiPriority w:val="0"/>
    <w:unhideWhenUsed/>
    <w:qFormat/>
    <w:pPr>
      <w:keepLines/>
      <w:keepNext/>
      <w:spacing w:before="320" w:after="200"/>
      <w:outlineLvl w:val="7"/>
    </w:pPr>
    <w:rPr>
      <w:rFonts w:ascii="Arial" w:hAnsi="Arial" w:eastAsia="Arial" w:cs="Arial"/>
      <w:i/>
      <w:iCs/>
      <w:sz w:val="22"/>
      <w:szCs w:val="22"/>
    </w:rPr>
  </w:style>
  <w:style w:type="character" w:styleId="938" w:customStyle="1">
    <w:name w:val="Heading 9 Char"/>
    <w:link w:val="939"/>
    <w:uiPriority w:val="9"/>
    <w:qFormat/>
    <w:rPr>
      <w:rFonts w:ascii="Arial" w:hAnsi="Arial" w:eastAsia="Arial" w:cs="Arial"/>
      <w:i/>
      <w:iCs/>
      <w:sz w:val="21"/>
      <w:szCs w:val="21"/>
    </w:rPr>
  </w:style>
  <w:style w:type="paragraph" w:styleId="939" w:customStyle="1">
    <w:name w:val="标题 91"/>
    <w:basedOn w:val="795"/>
    <w:next w:val="795"/>
    <w:link w:val="938"/>
    <w:uiPriority w:val="0"/>
    <w:unhideWhenUsed/>
    <w:qFormat/>
    <w:pPr>
      <w:keepLines/>
      <w:keepNext/>
      <w:spacing w:before="320" w:after="200"/>
      <w:outlineLvl w:val="8"/>
    </w:pPr>
    <w:rPr>
      <w:rFonts w:ascii="Arial" w:hAnsi="Arial" w:eastAsia="Arial" w:cs="Arial"/>
      <w:i/>
      <w:iCs/>
      <w:szCs w:val="21"/>
    </w:rPr>
  </w:style>
  <w:style w:type="paragraph" w:styleId="940">
    <w:name w:val="List Paragraph"/>
    <w:basedOn w:val="795"/>
    <w:link w:val="1088"/>
    <w:uiPriority w:val="34"/>
    <w:qFormat/>
    <w:pPr>
      <w:ind w:firstLine="420"/>
    </w:pPr>
    <w:rPr>
      <w:sz w:val="20"/>
      <w:szCs w:val="20"/>
    </w:rPr>
  </w:style>
  <w:style w:type="paragraph" w:styleId="941">
    <w:name w:val="No Spacing"/>
    <w:uiPriority w:val="99"/>
    <w:qFormat/>
    <w:rPr>
      <w:rFonts w:hint="default" w:ascii="Times New Roman" w:hAnsi="Times New Roman" w:eastAsia="宋体" w:cs="Times New Roman"/>
    </w:rPr>
  </w:style>
  <w:style w:type="character" w:styleId="942" w:customStyle="1">
    <w:name w:val="标题 字符"/>
    <w:link w:val="854"/>
    <w:uiPriority w:val="10"/>
    <w:qFormat/>
    <w:rPr>
      <w:sz w:val="48"/>
      <w:szCs w:val="48"/>
    </w:rPr>
  </w:style>
  <w:style w:type="character" w:styleId="943" w:customStyle="1">
    <w:name w:val="副标题 字符"/>
    <w:link w:val="840"/>
    <w:uiPriority w:val="11"/>
    <w:qFormat/>
    <w:rPr>
      <w:sz w:val="24"/>
      <w:szCs w:val="24"/>
    </w:rPr>
  </w:style>
  <w:style w:type="paragraph" w:styleId="944">
    <w:name w:val="Quote"/>
    <w:basedOn w:val="795"/>
    <w:next w:val="795"/>
    <w:link w:val="945"/>
    <w:uiPriority w:val="29"/>
    <w:qFormat/>
    <w:pPr>
      <w:ind w:left="720" w:right="720"/>
    </w:pPr>
    <w:rPr>
      <w:i/>
    </w:rPr>
  </w:style>
  <w:style w:type="character" w:styleId="945" w:customStyle="1">
    <w:name w:val="引用 字符"/>
    <w:link w:val="944"/>
    <w:uiPriority w:val="29"/>
    <w:qFormat/>
    <w:rPr>
      <w:i/>
    </w:rPr>
  </w:style>
  <w:style w:type="paragraph" w:styleId="946">
    <w:name w:val="Intense Quote"/>
    <w:basedOn w:val="795"/>
    <w:next w:val="795"/>
    <w:link w:val="9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7" w:customStyle="1">
    <w:name w:val="明显引用 字符"/>
    <w:link w:val="946"/>
    <w:uiPriority w:val="30"/>
    <w:qFormat/>
    <w:rPr>
      <w:i/>
    </w:rPr>
  </w:style>
  <w:style w:type="character" w:styleId="948" w:customStyle="1">
    <w:name w:val="Header Char"/>
    <w:link w:val="949"/>
    <w:uiPriority w:val="0"/>
    <w:qFormat/>
  </w:style>
  <w:style w:type="paragraph" w:styleId="949" w:customStyle="1">
    <w:name w:val="页眉1"/>
    <w:basedOn w:val="795"/>
    <w:link w:val="948"/>
    <w:uiPriority w:val="99"/>
    <w:unhideWhenUsed/>
    <w:qFormat/>
    <w:pPr>
      <w:tabs>
        <w:tab w:val="center" w:pos="7143" w:leader="none"/>
        <w:tab w:val="right" w:pos="14287" w:leader="none"/>
      </w:tabs>
    </w:pPr>
    <w:rPr>
      <w:sz w:val="20"/>
      <w:szCs w:val="20"/>
    </w:rPr>
  </w:style>
  <w:style w:type="character" w:styleId="950" w:customStyle="1">
    <w:name w:val="Footer Char"/>
    <w:uiPriority w:val="99"/>
    <w:qFormat/>
  </w:style>
  <w:style w:type="character" w:styleId="951" w:customStyle="1">
    <w:name w:val="Caption Char"/>
    <w:link w:val="952"/>
    <w:uiPriority w:val="99"/>
    <w:qFormat/>
  </w:style>
  <w:style w:type="paragraph" w:styleId="952" w:customStyle="1">
    <w:name w:val="页脚1"/>
    <w:basedOn w:val="795"/>
    <w:link w:val="951"/>
    <w:uiPriority w:val="99"/>
    <w:unhideWhenUsed/>
    <w:qFormat/>
    <w:pPr>
      <w:tabs>
        <w:tab w:val="center" w:pos="7143" w:leader="none"/>
        <w:tab w:val="right" w:pos="14287" w:leader="none"/>
      </w:tabs>
    </w:pPr>
    <w:rPr>
      <w:sz w:val="20"/>
      <w:szCs w:val="20"/>
    </w:rPr>
  </w:style>
  <w:style w:type="table" w:styleId="95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5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6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6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6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7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7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7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7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7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7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7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7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8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8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8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9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9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9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9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9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9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96" w:customStyle="1">
    <w:name w:val="List Table 1 Light - Accent 1"/>
    <w:uiPriority w:val="99"/>
    <w:qFormat/>
    <w:tblPr>
      <w:tblCellMar>
        <w:left w:w="0" w:type="dxa"/>
        <w:top w:w="0" w:type="dxa"/>
        <w:right w:w="0" w:type="dxa"/>
        <w:bottom w:w="0" w:type="dxa"/>
      </w:tblCellMar>
    </w:tblPr>
  </w:style>
  <w:style w:type="table" w:styleId="997" w:customStyle="1">
    <w:name w:val="List Table 1 Light - Accent 2"/>
    <w:uiPriority w:val="99"/>
    <w:qFormat/>
    <w:tblPr>
      <w:tblCellMar>
        <w:left w:w="0" w:type="dxa"/>
        <w:top w:w="0" w:type="dxa"/>
        <w:right w:w="0" w:type="dxa"/>
        <w:bottom w:w="0" w:type="dxa"/>
      </w:tblCellMar>
    </w:tblPr>
  </w:style>
  <w:style w:type="table" w:styleId="998" w:customStyle="1">
    <w:name w:val="List Table 1 Light - Accent 3"/>
    <w:uiPriority w:val="99"/>
    <w:qFormat/>
    <w:tblPr>
      <w:tblCellMar>
        <w:left w:w="0" w:type="dxa"/>
        <w:top w:w="0" w:type="dxa"/>
        <w:right w:w="0" w:type="dxa"/>
        <w:bottom w:w="0" w:type="dxa"/>
      </w:tblCellMar>
    </w:tblPr>
  </w:style>
  <w:style w:type="table" w:styleId="999" w:customStyle="1">
    <w:name w:val="List Table 1 Light - Accent 4"/>
    <w:uiPriority w:val="99"/>
    <w:qFormat/>
    <w:tblPr>
      <w:tblCellMar>
        <w:left w:w="0" w:type="dxa"/>
        <w:top w:w="0" w:type="dxa"/>
        <w:right w:w="0" w:type="dxa"/>
        <w:bottom w:w="0" w:type="dxa"/>
      </w:tblCellMar>
    </w:tblPr>
  </w:style>
  <w:style w:type="table" w:styleId="1000" w:customStyle="1">
    <w:name w:val="List Table 1 Light - Accent 5"/>
    <w:uiPriority w:val="99"/>
    <w:qFormat/>
    <w:tblPr>
      <w:tblCellMar>
        <w:left w:w="0" w:type="dxa"/>
        <w:top w:w="0" w:type="dxa"/>
        <w:right w:w="0" w:type="dxa"/>
        <w:bottom w:w="0" w:type="dxa"/>
      </w:tblCellMar>
    </w:tblPr>
  </w:style>
  <w:style w:type="table" w:styleId="1001" w:customStyle="1">
    <w:name w:val="List Table 1 Light - Accent 6"/>
    <w:uiPriority w:val="99"/>
    <w:qFormat/>
    <w:tblPr>
      <w:tblCellMar>
        <w:left w:w="0" w:type="dxa"/>
        <w:top w:w="0" w:type="dxa"/>
        <w:right w:w="0" w:type="dxa"/>
        <w:bottom w:w="0" w:type="dxa"/>
      </w:tblCellMar>
    </w:tblPr>
  </w:style>
  <w:style w:type="table" w:styleId="100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0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0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0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0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0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0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0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1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1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1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1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1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1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1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1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1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1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2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2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2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2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2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2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2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2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2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2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3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3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3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3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3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3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3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3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38" w:customStyle="1">
    <w:name w:val="Lined - Accent"/>
    <w:uiPriority w:val="99"/>
    <w:qFormat/>
    <w:rPr>
      <w:color w:val="404040"/>
    </w:rPr>
    <w:tblPr>
      <w:tblCellMar>
        <w:left w:w="0" w:type="dxa"/>
        <w:top w:w="0" w:type="dxa"/>
        <w:right w:w="0" w:type="dxa"/>
        <w:bottom w:w="0" w:type="dxa"/>
      </w:tblCellMar>
    </w:tblPr>
  </w:style>
  <w:style w:type="table" w:styleId="1039" w:customStyle="1">
    <w:name w:val="Lined - Accent 1"/>
    <w:uiPriority w:val="99"/>
    <w:qFormat/>
    <w:rPr>
      <w:color w:val="404040"/>
    </w:rPr>
    <w:tblPr>
      <w:tblCellMar>
        <w:left w:w="0" w:type="dxa"/>
        <w:top w:w="0" w:type="dxa"/>
        <w:right w:w="0" w:type="dxa"/>
        <w:bottom w:w="0" w:type="dxa"/>
      </w:tblCellMar>
    </w:tblPr>
  </w:style>
  <w:style w:type="table" w:styleId="1040" w:customStyle="1">
    <w:name w:val="Lined - Accent 2"/>
    <w:uiPriority w:val="99"/>
    <w:qFormat/>
    <w:rPr>
      <w:color w:val="404040"/>
    </w:rPr>
    <w:tblPr>
      <w:tblCellMar>
        <w:left w:w="0" w:type="dxa"/>
        <w:top w:w="0" w:type="dxa"/>
        <w:right w:w="0" w:type="dxa"/>
        <w:bottom w:w="0" w:type="dxa"/>
      </w:tblCellMar>
    </w:tblPr>
  </w:style>
  <w:style w:type="table" w:styleId="1041" w:customStyle="1">
    <w:name w:val="Lined - Accent 3"/>
    <w:uiPriority w:val="99"/>
    <w:qFormat/>
    <w:rPr>
      <w:color w:val="404040"/>
    </w:rPr>
    <w:tblPr>
      <w:tblCellMar>
        <w:left w:w="0" w:type="dxa"/>
        <w:top w:w="0" w:type="dxa"/>
        <w:right w:w="0" w:type="dxa"/>
        <w:bottom w:w="0" w:type="dxa"/>
      </w:tblCellMar>
    </w:tblPr>
  </w:style>
  <w:style w:type="table" w:styleId="1042" w:customStyle="1">
    <w:name w:val="Lined - Accent 4"/>
    <w:uiPriority w:val="99"/>
    <w:qFormat/>
    <w:rPr>
      <w:color w:val="404040"/>
    </w:rPr>
    <w:tblPr>
      <w:tblCellMar>
        <w:left w:w="0" w:type="dxa"/>
        <w:top w:w="0" w:type="dxa"/>
        <w:right w:w="0" w:type="dxa"/>
        <w:bottom w:w="0" w:type="dxa"/>
      </w:tblCellMar>
    </w:tblPr>
  </w:style>
  <w:style w:type="table" w:styleId="1043" w:customStyle="1">
    <w:name w:val="Lined - Accent 5"/>
    <w:uiPriority w:val="99"/>
    <w:qFormat/>
    <w:rPr>
      <w:color w:val="404040"/>
    </w:rPr>
    <w:tblPr>
      <w:tblCellMar>
        <w:left w:w="0" w:type="dxa"/>
        <w:top w:w="0" w:type="dxa"/>
        <w:right w:w="0" w:type="dxa"/>
        <w:bottom w:w="0" w:type="dxa"/>
      </w:tblCellMar>
    </w:tblPr>
  </w:style>
  <w:style w:type="table" w:styleId="1044" w:customStyle="1">
    <w:name w:val="Lined - Accent 6"/>
    <w:uiPriority w:val="99"/>
    <w:qFormat/>
    <w:rPr>
      <w:color w:val="404040"/>
    </w:rPr>
    <w:tblPr>
      <w:tblCellMar>
        <w:left w:w="0" w:type="dxa"/>
        <w:top w:w="0" w:type="dxa"/>
        <w:right w:w="0" w:type="dxa"/>
        <w:bottom w:w="0" w:type="dxa"/>
      </w:tblCellMar>
    </w:tblPr>
  </w:style>
  <w:style w:type="table" w:styleId="104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46" w:customStyle="1">
    <w:name w:val="Bordered &amp; Lined - Accent 1"/>
    <w:uiPriority w:val="99"/>
    <w:qFormat/>
    <w:rPr>
      <w:color w:val="404040"/>
    </w:rPr>
    <w:tblPr>
      <w:tblCellMar>
        <w:left w:w="0" w:type="dxa"/>
        <w:top w:w="0" w:type="dxa"/>
        <w:right w:w="0" w:type="dxa"/>
        <w:bottom w:w="0" w:type="dxa"/>
      </w:tblCellMar>
    </w:tblPr>
  </w:style>
  <w:style w:type="table" w:styleId="104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4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4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5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5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5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5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5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5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5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5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5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59" w:customStyle="1">
    <w:name w:val="脚注文本 字符"/>
    <w:link w:val="842"/>
    <w:uiPriority w:val="0"/>
    <w:qFormat/>
    <w:rPr>
      <w:sz w:val="18"/>
    </w:rPr>
  </w:style>
  <w:style w:type="character" w:styleId="1060" w:customStyle="1">
    <w:name w:val="尾注文本 字符"/>
    <w:link w:val="831"/>
    <w:uiPriority w:val="99"/>
    <w:qFormat/>
    <w:rPr>
      <w:sz w:val="20"/>
    </w:rPr>
  </w:style>
  <w:style w:type="paragraph" w:styleId="1061" w:customStyle="1">
    <w:name w:val="TOC 标题11"/>
    <w:uiPriority w:val="39"/>
    <w:unhideWhenUsed/>
    <w:qFormat/>
    <w:rPr>
      <w:rFonts w:hint="default" w:ascii="Times New Roman" w:hAnsi="Times New Roman" w:eastAsia="宋体" w:cs="Times New Roman"/>
    </w:rPr>
  </w:style>
  <w:style w:type="character" w:styleId="1062" w:customStyle="1">
    <w:name w:val="标题 2 字符"/>
    <w:link w:val="797"/>
    <w:uiPriority w:val="0"/>
    <w:qFormat/>
    <w:rPr>
      <w:rFonts w:ascii="Arial" w:hAnsi="Arial" w:eastAsia="黑体" w:cs="Times New Roman"/>
      <w:b/>
      <w:bCs/>
      <w:sz w:val="32"/>
      <w:szCs w:val="32"/>
    </w:rPr>
  </w:style>
  <w:style w:type="character" w:styleId="1063" w:customStyle="1">
    <w:name w:val="标题 3 字符"/>
    <w:link w:val="798"/>
    <w:uiPriority w:val="99"/>
    <w:qFormat/>
    <w:rPr>
      <w:rFonts w:ascii="Times New Roman" w:hAnsi="Times New Roman" w:eastAsia="宋体" w:cs="Times New Roman"/>
      <w:b/>
      <w:bCs/>
      <w:sz w:val="32"/>
      <w:szCs w:val="32"/>
    </w:rPr>
  </w:style>
  <w:style w:type="character" w:styleId="1064" w:customStyle="1">
    <w:name w:val="标题 4 字符"/>
    <w:link w:val="799"/>
    <w:uiPriority w:val="0"/>
    <w:qFormat/>
    <w:rPr>
      <w:rFonts w:ascii="Times New Roman" w:hAnsi="Times New Roman" w:eastAsia="新宋体" w:cs="Times New Roman"/>
      <w:sz w:val="30"/>
      <w:szCs w:val="21"/>
    </w:rPr>
  </w:style>
  <w:style w:type="character" w:styleId="1065" w:customStyle="1">
    <w:name w:val="标题 5 字符"/>
    <w:link w:val="800"/>
    <w:uiPriority w:val="0"/>
    <w:qFormat/>
    <w:rPr>
      <w:rFonts w:ascii="Times New Roman" w:hAnsi="Times New Roman" w:eastAsia="宋体" w:cs="Times New Roman"/>
      <w:b/>
      <w:bCs/>
      <w:sz w:val="28"/>
      <w:szCs w:val="28"/>
    </w:rPr>
  </w:style>
  <w:style w:type="character" w:styleId="1066" w:customStyle="1">
    <w:name w:val="标题 6 字符"/>
    <w:link w:val="801"/>
    <w:uiPriority w:val="0"/>
    <w:qFormat/>
    <w:rPr>
      <w:rFonts w:ascii="Times New Roman" w:hAnsi="Times New Roman" w:eastAsia="宋体" w:cs="Times New Roman"/>
      <w:b/>
      <w:sz w:val="44"/>
      <w:szCs w:val="20"/>
    </w:rPr>
  </w:style>
  <w:style w:type="character" w:styleId="1067" w:customStyle="1">
    <w:name w:val="正文缩进 字符"/>
    <w:link w:val="807"/>
    <w:uiPriority w:val="0"/>
    <w:qFormat/>
    <w:rPr>
      <w:rFonts w:ascii="Times New Roman" w:hAnsi="Times New Roman" w:eastAsia="宋体" w:cs="Times New Roman"/>
      <w:sz w:val="20"/>
      <w:szCs w:val="20"/>
    </w:rPr>
  </w:style>
  <w:style w:type="character" w:styleId="1068" w:customStyle="1">
    <w:name w:val="标题 7 字符"/>
    <w:link w:val="802"/>
    <w:uiPriority w:val="0"/>
    <w:qFormat/>
    <w:rPr>
      <w:rFonts w:ascii="Times New Roman" w:hAnsi="Times New Roman" w:eastAsia="宋体" w:cs="Times New Roman"/>
      <w:b/>
      <w:bCs/>
      <w:sz w:val="24"/>
      <w:szCs w:val="24"/>
    </w:rPr>
  </w:style>
  <w:style w:type="character" w:styleId="1069" w:customStyle="1">
    <w:name w:val="标题 8 字符"/>
    <w:link w:val="803"/>
    <w:uiPriority w:val="0"/>
    <w:qFormat/>
    <w:rPr>
      <w:rFonts w:ascii="Arial" w:hAnsi="Arial" w:eastAsia="黑体" w:cs="Times New Roman"/>
      <w:sz w:val="24"/>
      <w:szCs w:val="24"/>
    </w:rPr>
  </w:style>
  <w:style w:type="character" w:styleId="1070" w:customStyle="1">
    <w:name w:val="标题 9 字符"/>
    <w:link w:val="804"/>
    <w:uiPriority w:val="0"/>
    <w:qFormat/>
    <w:rPr>
      <w:rFonts w:ascii="Arial" w:hAnsi="Arial" w:eastAsia="黑体" w:cs="Times New Roman"/>
      <w:sz w:val="24"/>
      <w:szCs w:val="21"/>
    </w:rPr>
  </w:style>
  <w:style w:type="character" w:styleId="1071" w:customStyle="1">
    <w:name w:val="文档结构图 字符"/>
    <w:link w:val="813"/>
    <w:uiPriority w:val="0"/>
    <w:qFormat/>
    <w:rPr>
      <w:szCs w:val="24"/>
      <w:shd w:val="clear" w:color="auto" w:fill="000080"/>
    </w:rPr>
  </w:style>
  <w:style w:type="character" w:styleId="1072" w:customStyle="1">
    <w:name w:val="正文文本 3 字符"/>
    <w:link w:val="817"/>
    <w:uiPriority w:val="0"/>
    <w:qFormat/>
    <w:rPr>
      <w:rFonts w:ascii="Times New Roman" w:hAnsi="Times New Roman" w:eastAsia="宋体" w:cs="Times New Roman"/>
      <w:sz w:val="16"/>
      <w:szCs w:val="16"/>
    </w:rPr>
  </w:style>
  <w:style w:type="character" w:styleId="1073" w:customStyle="1">
    <w:name w:val="正文文本 字符"/>
    <w:link w:val="818"/>
    <w:uiPriority w:val="0"/>
    <w:qFormat/>
    <w:rPr>
      <w:rFonts w:ascii="仿宋_GB2312" w:hAnsi="Times New Roman" w:eastAsia="仿宋_GB2312" w:cs="Times New Roman"/>
      <w:sz w:val="24"/>
      <w:szCs w:val="20"/>
    </w:rPr>
  </w:style>
  <w:style w:type="character" w:styleId="1074" w:customStyle="1">
    <w:name w:val="正文文本缩进 字符"/>
    <w:link w:val="819"/>
    <w:uiPriority w:val="0"/>
    <w:qFormat/>
    <w:rPr>
      <w:rFonts w:ascii="仿宋_GB2312" w:hAnsi="Times New Roman" w:eastAsia="仿宋_GB2312" w:cs="Times New Roman"/>
      <w:sz w:val="28"/>
      <w:szCs w:val="20"/>
    </w:rPr>
  </w:style>
  <w:style w:type="character" w:styleId="1075" w:customStyle="1">
    <w:name w:val="纯文本 字符"/>
    <w:link w:val="826"/>
    <w:uiPriority w:val="0"/>
    <w:qFormat/>
    <w:rPr>
      <w:rFonts w:ascii="宋体" w:hAnsi="Courier New" w:eastAsia="宋体" w:cs="Courier New"/>
      <w:szCs w:val="21"/>
    </w:rPr>
  </w:style>
  <w:style w:type="character" w:styleId="1076" w:customStyle="1">
    <w:name w:val="日期 字符"/>
    <w:link w:val="829"/>
    <w:uiPriority w:val="0"/>
    <w:qFormat/>
    <w:rPr>
      <w:rFonts w:ascii="Times New Roman" w:hAnsi="Times New Roman" w:eastAsia="宋体" w:cs="Times New Roman"/>
      <w:sz w:val="24"/>
      <w:szCs w:val="20"/>
    </w:rPr>
  </w:style>
  <w:style w:type="character" w:styleId="1077" w:customStyle="1">
    <w:name w:val="正文文本缩进 2 字符"/>
    <w:link w:val="830"/>
    <w:uiPriority w:val="0"/>
    <w:qFormat/>
    <w:rPr>
      <w:rFonts w:ascii="Times New Roman" w:hAnsi="Times New Roman" w:eastAsia="仿宋_GB2312" w:cs="Times New Roman"/>
      <w:sz w:val="28"/>
      <w:szCs w:val="20"/>
    </w:rPr>
  </w:style>
  <w:style w:type="character" w:styleId="1078" w:customStyle="1">
    <w:name w:val="批注框文本 字符"/>
    <w:link w:val="832"/>
    <w:uiPriority w:val="0"/>
    <w:qFormat/>
    <w:rPr>
      <w:sz w:val="18"/>
      <w:szCs w:val="18"/>
    </w:rPr>
  </w:style>
  <w:style w:type="character" w:styleId="1079" w:customStyle="1">
    <w:name w:val="页脚 字符"/>
    <w:link w:val="833"/>
    <w:uiPriority w:val="99"/>
    <w:qFormat/>
    <w:rPr>
      <w:rFonts w:ascii="Times New Roman" w:hAnsi="Times New Roman" w:eastAsia="宋体" w:cs="Times New Roman"/>
      <w:sz w:val="18"/>
      <w:szCs w:val="20"/>
    </w:rPr>
  </w:style>
  <w:style w:type="character" w:styleId="1080" w:customStyle="1">
    <w:name w:val="页眉 字符"/>
    <w:link w:val="834"/>
    <w:uiPriority w:val="99"/>
    <w:qFormat/>
    <w:rPr>
      <w:rFonts w:ascii="Times New Roman" w:hAnsi="Times New Roman" w:eastAsia="宋体" w:cs="Times New Roman"/>
      <w:sz w:val="18"/>
      <w:szCs w:val="18"/>
    </w:rPr>
  </w:style>
  <w:style w:type="paragraph" w:styleId="1081" w:customStyle="1">
    <w:name w:val="目录 11"/>
    <w:basedOn w:val="795"/>
    <w:next w:val="795"/>
    <w:uiPriority w:val="0"/>
    <w:qFormat/>
    <w:rPr>
      <w:sz w:val="24"/>
    </w:rPr>
  </w:style>
  <w:style w:type="character" w:styleId="1082" w:customStyle="1">
    <w:name w:val="正文文本缩进 3 字符"/>
    <w:link w:val="844"/>
    <w:uiPriority w:val="0"/>
    <w:qFormat/>
    <w:rPr>
      <w:rFonts w:ascii="Times New Roman" w:hAnsi="Times New Roman" w:eastAsia="宋体" w:cs="Times New Roman"/>
      <w:sz w:val="16"/>
      <w:szCs w:val="16"/>
    </w:rPr>
  </w:style>
  <w:style w:type="character" w:styleId="1083" w:customStyle="1">
    <w:name w:val="正文文本 2 字符"/>
    <w:link w:val="850"/>
    <w:uiPriority w:val="0"/>
    <w:qFormat/>
    <w:rPr>
      <w:rFonts w:ascii="Times New Roman" w:hAnsi="Times New Roman" w:eastAsia="宋体" w:cs="Times New Roman"/>
      <w:b/>
      <w:bCs/>
      <w:sz w:val="18"/>
      <w:szCs w:val="24"/>
    </w:rPr>
  </w:style>
  <w:style w:type="character" w:styleId="1084" w:customStyle="1">
    <w:name w:val="HTML 预设格式 字符"/>
    <w:link w:val="851"/>
    <w:uiPriority w:val="0"/>
    <w:qFormat/>
    <w:rPr>
      <w:rFonts w:ascii="等线 Light" w:hAnsi="等线 Light" w:eastAsia="幼圆" w:cs="等线 Light"/>
      <w:sz w:val="24"/>
      <w:szCs w:val="22"/>
    </w:rPr>
  </w:style>
  <w:style w:type="paragraph" w:styleId="1085" w:customStyle="1">
    <w:name w:val="正文首行缩进1"/>
    <w:basedOn w:val="818"/>
    <w:link w:val="1086"/>
    <w:uiPriority w:val="0"/>
    <w:qFormat/>
  </w:style>
  <w:style w:type="character" w:styleId="1086" w:customStyle="1">
    <w:name w:val="正文文本首行缩进 字符"/>
    <w:link w:val="1085"/>
    <w:uiPriority w:val="0"/>
    <w:qFormat/>
    <w:rPr>
      <w:rFonts w:ascii="Times New Roman" w:hAnsi="Times New Roman" w:eastAsia="宋体" w:cs="Times New Roman"/>
      <w:sz w:val="24"/>
      <w:szCs w:val="24"/>
    </w:rPr>
  </w:style>
  <w:style w:type="character" w:styleId="1087" w:customStyle="1">
    <w:name w:val="已访问的超链接1"/>
    <w:uiPriority w:val="99"/>
    <w:qFormat/>
    <w:rPr>
      <w:color w:val="800080"/>
      <w:u w:val="single"/>
    </w:rPr>
  </w:style>
  <w:style w:type="character" w:styleId="1088" w:customStyle="1">
    <w:name w:val="列表段落 字符1"/>
    <w:link w:val="940"/>
    <w:uiPriority w:val="99"/>
    <w:qFormat/>
  </w:style>
  <w:style w:type="character" w:styleId="1089" w:customStyle="1">
    <w:name w:val="文档结构图 Char1"/>
    <w:uiPriority w:val="99"/>
    <w:semiHidden/>
    <w:qFormat/>
    <w:rPr>
      <w:rFonts w:ascii="宋体" w:hAnsi="Times New Roman" w:eastAsia="宋体" w:cs="Times New Roman"/>
      <w:sz w:val="18"/>
      <w:szCs w:val="18"/>
    </w:rPr>
  </w:style>
  <w:style w:type="character" w:styleId="1090" w:customStyle="1">
    <w:name w:val="普通正文 Char"/>
    <w:link w:val="1091"/>
    <w:uiPriority w:val="0"/>
    <w:qFormat/>
    <w:rPr>
      <w:rFonts w:ascii="Arial" w:hAnsi="Arial"/>
      <w:sz w:val="24"/>
      <w:szCs w:val="24"/>
    </w:rPr>
  </w:style>
  <w:style w:type="paragraph" w:styleId="1091" w:customStyle="1">
    <w:name w:val="普通正文"/>
    <w:basedOn w:val="795"/>
    <w:link w:val="1090"/>
    <w:uiPriority w:val="99"/>
    <w:qFormat/>
    <w:pPr>
      <w:ind w:left="-2" w:right="120" w:firstLine="480"/>
      <w:jc w:val="center"/>
      <w:spacing w:before="120" w:after="120" w:line="360" w:lineRule="auto"/>
    </w:pPr>
    <w:rPr>
      <w:rFonts w:ascii="Arial" w:hAnsi="Arial"/>
      <w:sz w:val="24"/>
    </w:rPr>
  </w:style>
  <w:style w:type="character" w:styleId="1092" w:customStyle="1">
    <w:name w:val="FA正文 Char"/>
    <w:link w:val="1093"/>
    <w:uiPriority w:val="0"/>
    <w:qFormat/>
    <w:rPr>
      <w:rFonts w:ascii="宋体" w:hAnsi="宋体" w:eastAsia="宋体" w:cs="Times New Roman"/>
      <w:sz w:val="28"/>
      <w:szCs w:val="28"/>
    </w:rPr>
  </w:style>
  <w:style w:type="paragraph" w:styleId="1093" w:customStyle="1">
    <w:name w:val="FA正文"/>
    <w:basedOn w:val="795"/>
    <w:link w:val="1092"/>
    <w:uiPriority w:val="0"/>
    <w:qFormat/>
    <w:pPr>
      <w:ind w:firstLine="538"/>
      <w:spacing w:line="440" w:lineRule="atLeast"/>
      <w:tabs>
        <w:tab w:val="left" w:pos="3375" w:leader="none"/>
      </w:tabs>
    </w:pPr>
    <w:rPr>
      <w:rFonts w:ascii="宋体" w:hAnsi="宋体"/>
      <w:sz w:val="28"/>
      <w:szCs w:val="28"/>
    </w:rPr>
  </w:style>
  <w:style w:type="character" w:styleId="1094" w:customStyle="1">
    <w:name w:val="正文缩进2格 Char"/>
    <w:link w:val="1095"/>
    <w:uiPriority w:val="0"/>
    <w:qFormat/>
    <w:rPr>
      <w:rFonts w:ascii="仿宋_GB2312" w:hAnsi="宋体" w:eastAsia="仿宋_GB2312" w:cs="Times New Roman"/>
      <w:sz w:val="31"/>
      <w:szCs w:val="28"/>
    </w:rPr>
  </w:style>
  <w:style w:type="paragraph" w:styleId="1095" w:customStyle="1">
    <w:name w:val="正文缩进2格"/>
    <w:basedOn w:val="795"/>
    <w:link w:val="1094"/>
    <w:uiPriority w:val="0"/>
    <w:qFormat/>
    <w:pPr>
      <w:ind w:firstLine="639"/>
      <w:spacing w:line="600" w:lineRule="exact"/>
    </w:pPr>
    <w:rPr>
      <w:rFonts w:ascii="仿宋_GB2312" w:hAnsi="宋体" w:eastAsia="仿宋_GB2312"/>
      <w:sz w:val="31"/>
      <w:szCs w:val="28"/>
    </w:rPr>
  </w:style>
  <w:style w:type="character" w:styleId="1096" w:customStyle="1">
    <w:name w:val="cn_text1"/>
    <w:uiPriority w:val="0"/>
    <w:qFormat/>
    <w:rPr>
      <w:rFonts w:ascii="仿宋" w:hAnsi="仿宋"/>
      <w:color w:val="003399"/>
      <w:spacing w:val="15"/>
      <w:sz w:val="18"/>
      <w:szCs w:val="18"/>
    </w:rPr>
  </w:style>
  <w:style w:type="character" w:styleId="1097" w:customStyle="1">
    <w:name w:val="ssss Char"/>
    <w:uiPriority w:val="0"/>
    <w:qFormat/>
    <w:rPr>
      <w:rFonts w:eastAsia="宋体"/>
      <w:sz w:val="24"/>
      <w:szCs w:val="24"/>
      <w:lang w:val="en-US" w:eastAsia="zh-CN" w:bidi="ar-SA"/>
    </w:rPr>
  </w:style>
  <w:style w:type="character" w:styleId="1098" w:customStyle="1">
    <w:name w:val="ssss Char1"/>
    <w:link w:val="1099"/>
    <w:uiPriority w:val="0"/>
    <w:qFormat/>
    <w:rPr>
      <w:rFonts w:ascii="Times New Roman" w:hAnsi="Times New Roman" w:eastAsia="宋体" w:cs="Times New Roman"/>
      <w:sz w:val="24"/>
      <w:szCs w:val="24"/>
    </w:rPr>
  </w:style>
  <w:style w:type="paragraph" w:styleId="1099" w:customStyle="1">
    <w:name w:val="ssss"/>
    <w:basedOn w:val="795"/>
    <w:link w:val="1098"/>
    <w:uiPriority w:val="0"/>
    <w:qFormat/>
    <w:pPr>
      <w:ind w:firstLine="480"/>
      <w:spacing w:line="360" w:lineRule="auto"/>
    </w:pPr>
    <w:rPr>
      <w:sz w:val="24"/>
    </w:rPr>
  </w:style>
  <w:style w:type="character" w:styleId="1100" w:customStyle="1">
    <w:name w:val="标题 4 Char1"/>
    <w:uiPriority w:val="0"/>
    <w:qFormat/>
    <w:rPr>
      <w:rFonts w:ascii="Arial" w:hAnsi="Arial" w:eastAsia="黑体"/>
      <w:b/>
      <w:bCs/>
      <w:sz w:val="28"/>
      <w:szCs w:val="28"/>
      <w:lang w:val="en-US" w:eastAsia="zh-CN" w:bidi="ar-SA"/>
    </w:rPr>
  </w:style>
  <w:style w:type="character" w:styleId="1101" w:customStyle="1">
    <w:name w:val="列表段落 字符"/>
    <w:uiPriority w:val="34"/>
    <w:qFormat/>
    <w:rPr>
      <w:rFonts w:ascii="Calibri" w:hAnsi="Calibri"/>
      <w:sz w:val="21"/>
      <w:szCs w:val="22"/>
    </w:rPr>
  </w:style>
  <w:style w:type="character" w:styleId="1102" w:customStyle="1">
    <w:name w:val="批注框文本 Char1"/>
    <w:uiPriority w:val="99"/>
    <w:semiHidden/>
    <w:qFormat/>
    <w:rPr>
      <w:rFonts w:ascii="Times New Roman" w:hAnsi="Times New Roman" w:eastAsia="宋体" w:cs="Times New Roman"/>
      <w:sz w:val="18"/>
      <w:szCs w:val="18"/>
    </w:rPr>
  </w:style>
  <w:style w:type="character" w:styleId="1103" w:customStyle="1">
    <w:name w:val="样式 ssss + 宋体 五号1 Char"/>
    <w:link w:val="1104"/>
    <w:uiPriority w:val="0"/>
    <w:qFormat/>
    <w:rPr>
      <w:rFonts w:ascii="宋体" w:hAnsi="宋体" w:eastAsia="宋体" w:cs="Times New Roman"/>
      <w:sz w:val="24"/>
      <w:szCs w:val="24"/>
    </w:rPr>
  </w:style>
  <w:style w:type="paragraph" w:styleId="1104" w:customStyle="1">
    <w:name w:val="样式 ssss + 宋体 五号1"/>
    <w:basedOn w:val="1099"/>
    <w:link w:val="1103"/>
    <w:uiPriority w:val="0"/>
    <w:qFormat/>
    <w:rPr>
      <w:rFonts w:ascii="宋体" w:hAnsi="宋体"/>
    </w:rPr>
  </w:style>
  <w:style w:type="character" w:styleId="1105" w:customStyle="1">
    <w:name w:val="point_normal1"/>
    <w:uiPriority w:val="0"/>
    <w:qFormat/>
    <w:rPr>
      <w:rFonts w:ascii="Arial" w:hAnsi="Arial" w:cs="Arial"/>
      <w:sz w:val="16"/>
      <w:szCs w:val="16"/>
    </w:rPr>
  </w:style>
  <w:style w:type="paragraph" w:styleId="1106" w:customStyle="1">
    <w:name w:val="样式 正文文本缩进 3 + 四号"/>
    <w:basedOn w:val="844"/>
    <w:uiPriority w:val="0"/>
    <w:qFormat/>
    <w:pPr>
      <w:ind w:left="0" w:firstLine="437"/>
      <w:spacing w:after="0" w:line="360" w:lineRule="auto"/>
    </w:pPr>
    <w:rPr>
      <w:sz w:val="24"/>
      <w:szCs w:val="21"/>
    </w:rPr>
  </w:style>
  <w:style w:type="paragraph" w:styleId="1107" w:customStyle="1">
    <w:name w:val="2cxsplast"/>
    <w:basedOn w:val="795"/>
    <w:uiPriority w:val="0"/>
    <w:qFormat/>
    <w:pPr>
      <w:jc w:val="left"/>
      <w:spacing w:before="100" w:beforeAutospacing="1" w:after="100" w:afterAutospacing="1"/>
      <w:widowControl/>
    </w:pPr>
    <w:rPr>
      <w:rFonts w:ascii="宋体" w:hAnsi="宋体" w:cs="宋体"/>
      <w:sz w:val="24"/>
    </w:rPr>
  </w:style>
  <w:style w:type="paragraph" w:styleId="1108" w:customStyle="1">
    <w:name w:val="ec_msonormal"/>
    <w:basedOn w:val="795"/>
    <w:uiPriority w:val="0"/>
    <w:qFormat/>
    <w:pPr>
      <w:jc w:val="left"/>
      <w:spacing w:before="100" w:beforeAutospacing="1" w:after="100" w:afterAutospacing="1"/>
      <w:widowControl/>
    </w:pPr>
    <w:rPr>
      <w:rFonts w:ascii="宋体" w:hAnsi="宋体"/>
      <w:sz w:val="24"/>
    </w:rPr>
  </w:style>
  <w:style w:type="paragraph" w:styleId="1109" w:customStyle="1">
    <w:name w:val="Char Char Char Char"/>
    <w:basedOn w:val="795"/>
    <w:uiPriority w:val="0"/>
    <w:qFormat/>
    <w:rPr>
      <w:rFonts w:ascii="Tahoma" w:hAnsi="Tahoma"/>
      <w:sz w:val="24"/>
      <w:szCs w:val="20"/>
    </w:rPr>
  </w:style>
  <w:style w:type="paragraph" w:styleId="1110" w:customStyle="1">
    <w:name w:val="Char Char Char Char Char Char Char Char Char Char Char Char Char"/>
    <w:basedOn w:val="795"/>
    <w:uiPriority w:val="0"/>
    <w:qFormat/>
  </w:style>
  <w:style w:type="paragraph" w:styleId="1111" w:customStyle="1">
    <w:name w:val="表格正文"/>
    <w:basedOn w:val="795"/>
    <w:uiPriority w:val="0"/>
    <w:qFormat/>
    <w:pPr>
      <w:jc w:val="left"/>
      <w:spacing w:line="360" w:lineRule="auto"/>
    </w:pPr>
    <w:rPr>
      <w:rFonts w:ascii="Calibri" w:hAnsi="Calibri"/>
      <w:color w:val="000000"/>
      <w:szCs w:val="28"/>
    </w:rPr>
  </w:style>
  <w:style w:type="paragraph" w:styleId="1112" w:customStyle="1">
    <w:name w:val="Normal1"/>
    <w:uiPriority w:val="0"/>
    <w:qFormat/>
    <w:pPr>
      <w:jc w:val="both"/>
      <w:spacing w:line="315" w:lineRule="atLeast"/>
      <w:widowControl w:val="off"/>
    </w:pPr>
    <w:rPr>
      <w:rFonts w:hint="default" w:ascii="宋体" w:hAnsi="Times New Roman" w:eastAsia="宋体" w:cs="Times New Roman"/>
      <w:sz w:val="24"/>
    </w:rPr>
  </w:style>
  <w:style w:type="paragraph" w:styleId="1113" w:customStyle="1">
    <w:name w:val="Char Char Char Char1"/>
    <w:basedOn w:val="795"/>
    <w:uiPriority w:val="0"/>
    <w:qFormat/>
    <w:rPr>
      <w:rFonts w:ascii="Tahoma" w:hAnsi="Tahoma"/>
      <w:sz w:val="24"/>
      <w:szCs w:val="20"/>
    </w:rPr>
  </w:style>
  <w:style w:type="paragraph" w:styleId="1114" w:customStyle="1">
    <w:name w:val="Char Char Char"/>
    <w:basedOn w:val="795"/>
    <w:uiPriority w:val="0"/>
    <w:qFormat/>
    <w:rPr>
      <w:rFonts w:ascii="Tahoma" w:hAnsi="Tahoma"/>
      <w:sz w:val="24"/>
      <w:szCs w:val="20"/>
    </w:rPr>
  </w:style>
  <w:style w:type="paragraph" w:styleId="1115" w:customStyle="1">
    <w:name w:val="标题-----3"/>
    <w:basedOn w:val="798"/>
    <w:uiPriority w:val="0"/>
    <w:qFormat/>
    <w:pPr>
      <w:spacing w:after="0" w:line="240" w:lineRule="auto"/>
      <w:outlineLvl w:val="0"/>
    </w:pPr>
    <w:rPr>
      <w:rFonts w:ascii="宋体" w:hAnsi="宋体"/>
      <w:b w:val="0"/>
      <w:sz w:val="28"/>
      <w:szCs w:val="28"/>
    </w:rPr>
  </w:style>
  <w:style w:type="paragraph" w:styleId="1116" w:customStyle="1">
    <w:name w:val="样式 ssss + 居中"/>
    <w:basedOn w:val="1099"/>
    <w:uiPriority w:val="0"/>
    <w:qFormat/>
    <w:pPr>
      <w:jc w:val="center"/>
    </w:pPr>
    <w:rPr>
      <w:rFonts w:cs="宋体"/>
      <w:szCs w:val="20"/>
    </w:rPr>
  </w:style>
  <w:style w:type="paragraph" w:styleId="1117" w:customStyle="1">
    <w:name w:val="样式 宋体 四号 黑色 左侧:  0.74 厘米 首行缩进:  0.74 厘米 行距: 1.5 倍行距"/>
    <w:basedOn w:val="795"/>
    <w:uiPriority w:val="0"/>
    <w:qFormat/>
    <w:pPr>
      <w:ind w:firstLine="420"/>
      <w:spacing w:line="360" w:lineRule="auto"/>
    </w:pPr>
    <w:rPr>
      <w:rFonts w:ascii="宋体"/>
      <w:color w:val="000000"/>
      <w:sz w:val="24"/>
      <w:szCs w:val="21"/>
    </w:rPr>
  </w:style>
  <w:style w:type="paragraph" w:styleId="1118" w:customStyle="1">
    <w:name w:val="样式 样式 ssss + 宋体 五号 + 首行缩进:  2 字符"/>
    <w:basedOn w:val="1119"/>
    <w:uiPriority w:val="0"/>
    <w:qFormat/>
    <w:pPr>
      <w:ind w:firstLine="480"/>
    </w:pPr>
  </w:style>
  <w:style w:type="paragraph" w:styleId="1119" w:customStyle="1">
    <w:name w:val="样式 ssss + 宋体 五号"/>
    <w:basedOn w:val="1099"/>
    <w:uiPriority w:val="0"/>
    <w:qFormat/>
    <w:pPr>
      <w:ind w:firstLine="420"/>
    </w:pPr>
    <w:rPr>
      <w:rFonts w:ascii="宋体" w:hAnsi="宋体" w:cs="宋体"/>
      <w:szCs w:val="20"/>
    </w:rPr>
  </w:style>
  <w:style w:type="paragraph" w:styleId="1120" w:customStyle="1">
    <w:name w:val="msonormalcxsplast"/>
    <w:basedOn w:val="795"/>
    <w:uiPriority w:val="0"/>
    <w:qFormat/>
    <w:pPr>
      <w:jc w:val="left"/>
      <w:spacing w:before="100" w:beforeAutospacing="1" w:after="100" w:afterAutospacing="1"/>
      <w:widowControl/>
    </w:pPr>
    <w:rPr>
      <w:rFonts w:ascii="宋体" w:hAnsi="宋体" w:cs="宋体"/>
      <w:sz w:val="24"/>
    </w:rPr>
  </w:style>
  <w:style w:type="paragraph" w:styleId="1121" w:customStyle="1">
    <w:name w:val="Char"/>
    <w:basedOn w:val="795"/>
    <w:uiPriority w:val="0"/>
    <w:qFormat/>
    <w:rPr>
      <w:rFonts w:ascii="Tahoma" w:hAnsi="Tahoma"/>
      <w:sz w:val="24"/>
      <w:szCs w:val="20"/>
    </w:rPr>
  </w:style>
  <w:style w:type="paragraph" w:styleId="1122" w:customStyle="1">
    <w:name w:val="xl25"/>
    <w:basedOn w:val="795"/>
    <w:uiPriority w:val="0"/>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123" w:customStyle="1">
    <w:name w:val="标题------4"/>
    <w:basedOn w:val="799"/>
    <w:uiPriority w:val="0"/>
    <w:qFormat/>
    <w:pPr>
      <w:ind w:left="960" w:hanging="420"/>
      <w:jc w:val="both"/>
      <w:keepLines/>
    </w:pPr>
    <w:rPr>
      <w:rFonts w:ascii="仿宋_GB2312" w:hAnsi="宋体" w:eastAsia="仿宋_GB2312" w:cs="仿宋_GB2312"/>
      <w:b/>
      <w:sz w:val="28"/>
      <w:szCs w:val="28"/>
      <w:lang w:val="zh-CN"/>
    </w:rPr>
  </w:style>
  <w:style w:type="paragraph" w:styleId="1124" w:customStyle="1">
    <w:name w:val="msonormalcxspmiddle"/>
    <w:basedOn w:val="795"/>
    <w:uiPriority w:val="0"/>
    <w:qFormat/>
    <w:pPr>
      <w:jc w:val="left"/>
      <w:spacing w:before="100" w:beforeAutospacing="1" w:after="100" w:afterAutospacing="1"/>
      <w:widowControl/>
    </w:pPr>
    <w:rPr>
      <w:rFonts w:ascii="宋体" w:hAnsi="宋体" w:cs="宋体"/>
      <w:sz w:val="24"/>
    </w:rPr>
  </w:style>
  <w:style w:type="paragraph" w:styleId="1125" w:customStyle="1">
    <w:name w:val="Char Char Char Char Char Char Char Char Char Char Char Char Char1"/>
    <w:basedOn w:val="795"/>
    <w:uiPriority w:val="0"/>
    <w:qFormat/>
    <w:rPr>
      <w:sz w:val="24"/>
    </w:rPr>
  </w:style>
  <w:style w:type="paragraph" w:styleId="1126" w:customStyle="1">
    <w:name w:val="表格"/>
    <w:basedOn w:val="795"/>
    <w:uiPriority w:val="0"/>
    <w:qFormat/>
    <w:rPr>
      <w:rFonts w:ascii="Arial" w:hAnsi="Arial"/>
      <w:sz w:val="24"/>
    </w:rPr>
  </w:style>
  <w:style w:type="paragraph" w:styleId="1127" w:customStyle="1">
    <w:name w:val="正文样式1"/>
    <w:basedOn w:val="795"/>
    <w:uiPriority w:val="0"/>
    <w:qFormat/>
    <w:pPr>
      <w:ind w:firstLine="480"/>
      <w:spacing w:before="120" w:after="120" w:line="360" w:lineRule="auto"/>
    </w:pPr>
    <w:rPr>
      <w:sz w:val="24"/>
      <w:szCs w:val="20"/>
    </w:rPr>
  </w:style>
  <w:style w:type="paragraph" w:styleId="1128" w:customStyle="1">
    <w:name w:val="Char Char1 Char Char Char Char Char Char"/>
    <w:basedOn w:val="795"/>
    <w:uiPriority w:val="0"/>
    <w:qFormat/>
    <w:pPr>
      <w:jc w:val="left"/>
      <w:spacing w:after="160" w:line="240" w:lineRule="exact"/>
      <w:widowControl/>
    </w:pPr>
    <w:rPr>
      <w:rFonts w:ascii="Verdana" w:hAnsi="Verdana" w:eastAsia="仿宋_GB2312"/>
      <w:sz w:val="24"/>
      <w:szCs w:val="20"/>
      <w:lang w:eastAsia="en-US"/>
    </w:rPr>
  </w:style>
  <w:style w:type="paragraph" w:styleId="1129" w:customStyle="1">
    <w:name w:val="Char Char Char Char Char Char Char Char Char Char"/>
    <w:basedOn w:val="795"/>
    <w:uiPriority w:val="0"/>
    <w:qFormat/>
    <w:rPr>
      <w:rFonts w:ascii="Tahoma" w:hAnsi="Tahoma"/>
      <w:sz w:val="24"/>
      <w:szCs w:val="20"/>
    </w:rPr>
  </w:style>
  <w:style w:type="paragraph" w:styleId="1130" w:customStyle="1">
    <w:name w:val="Char1"/>
    <w:basedOn w:val="795"/>
    <w:uiPriority w:val="0"/>
    <w:qFormat/>
    <w:pPr>
      <w:tabs>
        <w:tab w:val="left" w:pos="360" w:leader="none"/>
      </w:tabs>
    </w:pPr>
    <w:rPr>
      <w:sz w:val="24"/>
    </w:rPr>
  </w:style>
  <w:style w:type="paragraph" w:styleId="1131" w:customStyle="1">
    <w:name w:val="标题1"/>
    <w:basedOn w:val="795"/>
    <w:next w:val="79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32" w:customStyle="1">
    <w:name w:val="Header2"/>
    <w:basedOn w:val="795"/>
    <w:uiPriority w:val="0"/>
    <w:qFormat/>
    <w:pPr>
      <w:numPr>
        <w:ilvl w:val="0"/>
        <w:numId w:val="1"/>
      </w:numPr>
    </w:pPr>
  </w:style>
  <w:style w:type="paragraph" w:styleId="1133" w:customStyle="1">
    <w:name w:val="Char Char 字元 字元 字元 Char Char Char Char"/>
    <w:basedOn w:val="795"/>
    <w:uiPriority w:val="0"/>
    <w:qFormat/>
    <w:pPr>
      <w:spacing w:line="360" w:lineRule="auto"/>
    </w:pPr>
    <w:rPr>
      <w:sz w:val="24"/>
      <w:szCs w:val="20"/>
    </w:rPr>
  </w:style>
  <w:style w:type="paragraph" w:styleId="1134" w:customStyle="1">
    <w:name w:val="2cxspmiddle"/>
    <w:basedOn w:val="795"/>
    <w:uiPriority w:val="0"/>
    <w:qFormat/>
    <w:pPr>
      <w:jc w:val="left"/>
      <w:spacing w:before="100" w:beforeAutospacing="1" w:after="100" w:afterAutospacing="1"/>
      <w:widowControl/>
    </w:pPr>
    <w:rPr>
      <w:rFonts w:ascii="宋体" w:hAnsi="宋体" w:cs="宋体"/>
      <w:sz w:val="24"/>
    </w:rPr>
  </w:style>
  <w:style w:type="paragraph" w:styleId="1135" w:customStyle="1">
    <w:name w:val="正文_0_0"/>
    <w:uiPriority w:val="0"/>
    <w:qFormat/>
    <w:pPr>
      <w:jc w:val="both"/>
      <w:widowControl w:val="off"/>
    </w:pPr>
    <w:rPr>
      <w:rFonts w:hint="default" w:ascii="Times New Roman" w:hAnsi="Times New Roman" w:eastAsia="宋体" w:cs="Times New Roman"/>
      <w:sz w:val="21"/>
      <w:szCs w:val="24"/>
    </w:rPr>
  </w:style>
  <w:style w:type="paragraph" w:styleId="1136" w:customStyle="1">
    <w:name w:val="正文_1_0"/>
    <w:uiPriority w:val="0"/>
    <w:qFormat/>
    <w:pPr>
      <w:jc w:val="both"/>
      <w:widowControl w:val="off"/>
    </w:pPr>
    <w:rPr>
      <w:rFonts w:hint="default" w:ascii="Times New Roman" w:hAnsi="Times New Roman" w:eastAsia="宋体" w:cs="Times New Roman"/>
      <w:sz w:val="21"/>
      <w:szCs w:val="24"/>
    </w:rPr>
  </w:style>
  <w:style w:type="table" w:styleId="1137" w:customStyle="1">
    <w:name w:val="网格型1"/>
    <w:basedOn w:val="806"/>
    <w:uiPriority w:val="0"/>
    <w:qFormat/>
    <w:rPr>
      <w:rFonts w:ascii="等线" w:hAnsi="等线" w:eastAsia="等线"/>
      <w:sz w:val="21"/>
      <w:szCs w:val="22"/>
    </w:rPr>
    <w:tblPr/>
  </w:style>
  <w:style w:type="paragraph" w:styleId="1138" w:customStyle="1">
    <w:name w:val="正文_3"/>
    <w:uiPriority w:val="0"/>
    <w:qFormat/>
    <w:pPr>
      <w:jc w:val="both"/>
      <w:widowControl w:val="off"/>
    </w:pPr>
    <w:rPr>
      <w:rFonts w:hint="default" w:ascii="Times New Roman" w:hAnsi="Times New Roman" w:eastAsia="宋体" w:cs="Times New Roman"/>
      <w:sz w:val="21"/>
      <w:szCs w:val="24"/>
    </w:rPr>
  </w:style>
  <w:style w:type="paragraph" w:styleId="1139" w:customStyle="1">
    <w:name w:val="修订1"/>
    <w:uiPriority w:val="99"/>
    <w:unhideWhenUsed/>
    <w:qFormat/>
    <w:rPr>
      <w:rFonts w:hint="default" w:ascii="Times New Roman" w:hAnsi="Times New Roman" w:eastAsia="宋体" w:cs="Times New Roman"/>
      <w:sz w:val="21"/>
      <w:szCs w:val="24"/>
    </w:rPr>
  </w:style>
  <w:style w:type="paragraph" w:styleId="1140" w:customStyle="1">
    <w:name w:val="列出段落1"/>
    <w:basedOn w:val="795"/>
    <w:link w:val="1169"/>
    <w:uiPriority w:val="0"/>
    <w:qFormat/>
    <w:pPr>
      <w:ind w:firstLine="200"/>
    </w:pPr>
    <w:rPr>
      <w:rFonts w:ascii="Wingdings" w:hAnsi="Wingdings" w:eastAsia="幼圆" w:cs="Miss Sweetie"/>
      <w:szCs w:val="22"/>
    </w:rPr>
  </w:style>
  <w:style w:type="paragraph" w:styleId="1141" w:customStyle="1">
    <w:name w:val="Char1 Char Char Char"/>
    <w:basedOn w:val="795"/>
    <w:uiPriority w:val="0"/>
    <w:qFormat/>
    <w:pPr>
      <w:jc w:val="left"/>
      <w:spacing w:after="160" w:line="240" w:lineRule="exact"/>
      <w:widowControl/>
    </w:pPr>
    <w:rPr>
      <w:szCs w:val="20"/>
    </w:rPr>
  </w:style>
  <w:style w:type="paragraph" w:styleId="1142" w:customStyle="1">
    <w:name w:val="正文_2"/>
    <w:uiPriority w:val="0"/>
    <w:qFormat/>
    <w:pPr>
      <w:jc w:val="both"/>
      <w:widowControl w:val="off"/>
    </w:pPr>
    <w:rPr>
      <w:rFonts w:hint="default" w:ascii="等线" w:hAnsi="等线" w:eastAsia="等线" w:cs="等线"/>
      <w:sz w:val="21"/>
    </w:rPr>
  </w:style>
  <w:style w:type="paragraph" w:styleId="1143" w:customStyle="1">
    <w:name w:val="列表段落4"/>
    <w:basedOn w:val="795"/>
    <w:uiPriority w:val="34"/>
    <w:qFormat/>
    <w:pPr>
      <w:ind w:firstLine="420"/>
    </w:pPr>
    <w:rPr>
      <w:szCs w:val="22"/>
    </w:rPr>
  </w:style>
  <w:style w:type="character" w:styleId="1144" w:customStyle="1">
    <w:name w:val="font51"/>
    <w:basedOn w:val="805"/>
    <w:uiPriority w:val="99"/>
    <w:qFormat/>
    <w:rPr>
      <w:rFonts w:hint="eastAsia" w:ascii="宋体" w:hAnsi="宋体" w:eastAsia="宋体" w:cs="宋体"/>
      <w:color w:val="000000"/>
      <w:sz w:val="24"/>
      <w:szCs w:val="24"/>
      <w:u w:val="none"/>
    </w:rPr>
  </w:style>
  <w:style w:type="character" w:styleId="1145" w:customStyle="1">
    <w:name w:val="font71"/>
    <w:basedOn w:val="805"/>
    <w:uiPriority w:val="0"/>
    <w:qFormat/>
    <w:rPr>
      <w:rFonts w:hint="eastAsia" w:ascii="宋体" w:hAnsi="宋体" w:eastAsia="宋体" w:cs="宋体"/>
      <w:color w:val="000000"/>
      <w:sz w:val="24"/>
      <w:szCs w:val="24"/>
      <w:u w:val="none"/>
    </w:rPr>
  </w:style>
  <w:style w:type="character" w:styleId="1146" w:customStyle="1">
    <w:name w:val="font61"/>
    <w:basedOn w:val="805"/>
    <w:uiPriority w:val="0"/>
    <w:qFormat/>
    <w:rPr>
      <w:rFonts w:hint="eastAsia" w:ascii="宋体" w:hAnsi="宋体" w:eastAsia="宋体" w:cs="宋体"/>
      <w:color w:val="000000"/>
      <w:sz w:val="24"/>
      <w:szCs w:val="24"/>
      <w:u w:val="none"/>
    </w:rPr>
  </w:style>
  <w:style w:type="character" w:styleId="1147" w:customStyle="1">
    <w:name w:val="font81"/>
    <w:basedOn w:val="805"/>
    <w:uiPriority w:val="0"/>
    <w:qFormat/>
    <w:rPr>
      <w:rFonts w:hint="eastAsia" w:ascii="宋体" w:hAnsi="宋体" w:eastAsia="宋体" w:cs="宋体"/>
      <w:color w:val="000000"/>
      <w:sz w:val="24"/>
      <w:szCs w:val="24"/>
      <w:u w:val="none"/>
    </w:rPr>
  </w:style>
  <w:style w:type="character" w:styleId="1148" w:customStyle="1">
    <w:name w:val="批注文字 字符"/>
    <w:basedOn w:val="805"/>
    <w:link w:val="815"/>
    <w:uiPriority w:val="0"/>
    <w:qFormat/>
    <w:rPr>
      <w:rFonts w:ascii="Calibri" w:hAnsi="Calibri"/>
      <w:sz w:val="21"/>
      <w:szCs w:val="22"/>
    </w:rPr>
  </w:style>
  <w:style w:type="character" w:styleId="1149" w:customStyle="1">
    <w:name w:val="签名 字符"/>
    <w:basedOn w:val="805"/>
    <w:link w:val="835"/>
    <w:uiPriority w:val="0"/>
    <w:qFormat/>
    <w:rPr>
      <w:rFonts w:ascii="Calibri" w:hAnsi="Calibri" w:eastAsia="仿宋_GB2312"/>
      <w:sz w:val="24"/>
    </w:rPr>
  </w:style>
  <w:style w:type="character" w:styleId="1150" w:customStyle="1">
    <w:name w:val="批注主题 字符"/>
    <w:basedOn w:val="1148"/>
    <w:link w:val="855"/>
    <w:uiPriority w:val="99"/>
    <w:qFormat/>
    <w:rPr>
      <w:rFonts w:ascii="Calibri" w:hAnsi="Calibri"/>
      <w:b/>
      <w:bCs/>
      <w:sz w:val="21"/>
      <w:szCs w:val="21"/>
    </w:rPr>
  </w:style>
  <w:style w:type="paragraph" w:styleId="1151" w:customStyle="1">
    <w:name w:val="目录 711"/>
    <w:basedOn w:val="795"/>
    <w:next w:val="795"/>
    <w:uiPriority w:val="0"/>
    <w:semiHidden/>
    <w:qFormat/>
    <w:pPr>
      <w:ind w:left="1260"/>
      <w:jc w:val="left"/>
    </w:pPr>
    <w:rPr>
      <w:szCs w:val="21"/>
    </w:rPr>
  </w:style>
  <w:style w:type="paragraph" w:styleId="1152" w:customStyle="1">
    <w:name w:val="目录 511"/>
    <w:basedOn w:val="795"/>
    <w:next w:val="795"/>
    <w:uiPriority w:val="0"/>
    <w:semiHidden/>
    <w:qFormat/>
    <w:pPr>
      <w:ind w:left="840"/>
      <w:jc w:val="left"/>
    </w:pPr>
    <w:rPr>
      <w:szCs w:val="21"/>
    </w:rPr>
  </w:style>
  <w:style w:type="paragraph" w:styleId="1153" w:customStyle="1">
    <w:name w:val="目录 311"/>
    <w:basedOn w:val="795"/>
    <w:next w:val="795"/>
    <w:uiPriority w:val="0"/>
    <w:semiHidden/>
    <w:qFormat/>
    <w:pPr>
      <w:ind w:left="420"/>
      <w:jc w:val="left"/>
    </w:pPr>
    <w:rPr>
      <w:i/>
      <w:iCs/>
    </w:rPr>
  </w:style>
  <w:style w:type="paragraph" w:styleId="1154" w:customStyle="1">
    <w:name w:val="目录 811"/>
    <w:basedOn w:val="795"/>
    <w:next w:val="795"/>
    <w:uiPriority w:val="0"/>
    <w:semiHidden/>
    <w:qFormat/>
    <w:pPr>
      <w:ind w:left="1470"/>
      <w:jc w:val="left"/>
    </w:pPr>
    <w:rPr>
      <w:szCs w:val="21"/>
    </w:rPr>
  </w:style>
  <w:style w:type="paragraph" w:styleId="1155" w:customStyle="1">
    <w:name w:val="目录 111"/>
    <w:basedOn w:val="795"/>
    <w:next w:val="795"/>
    <w:uiPriority w:val="0"/>
    <w:semiHidden/>
    <w:qFormat/>
    <w:pPr>
      <w:jc w:val="left"/>
      <w:spacing w:before="120" w:after="120" w:line="400" w:lineRule="exact"/>
      <w:tabs>
        <w:tab w:val="right" w:pos="8720" w:leader="dot"/>
      </w:tabs>
    </w:pPr>
    <w:rPr>
      <w:rFonts w:ascii="宋体" w:hAnsi="宋体"/>
      <w:caps/>
      <w:sz w:val="24"/>
    </w:rPr>
  </w:style>
  <w:style w:type="paragraph" w:styleId="1156" w:customStyle="1">
    <w:name w:val="目录 411"/>
    <w:basedOn w:val="795"/>
    <w:next w:val="795"/>
    <w:uiPriority w:val="0"/>
    <w:semiHidden/>
    <w:qFormat/>
    <w:pPr>
      <w:ind w:left="630"/>
      <w:jc w:val="left"/>
    </w:pPr>
    <w:rPr>
      <w:szCs w:val="21"/>
    </w:rPr>
  </w:style>
  <w:style w:type="paragraph" w:styleId="1157" w:customStyle="1">
    <w:name w:val="目录 611"/>
    <w:basedOn w:val="795"/>
    <w:next w:val="795"/>
    <w:uiPriority w:val="0"/>
    <w:semiHidden/>
    <w:qFormat/>
    <w:pPr>
      <w:ind w:left="1050"/>
      <w:jc w:val="left"/>
    </w:pPr>
    <w:rPr>
      <w:szCs w:val="21"/>
    </w:rPr>
  </w:style>
  <w:style w:type="paragraph" w:styleId="1158" w:customStyle="1">
    <w:name w:val="目录 211"/>
    <w:basedOn w:val="795"/>
    <w:next w:val="795"/>
    <w:uiPriority w:val="0"/>
    <w:semiHidden/>
    <w:qFormat/>
    <w:pPr>
      <w:ind w:left="210"/>
      <w:jc w:val="left"/>
    </w:pPr>
    <w:rPr>
      <w:smallCaps/>
    </w:rPr>
  </w:style>
  <w:style w:type="paragraph" w:styleId="1159" w:customStyle="1">
    <w:name w:val="目录 911"/>
    <w:basedOn w:val="795"/>
    <w:next w:val="795"/>
    <w:uiPriority w:val="0"/>
    <w:semiHidden/>
    <w:qFormat/>
    <w:pPr>
      <w:ind w:left="1680"/>
      <w:jc w:val="left"/>
    </w:pPr>
    <w:rPr>
      <w:szCs w:val="21"/>
    </w:rPr>
  </w:style>
  <w:style w:type="paragraph" w:styleId="1160" w:customStyle="1">
    <w:name w:val="正文首行缩进11"/>
    <w:basedOn w:val="818"/>
    <w:link w:val="1161"/>
    <w:uiPriority w:val="0"/>
    <w:qFormat/>
    <w:pPr>
      <w:ind w:firstLine="200"/>
    </w:pPr>
    <w:rPr>
      <w:sz w:val="30"/>
      <w:szCs w:val="30"/>
    </w:rPr>
  </w:style>
  <w:style w:type="character" w:styleId="1161" w:customStyle="1">
    <w:name w:val="正文首行缩进 Char"/>
    <w:link w:val="1160"/>
    <w:uiPriority w:val="0"/>
    <w:qFormat/>
    <w:rPr>
      <w:rFonts w:ascii="仿宋_GB2312" w:eastAsia="仿宋_GB2312"/>
      <w:sz w:val="30"/>
      <w:szCs w:val="30"/>
    </w:rPr>
  </w:style>
  <w:style w:type="paragraph" w:styleId="1162" w:customStyle="1">
    <w:name w:val="正文首行缩进 21112"/>
    <w:basedOn w:val="819"/>
    <w:link w:val="1163"/>
    <w:uiPriority w:val="0"/>
    <w:qFormat/>
    <w:pPr>
      <w:ind w:left="0" w:firstLine="420"/>
      <w:spacing w:line="360" w:lineRule="auto"/>
    </w:pPr>
    <w:rPr>
      <w:rFonts w:ascii="宋体" w:hAnsi="宋体" w:eastAsia="宋体"/>
      <w:sz w:val="20"/>
    </w:rPr>
  </w:style>
  <w:style w:type="character" w:styleId="1163" w:customStyle="1">
    <w:name w:val="正文首行缩进 2 Char"/>
    <w:link w:val="1162"/>
    <w:uiPriority w:val="0"/>
    <w:qFormat/>
    <w:rPr>
      <w:rFonts w:ascii="宋体" w:hAnsi="宋体"/>
    </w:rPr>
  </w:style>
  <w:style w:type="character" w:styleId="1164" w:customStyle="1">
    <w:name w:val="已访问的超链接11"/>
    <w:uiPriority w:val="0"/>
    <w:qFormat/>
    <w:rPr>
      <w:color w:val="800080"/>
      <w:u w:val="single"/>
    </w:rPr>
  </w:style>
  <w:style w:type="paragraph" w:styleId="1165" w:customStyle="1">
    <w:name w:val="列出段落"/>
    <w:basedOn w:val="795"/>
    <w:uiPriority w:val="0"/>
    <w:qFormat/>
    <w:pPr>
      <w:contextualSpacing/>
      <w:ind w:left="720"/>
      <w:jc w:val="left"/>
      <w:widowControl/>
    </w:pPr>
    <w:rPr>
      <w:rFonts w:ascii="Calibri" w:hAnsi="Calibri"/>
      <w:sz w:val="24"/>
      <w:lang w:eastAsia="en-US" w:bidi="en-US"/>
    </w:rPr>
  </w:style>
  <w:style w:type="character" w:styleId="1166" w:customStyle="1">
    <w:name w:val="font5 Char"/>
    <w:uiPriority w:val="0"/>
    <w:qFormat/>
    <w:rPr>
      <w:rFonts w:ascii="宋体" w:hAnsi="宋体" w:eastAsia="宋体"/>
      <w:sz w:val="28"/>
      <w:szCs w:val="28"/>
      <w:lang w:val="en-US" w:eastAsia="zh-CN" w:bidi="ar-SA"/>
    </w:rPr>
  </w:style>
  <w:style w:type="character" w:styleId="1167" w:customStyle="1">
    <w:name w:val="二级目录 Char"/>
    <w:link w:val="1168"/>
    <w:uiPriority w:val="0"/>
    <w:qFormat/>
    <w:rPr>
      <w:rFonts w:ascii="Calibri" w:hAnsi="Calibri"/>
      <w:b/>
      <w:sz w:val="30"/>
      <w:szCs w:val="28"/>
    </w:rPr>
  </w:style>
  <w:style w:type="paragraph" w:styleId="1168" w:customStyle="1">
    <w:name w:val="二级目录"/>
    <w:next w:val="795"/>
    <w:link w:val="1167"/>
    <w:uiPriority w:val="0"/>
    <w:qFormat/>
    <w:pPr>
      <w:numPr>
        <w:ilvl w:val="0"/>
        <w:numId w:val="2"/>
      </w:numPr>
      <w:tabs>
        <w:tab w:val="left" w:pos="1145" w:leader="none"/>
      </w:tabs>
      <w:outlineLvl w:val="1"/>
    </w:pPr>
    <w:rPr>
      <w:rFonts w:hint="default" w:ascii="Calibri" w:hAnsi="Calibri" w:eastAsia="宋体" w:cs="Times New Roman"/>
      <w:b/>
      <w:sz w:val="30"/>
      <w:szCs w:val="28"/>
    </w:rPr>
  </w:style>
  <w:style w:type="character" w:styleId="1169" w:customStyle="1">
    <w:name w:val="列出段落 Char"/>
    <w:link w:val="1140"/>
    <w:uiPriority w:val="0"/>
    <w:qFormat/>
    <w:rPr>
      <w:rFonts w:ascii="Wingdings" w:hAnsi="Wingdings" w:eastAsia="幼圆" w:cs="Miss Sweetie"/>
      <w:sz w:val="21"/>
      <w:szCs w:val="22"/>
    </w:rPr>
  </w:style>
  <w:style w:type="paragraph" w:styleId="1170" w:customStyle="1">
    <w:name w:val="Body Text(ch)"/>
    <w:basedOn w:val="795"/>
    <w:next w:val="818"/>
    <w:uiPriority w:val="0"/>
    <w:qFormat/>
    <w:pPr>
      <w:spacing w:after="120"/>
    </w:pPr>
    <w:rPr>
      <w:rFonts w:ascii="宋体" w:hAnsi="Arial"/>
      <w:bCs/>
      <w:iCs/>
    </w:rPr>
  </w:style>
  <w:style w:type="paragraph" w:styleId="1171" w:customStyle="1">
    <w:name w:val="xl27"/>
    <w:basedOn w:val="79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72" w:customStyle="1">
    <w:name w:val="xl26"/>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73" w:customStyle="1">
    <w:name w:val="table_lines"/>
    <w:basedOn w:val="795"/>
    <w:uiPriority w:val="0"/>
    <w:qFormat/>
    <w:pPr>
      <w:jc w:val="left"/>
      <w:widowControl/>
    </w:pPr>
    <w:rPr>
      <w:sz w:val="20"/>
      <w:szCs w:val="20"/>
      <w:lang w:val="de-DE" w:eastAsia="de-DE"/>
    </w:rPr>
  </w:style>
  <w:style w:type="paragraph" w:styleId="1174"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rPr>
  </w:style>
  <w:style w:type="paragraph" w:styleId="1175" w:customStyle="1">
    <w:name w:val="font7"/>
    <w:basedOn w:val="795"/>
    <w:uiPriority w:val="0"/>
    <w:qFormat/>
    <w:pPr>
      <w:jc w:val="left"/>
      <w:spacing w:before="100" w:beforeAutospacing="1" w:after="100" w:afterAutospacing="1"/>
      <w:widowControl/>
    </w:pPr>
    <w:rPr>
      <w:rFonts w:hint="eastAsia" w:ascii="宋体" w:hAnsi="宋体"/>
      <w:sz w:val="18"/>
      <w:szCs w:val="18"/>
    </w:rPr>
  </w:style>
  <w:style w:type="paragraph" w:styleId="1176" w:customStyle="1">
    <w:name w:val="4"/>
    <w:basedOn w:val="795"/>
    <w:next w:val="844"/>
    <w:uiPriority w:val="0"/>
    <w:qFormat/>
    <w:pPr>
      <w:ind w:firstLine="420"/>
      <w:spacing w:line="360" w:lineRule="auto"/>
    </w:pPr>
    <w:rPr>
      <w:color w:val="ff0000"/>
      <w:sz w:val="24"/>
    </w:rPr>
  </w:style>
  <w:style w:type="paragraph" w:styleId="1177" w:customStyle="1">
    <w:name w:val="普通 (Web)"/>
    <w:basedOn w:val="795"/>
    <w:uiPriority w:val="0"/>
    <w:qFormat/>
    <w:pPr>
      <w:jc w:val="left"/>
      <w:spacing w:before="100" w:beforeAutospacing="1" w:after="100" w:afterAutospacing="1"/>
      <w:widowControl/>
    </w:pPr>
    <w:rPr>
      <w:rFonts w:ascii="宋体" w:hAnsi="宋体"/>
      <w:sz w:val="24"/>
    </w:rPr>
  </w:style>
  <w:style w:type="paragraph" w:styleId="1178" w:customStyle="1">
    <w:name w:val="样式1"/>
    <w:basedOn w:val="795"/>
    <w:uiPriority w:val="0"/>
    <w:qFormat/>
    <w:pPr>
      <w:numPr>
        <w:ilvl w:val="0"/>
        <w:numId w:val="3"/>
      </w:numPr>
    </w:pPr>
    <w:rPr>
      <w:rFonts w:ascii="宋体" w:hAnsi="宋体"/>
      <w:szCs w:val="21"/>
    </w:rPr>
  </w:style>
  <w:style w:type="paragraph" w:styleId="1179" w:customStyle="1">
    <w:name w:val="font6"/>
    <w:basedOn w:val="795"/>
    <w:uiPriority w:val="0"/>
    <w:qFormat/>
    <w:pPr>
      <w:jc w:val="left"/>
      <w:spacing w:before="100" w:beforeAutospacing="1" w:after="100" w:afterAutospacing="1"/>
      <w:widowControl/>
    </w:pPr>
    <w:rPr>
      <w:rFonts w:hint="eastAsia" w:ascii="宋体" w:hAnsi="宋体"/>
      <w:sz w:val="28"/>
      <w:szCs w:val="28"/>
      <w:u w:val="single"/>
    </w:rPr>
  </w:style>
  <w:style w:type="paragraph" w:styleId="1180" w:customStyle="1">
    <w:name w:val="图标"/>
    <w:basedOn w:val="795"/>
    <w:next w:val="79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81" w:customStyle="1">
    <w:name w:val="标题3"/>
    <w:basedOn w:val="795"/>
    <w:next w:val="795"/>
    <w:uiPriority w:val="0"/>
    <w:qFormat/>
    <w:pPr>
      <w:ind w:firstLine="624"/>
      <w:spacing w:line="590" w:lineRule="atLeast"/>
    </w:pPr>
    <w:rPr>
      <w:rFonts w:ascii="方正黑体_GBK" w:eastAsia="方正黑体_GBK"/>
      <w:sz w:val="32"/>
      <w:szCs w:val="32"/>
    </w:rPr>
  </w:style>
  <w:style w:type="paragraph" w:styleId="1182" w:customStyle="1">
    <w:name w:val="xl24"/>
    <w:basedOn w:val="79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83" w:customStyle="1">
    <w:name w:val="xl29"/>
    <w:basedOn w:val="79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184" w:customStyle="1">
    <w:name w:val="Char Char Char Char Char Char Char Char"/>
    <w:basedOn w:val="795"/>
    <w:uiPriority w:val="0"/>
    <w:qFormat/>
    <w:pPr>
      <w:jc w:val="left"/>
      <w:spacing w:after="160" w:line="240" w:lineRule="exact"/>
      <w:widowControl/>
    </w:pPr>
    <w:rPr>
      <w:rFonts w:ascii="Verdana" w:hAnsi="Verdana"/>
      <w:sz w:val="20"/>
      <w:szCs w:val="20"/>
      <w:lang w:eastAsia="en-US"/>
    </w:rPr>
  </w:style>
  <w:style w:type="paragraph" w:styleId="1185" w:customStyle="1">
    <w:name w:val="xl28"/>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186" w:customStyle="1">
    <w:name w:val="Char Char Char Char Char Char Char Char1"/>
    <w:basedOn w:val="795"/>
    <w:uiPriority w:val="0"/>
    <w:qFormat/>
    <w:pPr>
      <w:jc w:val="left"/>
      <w:spacing w:after="160" w:line="240" w:lineRule="exact"/>
      <w:widowControl/>
    </w:pPr>
    <w:rPr>
      <w:rFonts w:ascii="Verdana" w:hAnsi="Verdana"/>
      <w:sz w:val="20"/>
      <w:szCs w:val="20"/>
      <w:lang w:eastAsia="en-US"/>
    </w:rPr>
  </w:style>
  <w:style w:type="paragraph" w:styleId="1187" w:customStyle="1">
    <w:name w:val="xl30"/>
    <w:basedOn w:val="795"/>
    <w:uiPriority w:val="0"/>
    <w:qFormat/>
    <w:pPr>
      <w:jc w:val="center"/>
      <w:spacing w:before="100" w:beforeAutospacing="1" w:after="100" w:afterAutospacing="1"/>
      <w:widowControl/>
    </w:pPr>
    <w:rPr>
      <w:rFonts w:ascii="宋体" w:hAnsi="宋体"/>
      <w:b/>
      <w:bCs/>
      <w:sz w:val="36"/>
      <w:szCs w:val="36"/>
    </w:rPr>
  </w:style>
  <w:style w:type="paragraph" w:styleId="1188" w:customStyle="1">
    <w:name w:val="table_1stline"/>
    <w:basedOn w:val="795"/>
    <w:uiPriority w:val="0"/>
    <w:qFormat/>
    <w:pPr>
      <w:jc w:val="left"/>
      <w:spacing w:before="120"/>
      <w:widowControl/>
    </w:pPr>
    <w:rPr>
      <w:bCs/>
      <w:sz w:val="20"/>
      <w:szCs w:val="20"/>
      <w:lang w:val="de-DE" w:eastAsia="de-DE"/>
    </w:rPr>
  </w:style>
  <w:style w:type="paragraph" w:styleId="1189" w:customStyle="1">
    <w:name w:val="font5"/>
    <w:basedOn w:val="795"/>
    <w:uiPriority w:val="0"/>
    <w:qFormat/>
    <w:pPr>
      <w:jc w:val="left"/>
      <w:spacing w:before="100" w:beforeAutospacing="1" w:after="100" w:afterAutospacing="1"/>
      <w:widowControl/>
    </w:pPr>
    <w:rPr>
      <w:rFonts w:hint="eastAsia" w:ascii="宋体" w:hAnsi="宋体"/>
      <w:sz w:val="28"/>
      <w:szCs w:val="28"/>
    </w:rPr>
  </w:style>
  <w:style w:type="paragraph" w:styleId="1190" w:customStyle="1">
    <w:name w:val="p1"/>
    <w:basedOn w:val="795"/>
    <w:uiPriority w:val="0"/>
    <w:qFormat/>
    <w:pPr>
      <w:widowControl/>
    </w:pPr>
    <w:rPr>
      <w:rFonts w:ascii="Helvetica Neue" w:hAnsi="Helvetica Neue"/>
      <w:color w:val="454545"/>
      <w:sz w:val="18"/>
      <w:szCs w:val="18"/>
    </w:rPr>
  </w:style>
  <w:style w:type="paragraph" w:styleId="1191" w:customStyle="1">
    <w:name w:val="修订2"/>
    <w:uiPriority w:val="99"/>
    <w:unhideWhenUsed/>
    <w:qFormat/>
    <w:rPr>
      <w:rFonts w:hint="default" w:ascii="Calibri" w:hAnsi="Calibri" w:eastAsia="宋体" w:cs="Times New Roman"/>
      <w:sz w:val="21"/>
      <w:szCs w:val="22"/>
    </w:rPr>
  </w:style>
  <w:style w:type="paragraph" w:styleId="1192" w:customStyle="1">
    <w:name w:val="Table Paragraph"/>
    <w:basedOn w:val="795"/>
    <w:uiPriority w:val="1"/>
    <w:qFormat/>
    <w:pPr>
      <w:jc w:val="left"/>
    </w:pPr>
    <w:rPr>
      <w:rFonts w:ascii="宋体" w:hAnsi="宋体" w:cs="宋体"/>
      <w:sz w:val="22"/>
      <w:szCs w:val="22"/>
      <w:lang w:eastAsia="en-US"/>
    </w:rPr>
  </w:style>
  <w:style w:type="paragraph" w:styleId="1193" w:customStyle="1">
    <w:name w:val="段"/>
    <w:next w:val="795"/>
    <w:uiPriority w:val="0"/>
    <w:qFormat/>
    <w:pPr>
      <w:ind w:firstLine="200"/>
      <w:jc w:val="both"/>
    </w:pPr>
    <w:rPr>
      <w:rFonts w:hint="default" w:ascii="宋体" w:hAnsi="Times New Roman" w:eastAsia="宋体" w:cs="Times New Roman"/>
      <w:sz w:val="21"/>
    </w:rPr>
  </w:style>
  <w:style w:type="paragraph" w:styleId="1194" w:customStyle="1">
    <w:name w:val="BodyText1I21"/>
    <w:basedOn w:val="1195"/>
    <w:uiPriority w:val="0"/>
    <w:qFormat/>
    <w:pPr>
      <w:ind w:firstLine="420"/>
    </w:pPr>
  </w:style>
  <w:style w:type="paragraph" w:styleId="1195" w:customStyle="1">
    <w:name w:val="BodyTextIndent1"/>
    <w:basedOn w:val="795"/>
    <w:next w:val="1196"/>
    <w:uiPriority w:val="0"/>
    <w:qFormat/>
    <w:pPr>
      <w:ind w:left="570"/>
      <w:spacing w:line="520" w:lineRule="exact"/>
    </w:pPr>
    <w:rPr>
      <w:rFonts w:ascii="楷体_GB2312" w:hAnsi="Calibri"/>
      <w:szCs w:val="22"/>
    </w:rPr>
  </w:style>
  <w:style w:type="paragraph" w:styleId="1196" w:customStyle="1">
    <w:name w:val="EnvelopeReturn1"/>
    <w:basedOn w:val="795"/>
    <w:uiPriority w:val="0"/>
    <w:qFormat/>
    <w:rPr>
      <w:rFonts w:ascii="Arial" w:hAnsi="Arial"/>
      <w:szCs w:val="22"/>
    </w:rPr>
  </w:style>
  <w:style w:type="paragraph" w:styleId="1197" w:customStyle="1">
    <w:name w:val="题注1"/>
    <w:basedOn w:val="795"/>
    <w:next w:val="795"/>
    <w:uiPriority w:val="35"/>
    <w:semiHidden/>
    <w:unhideWhenUsed/>
    <w:qFormat/>
    <w:pPr>
      <w:spacing w:line="276" w:lineRule="auto"/>
    </w:pPr>
    <w:rPr>
      <w:rFonts w:ascii="Calibri" w:hAnsi="Calibri"/>
      <w:b/>
      <w:bCs/>
      <w:color w:val="4f81bd"/>
      <w:sz w:val="18"/>
      <w:szCs w:val="18"/>
    </w:rPr>
  </w:style>
  <w:style w:type="paragraph" w:styleId="1198" w:customStyle="1">
    <w:name w:val="正文首行缩进 21"/>
    <w:basedOn w:val="819"/>
    <w:uiPriority w:val="0"/>
    <w:unhideWhenUsed/>
    <w:qFormat/>
    <w:pPr>
      <w:ind w:left="420" w:firstLine="420"/>
      <w:spacing w:after="120"/>
    </w:pPr>
    <w:rPr>
      <w:rFonts w:ascii="Times New Roman" w:eastAsia="宋体"/>
      <w:sz w:val="21"/>
      <w:szCs w:val="22"/>
    </w:rPr>
  </w:style>
  <w:style w:type="character" w:styleId="1199" w:customStyle="1">
    <w:name w:val="标题 1 字符1"/>
    <w:uiPriority w:val="0"/>
    <w:qFormat/>
    <w:rPr>
      <w:rFonts w:ascii="Calibri" w:hAnsi="Calibri" w:eastAsia="楷体_GB2312"/>
      <w:b/>
      <w:sz w:val="44"/>
      <w:lang w:eastAsia="en-US"/>
    </w:rPr>
  </w:style>
  <w:style w:type="character" w:styleId="1200" w:customStyle="1">
    <w:name w:val="标题 2 字符1"/>
    <w:uiPriority w:val="0"/>
    <w:qFormat/>
    <w:rPr>
      <w:rFonts w:ascii="Cambria" w:hAnsi="Cambria"/>
      <w:b/>
      <w:bCs/>
      <w:sz w:val="32"/>
      <w:szCs w:val="32"/>
      <w:lang w:eastAsia="en-US"/>
    </w:rPr>
  </w:style>
  <w:style w:type="character" w:styleId="1201" w:customStyle="1">
    <w:name w:val="标题 4 字符1"/>
    <w:uiPriority w:val="0"/>
    <w:qFormat/>
    <w:rPr>
      <w:rFonts w:ascii="Arial" w:hAnsi="Arial" w:eastAsia="黑体"/>
      <w:b/>
      <w:bCs/>
      <w:sz w:val="28"/>
      <w:szCs w:val="28"/>
      <w:lang w:eastAsia="en-US"/>
    </w:rPr>
  </w:style>
  <w:style w:type="character" w:styleId="1202" w:customStyle="1">
    <w:name w:val="标题 3 字符1"/>
    <w:uiPriority w:val="99"/>
    <w:qFormat/>
    <w:rPr>
      <w:rFonts w:ascii="宋体" w:hAnsi="宋体"/>
      <w:b/>
      <w:bCs/>
      <w:sz w:val="27"/>
      <w:szCs w:val="27"/>
      <w:lang w:eastAsia="en-US"/>
    </w:rPr>
  </w:style>
  <w:style w:type="character" w:styleId="1203" w:customStyle="1">
    <w:name w:val="标题 5 字符1"/>
    <w:uiPriority w:val="0"/>
    <w:qFormat/>
    <w:rPr>
      <w:rFonts w:ascii="宋体" w:hAnsi="Calibri"/>
      <w:b/>
      <w:spacing w:val="-2"/>
      <w:position w:val="-6"/>
      <w:sz w:val="28"/>
      <w:lang w:eastAsia="en-US"/>
    </w:rPr>
  </w:style>
  <w:style w:type="character" w:styleId="1204" w:customStyle="1">
    <w:name w:val="标题 6 字符1"/>
    <w:uiPriority w:val="0"/>
    <w:qFormat/>
    <w:rPr>
      <w:rFonts w:ascii="Arial" w:hAnsi="Arial" w:eastAsia="黑体"/>
      <w:b/>
      <w:spacing w:val="-2"/>
      <w:position w:val="-6"/>
      <w:sz w:val="24"/>
      <w:lang w:eastAsia="en-US"/>
    </w:rPr>
  </w:style>
  <w:style w:type="character" w:styleId="1205" w:customStyle="1">
    <w:name w:val="标题 7 字符1"/>
    <w:uiPriority w:val="0"/>
    <w:qFormat/>
    <w:rPr>
      <w:rFonts w:ascii="宋体" w:hAnsi="Calibri"/>
      <w:b/>
      <w:spacing w:val="-2"/>
      <w:position w:val="-6"/>
      <w:sz w:val="24"/>
      <w:lang w:eastAsia="en-US"/>
    </w:rPr>
  </w:style>
  <w:style w:type="character" w:styleId="1206" w:customStyle="1">
    <w:name w:val="标题 8 字符1"/>
    <w:uiPriority w:val="0"/>
    <w:qFormat/>
    <w:rPr>
      <w:rFonts w:ascii="Arial" w:hAnsi="Arial" w:eastAsia="黑体"/>
      <w:spacing w:val="-2"/>
      <w:position w:val="-6"/>
      <w:sz w:val="24"/>
      <w:lang w:eastAsia="en-US"/>
    </w:rPr>
  </w:style>
  <w:style w:type="character" w:styleId="1207" w:customStyle="1">
    <w:name w:val="标题 9 字符1"/>
    <w:uiPriority w:val="0"/>
    <w:qFormat/>
    <w:rPr>
      <w:rFonts w:ascii="Arial" w:hAnsi="Arial" w:eastAsia="黑体"/>
      <w:spacing w:val="-2"/>
      <w:position w:val="-6"/>
      <w:sz w:val="28"/>
      <w:lang w:eastAsia="en-US"/>
    </w:rPr>
  </w:style>
  <w:style w:type="paragraph" w:styleId="1208" w:customStyle="1">
    <w:name w:val="列表段落1"/>
    <w:basedOn w:val="795"/>
    <w:uiPriority w:val="34"/>
    <w:qFormat/>
    <w:pPr>
      <w:contextualSpacing/>
      <w:ind w:left="720"/>
    </w:pPr>
    <w:rPr>
      <w:rFonts w:ascii="Calibri" w:hAnsi="Calibri"/>
      <w:szCs w:val="22"/>
    </w:rPr>
  </w:style>
  <w:style w:type="table" w:styleId="1209" w:customStyle="1">
    <w:name w:val="Table Grid Light1"/>
    <w:uiPriority w:val="59"/>
    <w:qFormat/>
    <w:tblPr>
      <w:tblCellMar>
        <w:left w:w="0" w:type="dxa"/>
        <w:top w:w="0" w:type="dxa"/>
        <w:right w:w="0" w:type="dxa"/>
        <w:bottom w:w="0" w:type="dxa"/>
      </w:tblCellMar>
    </w:tblPr>
  </w:style>
  <w:style w:type="table" w:styleId="1210" w:customStyle="1">
    <w:name w:val="无格式表格 111"/>
    <w:uiPriority w:val="59"/>
    <w:qFormat/>
    <w:tblPr>
      <w:tblCellMar>
        <w:left w:w="0" w:type="dxa"/>
        <w:top w:w="0" w:type="dxa"/>
        <w:right w:w="0" w:type="dxa"/>
        <w:bottom w:w="0" w:type="dxa"/>
      </w:tblCellMar>
    </w:tblPr>
  </w:style>
  <w:style w:type="table" w:styleId="1211" w:customStyle="1">
    <w:name w:val="无格式表格 211"/>
    <w:uiPriority w:val="59"/>
    <w:qFormat/>
    <w:tblPr>
      <w:tblCellMar>
        <w:left w:w="0" w:type="dxa"/>
        <w:top w:w="0" w:type="dxa"/>
        <w:right w:w="0" w:type="dxa"/>
        <w:bottom w:w="0" w:type="dxa"/>
      </w:tblCellMar>
    </w:tblPr>
  </w:style>
  <w:style w:type="table" w:styleId="1212" w:customStyle="1">
    <w:name w:val="无格式表格 311"/>
    <w:uiPriority w:val="99"/>
    <w:qFormat/>
    <w:tblPr>
      <w:tblCellMar>
        <w:left w:w="0" w:type="dxa"/>
        <w:top w:w="0" w:type="dxa"/>
        <w:right w:w="0" w:type="dxa"/>
        <w:bottom w:w="0" w:type="dxa"/>
      </w:tblCellMar>
    </w:tblPr>
  </w:style>
  <w:style w:type="table" w:styleId="1213" w:customStyle="1">
    <w:name w:val="无格式表格 411"/>
    <w:uiPriority w:val="99"/>
    <w:qFormat/>
    <w:tblPr>
      <w:tblCellMar>
        <w:left w:w="0" w:type="dxa"/>
        <w:top w:w="0" w:type="dxa"/>
        <w:right w:w="0" w:type="dxa"/>
        <w:bottom w:w="0" w:type="dxa"/>
      </w:tblCellMar>
    </w:tblPr>
  </w:style>
  <w:style w:type="table" w:styleId="1214" w:customStyle="1">
    <w:name w:val="无格式表格 511"/>
    <w:uiPriority w:val="99"/>
    <w:qFormat/>
    <w:tblPr>
      <w:tblCellMar>
        <w:left w:w="0" w:type="dxa"/>
        <w:top w:w="0" w:type="dxa"/>
        <w:right w:w="0" w:type="dxa"/>
        <w:bottom w:w="0" w:type="dxa"/>
      </w:tblCellMar>
    </w:tblPr>
  </w:style>
  <w:style w:type="table" w:styleId="1215" w:customStyle="1">
    <w:name w:val="网格表 1 浅色11"/>
    <w:uiPriority w:val="99"/>
    <w:qFormat/>
    <w:tblPr>
      <w:tblCellMar>
        <w:left w:w="0" w:type="dxa"/>
        <w:top w:w="0" w:type="dxa"/>
        <w:right w:w="0" w:type="dxa"/>
        <w:bottom w:w="0" w:type="dxa"/>
      </w:tblCellMar>
    </w:tblPr>
  </w:style>
  <w:style w:type="table" w:styleId="1216" w:customStyle="1">
    <w:name w:val="Grid Table 1 Light - Accent 11"/>
    <w:uiPriority w:val="99"/>
    <w:qFormat/>
    <w:tblPr>
      <w:tblCellMar>
        <w:left w:w="0" w:type="dxa"/>
        <w:top w:w="0" w:type="dxa"/>
        <w:right w:w="0" w:type="dxa"/>
        <w:bottom w:w="0" w:type="dxa"/>
      </w:tblCellMar>
    </w:tblPr>
  </w:style>
  <w:style w:type="table" w:styleId="1217" w:customStyle="1">
    <w:name w:val="Grid Table 1 Light - Accent 21"/>
    <w:uiPriority w:val="99"/>
    <w:qFormat/>
    <w:tblPr>
      <w:tblCellMar>
        <w:left w:w="0" w:type="dxa"/>
        <w:top w:w="0" w:type="dxa"/>
        <w:right w:w="0" w:type="dxa"/>
        <w:bottom w:w="0" w:type="dxa"/>
      </w:tblCellMar>
    </w:tblPr>
  </w:style>
  <w:style w:type="table" w:styleId="1218" w:customStyle="1">
    <w:name w:val="Grid Table 1 Light - Accent 31"/>
    <w:uiPriority w:val="99"/>
    <w:qFormat/>
    <w:tblPr>
      <w:tblCellMar>
        <w:left w:w="0" w:type="dxa"/>
        <w:top w:w="0" w:type="dxa"/>
        <w:right w:w="0" w:type="dxa"/>
        <w:bottom w:w="0" w:type="dxa"/>
      </w:tblCellMar>
    </w:tblPr>
  </w:style>
  <w:style w:type="table" w:styleId="1219" w:customStyle="1">
    <w:name w:val="Grid Table 1 Light - Accent 41"/>
    <w:uiPriority w:val="99"/>
    <w:qFormat/>
    <w:tblPr>
      <w:tblCellMar>
        <w:left w:w="0" w:type="dxa"/>
        <w:top w:w="0" w:type="dxa"/>
        <w:right w:w="0" w:type="dxa"/>
        <w:bottom w:w="0" w:type="dxa"/>
      </w:tblCellMar>
    </w:tblPr>
  </w:style>
  <w:style w:type="table" w:styleId="1220" w:customStyle="1">
    <w:name w:val="Grid Table 1 Light - Accent 51"/>
    <w:uiPriority w:val="99"/>
    <w:qFormat/>
    <w:tblPr>
      <w:tblCellMar>
        <w:left w:w="0" w:type="dxa"/>
        <w:top w:w="0" w:type="dxa"/>
        <w:right w:w="0" w:type="dxa"/>
        <w:bottom w:w="0" w:type="dxa"/>
      </w:tblCellMar>
    </w:tblPr>
  </w:style>
  <w:style w:type="table" w:styleId="1221" w:customStyle="1">
    <w:name w:val="Grid Table 1 Light - Accent 61"/>
    <w:uiPriority w:val="99"/>
    <w:qFormat/>
    <w:tblPr>
      <w:tblCellMar>
        <w:left w:w="0" w:type="dxa"/>
        <w:top w:w="0" w:type="dxa"/>
        <w:right w:w="0" w:type="dxa"/>
        <w:bottom w:w="0" w:type="dxa"/>
      </w:tblCellMar>
    </w:tblPr>
  </w:style>
  <w:style w:type="table" w:styleId="1222" w:customStyle="1">
    <w:name w:val="网格表 211"/>
    <w:uiPriority w:val="99"/>
    <w:qFormat/>
    <w:tblPr>
      <w:tblCellMar>
        <w:left w:w="0" w:type="dxa"/>
        <w:top w:w="0" w:type="dxa"/>
        <w:right w:w="0" w:type="dxa"/>
        <w:bottom w:w="0" w:type="dxa"/>
      </w:tblCellMar>
    </w:tblPr>
  </w:style>
  <w:style w:type="table" w:styleId="1223" w:customStyle="1">
    <w:name w:val="Grid Table 2 - Accent 11"/>
    <w:uiPriority w:val="99"/>
    <w:qFormat/>
    <w:tblPr>
      <w:tblCellMar>
        <w:left w:w="0" w:type="dxa"/>
        <w:top w:w="0" w:type="dxa"/>
        <w:right w:w="0" w:type="dxa"/>
        <w:bottom w:w="0" w:type="dxa"/>
      </w:tblCellMar>
    </w:tblPr>
  </w:style>
  <w:style w:type="table" w:styleId="1224" w:customStyle="1">
    <w:name w:val="Grid Table 2 - Accent 21"/>
    <w:uiPriority w:val="99"/>
    <w:qFormat/>
    <w:tblPr>
      <w:tblCellMar>
        <w:left w:w="0" w:type="dxa"/>
        <w:top w:w="0" w:type="dxa"/>
        <w:right w:w="0" w:type="dxa"/>
        <w:bottom w:w="0" w:type="dxa"/>
      </w:tblCellMar>
    </w:tblPr>
  </w:style>
  <w:style w:type="table" w:styleId="1225" w:customStyle="1">
    <w:name w:val="Grid Table 2 - Accent 31"/>
    <w:uiPriority w:val="99"/>
    <w:qFormat/>
    <w:tblPr>
      <w:tblCellMar>
        <w:left w:w="0" w:type="dxa"/>
        <w:top w:w="0" w:type="dxa"/>
        <w:right w:w="0" w:type="dxa"/>
        <w:bottom w:w="0" w:type="dxa"/>
      </w:tblCellMar>
    </w:tblPr>
  </w:style>
  <w:style w:type="table" w:styleId="1226" w:customStyle="1">
    <w:name w:val="Grid Table 2 - Accent 41"/>
    <w:uiPriority w:val="99"/>
    <w:qFormat/>
    <w:tblPr>
      <w:tblCellMar>
        <w:left w:w="0" w:type="dxa"/>
        <w:top w:w="0" w:type="dxa"/>
        <w:right w:w="0" w:type="dxa"/>
        <w:bottom w:w="0" w:type="dxa"/>
      </w:tblCellMar>
    </w:tblPr>
  </w:style>
  <w:style w:type="table" w:styleId="1227" w:customStyle="1">
    <w:name w:val="Grid Table 2 - Accent 51"/>
    <w:uiPriority w:val="99"/>
    <w:qFormat/>
    <w:tblPr>
      <w:tblCellMar>
        <w:left w:w="0" w:type="dxa"/>
        <w:top w:w="0" w:type="dxa"/>
        <w:right w:w="0" w:type="dxa"/>
        <w:bottom w:w="0" w:type="dxa"/>
      </w:tblCellMar>
    </w:tblPr>
  </w:style>
  <w:style w:type="table" w:styleId="1228" w:customStyle="1">
    <w:name w:val="Grid Table 2 - Accent 61"/>
    <w:uiPriority w:val="99"/>
    <w:qFormat/>
    <w:tblPr>
      <w:tblCellMar>
        <w:left w:w="0" w:type="dxa"/>
        <w:top w:w="0" w:type="dxa"/>
        <w:right w:w="0" w:type="dxa"/>
        <w:bottom w:w="0" w:type="dxa"/>
      </w:tblCellMar>
    </w:tblPr>
  </w:style>
  <w:style w:type="table" w:styleId="1229" w:customStyle="1">
    <w:name w:val="网格表 311"/>
    <w:uiPriority w:val="99"/>
    <w:qFormat/>
    <w:tblPr>
      <w:tblCellMar>
        <w:left w:w="0" w:type="dxa"/>
        <w:top w:w="0" w:type="dxa"/>
        <w:right w:w="0" w:type="dxa"/>
        <w:bottom w:w="0" w:type="dxa"/>
      </w:tblCellMar>
    </w:tblPr>
  </w:style>
  <w:style w:type="table" w:styleId="1230" w:customStyle="1">
    <w:name w:val="Grid Table 3 - Accent 11"/>
    <w:uiPriority w:val="99"/>
    <w:qFormat/>
    <w:tblPr>
      <w:tblCellMar>
        <w:left w:w="0" w:type="dxa"/>
        <w:top w:w="0" w:type="dxa"/>
        <w:right w:w="0" w:type="dxa"/>
        <w:bottom w:w="0" w:type="dxa"/>
      </w:tblCellMar>
    </w:tblPr>
  </w:style>
  <w:style w:type="table" w:styleId="1231" w:customStyle="1">
    <w:name w:val="Grid Table 3 - Accent 21"/>
    <w:uiPriority w:val="99"/>
    <w:qFormat/>
    <w:tblPr>
      <w:tblCellMar>
        <w:left w:w="0" w:type="dxa"/>
        <w:top w:w="0" w:type="dxa"/>
        <w:right w:w="0" w:type="dxa"/>
        <w:bottom w:w="0" w:type="dxa"/>
      </w:tblCellMar>
    </w:tblPr>
  </w:style>
  <w:style w:type="table" w:styleId="1232" w:customStyle="1">
    <w:name w:val="Grid Table 3 - Accent 31"/>
    <w:uiPriority w:val="99"/>
    <w:qFormat/>
    <w:tblPr>
      <w:tblCellMar>
        <w:left w:w="0" w:type="dxa"/>
        <w:top w:w="0" w:type="dxa"/>
        <w:right w:w="0" w:type="dxa"/>
        <w:bottom w:w="0" w:type="dxa"/>
      </w:tblCellMar>
    </w:tblPr>
  </w:style>
  <w:style w:type="table" w:styleId="1233" w:customStyle="1">
    <w:name w:val="Grid Table 3 - Accent 41"/>
    <w:uiPriority w:val="99"/>
    <w:qFormat/>
    <w:tblPr>
      <w:tblCellMar>
        <w:left w:w="0" w:type="dxa"/>
        <w:top w:w="0" w:type="dxa"/>
        <w:right w:w="0" w:type="dxa"/>
        <w:bottom w:w="0" w:type="dxa"/>
      </w:tblCellMar>
    </w:tblPr>
  </w:style>
  <w:style w:type="table" w:styleId="1234" w:customStyle="1">
    <w:name w:val="Grid Table 3 - Accent 51"/>
    <w:uiPriority w:val="99"/>
    <w:qFormat/>
    <w:tblPr>
      <w:tblCellMar>
        <w:left w:w="0" w:type="dxa"/>
        <w:top w:w="0" w:type="dxa"/>
        <w:right w:w="0" w:type="dxa"/>
        <w:bottom w:w="0" w:type="dxa"/>
      </w:tblCellMar>
    </w:tblPr>
  </w:style>
  <w:style w:type="table" w:styleId="1235" w:customStyle="1">
    <w:name w:val="Grid Table 3 - Accent 61"/>
    <w:uiPriority w:val="99"/>
    <w:qFormat/>
    <w:tblPr>
      <w:tblCellMar>
        <w:left w:w="0" w:type="dxa"/>
        <w:top w:w="0" w:type="dxa"/>
        <w:right w:w="0" w:type="dxa"/>
        <w:bottom w:w="0" w:type="dxa"/>
      </w:tblCellMar>
    </w:tblPr>
  </w:style>
  <w:style w:type="table" w:styleId="1236" w:customStyle="1">
    <w:name w:val="网格表 411"/>
    <w:uiPriority w:val="59"/>
    <w:qFormat/>
    <w:tblPr>
      <w:tblCellMar>
        <w:left w:w="0" w:type="dxa"/>
        <w:top w:w="0" w:type="dxa"/>
        <w:right w:w="0" w:type="dxa"/>
        <w:bottom w:w="0" w:type="dxa"/>
      </w:tblCellMar>
    </w:tblPr>
  </w:style>
  <w:style w:type="table" w:styleId="1237" w:customStyle="1">
    <w:name w:val="Grid Table 4 - Accent 11"/>
    <w:uiPriority w:val="59"/>
    <w:qFormat/>
    <w:tblPr>
      <w:tblCellMar>
        <w:left w:w="0" w:type="dxa"/>
        <w:top w:w="0" w:type="dxa"/>
        <w:right w:w="0" w:type="dxa"/>
        <w:bottom w:w="0" w:type="dxa"/>
      </w:tblCellMar>
    </w:tblPr>
  </w:style>
  <w:style w:type="table" w:styleId="1238" w:customStyle="1">
    <w:name w:val="Grid Table 4 - Accent 21"/>
    <w:uiPriority w:val="59"/>
    <w:qFormat/>
    <w:tblPr>
      <w:tblCellMar>
        <w:left w:w="0" w:type="dxa"/>
        <w:top w:w="0" w:type="dxa"/>
        <w:right w:w="0" w:type="dxa"/>
        <w:bottom w:w="0" w:type="dxa"/>
      </w:tblCellMar>
    </w:tblPr>
  </w:style>
  <w:style w:type="table" w:styleId="1239" w:customStyle="1">
    <w:name w:val="Grid Table 4 - Accent 31"/>
    <w:uiPriority w:val="59"/>
    <w:qFormat/>
    <w:tblPr>
      <w:tblCellMar>
        <w:left w:w="0" w:type="dxa"/>
        <w:top w:w="0" w:type="dxa"/>
        <w:right w:w="0" w:type="dxa"/>
        <w:bottom w:w="0" w:type="dxa"/>
      </w:tblCellMar>
    </w:tblPr>
  </w:style>
  <w:style w:type="table" w:styleId="1240" w:customStyle="1">
    <w:name w:val="Grid Table 4 - Accent 41"/>
    <w:uiPriority w:val="59"/>
    <w:qFormat/>
    <w:tblPr>
      <w:tblCellMar>
        <w:left w:w="0" w:type="dxa"/>
        <w:top w:w="0" w:type="dxa"/>
        <w:right w:w="0" w:type="dxa"/>
        <w:bottom w:w="0" w:type="dxa"/>
      </w:tblCellMar>
    </w:tblPr>
  </w:style>
  <w:style w:type="table" w:styleId="1241" w:customStyle="1">
    <w:name w:val="Grid Table 4 - Accent 51"/>
    <w:uiPriority w:val="59"/>
    <w:qFormat/>
    <w:tblPr>
      <w:tblCellMar>
        <w:left w:w="0" w:type="dxa"/>
        <w:top w:w="0" w:type="dxa"/>
        <w:right w:w="0" w:type="dxa"/>
        <w:bottom w:w="0" w:type="dxa"/>
      </w:tblCellMar>
    </w:tblPr>
  </w:style>
  <w:style w:type="table" w:styleId="1242" w:customStyle="1">
    <w:name w:val="Grid Table 4 - Accent 61"/>
    <w:uiPriority w:val="59"/>
    <w:qFormat/>
    <w:tblPr>
      <w:tblCellMar>
        <w:left w:w="0" w:type="dxa"/>
        <w:top w:w="0" w:type="dxa"/>
        <w:right w:w="0" w:type="dxa"/>
        <w:bottom w:w="0" w:type="dxa"/>
      </w:tblCellMar>
    </w:tblPr>
  </w:style>
  <w:style w:type="table" w:styleId="1243" w:customStyle="1">
    <w:name w:val="网格表 5 深色11"/>
    <w:uiPriority w:val="99"/>
    <w:qFormat/>
    <w:tblPr>
      <w:tblCellMar>
        <w:left w:w="0" w:type="dxa"/>
        <w:top w:w="0" w:type="dxa"/>
        <w:right w:w="0" w:type="dxa"/>
        <w:bottom w:w="0" w:type="dxa"/>
      </w:tblCellMar>
    </w:tblPr>
  </w:style>
  <w:style w:type="table" w:styleId="1244" w:customStyle="1">
    <w:name w:val="Grid Table 5 Dark- Accent 11"/>
    <w:uiPriority w:val="99"/>
    <w:qFormat/>
    <w:tblPr>
      <w:tblCellMar>
        <w:left w:w="0" w:type="dxa"/>
        <w:top w:w="0" w:type="dxa"/>
        <w:right w:w="0" w:type="dxa"/>
        <w:bottom w:w="0" w:type="dxa"/>
      </w:tblCellMar>
    </w:tblPr>
  </w:style>
  <w:style w:type="table" w:styleId="1245" w:customStyle="1">
    <w:name w:val="Grid Table 5 Dark - Accent 21"/>
    <w:uiPriority w:val="99"/>
    <w:qFormat/>
    <w:tblPr>
      <w:tblCellMar>
        <w:left w:w="0" w:type="dxa"/>
        <w:top w:w="0" w:type="dxa"/>
        <w:right w:w="0" w:type="dxa"/>
        <w:bottom w:w="0" w:type="dxa"/>
      </w:tblCellMar>
    </w:tblPr>
  </w:style>
  <w:style w:type="table" w:styleId="1246" w:customStyle="1">
    <w:name w:val="Grid Table 5 Dark - Accent 31"/>
    <w:uiPriority w:val="99"/>
    <w:qFormat/>
    <w:tblPr>
      <w:tblCellMar>
        <w:left w:w="0" w:type="dxa"/>
        <w:top w:w="0" w:type="dxa"/>
        <w:right w:w="0" w:type="dxa"/>
        <w:bottom w:w="0" w:type="dxa"/>
      </w:tblCellMar>
    </w:tblPr>
  </w:style>
  <w:style w:type="table" w:styleId="1247" w:customStyle="1">
    <w:name w:val="Grid Table 5 Dark- Accent 41"/>
    <w:uiPriority w:val="99"/>
    <w:qFormat/>
    <w:tblPr>
      <w:tblCellMar>
        <w:left w:w="0" w:type="dxa"/>
        <w:top w:w="0" w:type="dxa"/>
        <w:right w:w="0" w:type="dxa"/>
        <w:bottom w:w="0" w:type="dxa"/>
      </w:tblCellMar>
    </w:tblPr>
  </w:style>
  <w:style w:type="table" w:styleId="1248" w:customStyle="1">
    <w:name w:val="Grid Table 5 Dark - Accent 51"/>
    <w:uiPriority w:val="99"/>
    <w:qFormat/>
    <w:tblPr>
      <w:tblCellMar>
        <w:left w:w="0" w:type="dxa"/>
        <w:top w:w="0" w:type="dxa"/>
        <w:right w:w="0" w:type="dxa"/>
        <w:bottom w:w="0" w:type="dxa"/>
      </w:tblCellMar>
    </w:tblPr>
  </w:style>
  <w:style w:type="table" w:styleId="1249" w:customStyle="1">
    <w:name w:val="Grid Table 5 Dark - Accent 61"/>
    <w:uiPriority w:val="99"/>
    <w:qFormat/>
    <w:tblPr>
      <w:tblCellMar>
        <w:left w:w="0" w:type="dxa"/>
        <w:top w:w="0" w:type="dxa"/>
        <w:right w:w="0" w:type="dxa"/>
        <w:bottom w:w="0" w:type="dxa"/>
      </w:tblCellMar>
    </w:tblPr>
  </w:style>
  <w:style w:type="table" w:styleId="1250" w:customStyle="1">
    <w:name w:val="网格表 6 彩色11"/>
    <w:uiPriority w:val="99"/>
    <w:qFormat/>
    <w:tblPr>
      <w:tblCellMar>
        <w:left w:w="0" w:type="dxa"/>
        <w:top w:w="0" w:type="dxa"/>
        <w:right w:w="0" w:type="dxa"/>
        <w:bottom w:w="0" w:type="dxa"/>
      </w:tblCellMar>
    </w:tblPr>
  </w:style>
  <w:style w:type="table" w:styleId="1251" w:customStyle="1">
    <w:name w:val="Grid Table 6 Colorful - Accent 11"/>
    <w:uiPriority w:val="99"/>
    <w:qFormat/>
    <w:tblPr>
      <w:tblCellMar>
        <w:left w:w="0" w:type="dxa"/>
        <w:top w:w="0" w:type="dxa"/>
        <w:right w:w="0" w:type="dxa"/>
        <w:bottom w:w="0" w:type="dxa"/>
      </w:tblCellMar>
    </w:tblPr>
  </w:style>
  <w:style w:type="table" w:styleId="1252" w:customStyle="1">
    <w:name w:val="Grid Table 6 Colorful - Accent 21"/>
    <w:uiPriority w:val="99"/>
    <w:qFormat/>
    <w:tblPr>
      <w:tblCellMar>
        <w:left w:w="0" w:type="dxa"/>
        <w:top w:w="0" w:type="dxa"/>
        <w:right w:w="0" w:type="dxa"/>
        <w:bottom w:w="0" w:type="dxa"/>
      </w:tblCellMar>
    </w:tblPr>
  </w:style>
  <w:style w:type="table" w:styleId="1253" w:customStyle="1">
    <w:name w:val="Grid Table 6 Colorful - Accent 31"/>
    <w:uiPriority w:val="99"/>
    <w:qFormat/>
    <w:tblPr>
      <w:tblCellMar>
        <w:left w:w="0" w:type="dxa"/>
        <w:top w:w="0" w:type="dxa"/>
        <w:right w:w="0" w:type="dxa"/>
        <w:bottom w:w="0" w:type="dxa"/>
      </w:tblCellMar>
    </w:tblPr>
  </w:style>
  <w:style w:type="table" w:styleId="1254" w:customStyle="1">
    <w:name w:val="Grid Table 6 Colorful - Accent 41"/>
    <w:uiPriority w:val="99"/>
    <w:qFormat/>
    <w:tblPr>
      <w:tblCellMar>
        <w:left w:w="0" w:type="dxa"/>
        <w:top w:w="0" w:type="dxa"/>
        <w:right w:w="0" w:type="dxa"/>
        <w:bottom w:w="0" w:type="dxa"/>
      </w:tblCellMar>
    </w:tblPr>
  </w:style>
  <w:style w:type="table" w:styleId="1255" w:customStyle="1">
    <w:name w:val="Grid Table 6 Colorful - Accent 51"/>
    <w:uiPriority w:val="99"/>
    <w:qFormat/>
    <w:tblPr>
      <w:tblCellMar>
        <w:left w:w="0" w:type="dxa"/>
        <w:top w:w="0" w:type="dxa"/>
        <w:right w:w="0" w:type="dxa"/>
        <w:bottom w:w="0" w:type="dxa"/>
      </w:tblCellMar>
    </w:tblPr>
  </w:style>
  <w:style w:type="table" w:styleId="1256" w:customStyle="1">
    <w:name w:val="Grid Table 6 Colorful - Accent 61"/>
    <w:uiPriority w:val="99"/>
    <w:qFormat/>
    <w:tblPr>
      <w:tblCellMar>
        <w:left w:w="0" w:type="dxa"/>
        <w:top w:w="0" w:type="dxa"/>
        <w:right w:w="0" w:type="dxa"/>
        <w:bottom w:w="0" w:type="dxa"/>
      </w:tblCellMar>
    </w:tblPr>
  </w:style>
  <w:style w:type="table" w:styleId="1257" w:customStyle="1">
    <w:name w:val="网格表 7 彩色11"/>
    <w:uiPriority w:val="99"/>
    <w:qFormat/>
    <w:tblPr>
      <w:tblCellMar>
        <w:left w:w="0" w:type="dxa"/>
        <w:top w:w="0" w:type="dxa"/>
        <w:right w:w="0" w:type="dxa"/>
        <w:bottom w:w="0" w:type="dxa"/>
      </w:tblCellMar>
    </w:tblPr>
  </w:style>
  <w:style w:type="table" w:styleId="1258" w:customStyle="1">
    <w:name w:val="Grid Table 7 Colorful - Accent 11"/>
    <w:uiPriority w:val="99"/>
    <w:qFormat/>
    <w:tblPr>
      <w:tblCellMar>
        <w:left w:w="0" w:type="dxa"/>
        <w:top w:w="0" w:type="dxa"/>
        <w:right w:w="0" w:type="dxa"/>
        <w:bottom w:w="0" w:type="dxa"/>
      </w:tblCellMar>
    </w:tblPr>
  </w:style>
  <w:style w:type="table" w:styleId="1259" w:customStyle="1">
    <w:name w:val="Grid Table 7 Colorful - Accent 21"/>
    <w:uiPriority w:val="99"/>
    <w:qFormat/>
    <w:tblPr>
      <w:tblCellMar>
        <w:left w:w="0" w:type="dxa"/>
        <w:top w:w="0" w:type="dxa"/>
        <w:right w:w="0" w:type="dxa"/>
        <w:bottom w:w="0" w:type="dxa"/>
      </w:tblCellMar>
    </w:tblPr>
  </w:style>
  <w:style w:type="table" w:styleId="1260" w:customStyle="1">
    <w:name w:val="Grid Table 7 Colorful - Accent 31"/>
    <w:uiPriority w:val="99"/>
    <w:qFormat/>
    <w:tblPr>
      <w:tblCellMar>
        <w:left w:w="0" w:type="dxa"/>
        <w:top w:w="0" w:type="dxa"/>
        <w:right w:w="0" w:type="dxa"/>
        <w:bottom w:w="0" w:type="dxa"/>
      </w:tblCellMar>
    </w:tblPr>
  </w:style>
  <w:style w:type="table" w:styleId="1261" w:customStyle="1">
    <w:name w:val="Grid Table 7 Colorful - Accent 41"/>
    <w:uiPriority w:val="99"/>
    <w:qFormat/>
    <w:tblPr>
      <w:tblCellMar>
        <w:left w:w="0" w:type="dxa"/>
        <w:top w:w="0" w:type="dxa"/>
        <w:right w:w="0" w:type="dxa"/>
        <w:bottom w:w="0" w:type="dxa"/>
      </w:tblCellMar>
    </w:tblPr>
  </w:style>
  <w:style w:type="table" w:styleId="1262" w:customStyle="1">
    <w:name w:val="Grid Table 7 Colorful - Accent 51"/>
    <w:uiPriority w:val="99"/>
    <w:qFormat/>
    <w:tblPr>
      <w:tblCellMar>
        <w:left w:w="0" w:type="dxa"/>
        <w:top w:w="0" w:type="dxa"/>
        <w:right w:w="0" w:type="dxa"/>
        <w:bottom w:w="0" w:type="dxa"/>
      </w:tblCellMar>
    </w:tblPr>
  </w:style>
  <w:style w:type="table" w:styleId="1263" w:customStyle="1">
    <w:name w:val="Grid Table 7 Colorful - Accent 61"/>
    <w:uiPriority w:val="99"/>
    <w:qFormat/>
    <w:tblPr>
      <w:tblCellMar>
        <w:left w:w="0" w:type="dxa"/>
        <w:top w:w="0" w:type="dxa"/>
        <w:right w:w="0" w:type="dxa"/>
        <w:bottom w:w="0" w:type="dxa"/>
      </w:tblCellMar>
    </w:tblPr>
  </w:style>
  <w:style w:type="table" w:styleId="1264" w:customStyle="1">
    <w:name w:val="清单表 1 浅色11"/>
    <w:uiPriority w:val="99"/>
    <w:qFormat/>
    <w:tblPr>
      <w:tblCellMar>
        <w:left w:w="0" w:type="dxa"/>
        <w:top w:w="0" w:type="dxa"/>
        <w:right w:w="0" w:type="dxa"/>
        <w:bottom w:w="0" w:type="dxa"/>
      </w:tblCellMar>
    </w:tblPr>
  </w:style>
  <w:style w:type="table" w:styleId="1265" w:customStyle="1">
    <w:name w:val="List Table 1 Light - Accent 11"/>
    <w:uiPriority w:val="99"/>
    <w:qFormat/>
    <w:tblPr>
      <w:tblCellMar>
        <w:left w:w="0" w:type="dxa"/>
        <w:top w:w="0" w:type="dxa"/>
        <w:right w:w="0" w:type="dxa"/>
        <w:bottom w:w="0" w:type="dxa"/>
      </w:tblCellMar>
    </w:tblPr>
  </w:style>
  <w:style w:type="table" w:styleId="1266" w:customStyle="1">
    <w:name w:val="List Table 1 Light - Accent 21"/>
    <w:uiPriority w:val="99"/>
    <w:qFormat/>
    <w:tblPr>
      <w:tblCellMar>
        <w:left w:w="0" w:type="dxa"/>
        <w:top w:w="0" w:type="dxa"/>
        <w:right w:w="0" w:type="dxa"/>
        <w:bottom w:w="0" w:type="dxa"/>
      </w:tblCellMar>
    </w:tblPr>
  </w:style>
  <w:style w:type="table" w:styleId="1267" w:customStyle="1">
    <w:name w:val="List Table 1 Light - Accent 31"/>
    <w:uiPriority w:val="99"/>
    <w:qFormat/>
    <w:tblPr>
      <w:tblCellMar>
        <w:left w:w="0" w:type="dxa"/>
        <w:top w:w="0" w:type="dxa"/>
        <w:right w:w="0" w:type="dxa"/>
        <w:bottom w:w="0" w:type="dxa"/>
      </w:tblCellMar>
    </w:tblPr>
  </w:style>
  <w:style w:type="table" w:styleId="1268" w:customStyle="1">
    <w:name w:val="List Table 1 Light - Accent 41"/>
    <w:uiPriority w:val="99"/>
    <w:qFormat/>
    <w:tblPr>
      <w:tblCellMar>
        <w:left w:w="0" w:type="dxa"/>
        <w:top w:w="0" w:type="dxa"/>
        <w:right w:w="0" w:type="dxa"/>
        <w:bottom w:w="0" w:type="dxa"/>
      </w:tblCellMar>
    </w:tblPr>
  </w:style>
  <w:style w:type="table" w:styleId="1269" w:customStyle="1">
    <w:name w:val="List Table 1 Light - Accent 51"/>
    <w:uiPriority w:val="99"/>
    <w:qFormat/>
    <w:tblPr>
      <w:tblCellMar>
        <w:left w:w="0" w:type="dxa"/>
        <w:top w:w="0" w:type="dxa"/>
        <w:right w:w="0" w:type="dxa"/>
        <w:bottom w:w="0" w:type="dxa"/>
      </w:tblCellMar>
    </w:tblPr>
  </w:style>
  <w:style w:type="table" w:styleId="1270" w:customStyle="1">
    <w:name w:val="List Table 1 Light - Accent 61"/>
    <w:uiPriority w:val="99"/>
    <w:qFormat/>
    <w:tblPr>
      <w:tblCellMar>
        <w:left w:w="0" w:type="dxa"/>
        <w:top w:w="0" w:type="dxa"/>
        <w:right w:w="0" w:type="dxa"/>
        <w:bottom w:w="0" w:type="dxa"/>
      </w:tblCellMar>
    </w:tblPr>
  </w:style>
  <w:style w:type="table" w:styleId="1271" w:customStyle="1">
    <w:name w:val="清单表 211"/>
    <w:uiPriority w:val="99"/>
    <w:qFormat/>
    <w:tblPr>
      <w:tblCellMar>
        <w:left w:w="0" w:type="dxa"/>
        <w:top w:w="0" w:type="dxa"/>
        <w:right w:w="0" w:type="dxa"/>
        <w:bottom w:w="0" w:type="dxa"/>
      </w:tblCellMar>
    </w:tblPr>
  </w:style>
  <w:style w:type="table" w:styleId="1272" w:customStyle="1">
    <w:name w:val="List Table 2 - Accent 11"/>
    <w:uiPriority w:val="99"/>
    <w:qFormat/>
    <w:tblPr>
      <w:tblCellMar>
        <w:left w:w="0" w:type="dxa"/>
        <w:top w:w="0" w:type="dxa"/>
        <w:right w:w="0" w:type="dxa"/>
        <w:bottom w:w="0" w:type="dxa"/>
      </w:tblCellMar>
    </w:tblPr>
  </w:style>
  <w:style w:type="table" w:styleId="1273" w:customStyle="1">
    <w:name w:val="List Table 2 - Accent 21"/>
    <w:uiPriority w:val="99"/>
    <w:qFormat/>
    <w:tblPr>
      <w:tblCellMar>
        <w:left w:w="0" w:type="dxa"/>
        <w:top w:w="0" w:type="dxa"/>
        <w:right w:w="0" w:type="dxa"/>
        <w:bottom w:w="0" w:type="dxa"/>
      </w:tblCellMar>
    </w:tblPr>
  </w:style>
  <w:style w:type="table" w:styleId="1274" w:customStyle="1">
    <w:name w:val="List Table 2 - Accent 31"/>
    <w:uiPriority w:val="99"/>
    <w:qFormat/>
    <w:tblPr>
      <w:tblCellMar>
        <w:left w:w="0" w:type="dxa"/>
        <w:top w:w="0" w:type="dxa"/>
        <w:right w:w="0" w:type="dxa"/>
        <w:bottom w:w="0" w:type="dxa"/>
      </w:tblCellMar>
    </w:tblPr>
  </w:style>
  <w:style w:type="table" w:styleId="1275" w:customStyle="1">
    <w:name w:val="List Table 2 - Accent 41"/>
    <w:uiPriority w:val="99"/>
    <w:qFormat/>
    <w:tblPr>
      <w:tblCellMar>
        <w:left w:w="0" w:type="dxa"/>
        <w:top w:w="0" w:type="dxa"/>
        <w:right w:w="0" w:type="dxa"/>
        <w:bottom w:w="0" w:type="dxa"/>
      </w:tblCellMar>
    </w:tblPr>
  </w:style>
  <w:style w:type="table" w:styleId="1276" w:customStyle="1">
    <w:name w:val="List Table 2 - Accent 51"/>
    <w:uiPriority w:val="99"/>
    <w:qFormat/>
    <w:tblPr>
      <w:tblCellMar>
        <w:left w:w="0" w:type="dxa"/>
        <w:top w:w="0" w:type="dxa"/>
        <w:right w:w="0" w:type="dxa"/>
        <w:bottom w:w="0" w:type="dxa"/>
      </w:tblCellMar>
    </w:tblPr>
  </w:style>
  <w:style w:type="table" w:styleId="1277" w:customStyle="1">
    <w:name w:val="List Table 2 - Accent 61"/>
    <w:uiPriority w:val="99"/>
    <w:qFormat/>
    <w:tblPr>
      <w:tblCellMar>
        <w:left w:w="0" w:type="dxa"/>
        <w:top w:w="0" w:type="dxa"/>
        <w:right w:w="0" w:type="dxa"/>
        <w:bottom w:w="0" w:type="dxa"/>
      </w:tblCellMar>
    </w:tblPr>
  </w:style>
  <w:style w:type="table" w:styleId="1278" w:customStyle="1">
    <w:name w:val="清单表 311"/>
    <w:uiPriority w:val="99"/>
    <w:qFormat/>
    <w:tblPr>
      <w:tblCellMar>
        <w:left w:w="0" w:type="dxa"/>
        <w:top w:w="0" w:type="dxa"/>
        <w:right w:w="0" w:type="dxa"/>
        <w:bottom w:w="0" w:type="dxa"/>
      </w:tblCellMar>
    </w:tblPr>
  </w:style>
  <w:style w:type="table" w:styleId="1279" w:customStyle="1">
    <w:name w:val="List Table 3 - Accent 11"/>
    <w:uiPriority w:val="99"/>
    <w:qFormat/>
    <w:tblPr>
      <w:tblCellMar>
        <w:left w:w="0" w:type="dxa"/>
        <w:top w:w="0" w:type="dxa"/>
        <w:right w:w="0" w:type="dxa"/>
        <w:bottom w:w="0" w:type="dxa"/>
      </w:tblCellMar>
    </w:tblPr>
  </w:style>
  <w:style w:type="table" w:styleId="1280" w:customStyle="1">
    <w:name w:val="List Table 3 - Accent 21"/>
    <w:uiPriority w:val="99"/>
    <w:qFormat/>
    <w:tblPr>
      <w:tblCellMar>
        <w:left w:w="0" w:type="dxa"/>
        <w:top w:w="0" w:type="dxa"/>
        <w:right w:w="0" w:type="dxa"/>
        <w:bottom w:w="0" w:type="dxa"/>
      </w:tblCellMar>
    </w:tblPr>
  </w:style>
  <w:style w:type="table" w:styleId="1281" w:customStyle="1">
    <w:name w:val="List Table 3 - Accent 31"/>
    <w:uiPriority w:val="99"/>
    <w:qFormat/>
    <w:tblPr>
      <w:tblCellMar>
        <w:left w:w="0" w:type="dxa"/>
        <w:top w:w="0" w:type="dxa"/>
        <w:right w:w="0" w:type="dxa"/>
        <w:bottom w:w="0" w:type="dxa"/>
      </w:tblCellMar>
    </w:tblPr>
  </w:style>
  <w:style w:type="table" w:styleId="1282" w:customStyle="1">
    <w:name w:val="List Table 3 - Accent 41"/>
    <w:uiPriority w:val="99"/>
    <w:qFormat/>
    <w:tblPr>
      <w:tblCellMar>
        <w:left w:w="0" w:type="dxa"/>
        <w:top w:w="0" w:type="dxa"/>
        <w:right w:w="0" w:type="dxa"/>
        <w:bottom w:w="0" w:type="dxa"/>
      </w:tblCellMar>
    </w:tblPr>
  </w:style>
  <w:style w:type="table" w:styleId="1283" w:customStyle="1">
    <w:name w:val="List Table 3 - Accent 51"/>
    <w:uiPriority w:val="99"/>
    <w:qFormat/>
    <w:tblPr>
      <w:tblCellMar>
        <w:left w:w="0" w:type="dxa"/>
        <w:top w:w="0" w:type="dxa"/>
        <w:right w:w="0" w:type="dxa"/>
        <w:bottom w:w="0" w:type="dxa"/>
      </w:tblCellMar>
    </w:tblPr>
  </w:style>
  <w:style w:type="table" w:styleId="1284" w:customStyle="1">
    <w:name w:val="List Table 3 - Accent 61"/>
    <w:uiPriority w:val="99"/>
    <w:qFormat/>
    <w:tblPr>
      <w:tblCellMar>
        <w:left w:w="0" w:type="dxa"/>
        <w:top w:w="0" w:type="dxa"/>
        <w:right w:w="0" w:type="dxa"/>
        <w:bottom w:w="0" w:type="dxa"/>
      </w:tblCellMar>
    </w:tblPr>
  </w:style>
  <w:style w:type="table" w:styleId="1285" w:customStyle="1">
    <w:name w:val="清单表 411"/>
    <w:uiPriority w:val="99"/>
    <w:qFormat/>
    <w:tblPr>
      <w:tblCellMar>
        <w:left w:w="0" w:type="dxa"/>
        <w:top w:w="0" w:type="dxa"/>
        <w:right w:w="0" w:type="dxa"/>
        <w:bottom w:w="0" w:type="dxa"/>
      </w:tblCellMar>
    </w:tblPr>
  </w:style>
  <w:style w:type="table" w:styleId="1286" w:customStyle="1">
    <w:name w:val="List Table 4 - Accent 11"/>
    <w:uiPriority w:val="99"/>
    <w:qFormat/>
    <w:tblPr>
      <w:tblCellMar>
        <w:left w:w="0" w:type="dxa"/>
        <w:top w:w="0" w:type="dxa"/>
        <w:right w:w="0" w:type="dxa"/>
        <w:bottom w:w="0" w:type="dxa"/>
      </w:tblCellMar>
    </w:tblPr>
  </w:style>
  <w:style w:type="table" w:styleId="1287" w:customStyle="1">
    <w:name w:val="List Table 4 - Accent 21"/>
    <w:uiPriority w:val="99"/>
    <w:qFormat/>
    <w:tblPr>
      <w:tblCellMar>
        <w:left w:w="0" w:type="dxa"/>
        <w:top w:w="0" w:type="dxa"/>
        <w:right w:w="0" w:type="dxa"/>
        <w:bottom w:w="0" w:type="dxa"/>
      </w:tblCellMar>
    </w:tblPr>
  </w:style>
  <w:style w:type="table" w:styleId="1288" w:customStyle="1">
    <w:name w:val="List Table 4 - Accent 31"/>
    <w:uiPriority w:val="99"/>
    <w:qFormat/>
    <w:tblPr>
      <w:tblCellMar>
        <w:left w:w="0" w:type="dxa"/>
        <w:top w:w="0" w:type="dxa"/>
        <w:right w:w="0" w:type="dxa"/>
        <w:bottom w:w="0" w:type="dxa"/>
      </w:tblCellMar>
    </w:tblPr>
  </w:style>
  <w:style w:type="table" w:styleId="1289" w:customStyle="1">
    <w:name w:val="List Table 4 - Accent 41"/>
    <w:uiPriority w:val="99"/>
    <w:qFormat/>
    <w:tblPr>
      <w:tblCellMar>
        <w:left w:w="0" w:type="dxa"/>
        <w:top w:w="0" w:type="dxa"/>
        <w:right w:w="0" w:type="dxa"/>
        <w:bottom w:w="0" w:type="dxa"/>
      </w:tblCellMar>
    </w:tblPr>
  </w:style>
  <w:style w:type="table" w:styleId="1290" w:customStyle="1">
    <w:name w:val="List Table 4 - Accent 51"/>
    <w:uiPriority w:val="99"/>
    <w:qFormat/>
    <w:tblPr>
      <w:tblCellMar>
        <w:left w:w="0" w:type="dxa"/>
        <w:top w:w="0" w:type="dxa"/>
        <w:right w:w="0" w:type="dxa"/>
        <w:bottom w:w="0" w:type="dxa"/>
      </w:tblCellMar>
    </w:tblPr>
  </w:style>
  <w:style w:type="table" w:styleId="1291" w:customStyle="1">
    <w:name w:val="List Table 4 - Accent 61"/>
    <w:uiPriority w:val="99"/>
    <w:qFormat/>
    <w:tblPr>
      <w:tblCellMar>
        <w:left w:w="0" w:type="dxa"/>
        <w:top w:w="0" w:type="dxa"/>
        <w:right w:w="0" w:type="dxa"/>
        <w:bottom w:w="0" w:type="dxa"/>
      </w:tblCellMar>
    </w:tblPr>
  </w:style>
  <w:style w:type="table" w:styleId="1292" w:customStyle="1">
    <w:name w:val="清单表 5 深色11"/>
    <w:uiPriority w:val="99"/>
    <w:qFormat/>
    <w:tblPr>
      <w:tblCellMar>
        <w:left w:w="0" w:type="dxa"/>
        <w:top w:w="0" w:type="dxa"/>
        <w:right w:w="0" w:type="dxa"/>
        <w:bottom w:w="0" w:type="dxa"/>
      </w:tblCellMar>
    </w:tblPr>
  </w:style>
  <w:style w:type="table" w:styleId="1293" w:customStyle="1">
    <w:name w:val="List Table 5 Dark - Accent 11"/>
    <w:uiPriority w:val="99"/>
    <w:qFormat/>
    <w:tblPr>
      <w:tblCellMar>
        <w:left w:w="0" w:type="dxa"/>
        <w:top w:w="0" w:type="dxa"/>
        <w:right w:w="0" w:type="dxa"/>
        <w:bottom w:w="0" w:type="dxa"/>
      </w:tblCellMar>
    </w:tblPr>
  </w:style>
  <w:style w:type="table" w:styleId="1294" w:customStyle="1">
    <w:name w:val="List Table 5 Dark - Accent 21"/>
    <w:uiPriority w:val="99"/>
    <w:qFormat/>
    <w:tblPr>
      <w:tblCellMar>
        <w:left w:w="0" w:type="dxa"/>
        <w:top w:w="0" w:type="dxa"/>
        <w:right w:w="0" w:type="dxa"/>
        <w:bottom w:w="0" w:type="dxa"/>
      </w:tblCellMar>
    </w:tblPr>
  </w:style>
  <w:style w:type="table" w:styleId="1295" w:customStyle="1">
    <w:name w:val="List Table 5 Dark - Accent 31"/>
    <w:uiPriority w:val="99"/>
    <w:qFormat/>
    <w:tblPr>
      <w:tblCellMar>
        <w:left w:w="0" w:type="dxa"/>
        <w:top w:w="0" w:type="dxa"/>
        <w:right w:w="0" w:type="dxa"/>
        <w:bottom w:w="0" w:type="dxa"/>
      </w:tblCellMar>
    </w:tblPr>
  </w:style>
  <w:style w:type="table" w:styleId="1296" w:customStyle="1">
    <w:name w:val="List Table 5 Dark - Accent 41"/>
    <w:uiPriority w:val="99"/>
    <w:qFormat/>
    <w:tblPr>
      <w:tblCellMar>
        <w:left w:w="0" w:type="dxa"/>
        <w:top w:w="0" w:type="dxa"/>
        <w:right w:w="0" w:type="dxa"/>
        <w:bottom w:w="0" w:type="dxa"/>
      </w:tblCellMar>
    </w:tblPr>
  </w:style>
  <w:style w:type="table" w:styleId="1297" w:customStyle="1">
    <w:name w:val="List Table 5 Dark - Accent 51"/>
    <w:uiPriority w:val="99"/>
    <w:qFormat/>
    <w:tblPr>
      <w:tblCellMar>
        <w:left w:w="0" w:type="dxa"/>
        <w:top w:w="0" w:type="dxa"/>
        <w:right w:w="0" w:type="dxa"/>
        <w:bottom w:w="0" w:type="dxa"/>
      </w:tblCellMar>
    </w:tblPr>
  </w:style>
  <w:style w:type="table" w:styleId="1298" w:customStyle="1">
    <w:name w:val="List Table 5 Dark - Accent 61"/>
    <w:uiPriority w:val="99"/>
    <w:qFormat/>
    <w:tblPr>
      <w:tblCellMar>
        <w:left w:w="0" w:type="dxa"/>
        <w:top w:w="0" w:type="dxa"/>
        <w:right w:w="0" w:type="dxa"/>
        <w:bottom w:w="0" w:type="dxa"/>
      </w:tblCellMar>
    </w:tblPr>
  </w:style>
  <w:style w:type="table" w:styleId="1299" w:customStyle="1">
    <w:name w:val="清单表 6 彩色11"/>
    <w:uiPriority w:val="99"/>
    <w:qFormat/>
    <w:tblPr>
      <w:tblCellMar>
        <w:left w:w="0" w:type="dxa"/>
        <w:top w:w="0" w:type="dxa"/>
        <w:right w:w="0" w:type="dxa"/>
        <w:bottom w:w="0" w:type="dxa"/>
      </w:tblCellMar>
    </w:tblPr>
  </w:style>
  <w:style w:type="table" w:styleId="1300" w:customStyle="1">
    <w:name w:val="List Table 6 Colorful - Accent 11"/>
    <w:uiPriority w:val="99"/>
    <w:qFormat/>
    <w:tblPr>
      <w:tblCellMar>
        <w:left w:w="0" w:type="dxa"/>
        <w:top w:w="0" w:type="dxa"/>
        <w:right w:w="0" w:type="dxa"/>
        <w:bottom w:w="0" w:type="dxa"/>
      </w:tblCellMar>
    </w:tblPr>
  </w:style>
  <w:style w:type="table" w:styleId="1301" w:customStyle="1">
    <w:name w:val="List Table 6 Colorful - Accent 21"/>
    <w:uiPriority w:val="99"/>
    <w:qFormat/>
    <w:tblPr>
      <w:tblCellMar>
        <w:left w:w="0" w:type="dxa"/>
        <w:top w:w="0" w:type="dxa"/>
        <w:right w:w="0" w:type="dxa"/>
        <w:bottom w:w="0" w:type="dxa"/>
      </w:tblCellMar>
    </w:tblPr>
  </w:style>
  <w:style w:type="table" w:styleId="1302" w:customStyle="1">
    <w:name w:val="List Table 6 Colorful - Accent 31"/>
    <w:uiPriority w:val="99"/>
    <w:qFormat/>
    <w:tblPr>
      <w:tblCellMar>
        <w:left w:w="0" w:type="dxa"/>
        <w:top w:w="0" w:type="dxa"/>
        <w:right w:w="0" w:type="dxa"/>
        <w:bottom w:w="0" w:type="dxa"/>
      </w:tblCellMar>
    </w:tblPr>
  </w:style>
  <w:style w:type="table" w:styleId="1303" w:customStyle="1">
    <w:name w:val="List Table 6 Colorful - Accent 41"/>
    <w:uiPriority w:val="99"/>
    <w:qFormat/>
    <w:tblPr>
      <w:tblCellMar>
        <w:left w:w="0" w:type="dxa"/>
        <w:top w:w="0" w:type="dxa"/>
        <w:right w:w="0" w:type="dxa"/>
        <w:bottom w:w="0" w:type="dxa"/>
      </w:tblCellMar>
    </w:tblPr>
  </w:style>
  <w:style w:type="table" w:styleId="1304" w:customStyle="1">
    <w:name w:val="List Table 6 Colorful - Accent 51"/>
    <w:uiPriority w:val="99"/>
    <w:qFormat/>
    <w:tblPr>
      <w:tblCellMar>
        <w:left w:w="0" w:type="dxa"/>
        <w:top w:w="0" w:type="dxa"/>
        <w:right w:w="0" w:type="dxa"/>
        <w:bottom w:w="0" w:type="dxa"/>
      </w:tblCellMar>
    </w:tblPr>
  </w:style>
  <w:style w:type="table" w:styleId="1305" w:customStyle="1">
    <w:name w:val="List Table 6 Colorful - Accent 61"/>
    <w:uiPriority w:val="99"/>
    <w:qFormat/>
    <w:tblPr>
      <w:tblCellMar>
        <w:left w:w="0" w:type="dxa"/>
        <w:top w:w="0" w:type="dxa"/>
        <w:right w:w="0" w:type="dxa"/>
        <w:bottom w:w="0" w:type="dxa"/>
      </w:tblCellMar>
    </w:tblPr>
  </w:style>
  <w:style w:type="table" w:styleId="1306" w:customStyle="1">
    <w:name w:val="清单表 7 彩色11"/>
    <w:uiPriority w:val="99"/>
    <w:qFormat/>
    <w:tblPr>
      <w:tblCellMar>
        <w:left w:w="0" w:type="dxa"/>
        <w:top w:w="0" w:type="dxa"/>
        <w:right w:w="0" w:type="dxa"/>
        <w:bottom w:w="0" w:type="dxa"/>
      </w:tblCellMar>
    </w:tblPr>
  </w:style>
  <w:style w:type="table" w:styleId="1307" w:customStyle="1">
    <w:name w:val="List Table 7 Colorful - Accent 11"/>
    <w:uiPriority w:val="99"/>
    <w:qFormat/>
    <w:tblPr>
      <w:tblCellMar>
        <w:left w:w="0" w:type="dxa"/>
        <w:top w:w="0" w:type="dxa"/>
        <w:right w:w="0" w:type="dxa"/>
        <w:bottom w:w="0" w:type="dxa"/>
      </w:tblCellMar>
    </w:tblPr>
  </w:style>
  <w:style w:type="table" w:styleId="1308" w:customStyle="1">
    <w:name w:val="List Table 7 Colorful - Accent 21"/>
    <w:uiPriority w:val="99"/>
    <w:qFormat/>
    <w:tblPr>
      <w:tblCellMar>
        <w:left w:w="0" w:type="dxa"/>
        <w:top w:w="0" w:type="dxa"/>
        <w:right w:w="0" w:type="dxa"/>
        <w:bottom w:w="0" w:type="dxa"/>
      </w:tblCellMar>
    </w:tblPr>
  </w:style>
  <w:style w:type="table" w:styleId="1309" w:customStyle="1">
    <w:name w:val="List Table 7 Colorful - Accent 31"/>
    <w:uiPriority w:val="99"/>
    <w:qFormat/>
    <w:tblPr>
      <w:tblCellMar>
        <w:left w:w="0" w:type="dxa"/>
        <w:top w:w="0" w:type="dxa"/>
        <w:right w:w="0" w:type="dxa"/>
        <w:bottom w:w="0" w:type="dxa"/>
      </w:tblCellMar>
    </w:tblPr>
  </w:style>
  <w:style w:type="table" w:styleId="1310" w:customStyle="1">
    <w:name w:val="List Table 7 Colorful - Accent 41"/>
    <w:uiPriority w:val="99"/>
    <w:qFormat/>
    <w:tblPr>
      <w:tblCellMar>
        <w:left w:w="0" w:type="dxa"/>
        <w:top w:w="0" w:type="dxa"/>
        <w:right w:w="0" w:type="dxa"/>
        <w:bottom w:w="0" w:type="dxa"/>
      </w:tblCellMar>
    </w:tblPr>
  </w:style>
  <w:style w:type="table" w:styleId="1311" w:customStyle="1">
    <w:name w:val="List Table 7 Colorful - Accent 51"/>
    <w:uiPriority w:val="99"/>
    <w:qFormat/>
    <w:tblPr>
      <w:tblCellMar>
        <w:left w:w="0" w:type="dxa"/>
        <w:top w:w="0" w:type="dxa"/>
        <w:right w:w="0" w:type="dxa"/>
        <w:bottom w:w="0" w:type="dxa"/>
      </w:tblCellMar>
    </w:tblPr>
  </w:style>
  <w:style w:type="table" w:styleId="1312" w:customStyle="1">
    <w:name w:val="List Table 7 Colorful - Accent 61"/>
    <w:uiPriority w:val="99"/>
    <w:qFormat/>
    <w:tblPr>
      <w:tblCellMar>
        <w:left w:w="0" w:type="dxa"/>
        <w:top w:w="0" w:type="dxa"/>
        <w:right w:w="0" w:type="dxa"/>
        <w:bottom w:w="0" w:type="dxa"/>
      </w:tblCellMar>
    </w:tblPr>
  </w:style>
  <w:style w:type="table" w:styleId="1313" w:customStyle="1">
    <w:name w:val="Lined - Accent 11"/>
    <w:uiPriority w:val="99"/>
    <w:qFormat/>
    <w:rPr>
      <w:color w:val="404040"/>
    </w:rPr>
    <w:tblPr>
      <w:tblCellMar>
        <w:left w:w="0" w:type="dxa"/>
        <w:top w:w="0" w:type="dxa"/>
        <w:right w:w="0" w:type="dxa"/>
        <w:bottom w:w="0" w:type="dxa"/>
      </w:tblCellMar>
    </w:tblPr>
  </w:style>
  <w:style w:type="table" w:styleId="1314" w:customStyle="1">
    <w:name w:val="Lined - Accent 21"/>
    <w:uiPriority w:val="99"/>
    <w:qFormat/>
    <w:rPr>
      <w:color w:val="404040"/>
    </w:rPr>
    <w:tblPr>
      <w:tblCellMar>
        <w:left w:w="0" w:type="dxa"/>
        <w:top w:w="0" w:type="dxa"/>
        <w:right w:w="0" w:type="dxa"/>
        <w:bottom w:w="0" w:type="dxa"/>
      </w:tblCellMar>
    </w:tblPr>
  </w:style>
  <w:style w:type="table" w:styleId="1315" w:customStyle="1">
    <w:name w:val="Lined - Accent 31"/>
    <w:uiPriority w:val="99"/>
    <w:qFormat/>
    <w:rPr>
      <w:color w:val="404040"/>
    </w:rPr>
    <w:tblPr>
      <w:tblCellMar>
        <w:left w:w="0" w:type="dxa"/>
        <w:top w:w="0" w:type="dxa"/>
        <w:right w:w="0" w:type="dxa"/>
        <w:bottom w:w="0" w:type="dxa"/>
      </w:tblCellMar>
    </w:tblPr>
  </w:style>
  <w:style w:type="table" w:styleId="1316" w:customStyle="1">
    <w:name w:val="Lined - Accent 41"/>
    <w:uiPriority w:val="99"/>
    <w:qFormat/>
    <w:rPr>
      <w:color w:val="404040"/>
    </w:rPr>
    <w:tblPr>
      <w:tblCellMar>
        <w:left w:w="0" w:type="dxa"/>
        <w:top w:w="0" w:type="dxa"/>
        <w:right w:w="0" w:type="dxa"/>
        <w:bottom w:w="0" w:type="dxa"/>
      </w:tblCellMar>
    </w:tblPr>
  </w:style>
  <w:style w:type="table" w:styleId="1317" w:customStyle="1">
    <w:name w:val="Lined - Accent 51"/>
    <w:uiPriority w:val="99"/>
    <w:qFormat/>
    <w:rPr>
      <w:color w:val="404040"/>
    </w:rPr>
    <w:tblPr>
      <w:tblCellMar>
        <w:left w:w="0" w:type="dxa"/>
        <w:top w:w="0" w:type="dxa"/>
        <w:right w:w="0" w:type="dxa"/>
        <w:bottom w:w="0" w:type="dxa"/>
      </w:tblCellMar>
    </w:tblPr>
  </w:style>
  <w:style w:type="table" w:styleId="1318" w:customStyle="1">
    <w:name w:val="Lined - Accent 61"/>
    <w:uiPriority w:val="99"/>
    <w:qFormat/>
    <w:rPr>
      <w:color w:val="404040"/>
    </w:rPr>
    <w:tblPr>
      <w:tblCellMar>
        <w:left w:w="0" w:type="dxa"/>
        <w:top w:w="0" w:type="dxa"/>
        <w:right w:w="0" w:type="dxa"/>
        <w:bottom w:w="0" w:type="dxa"/>
      </w:tblCellMar>
    </w:tblPr>
  </w:style>
  <w:style w:type="table" w:styleId="1319" w:customStyle="1">
    <w:name w:val="Bordered &amp; Lined - Accent 11"/>
    <w:uiPriority w:val="99"/>
    <w:qFormat/>
    <w:rPr>
      <w:color w:val="404040"/>
    </w:rPr>
    <w:tblPr>
      <w:tblCellMar>
        <w:left w:w="0" w:type="dxa"/>
        <w:top w:w="0" w:type="dxa"/>
        <w:right w:w="0" w:type="dxa"/>
        <w:bottom w:w="0" w:type="dxa"/>
      </w:tblCellMar>
    </w:tblPr>
  </w:style>
  <w:style w:type="table" w:styleId="1320" w:customStyle="1">
    <w:name w:val="Bordered &amp; Lined - Accent 21"/>
    <w:uiPriority w:val="99"/>
    <w:qFormat/>
    <w:rPr>
      <w:color w:val="404040"/>
    </w:rPr>
    <w:tblPr>
      <w:tblCellMar>
        <w:left w:w="0" w:type="dxa"/>
        <w:top w:w="0" w:type="dxa"/>
        <w:right w:w="0" w:type="dxa"/>
        <w:bottom w:w="0" w:type="dxa"/>
      </w:tblCellMar>
    </w:tblPr>
  </w:style>
  <w:style w:type="table" w:styleId="1321" w:customStyle="1">
    <w:name w:val="Bordered &amp; Lined - Accent 31"/>
    <w:uiPriority w:val="99"/>
    <w:qFormat/>
    <w:rPr>
      <w:color w:val="404040"/>
    </w:rPr>
    <w:tblPr>
      <w:tblCellMar>
        <w:left w:w="0" w:type="dxa"/>
        <w:top w:w="0" w:type="dxa"/>
        <w:right w:w="0" w:type="dxa"/>
        <w:bottom w:w="0" w:type="dxa"/>
      </w:tblCellMar>
    </w:tblPr>
  </w:style>
  <w:style w:type="table" w:styleId="1322" w:customStyle="1">
    <w:name w:val="Bordered &amp; Lined - Accent 41"/>
    <w:uiPriority w:val="99"/>
    <w:qFormat/>
    <w:rPr>
      <w:color w:val="404040"/>
    </w:rPr>
    <w:tblPr>
      <w:tblCellMar>
        <w:left w:w="0" w:type="dxa"/>
        <w:top w:w="0" w:type="dxa"/>
        <w:right w:w="0" w:type="dxa"/>
        <w:bottom w:w="0" w:type="dxa"/>
      </w:tblCellMar>
    </w:tblPr>
  </w:style>
  <w:style w:type="table" w:styleId="1323" w:customStyle="1">
    <w:name w:val="Bordered &amp; Lined - Accent 51"/>
    <w:uiPriority w:val="99"/>
    <w:qFormat/>
    <w:rPr>
      <w:color w:val="404040"/>
    </w:rPr>
    <w:tblPr>
      <w:tblCellMar>
        <w:left w:w="0" w:type="dxa"/>
        <w:top w:w="0" w:type="dxa"/>
        <w:right w:w="0" w:type="dxa"/>
        <w:bottom w:w="0" w:type="dxa"/>
      </w:tblCellMar>
    </w:tblPr>
  </w:style>
  <w:style w:type="table" w:styleId="1324" w:customStyle="1">
    <w:name w:val="Bordered &amp; Lined - Accent 61"/>
    <w:uiPriority w:val="99"/>
    <w:qFormat/>
    <w:rPr>
      <w:color w:val="404040"/>
    </w:rPr>
    <w:tblPr>
      <w:tblCellMar>
        <w:left w:w="0" w:type="dxa"/>
        <w:top w:w="0" w:type="dxa"/>
        <w:right w:w="0" w:type="dxa"/>
        <w:bottom w:w="0" w:type="dxa"/>
      </w:tblCellMar>
    </w:tblPr>
  </w:style>
  <w:style w:type="table" w:styleId="1325" w:customStyle="1">
    <w:name w:val="Bordered1"/>
    <w:uiPriority w:val="99"/>
    <w:qFormat/>
    <w:tblPr>
      <w:tblCellMar>
        <w:left w:w="0" w:type="dxa"/>
        <w:top w:w="0" w:type="dxa"/>
        <w:right w:w="0" w:type="dxa"/>
        <w:bottom w:w="0" w:type="dxa"/>
      </w:tblCellMar>
    </w:tblPr>
  </w:style>
  <w:style w:type="table" w:styleId="1326" w:customStyle="1">
    <w:name w:val="Bordered - Accent 11"/>
    <w:uiPriority w:val="99"/>
    <w:qFormat/>
    <w:tblPr>
      <w:tblCellMar>
        <w:left w:w="0" w:type="dxa"/>
        <w:top w:w="0" w:type="dxa"/>
        <w:right w:w="0" w:type="dxa"/>
        <w:bottom w:w="0" w:type="dxa"/>
      </w:tblCellMar>
    </w:tblPr>
  </w:style>
  <w:style w:type="table" w:styleId="1327" w:customStyle="1">
    <w:name w:val="Bordered - Accent 21"/>
    <w:uiPriority w:val="99"/>
    <w:qFormat/>
    <w:tblPr>
      <w:tblCellMar>
        <w:left w:w="0" w:type="dxa"/>
        <w:top w:w="0" w:type="dxa"/>
        <w:right w:w="0" w:type="dxa"/>
        <w:bottom w:w="0" w:type="dxa"/>
      </w:tblCellMar>
    </w:tblPr>
  </w:style>
  <w:style w:type="table" w:styleId="1328" w:customStyle="1">
    <w:name w:val="Bordered - Accent 31"/>
    <w:uiPriority w:val="99"/>
    <w:qFormat/>
    <w:tblPr>
      <w:tblCellMar>
        <w:left w:w="0" w:type="dxa"/>
        <w:top w:w="0" w:type="dxa"/>
        <w:right w:w="0" w:type="dxa"/>
        <w:bottom w:w="0" w:type="dxa"/>
      </w:tblCellMar>
    </w:tblPr>
  </w:style>
  <w:style w:type="table" w:styleId="1329" w:customStyle="1">
    <w:name w:val="Bordered - Accent 41"/>
    <w:uiPriority w:val="99"/>
    <w:qFormat/>
    <w:tblPr>
      <w:tblCellMar>
        <w:left w:w="0" w:type="dxa"/>
        <w:top w:w="0" w:type="dxa"/>
        <w:right w:w="0" w:type="dxa"/>
        <w:bottom w:w="0" w:type="dxa"/>
      </w:tblCellMar>
    </w:tblPr>
  </w:style>
  <w:style w:type="table" w:styleId="1330" w:customStyle="1">
    <w:name w:val="Bordered - Accent 51"/>
    <w:uiPriority w:val="99"/>
    <w:qFormat/>
    <w:tblPr>
      <w:tblCellMar>
        <w:left w:w="0" w:type="dxa"/>
        <w:top w:w="0" w:type="dxa"/>
        <w:right w:w="0" w:type="dxa"/>
        <w:bottom w:w="0" w:type="dxa"/>
      </w:tblCellMar>
    </w:tblPr>
  </w:style>
  <w:style w:type="table" w:styleId="1331" w:customStyle="1">
    <w:name w:val="Bordered - Accent 61"/>
    <w:uiPriority w:val="99"/>
    <w:qFormat/>
    <w:tblPr>
      <w:tblCellMar>
        <w:left w:w="0" w:type="dxa"/>
        <w:top w:w="0" w:type="dxa"/>
        <w:right w:w="0" w:type="dxa"/>
        <w:bottom w:w="0" w:type="dxa"/>
      </w:tblCellMar>
    </w:tblPr>
  </w:style>
  <w:style w:type="paragraph" w:styleId="1332" w:customStyle="1">
    <w:name w:val="目录 71"/>
    <w:basedOn w:val="795"/>
    <w:next w:val="795"/>
    <w:uiPriority w:val="0"/>
    <w:qFormat/>
    <w:pPr>
      <w:ind w:left="2520"/>
    </w:pPr>
    <w:rPr>
      <w:rFonts w:ascii="Calibri" w:hAnsi="Calibri" w:eastAsia="楷体_GB2312"/>
      <w:sz w:val="26"/>
      <w:szCs w:val="20"/>
    </w:rPr>
  </w:style>
  <w:style w:type="character" w:styleId="1333" w:customStyle="1">
    <w:name w:val="正文文本 字符2"/>
    <w:uiPriority w:val="0"/>
    <w:qFormat/>
    <w:rPr>
      <w:rFonts w:ascii="Times New Roman" w:hAnsi="Times New Roman" w:eastAsia="宋体" w:cs="Times New Roman"/>
      <w:sz w:val="21"/>
      <w:szCs w:val="22"/>
    </w:rPr>
  </w:style>
  <w:style w:type="paragraph" w:styleId="1334" w:customStyle="1">
    <w:name w:val="目录 51"/>
    <w:basedOn w:val="795"/>
    <w:next w:val="795"/>
    <w:uiPriority w:val="0"/>
    <w:qFormat/>
    <w:pPr>
      <w:ind w:left="1680"/>
    </w:pPr>
    <w:rPr>
      <w:rFonts w:ascii="Calibri" w:hAnsi="Calibri" w:eastAsia="楷体_GB2312"/>
      <w:sz w:val="26"/>
      <w:szCs w:val="20"/>
    </w:rPr>
  </w:style>
  <w:style w:type="paragraph" w:styleId="1335" w:customStyle="1">
    <w:name w:val="目录 31"/>
    <w:basedOn w:val="795"/>
    <w:next w:val="795"/>
    <w:link w:val="1336"/>
    <w:uiPriority w:val="0"/>
    <w:qFormat/>
    <w:pPr>
      <w:ind w:left="840"/>
    </w:pPr>
    <w:rPr>
      <w:rFonts w:ascii="Calibri" w:hAnsi="Calibri"/>
      <w:szCs w:val="20"/>
    </w:rPr>
  </w:style>
  <w:style w:type="character" w:styleId="1336" w:customStyle="1">
    <w:name w:val="目录 3 Char"/>
    <w:link w:val="1335"/>
    <w:uiPriority w:val="0"/>
    <w:qFormat/>
    <w:rPr>
      <w:rFonts w:ascii="Calibri" w:hAnsi="Calibri"/>
      <w:sz w:val="21"/>
    </w:rPr>
  </w:style>
  <w:style w:type="character" w:styleId="1337" w:customStyle="1">
    <w:name w:val="纯文本 字符1"/>
    <w:uiPriority w:val="0"/>
    <w:qFormat/>
    <w:rPr>
      <w:rFonts w:ascii="宋体" w:hAnsi="Courier New" w:eastAsia="宋体" w:cs="Times New Roman"/>
      <w:sz w:val="21"/>
    </w:rPr>
  </w:style>
  <w:style w:type="paragraph" w:styleId="1338" w:customStyle="1">
    <w:name w:val="目录 81"/>
    <w:basedOn w:val="795"/>
    <w:next w:val="795"/>
    <w:uiPriority w:val="0"/>
    <w:qFormat/>
    <w:pPr>
      <w:ind w:left="2940"/>
    </w:pPr>
    <w:rPr>
      <w:rFonts w:ascii="Calibri" w:hAnsi="Calibri" w:eastAsia="楷体_GB2312"/>
      <w:sz w:val="26"/>
      <w:szCs w:val="20"/>
    </w:rPr>
  </w:style>
  <w:style w:type="paragraph" w:styleId="1339" w:customStyle="1">
    <w:name w:val="目录 41"/>
    <w:basedOn w:val="795"/>
    <w:next w:val="795"/>
    <w:uiPriority w:val="0"/>
    <w:qFormat/>
    <w:pPr>
      <w:ind w:left="1260"/>
    </w:pPr>
    <w:rPr>
      <w:rFonts w:ascii="Calibri" w:hAnsi="Calibri" w:eastAsia="楷体_GB2312"/>
      <w:sz w:val="26"/>
      <w:szCs w:val="20"/>
    </w:rPr>
  </w:style>
  <w:style w:type="paragraph" w:styleId="1340" w:customStyle="1">
    <w:name w:val="目录 61"/>
    <w:basedOn w:val="795"/>
    <w:next w:val="795"/>
    <w:uiPriority w:val="0"/>
    <w:qFormat/>
    <w:pPr>
      <w:ind w:left="2100"/>
    </w:pPr>
    <w:rPr>
      <w:rFonts w:ascii="Calibri" w:hAnsi="Calibri" w:eastAsia="楷体_GB2312"/>
      <w:sz w:val="26"/>
      <w:szCs w:val="20"/>
    </w:rPr>
  </w:style>
  <w:style w:type="paragraph" w:styleId="1341" w:customStyle="1">
    <w:name w:val="目录 21"/>
    <w:basedOn w:val="795"/>
    <w:next w:val="795"/>
    <w:uiPriority w:val="0"/>
    <w:qFormat/>
    <w:pPr>
      <w:ind w:left="420"/>
    </w:pPr>
    <w:rPr>
      <w:rFonts w:ascii="Calibri" w:hAnsi="Calibri" w:eastAsia="楷体_GB2312"/>
      <w:sz w:val="26"/>
      <w:szCs w:val="20"/>
    </w:rPr>
  </w:style>
  <w:style w:type="paragraph" w:styleId="1342" w:customStyle="1">
    <w:name w:val="目录 91"/>
    <w:basedOn w:val="795"/>
    <w:next w:val="795"/>
    <w:uiPriority w:val="0"/>
    <w:qFormat/>
    <w:pPr>
      <w:ind w:left="3360"/>
    </w:pPr>
    <w:rPr>
      <w:rFonts w:ascii="Calibri" w:hAnsi="Calibri" w:eastAsia="楷体_GB2312"/>
      <w:sz w:val="26"/>
      <w:szCs w:val="20"/>
    </w:rPr>
  </w:style>
  <w:style w:type="character" w:styleId="1343" w:customStyle="1">
    <w:name w:val="普通(网站) 字符"/>
    <w:link w:val="852"/>
    <w:uiPriority w:val="0"/>
    <w:qFormat/>
    <w:rPr>
      <w:rFonts w:ascii="宋体" w:hAnsi="宋体"/>
      <w:color w:val="000000"/>
      <w:sz w:val="24"/>
      <w:szCs w:val="24"/>
    </w:rPr>
  </w:style>
  <w:style w:type="paragraph" w:styleId="1344" w:customStyle="1">
    <w:name w:val="正文首行缩进 21111"/>
    <w:basedOn w:val="1345"/>
    <w:next w:val="795"/>
    <w:uiPriority w:val="0"/>
    <w:unhideWhenUsed/>
    <w:qFormat/>
    <w:pPr>
      <w:ind w:firstLine="420"/>
    </w:pPr>
  </w:style>
  <w:style w:type="paragraph" w:styleId="1345" w:customStyle="1">
    <w:name w:val="正文文本缩进1"/>
    <w:basedOn w:val="795"/>
    <w:next w:val="1346"/>
    <w:uiPriority w:val="0"/>
    <w:unhideWhenUsed/>
    <w:qFormat/>
    <w:pPr>
      <w:ind w:left="420"/>
      <w:spacing w:after="120"/>
    </w:pPr>
    <w:rPr>
      <w:szCs w:val="22"/>
      <w:lang w:eastAsia="en-US"/>
    </w:rPr>
  </w:style>
  <w:style w:type="paragraph" w:styleId="1346" w:customStyle="1">
    <w:name w:val="寄信人地址1"/>
    <w:basedOn w:val="795"/>
    <w:uiPriority w:val="99"/>
    <w:unhideWhenUsed/>
    <w:qFormat/>
    <w:rPr>
      <w:rFonts w:ascii="Arial" w:hAnsi="Arial" w:eastAsia="楷体_GB2312"/>
      <w:sz w:val="26"/>
      <w:szCs w:val="20"/>
    </w:rPr>
  </w:style>
  <w:style w:type="paragraph" w:styleId="1347" w:customStyle="1">
    <w:name w:val="正文缩进1"/>
    <w:basedOn w:val="795"/>
    <w:uiPriority w:val="0"/>
    <w:qFormat/>
    <w:pPr>
      <w:ind w:firstLine="420"/>
      <w:jc w:val="left"/>
      <w:widowControl/>
    </w:pPr>
    <w:rPr>
      <w:rFonts w:ascii="Calibri" w:hAnsi="Calibri"/>
      <w:szCs w:val="22"/>
    </w:rPr>
  </w:style>
  <w:style w:type="character" w:styleId="1348" w:customStyle="1">
    <w:name w:val="NormalCharacter1"/>
    <w:uiPriority w:val="0"/>
    <w:qFormat/>
    <w:rPr>
      <w:rFonts w:ascii="Times New Roman" w:hAnsi="Times New Roman" w:eastAsia="宋体" w:cs="Times New Roman"/>
    </w:rPr>
  </w:style>
  <w:style w:type="paragraph" w:styleId="1349" w:customStyle="1">
    <w:name w:val="Default"/>
    <w:uiPriority w:val="0"/>
    <w:qFormat/>
    <w:pPr>
      <w:widowControl w:val="off"/>
    </w:pPr>
    <w:rPr>
      <w:rFonts w:hint="default" w:ascii="微软雅黑" w:hAnsi="Times New Roman" w:eastAsia="微软雅黑" w:cs="微软雅黑"/>
      <w:color w:val="000000"/>
      <w:sz w:val="24"/>
      <w:szCs w:val="24"/>
    </w:rPr>
  </w:style>
  <w:style w:type="table" w:styleId="1350" w:customStyle="1">
    <w:name w:val="网格型11"/>
    <w:basedOn w:val="806"/>
    <w:uiPriority w:val="0"/>
    <w:qFormat/>
    <w:pPr>
      <w:jc w:val="both"/>
      <w:widowControl w:val="off"/>
    </w:pPr>
    <w:tblPr/>
  </w:style>
  <w:style w:type="table" w:styleId="1351" w:customStyle="1">
    <w:name w:val="网格型2"/>
    <w:basedOn w:val="806"/>
    <w:uiPriority w:val="0"/>
    <w:qFormat/>
    <w:pPr>
      <w:jc w:val="both"/>
      <w:widowControl w:val="off"/>
    </w:pPr>
    <w:tblPr/>
  </w:style>
  <w:style w:type="character" w:styleId="1352" w:customStyle="1">
    <w:name w:val="正文文本 Char"/>
    <w:uiPriority w:val="0"/>
    <w:qFormat/>
    <w:rPr>
      <w:rFonts w:ascii="楷体_GB2312" w:eastAsia="楷体_GB2312"/>
      <w:sz w:val="28"/>
    </w:rPr>
  </w:style>
  <w:style w:type="paragraph" w:styleId="1353" w:customStyle="1">
    <w:name w:val="style4"/>
    <w:basedOn w:val="795"/>
    <w:next w:val="1354"/>
    <w:uiPriority w:val="99"/>
    <w:qFormat/>
    <w:pPr>
      <w:spacing w:before="280" w:after="280"/>
      <w:widowControl/>
    </w:pPr>
    <w:rPr>
      <w:rFonts w:ascii="宋体" w:hAnsi="Calibri" w:eastAsia="楷体_GB2312"/>
      <w:sz w:val="18"/>
      <w:szCs w:val="20"/>
    </w:rPr>
  </w:style>
  <w:style w:type="paragraph" w:styleId="1354" w:customStyle="1">
    <w:name w:val="2"/>
    <w:next w:val="795"/>
    <w:uiPriority w:val="99"/>
    <w:qFormat/>
    <w:pPr>
      <w:jc w:val="both"/>
      <w:widowControl w:val="off"/>
    </w:pPr>
    <w:rPr>
      <w:rFonts w:hint="default" w:ascii="Times New Roman" w:hAnsi="Times New Roman" w:eastAsia="宋体" w:cs="Times New Roman"/>
      <w:sz w:val="21"/>
      <w:szCs w:val="22"/>
    </w:rPr>
  </w:style>
  <w:style w:type="table" w:styleId="1355" w:customStyle="1">
    <w:name w:val="网格型3"/>
    <w:basedOn w:val="806"/>
    <w:uiPriority w:val="0"/>
    <w:qFormat/>
    <w:pPr>
      <w:jc w:val="both"/>
      <w:widowControl w:val="off"/>
    </w:pPr>
    <w:rPr>
      <w:sz w:val="21"/>
      <w:szCs w:val="22"/>
    </w:rPr>
    <w:tblPr/>
  </w:style>
  <w:style w:type="character" w:styleId="1356" w:customStyle="1">
    <w:name w:val="Char Char4"/>
    <w:uiPriority w:val="0"/>
    <w:qFormat/>
    <w:rPr>
      <w:rFonts w:ascii="方正仿宋简体" w:hAnsi="汉仪雅酷黑简" w:eastAsia="方正仿宋简体"/>
      <w:sz w:val="24"/>
      <w:lang w:val="en-US" w:eastAsia="zh-CN" w:bidi="ar-SA"/>
    </w:rPr>
  </w:style>
  <w:style w:type="character" w:styleId="1357" w:customStyle="1">
    <w:name w:val="state"/>
    <w:uiPriority w:val="0"/>
    <w:qFormat/>
    <w:rPr>
      <w:b/>
      <w:color w:val="ffffff"/>
      <w:sz w:val="19"/>
      <w:szCs w:val="19"/>
    </w:rPr>
  </w:style>
  <w:style w:type="character" w:styleId="1358" w:customStyle="1">
    <w:name w:val="bds_more6"/>
    <w:uiPriority w:val="0"/>
    <w:qFormat/>
  </w:style>
  <w:style w:type="character" w:styleId="1359" w:customStyle="1">
    <w:name w:val="hilite"/>
    <w:uiPriority w:val="0"/>
    <w:qFormat/>
    <w:rPr>
      <w:color w:val="ffffff"/>
      <w:shd w:val="clear" w:color="auto" w:fill="776666"/>
    </w:rPr>
  </w:style>
  <w:style w:type="character" w:styleId="1360" w:customStyle="1">
    <w:name w:val="bds_nopic"/>
    <w:uiPriority w:val="0"/>
    <w:qFormat/>
  </w:style>
  <w:style w:type="character" w:styleId="1361" w:customStyle="1">
    <w:name w:val="Char Char2"/>
    <w:uiPriority w:val="0"/>
    <w:qFormat/>
    <w:rPr>
      <w:rFonts w:ascii="宋体" w:hAnsi="宋体" w:eastAsia="楷体_GB2312"/>
      <w:b/>
      <w:sz w:val="26"/>
      <w:lang w:val="en-US" w:eastAsia="zh-CN" w:bidi="ar-SA"/>
    </w:rPr>
  </w:style>
  <w:style w:type="character" w:styleId="1362" w:customStyle="1">
    <w:name w:val="hover61"/>
    <w:uiPriority w:val="0"/>
    <w:qFormat/>
    <w:rPr>
      <w:shd w:val="clear" w:color="auto" w:fill="ff0000"/>
    </w:rPr>
  </w:style>
  <w:style w:type="character" w:styleId="1363" w:customStyle="1">
    <w:name w:val="grid"/>
    <w:uiPriority w:val="0"/>
    <w:qFormat/>
  </w:style>
  <w:style w:type="character" w:styleId="1364" w:customStyle="1">
    <w:name w:val="bds_more7"/>
    <w:uiPriority w:val="0"/>
    <w:qFormat/>
  </w:style>
  <w:style w:type="character" w:styleId="1365" w:customStyle="1">
    <w:name w:val="bds_more8"/>
    <w:uiPriority w:val="0"/>
    <w:qFormat/>
    <w:rPr>
      <w:rFonts w:hint="eastAsia" w:ascii="宋体" w:hAnsi="宋体" w:eastAsia="宋体" w:cs="宋体"/>
    </w:rPr>
  </w:style>
  <w:style w:type="character" w:styleId="1366" w:customStyle="1">
    <w:name w:val="bds_more4"/>
    <w:uiPriority w:val="0"/>
    <w:qFormat/>
    <w:rPr>
      <w:rFonts w:hint="eastAsia" w:ascii="宋体" w:hAnsi="宋体" w:eastAsia="宋体" w:cs="宋体"/>
    </w:rPr>
  </w:style>
  <w:style w:type="character" w:styleId="1367" w:customStyle="1">
    <w:name w:val="bds_nopic1"/>
    <w:uiPriority w:val="0"/>
    <w:qFormat/>
  </w:style>
  <w:style w:type="character" w:styleId="1368" w:customStyle="1">
    <w:name w:val="hilite6"/>
    <w:uiPriority w:val="0"/>
    <w:qFormat/>
    <w:rPr>
      <w:color w:val="ffffff"/>
      <w:shd w:val="clear" w:color="auto" w:fill="776666"/>
    </w:rPr>
  </w:style>
  <w:style w:type="character" w:styleId="1369" w:customStyle="1">
    <w:name w:val="正文缩进2格 Char Char"/>
    <w:uiPriority w:val="0"/>
    <w:qFormat/>
    <w:rPr>
      <w:rFonts w:ascii="仿宋_GB2312" w:hAnsi="宋体" w:eastAsia="仿宋_GB2312"/>
      <w:sz w:val="31"/>
      <w:szCs w:val="28"/>
    </w:rPr>
  </w:style>
  <w:style w:type="character" w:styleId="1370" w:customStyle="1">
    <w:name w:val="grid2"/>
    <w:uiPriority w:val="0"/>
    <w:qFormat/>
  </w:style>
  <w:style w:type="character" w:styleId="1371" w:customStyle="1">
    <w:name w:val="other"/>
    <w:uiPriority w:val="0"/>
    <w:qFormat/>
  </w:style>
  <w:style w:type="character" w:styleId="1372" w:customStyle="1">
    <w:name w:val="font01"/>
    <w:uiPriority w:val="0"/>
    <w:qFormat/>
    <w:rPr>
      <w:rFonts w:hint="eastAsia" w:ascii="宋体" w:hAnsi="宋体" w:eastAsia="宋体" w:cs="宋体"/>
      <w:b/>
      <w:color w:val="000000"/>
      <w:sz w:val="20"/>
      <w:szCs w:val="20"/>
      <w:u w:val="none"/>
    </w:rPr>
  </w:style>
  <w:style w:type="character" w:styleId="1373" w:customStyle="1">
    <w:name w:val="noused"/>
    <w:uiPriority w:val="0"/>
    <w:qFormat/>
    <w:rPr>
      <w:b/>
      <w:color w:val="ffffff"/>
      <w:sz w:val="21"/>
      <w:szCs w:val="21"/>
    </w:rPr>
  </w:style>
  <w:style w:type="character" w:styleId="1374" w:customStyle="1">
    <w:name w:val="active8"/>
    <w:uiPriority w:val="0"/>
    <w:qFormat/>
    <w:rPr>
      <w:color w:val="00ff00"/>
      <w:shd w:val="clear" w:color="auto" w:fill="000000"/>
    </w:rPr>
  </w:style>
  <w:style w:type="character" w:styleId="1375" w:customStyle="1">
    <w:name w:val="bds_more5"/>
    <w:uiPriority w:val="0"/>
    <w:qFormat/>
  </w:style>
  <w:style w:type="character" w:styleId="1376" w:customStyle="1">
    <w:name w:val="bds_nopic2"/>
    <w:uiPriority w:val="0"/>
    <w:qFormat/>
  </w:style>
  <w:style w:type="character" w:styleId="1377" w:customStyle="1">
    <w:name w:val="active"/>
    <w:uiPriority w:val="0"/>
    <w:qFormat/>
    <w:rPr>
      <w:color w:val="00ff00"/>
      <w:shd w:val="clear" w:color="auto" w:fill="000000"/>
    </w:rPr>
  </w:style>
  <w:style w:type="paragraph" w:styleId="1378" w:customStyle="1">
    <w:name w:val="列出段落2"/>
    <w:basedOn w:val="795"/>
    <w:uiPriority w:val="0"/>
    <w:qFormat/>
    <w:pPr>
      <w:ind w:firstLine="420"/>
    </w:pPr>
  </w:style>
  <w:style w:type="character" w:styleId="1379" w:customStyle="1">
    <w:name w:val="font41"/>
    <w:uiPriority w:val="0"/>
    <w:qFormat/>
    <w:rPr>
      <w:rFonts w:hint="eastAsia" w:ascii="宋体" w:hAnsi="宋体" w:eastAsia="宋体" w:cs="宋体"/>
      <w:color w:val="000000"/>
      <w:sz w:val="20"/>
      <w:szCs w:val="20"/>
      <w:u w:val="none"/>
    </w:rPr>
  </w:style>
  <w:style w:type="character" w:styleId="1380" w:customStyle="1">
    <w:name w:val="font11"/>
    <w:uiPriority w:val="0"/>
    <w:qFormat/>
    <w:rPr>
      <w:rFonts w:ascii="宋体" w:hAnsi="宋体" w:eastAsia="宋体"/>
      <w:color w:val="000000"/>
      <w:sz w:val="28"/>
      <w:u w:val="none"/>
    </w:rPr>
  </w:style>
  <w:style w:type="character" w:styleId="1381" w:customStyle="1">
    <w:name w:val="正文文本缩进 Char1"/>
    <w:uiPriority w:val="0"/>
    <w:qFormat/>
    <w:rPr>
      <w:rFonts w:eastAsia="楷体_GB2312"/>
      <w:sz w:val="26"/>
    </w:rPr>
  </w:style>
  <w:style w:type="character" w:styleId="1382" w:customStyle="1">
    <w:name w:val="font101"/>
    <w:uiPriority w:val="0"/>
    <w:qFormat/>
    <w:rPr>
      <w:rFonts w:hint="eastAsia" w:ascii="微软雅黑" w:hAnsi="微软雅黑" w:eastAsia="微软雅黑" w:cs="微软雅黑"/>
      <w:color w:val="000000"/>
      <w:sz w:val="20"/>
      <w:szCs w:val="20"/>
      <w:u w:val="none"/>
      <w:vertAlign w:val="superscript"/>
    </w:rPr>
  </w:style>
  <w:style w:type="character" w:styleId="1383" w:customStyle="1">
    <w:name w:val="日期 Char1"/>
    <w:uiPriority w:val="0"/>
    <w:qFormat/>
    <w:rPr>
      <w:rFonts w:eastAsia="楷体_GB2312"/>
      <w:sz w:val="26"/>
      <w:szCs w:val="26"/>
    </w:rPr>
  </w:style>
  <w:style w:type="character" w:styleId="1384" w:customStyle="1">
    <w:name w:val="Balloon Text Char"/>
    <w:uiPriority w:val="0"/>
    <w:semiHidden/>
    <w:qFormat/>
    <w:rPr>
      <w:rFonts w:eastAsia="宋体"/>
      <w:sz w:val="18"/>
      <w:lang w:val="en-US" w:eastAsia="zh-CN"/>
    </w:rPr>
  </w:style>
  <w:style w:type="character" w:styleId="1385" w:customStyle="1">
    <w:name w:val="font21"/>
    <w:basedOn w:val="805"/>
    <w:uiPriority w:val="0"/>
    <w:qFormat/>
    <w:rPr>
      <w:rFonts w:hint="eastAsia" w:ascii="宋体" w:hAnsi="宋体" w:eastAsia="宋体" w:cs="宋体"/>
      <w:b/>
      <w:color w:val="000000"/>
      <w:sz w:val="20"/>
      <w:szCs w:val="20"/>
      <w:u w:val="none"/>
    </w:rPr>
  </w:style>
  <w:style w:type="character" w:styleId="1386" w:customStyle="1">
    <w:name w:val="font31"/>
    <w:uiPriority w:val="0"/>
    <w:qFormat/>
    <w:rPr>
      <w:rFonts w:ascii="宋体" w:hAnsi="宋体" w:eastAsia="宋体"/>
      <w:color w:val="000000"/>
      <w:sz w:val="20"/>
      <w:u w:val="none"/>
    </w:rPr>
  </w:style>
  <w:style w:type="character" w:styleId="1387" w:customStyle="1">
    <w:name w:val="Body Text Indent Char"/>
    <w:uiPriority w:val="0"/>
    <w:qFormat/>
    <w:rPr>
      <w:rFonts w:ascii="方正仿宋简体" w:hAnsi="汉仪雅酷黑简" w:eastAsia="方正仿宋简体"/>
      <w:sz w:val="24"/>
    </w:rPr>
  </w:style>
  <w:style w:type="character" w:styleId="1388" w:customStyle="1">
    <w:name w:val="Header Char1"/>
    <w:uiPriority w:val="0"/>
    <w:qFormat/>
    <w:rPr>
      <w:rFonts w:eastAsia="楷体_GB2312"/>
      <w:sz w:val="18"/>
    </w:rPr>
  </w:style>
  <w:style w:type="character" w:styleId="1389" w:customStyle="1">
    <w:name w:val="正文文本缩进 Char2"/>
    <w:uiPriority w:val="0"/>
    <w:qFormat/>
    <w:rPr>
      <w:rFonts w:eastAsia="楷体_GB2312"/>
      <w:sz w:val="26"/>
      <w:szCs w:val="26"/>
    </w:rPr>
  </w:style>
  <w:style w:type="paragraph" w:styleId="1390" w:customStyle="1">
    <w:name w:val="p0"/>
    <w:basedOn w:val="795"/>
    <w:uiPriority w:val="0"/>
    <w:qFormat/>
    <w:pPr>
      <w:widowControl/>
    </w:pPr>
    <w:rPr>
      <w:rFonts w:ascii="Calibri" w:hAnsi="Calibri"/>
      <w:szCs w:val="21"/>
    </w:rPr>
  </w:style>
  <w:style w:type="paragraph" w:styleId="1391" w:customStyle="1">
    <w:name w:val="纯文本1"/>
    <w:basedOn w:val="795"/>
    <w:uiPriority w:val="0"/>
    <w:qFormat/>
    <w:rPr>
      <w:rFonts w:ascii="宋体" w:hAnsi="Courier New" w:eastAsia="楷体_GB2312"/>
      <w:sz w:val="28"/>
      <w:szCs w:val="20"/>
    </w:rPr>
  </w:style>
  <w:style w:type="paragraph" w:styleId="1392" w:customStyle="1">
    <w:name w:val="Char Char1 Char Char Char Char"/>
    <w:basedOn w:val="813"/>
    <w:uiPriority w:val="0"/>
    <w:qFormat/>
    <w:pPr>
      <w:spacing w:line="360" w:lineRule="auto"/>
    </w:pPr>
    <w:rPr>
      <w:rFonts w:ascii="Tahoma" w:hAnsi="Tahoma"/>
      <w:sz w:val="24"/>
    </w:rPr>
  </w:style>
  <w:style w:type="paragraph" w:styleId="1393" w:customStyle="1">
    <w:name w:val="Char Char1 Char Char Char Char Char Char Char"/>
    <w:basedOn w:val="795"/>
    <w:uiPriority w:val="0"/>
    <w:qFormat/>
    <w:rPr>
      <w:rFonts w:ascii="Tahoma" w:hAnsi="Tahoma" w:eastAsia="楷体_GB2312"/>
      <w:sz w:val="24"/>
      <w:szCs w:val="20"/>
    </w:rPr>
  </w:style>
  <w:style w:type="paragraph" w:styleId="1394" w:customStyle="1">
    <w:name w:val="图"/>
    <w:basedOn w:val="795"/>
    <w:uiPriority w:val="0"/>
    <w:qFormat/>
    <w:pPr>
      <w:jc w:val="center"/>
      <w:keepNext/>
      <w:spacing w:before="60" w:after="60" w:line="300" w:lineRule="auto"/>
    </w:pPr>
    <w:rPr>
      <w:rFonts w:ascii="Calibri" w:hAnsi="Calibri"/>
      <w:spacing w:val="20"/>
      <w:sz w:val="24"/>
      <w:szCs w:val="20"/>
    </w:rPr>
  </w:style>
  <w:style w:type="paragraph" w:styleId="1395" w:customStyle="1">
    <w:name w:val="纯文本2"/>
    <w:basedOn w:val="795"/>
    <w:uiPriority w:val="0"/>
    <w:qFormat/>
    <w:rPr>
      <w:rFonts w:ascii="宋体" w:hAnsi="Courier New" w:eastAsia="楷体_GB2312"/>
      <w:sz w:val="26"/>
      <w:szCs w:val="20"/>
    </w:rPr>
  </w:style>
  <w:style w:type="paragraph" w:styleId="1396" w:customStyle="1">
    <w:name w:val="xl107"/>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97" w:customStyle="1">
    <w:name w:val="font10"/>
    <w:basedOn w:val="795"/>
    <w:uiPriority w:val="0"/>
    <w:qFormat/>
    <w:pPr>
      <w:jc w:val="left"/>
      <w:spacing w:before="100" w:beforeAutospacing="1" w:after="100" w:afterAutospacing="1"/>
      <w:widowControl/>
    </w:pPr>
    <w:rPr>
      <w:rFonts w:ascii="宋体" w:hAnsi="宋体" w:cs="宋体"/>
      <w:sz w:val="18"/>
      <w:szCs w:val="18"/>
    </w:rPr>
  </w:style>
  <w:style w:type="paragraph" w:styleId="1398" w:customStyle="1">
    <w:name w:val="xl108"/>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99" w:customStyle="1">
    <w:name w:val="xl127"/>
    <w:basedOn w:val="79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00" w:customStyle="1">
    <w:name w:val="xl124"/>
    <w:basedOn w:val="79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01" w:customStyle="1">
    <w:name w:val="xl162"/>
    <w:basedOn w:val="79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402" w:customStyle="1">
    <w:name w:val="xl123"/>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03" w:customStyle="1">
    <w:name w:val="xl113"/>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szCs w:val="20"/>
    </w:rPr>
  </w:style>
  <w:style w:type="paragraph" w:styleId="1404" w:customStyle="1">
    <w:name w:val="font12"/>
    <w:basedOn w:val="795"/>
    <w:uiPriority w:val="0"/>
    <w:qFormat/>
    <w:pPr>
      <w:jc w:val="left"/>
      <w:spacing w:before="100" w:beforeAutospacing="1" w:after="100" w:afterAutospacing="1"/>
      <w:widowControl/>
    </w:pPr>
    <w:rPr>
      <w:rFonts w:ascii="宋体" w:hAnsi="宋体" w:cs="宋体"/>
      <w:sz w:val="18"/>
      <w:szCs w:val="18"/>
    </w:rPr>
  </w:style>
  <w:style w:type="paragraph" w:styleId="1405" w:customStyle="1">
    <w:name w:val="xl145"/>
    <w:basedOn w:val="79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szCs w:val="20"/>
    </w:rPr>
  </w:style>
  <w:style w:type="paragraph" w:styleId="1406" w:customStyle="1">
    <w:name w:val="font22"/>
    <w:basedOn w:val="795"/>
    <w:uiPriority w:val="0"/>
    <w:qFormat/>
    <w:pPr>
      <w:jc w:val="left"/>
      <w:spacing w:before="100" w:beforeAutospacing="1" w:after="100" w:afterAutospacing="1"/>
      <w:widowControl/>
    </w:pPr>
    <w:rPr>
      <w:rFonts w:ascii="宋体" w:hAnsi="宋体" w:cs="宋体"/>
      <w:sz w:val="18"/>
      <w:szCs w:val="18"/>
    </w:rPr>
  </w:style>
  <w:style w:type="paragraph" w:styleId="1407" w:customStyle="1">
    <w:name w:val="xl157"/>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b/>
      <w:bCs/>
      <w:sz w:val="20"/>
      <w:szCs w:val="20"/>
    </w:rPr>
  </w:style>
  <w:style w:type="paragraph" w:styleId="1408" w:customStyle="1">
    <w:name w:val="xl156"/>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b/>
      <w:bCs/>
      <w:sz w:val="20"/>
      <w:szCs w:val="20"/>
    </w:rPr>
  </w:style>
  <w:style w:type="paragraph" w:styleId="1409" w:customStyle="1">
    <w:name w:val="xl111"/>
    <w:basedOn w:val="79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10" w:customStyle="1">
    <w:name w:val="xl143"/>
    <w:basedOn w:val="79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11" w:customStyle="1">
    <w:name w:val="xl128"/>
    <w:basedOn w:val="79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12" w:customStyle="1">
    <w:name w:val="xl138"/>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13" w:customStyle="1">
    <w:name w:val="xl152"/>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14" w:customStyle="1">
    <w:name w:val="xl117"/>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15" w:customStyle="1">
    <w:name w:val="xl149"/>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16" w:customStyle="1">
    <w:name w:val="xl154"/>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17" w:customStyle="1">
    <w:name w:val="xl146"/>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18" w:customStyle="1">
    <w:name w:val="xl122"/>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19" w:customStyle="1">
    <w:name w:val="font8"/>
    <w:basedOn w:val="795"/>
    <w:uiPriority w:val="0"/>
    <w:qFormat/>
    <w:pPr>
      <w:jc w:val="left"/>
      <w:spacing w:before="100" w:beforeAutospacing="1" w:after="100" w:afterAutospacing="1"/>
      <w:widowControl/>
    </w:pPr>
    <w:rPr>
      <w:rFonts w:ascii="宋体" w:hAnsi="宋体" w:cs="宋体"/>
      <w:sz w:val="18"/>
      <w:szCs w:val="18"/>
    </w:rPr>
  </w:style>
  <w:style w:type="paragraph" w:styleId="1420" w:customStyle="1">
    <w:name w:val="xl142"/>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21" w:customStyle="1">
    <w:name w:val="xl125"/>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22" w:customStyle="1">
    <w:name w:val="xl126"/>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23" w:customStyle="1">
    <w:name w:val="xl105"/>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24" w:customStyle="1">
    <w:name w:val="xl109"/>
    <w:basedOn w:val="79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25" w:customStyle="1">
    <w:name w:val="xl136"/>
    <w:basedOn w:val="79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26" w:customStyle="1">
    <w:name w:val="xl101"/>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b/>
      <w:bCs/>
      <w:sz w:val="20"/>
      <w:szCs w:val="20"/>
    </w:rPr>
  </w:style>
  <w:style w:type="paragraph" w:styleId="1427" w:customStyle="1">
    <w:name w:val="列出段落11"/>
    <w:basedOn w:val="795"/>
    <w:uiPriority w:val="34"/>
    <w:qFormat/>
    <w:pPr>
      <w:ind w:firstLine="420"/>
    </w:pPr>
    <w:rPr>
      <w:rFonts w:ascii="Calibri" w:hAnsi="Calibri"/>
      <w:sz w:val="26"/>
      <w:szCs w:val="26"/>
    </w:rPr>
  </w:style>
  <w:style w:type="paragraph" w:styleId="1428" w:customStyle="1">
    <w:name w:val="font15"/>
    <w:basedOn w:val="795"/>
    <w:uiPriority w:val="0"/>
    <w:qFormat/>
    <w:pPr>
      <w:jc w:val="left"/>
      <w:spacing w:before="100" w:beforeAutospacing="1" w:after="100" w:afterAutospacing="1"/>
      <w:widowControl/>
    </w:pPr>
    <w:rPr>
      <w:rFonts w:ascii="宋体" w:hAnsi="宋体" w:cs="宋体"/>
      <w:sz w:val="18"/>
      <w:szCs w:val="18"/>
    </w:rPr>
  </w:style>
  <w:style w:type="paragraph" w:styleId="1429" w:customStyle="1">
    <w:name w:val="xl161"/>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430" w:customStyle="1">
    <w:name w:val="xl141"/>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31" w:customStyle="1">
    <w:name w:val="xl118"/>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szCs w:val="20"/>
    </w:rPr>
  </w:style>
  <w:style w:type="paragraph" w:styleId="1432" w:customStyle="1">
    <w:name w:val="xl153"/>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szCs w:val="20"/>
    </w:rPr>
  </w:style>
  <w:style w:type="paragraph" w:styleId="1433" w:customStyle="1">
    <w:name w:val="xl133"/>
    <w:basedOn w:val="79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34" w:customStyle="1">
    <w:name w:val="font17"/>
    <w:basedOn w:val="795"/>
    <w:uiPriority w:val="0"/>
    <w:qFormat/>
    <w:pPr>
      <w:jc w:val="left"/>
      <w:spacing w:before="100" w:beforeAutospacing="1" w:after="100" w:afterAutospacing="1"/>
      <w:widowControl/>
    </w:pPr>
    <w:rPr>
      <w:rFonts w:ascii="宋体" w:hAnsi="宋体" w:cs="宋体"/>
      <w:sz w:val="18"/>
      <w:szCs w:val="18"/>
    </w:rPr>
  </w:style>
  <w:style w:type="paragraph" w:styleId="1435" w:customStyle="1">
    <w:name w:val="xl140"/>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36" w:customStyle="1">
    <w:name w:val="xl159"/>
    <w:basedOn w:val="79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37" w:customStyle="1">
    <w:name w:val="xl103"/>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38" w:customStyle="1">
    <w:name w:val="xl120"/>
    <w:basedOn w:val="79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39" w:customStyle="1">
    <w:name w:val="xl148"/>
    <w:basedOn w:val="79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40" w:customStyle="1">
    <w:name w:val="xl150"/>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szCs w:val="20"/>
    </w:rPr>
  </w:style>
  <w:style w:type="paragraph" w:styleId="1441" w:customStyle="1">
    <w:name w:val="xl110"/>
    <w:basedOn w:val="79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42" w:customStyle="1">
    <w:name w:val="正文1"/>
    <w:uiPriority w:val="0"/>
    <w:qFormat/>
    <w:pPr>
      <w:ind w:firstLine="200"/>
      <w:jc w:val="both"/>
      <w:spacing w:line="240" w:lineRule="atLeast"/>
    </w:pPr>
    <w:rPr>
      <w:rFonts w:hint="default" w:ascii="Calibri" w:hAnsi="Calibri" w:eastAsia="宋体" w:cs="Times New Roman"/>
      <w:sz w:val="21"/>
      <w:szCs w:val="21"/>
    </w:rPr>
  </w:style>
  <w:style w:type="paragraph" w:styleId="1443" w:customStyle="1">
    <w:name w:val="xl132"/>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44" w:customStyle="1">
    <w:name w:val="font16"/>
    <w:basedOn w:val="795"/>
    <w:uiPriority w:val="0"/>
    <w:qFormat/>
    <w:pPr>
      <w:jc w:val="left"/>
      <w:spacing w:before="100" w:beforeAutospacing="1" w:after="100" w:afterAutospacing="1"/>
      <w:widowControl/>
    </w:pPr>
    <w:rPr>
      <w:rFonts w:ascii="宋体" w:hAnsi="宋体" w:cs="宋体"/>
      <w:sz w:val="18"/>
      <w:szCs w:val="18"/>
    </w:rPr>
  </w:style>
  <w:style w:type="paragraph" w:styleId="1445" w:customStyle="1">
    <w:name w:val="Normal_20"/>
    <w:uiPriority w:val="0"/>
    <w:qFormat/>
    <w:pPr>
      <w:jc w:val="both"/>
      <w:spacing w:before="120" w:after="240"/>
    </w:pPr>
    <w:rPr>
      <w:rFonts w:hint="default" w:ascii="Calibri" w:hAnsi="Calibri" w:eastAsia="Calibri" w:cs="Times New Roman"/>
      <w:sz w:val="22"/>
      <w:szCs w:val="22"/>
      <w:lang w:val="ru-RU" w:eastAsia="en-US"/>
    </w:rPr>
  </w:style>
  <w:style w:type="paragraph" w:styleId="1446" w:customStyle="1">
    <w:name w:val="xl114"/>
    <w:basedOn w:val="79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szCs w:val="20"/>
    </w:rPr>
  </w:style>
  <w:style w:type="paragraph" w:styleId="1447" w:customStyle="1">
    <w:name w:val="xl131"/>
    <w:basedOn w:val="79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48" w:customStyle="1">
    <w:name w:val="_Style 7"/>
    <w:basedOn w:val="795"/>
    <w:uiPriority w:val="0"/>
    <w:qFormat/>
    <w:pPr>
      <w:ind w:firstLine="420"/>
    </w:pPr>
    <w:rPr>
      <w:rFonts w:ascii="Calibri" w:hAnsi="Calibri"/>
      <w:sz w:val="26"/>
      <w:szCs w:val="26"/>
    </w:rPr>
  </w:style>
  <w:style w:type="paragraph" w:styleId="1449" w:customStyle="1">
    <w:name w:val="xl106"/>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50" w:customStyle="1">
    <w:name w:val="xl137"/>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51" w:customStyle="1">
    <w:name w:val="font14"/>
    <w:basedOn w:val="795"/>
    <w:uiPriority w:val="0"/>
    <w:qFormat/>
    <w:pPr>
      <w:jc w:val="left"/>
      <w:spacing w:before="100" w:beforeAutospacing="1" w:after="100" w:afterAutospacing="1"/>
      <w:widowControl/>
    </w:pPr>
    <w:rPr>
      <w:rFonts w:ascii="宋体" w:hAnsi="宋体" w:cs="宋体"/>
      <w:sz w:val="18"/>
      <w:szCs w:val="18"/>
    </w:rPr>
  </w:style>
  <w:style w:type="paragraph" w:styleId="1452" w:customStyle="1">
    <w:name w:val="xl100"/>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b/>
      <w:bCs/>
      <w:color w:val="000000"/>
      <w:sz w:val="20"/>
      <w:szCs w:val="20"/>
    </w:rPr>
  </w:style>
  <w:style w:type="paragraph" w:styleId="1453" w:customStyle="1">
    <w:name w:val="xl99"/>
    <w:basedOn w:val="795"/>
    <w:uiPriority w:val="0"/>
    <w:qFormat/>
    <w:pPr>
      <w:jc w:val="center"/>
      <w:spacing w:before="100" w:beforeAutospacing="1" w:after="100" w:afterAutospacing="1"/>
      <w:widowControl/>
    </w:pPr>
    <w:rPr>
      <w:rFonts w:ascii="Courier New" w:hAnsi="Courier New" w:cs="Courier New"/>
      <w:color w:val="000000"/>
      <w:sz w:val="20"/>
      <w:szCs w:val="20"/>
    </w:rPr>
  </w:style>
  <w:style w:type="paragraph" w:styleId="1454" w:customStyle="1">
    <w:name w:val="xl151"/>
    <w:basedOn w:val="79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55" w:customStyle="1">
    <w:name w:val="_Style 26"/>
    <w:next w:val="795"/>
    <w:uiPriority w:val="99"/>
    <w:qFormat/>
    <w:pPr>
      <w:jc w:val="both"/>
      <w:widowControl w:val="off"/>
    </w:pPr>
    <w:rPr>
      <w:rFonts w:hint="default" w:ascii="Calibri" w:hAnsi="Calibri" w:eastAsia="楷体_GB2312" w:cs="Times New Roman"/>
      <w:sz w:val="26"/>
      <w:szCs w:val="26"/>
    </w:rPr>
  </w:style>
  <w:style w:type="paragraph" w:styleId="1456" w:customStyle="1">
    <w:name w:val="样式 标题 1 + 宋体 段前: 0 磅 段后: 0 磅 行距: 单倍行距"/>
    <w:basedOn w:val="923"/>
    <w:next w:val="795"/>
    <w:uiPriority w:val="0"/>
    <w:qFormat/>
    <w:pPr>
      <w:jc w:val="center"/>
      <w:spacing w:before="340" w:after="330"/>
    </w:pPr>
    <w:rPr>
      <w:rFonts w:ascii="仿宋_GB2312" w:hAnsi="宋体" w:eastAsia="仿宋_GB2312" w:cs="宋体"/>
      <w:b/>
      <w:bCs/>
      <w:sz w:val="44"/>
      <w:szCs w:val="44"/>
    </w:rPr>
  </w:style>
  <w:style w:type="paragraph" w:styleId="1457" w:customStyle="1">
    <w:name w:val="font9"/>
    <w:basedOn w:val="795"/>
    <w:uiPriority w:val="0"/>
    <w:qFormat/>
    <w:pPr>
      <w:jc w:val="left"/>
      <w:spacing w:before="100" w:beforeAutospacing="1" w:after="100" w:afterAutospacing="1"/>
      <w:widowControl/>
    </w:pPr>
    <w:rPr>
      <w:rFonts w:ascii="宋体" w:hAnsi="宋体" w:cs="宋体"/>
      <w:sz w:val="18"/>
      <w:szCs w:val="18"/>
    </w:rPr>
  </w:style>
  <w:style w:type="paragraph" w:styleId="1458" w:customStyle="1">
    <w:name w:val="font20"/>
    <w:basedOn w:val="795"/>
    <w:uiPriority w:val="0"/>
    <w:qFormat/>
    <w:pPr>
      <w:jc w:val="left"/>
      <w:spacing w:before="100" w:beforeAutospacing="1" w:after="100" w:afterAutospacing="1"/>
      <w:widowControl/>
    </w:pPr>
    <w:rPr>
      <w:rFonts w:ascii="Courier New" w:hAnsi="Courier New" w:cs="Courier New"/>
      <w:color w:val="000000"/>
      <w:sz w:val="20"/>
      <w:szCs w:val="20"/>
    </w:rPr>
  </w:style>
  <w:style w:type="paragraph" w:styleId="1459" w:customStyle="1">
    <w:name w:val="font13"/>
    <w:basedOn w:val="795"/>
    <w:uiPriority w:val="0"/>
    <w:qFormat/>
    <w:pPr>
      <w:jc w:val="left"/>
      <w:spacing w:before="100" w:beforeAutospacing="1" w:after="100" w:afterAutospacing="1"/>
      <w:widowControl/>
    </w:pPr>
    <w:rPr>
      <w:rFonts w:ascii="宋体" w:hAnsi="宋体" w:cs="宋体"/>
      <w:sz w:val="18"/>
      <w:szCs w:val="18"/>
    </w:rPr>
  </w:style>
  <w:style w:type="paragraph" w:styleId="1460" w:customStyle="1">
    <w:name w:val="xl102"/>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szCs w:val="20"/>
    </w:rPr>
  </w:style>
  <w:style w:type="paragraph" w:styleId="1461" w:customStyle="1">
    <w:name w:val="xl116"/>
    <w:basedOn w:val="79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62" w:customStyle="1">
    <w:name w:val="xl134"/>
    <w:basedOn w:val="79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63" w:customStyle="1">
    <w:name w:val="font18"/>
    <w:basedOn w:val="795"/>
    <w:uiPriority w:val="0"/>
    <w:qFormat/>
    <w:pPr>
      <w:jc w:val="left"/>
      <w:spacing w:before="100" w:beforeAutospacing="1" w:after="100" w:afterAutospacing="1"/>
      <w:widowControl/>
    </w:pPr>
    <w:rPr>
      <w:rFonts w:ascii="宋体" w:hAnsi="宋体" w:cs="宋体"/>
      <w:sz w:val="18"/>
      <w:szCs w:val="18"/>
    </w:rPr>
  </w:style>
  <w:style w:type="paragraph" w:styleId="1464" w:customStyle="1">
    <w:name w:val="xl121"/>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65" w:customStyle="1">
    <w:name w:val="xl158"/>
    <w:basedOn w:val="795"/>
    <w:uiPriority w:val="0"/>
    <w:qFormat/>
    <w:pPr>
      <w:jc w:val="left"/>
      <w:spacing w:before="100" w:beforeAutospacing="1" w:after="100" w:afterAutospacing="1"/>
      <w:widowControl/>
    </w:pPr>
    <w:rPr>
      <w:rFonts w:ascii="Courier New" w:hAnsi="Courier New" w:cs="Courier New"/>
      <w:color w:val="000000"/>
      <w:sz w:val="20"/>
      <w:szCs w:val="20"/>
    </w:rPr>
  </w:style>
  <w:style w:type="paragraph" w:styleId="1466" w:customStyle="1">
    <w:name w:val="xl119"/>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67" w:customStyle="1">
    <w:name w:val="xl135"/>
    <w:basedOn w:val="79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68" w:customStyle="1">
    <w:name w:val="xl155"/>
    <w:basedOn w:val="79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69" w:customStyle="1">
    <w:name w:val="font19"/>
    <w:basedOn w:val="795"/>
    <w:uiPriority w:val="0"/>
    <w:qFormat/>
    <w:pPr>
      <w:jc w:val="left"/>
      <w:spacing w:before="100" w:beforeAutospacing="1" w:after="100" w:afterAutospacing="1"/>
      <w:widowControl/>
    </w:pPr>
    <w:rPr>
      <w:rFonts w:ascii="宋体" w:hAnsi="宋体" w:cs="宋体"/>
      <w:sz w:val="18"/>
      <w:szCs w:val="18"/>
    </w:rPr>
  </w:style>
  <w:style w:type="paragraph" w:styleId="1470" w:customStyle="1">
    <w:name w:val="xl160"/>
    <w:basedOn w:val="79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b/>
      <w:bCs/>
      <w:sz w:val="20"/>
      <w:szCs w:val="20"/>
    </w:rPr>
  </w:style>
  <w:style w:type="paragraph" w:styleId="1471" w:customStyle="1">
    <w:name w:val="xl112"/>
    <w:basedOn w:val="79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72" w:customStyle="1">
    <w:name w:val="xl104"/>
    <w:basedOn w:val="79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73" w:customStyle="1">
    <w:name w:val="xl139"/>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szCs w:val="20"/>
    </w:rPr>
  </w:style>
  <w:style w:type="paragraph" w:styleId="1474" w:customStyle="1">
    <w:name w:val="xl130"/>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75" w:customStyle="1">
    <w:name w:val="xl129"/>
    <w:basedOn w:val="79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76" w:customStyle="1">
    <w:name w:val="xl115"/>
    <w:basedOn w:val="79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77" w:customStyle="1">
    <w:name w:val="xl147"/>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78" w:customStyle="1">
    <w:name w:val="xl144"/>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table" w:styleId="1479" w:customStyle="1">
    <w:name w:val="网格型111"/>
    <w:basedOn w:val="806"/>
    <w:uiPriority w:val="0"/>
    <w:qFormat/>
    <w:pPr>
      <w:jc w:val="both"/>
      <w:widowControl w:val="off"/>
    </w:pPr>
    <w:rPr>
      <w:sz w:val="21"/>
      <w:szCs w:val="22"/>
    </w:rPr>
    <w:tblPr/>
  </w:style>
  <w:style w:type="paragraph" w:styleId="1480" w:customStyle="1">
    <w:name w:val="_Style 225"/>
    <w:uiPriority w:val="0"/>
    <w:qFormat/>
    <w:pPr>
      <w:ind w:firstLine="420"/>
      <w:jc w:val="both"/>
      <w:spacing w:after="120"/>
      <w:widowControl w:val="off"/>
    </w:pPr>
    <w:rPr>
      <w:rFonts w:hint="default" w:ascii="Calibri" w:hAnsi="Calibri" w:eastAsia="楷体_GB2312" w:cs="Times New Roman"/>
      <w:sz w:val="26"/>
    </w:rPr>
  </w:style>
  <w:style w:type="character" w:styleId="1481" w:customStyle="1">
    <w:name w:val="正文文本 字符1"/>
    <w:uiPriority w:val="0"/>
    <w:qFormat/>
    <w:rPr>
      <w:rFonts w:ascii="楷体_GB2312" w:eastAsia="楷体_GB2312"/>
      <w:sz w:val="28"/>
    </w:rPr>
  </w:style>
  <w:style w:type="table" w:styleId="1482"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table" w:styleId="1483" w:customStyle="1">
    <w:name w:val="Table Normal1"/>
    <w:uiPriority w:val="2"/>
    <w:unhideWhenUsed/>
    <w:qFormat/>
    <w:pPr>
      <w:widowControl w:val="off"/>
    </w:pPr>
    <w:rPr>
      <w:sz w:val="22"/>
      <w:szCs w:val="22"/>
      <w:lang w:eastAsia="en-US"/>
    </w:rPr>
    <w:tblPr>
      <w:tblCellMar>
        <w:left w:w="0" w:type="dxa"/>
        <w:top w:w="0" w:type="dxa"/>
        <w:right w:w="0" w:type="dxa"/>
        <w:bottom w:w="0" w:type="dxa"/>
      </w:tblCellMar>
    </w:tblPr>
  </w:style>
  <w:style w:type="table" w:styleId="1484" w:customStyle="1">
    <w:name w:val="Table Normal2"/>
    <w:uiPriority w:val="2"/>
    <w:unhideWhenUsed/>
    <w:qFormat/>
    <w:pPr>
      <w:widowControl w:val="off"/>
    </w:pPr>
    <w:rPr>
      <w:sz w:val="22"/>
      <w:szCs w:val="22"/>
      <w:lang w:eastAsia="en-US"/>
    </w:rPr>
    <w:tblPr>
      <w:tblCellMar>
        <w:left w:w="0" w:type="dxa"/>
        <w:top w:w="0" w:type="dxa"/>
        <w:right w:w="0" w:type="dxa"/>
        <w:bottom w:w="0" w:type="dxa"/>
      </w:tblCellMar>
    </w:tblPr>
  </w:style>
  <w:style w:type="table" w:styleId="1485" w:customStyle="1">
    <w:name w:val="Table Normal3"/>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1486" w:customStyle="1">
    <w:name w:val="样式 行距: 1.5 倍行距 左  3.42 字符"/>
    <w:basedOn w:val="795"/>
    <w:uiPriority w:val="0"/>
    <w:qFormat/>
    <w:pPr>
      <w:ind w:left="200" w:firstLine="200"/>
      <w:spacing w:line="360" w:lineRule="auto"/>
    </w:pPr>
    <w:rPr>
      <w:szCs w:val="20"/>
    </w:rPr>
  </w:style>
  <w:style w:type="paragraph" w:styleId="1487" w:customStyle="1">
    <w:name w:val="表格文字"/>
    <w:basedOn w:val="1488"/>
    <w:next w:val="818"/>
    <w:uiPriority w:val="0"/>
    <w:qFormat/>
  </w:style>
  <w:style w:type="paragraph" w:styleId="1488" w:customStyle="1">
    <w:name w:val="表格文字（两侧对齐）"/>
    <w:basedOn w:val="795"/>
    <w:uiPriority w:val="0"/>
    <w:qFormat/>
    <w:rPr>
      <w:rFonts w:ascii="Calibri" w:hAnsi="Calibri"/>
      <w:sz w:val="20"/>
      <w:szCs w:val="22"/>
    </w:rPr>
  </w:style>
  <w:style w:type="paragraph" w:styleId="1489" w:customStyle="1">
    <w:name w:val="无间隔1"/>
    <w:uiPriority w:val="0"/>
    <w:qFormat/>
    <w:pPr>
      <w:spacing w:line="300" w:lineRule="auto"/>
      <w:widowControl w:val="off"/>
    </w:pPr>
    <w:rPr>
      <w:rFonts w:hint="default" w:ascii="Times New Roman" w:hAnsi="Times New Roman" w:eastAsia="华文仿宋" w:cs="Times New Roman"/>
      <w:sz w:val="24"/>
      <w:szCs w:val="21"/>
    </w:rPr>
  </w:style>
  <w:style w:type="paragraph" w:styleId="1490" w:customStyle="1">
    <w:name w:val="正文首行缩进 211"/>
    <w:basedOn w:val="1491"/>
    <w:uiPriority w:val="0"/>
    <w:unhideWhenUsed/>
    <w:qFormat/>
    <w:pPr>
      <w:ind w:firstLine="420"/>
    </w:pPr>
  </w:style>
  <w:style w:type="paragraph" w:styleId="1491" w:customStyle="1">
    <w:name w:val="正文文本缩进11"/>
    <w:basedOn w:val="795"/>
    <w:next w:val="1492"/>
    <w:uiPriority w:val="0"/>
    <w:unhideWhenUsed/>
    <w:qFormat/>
    <w:pPr>
      <w:ind w:left="420"/>
      <w:spacing w:after="120"/>
    </w:pPr>
    <w:rPr>
      <w:szCs w:val="22"/>
      <w:lang w:eastAsia="en-US"/>
    </w:rPr>
  </w:style>
  <w:style w:type="paragraph" w:styleId="1492" w:customStyle="1">
    <w:name w:val="寄信人地址11"/>
    <w:basedOn w:val="795"/>
    <w:uiPriority w:val="99"/>
    <w:unhideWhenUsed/>
    <w:qFormat/>
    <w:rPr>
      <w:rFonts w:ascii="Arial" w:hAnsi="Arial" w:eastAsia="楷体_GB2312"/>
      <w:sz w:val="26"/>
      <w:szCs w:val="20"/>
    </w:rPr>
  </w:style>
  <w:style w:type="character" w:styleId="1493" w:customStyle="1">
    <w:name w:val="页眉 字符1"/>
    <w:uiPriority w:val="99"/>
    <w:qFormat/>
    <w:rPr>
      <w:rFonts w:ascii="Calibri" w:hAnsi="Calibri"/>
      <w:sz w:val="18"/>
      <w:szCs w:val="18"/>
    </w:rPr>
  </w:style>
  <w:style w:type="character" w:styleId="1494" w:customStyle="1">
    <w:name w:val="页脚 字符1"/>
    <w:uiPriority w:val="99"/>
    <w:qFormat/>
    <w:rPr>
      <w:rFonts w:ascii="Calibri" w:hAnsi="Calibri"/>
      <w:sz w:val="18"/>
      <w:szCs w:val="18"/>
    </w:rPr>
  </w:style>
  <w:style w:type="paragraph" w:styleId="1495" w:customStyle="1">
    <w:name w:val="正文首行缩进 2111"/>
    <w:basedOn w:val="819"/>
    <w:uiPriority w:val="0"/>
    <w:unhideWhenUsed/>
    <w:qFormat/>
    <w:pPr>
      <w:ind w:left="420" w:firstLine="420"/>
      <w:spacing w:after="120"/>
    </w:pPr>
    <w:rPr>
      <w:rFonts w:ascii="Times New Roman" w:eastAsia="宋体"/>
      <w:sz w:val="21"/>
      <w:szCs w:val="22"/>
      <w:lang w:eastAsia="en-US"/>
    </w:rPr>
  </w:style>
  <w:style w:type="table" w:styleId="1496" w:customStyle="1">
    <w:name w:val="网格型4"/>
    <w:basedOn w:val="806"/>
    <w:uiPriority w:val="59"/>
    <w:unhideWhenUsed/>
    <w:qFormat/>
    <w:tblPr/>
  </w:style>
  <w:style w:type="table" w:styleId="1497" w:customStyle="1">
    <w:name w:val="Plain Table 31"/>
    <w:uiPriority w:val="99"/>
    <w:qFormat/>
    <w:tblPr>
      <w:tblCellMar>
        <w:left w:w="0" w:type="dxa"/>
        <w:top w:w="0" w:type="dxa"/>
        <w:right w:w="0" w:type="dxa"/>
        <w:bottom w:w="0" w:type="dxa"/>
      </w:tblCellMar>
    </w:tblPr>
  </w:style>
  <w:style w:type="table" w:styleId="1498" w:customStyle="1">
    <w:name w:val="Plain Table 41"/>
    <w:uiPriority w:val="99"/>
    <w:qFormat/>
    <w:tblPr>
      <w:tblCellMar>
        <w:left w:w="0" w:type="dxa"/>
        <w:top w:w="0" w:type="dxa"/>
        <w:right w:w="0" w:type="dxa"/>
        <w:bottom w:w="0" w:type="dxa"/>
      </w:tblCellMar>
    </w:tblPr>
  </w:style>
  <w:style w:type="table" w:styleId="1499" w:customStyle="1">
    <w:name w:val="Plain Table 51"/>
    <w:uiPriority w:val="99"/>
    <w:qFormat/>
    <w:tblPr>
      <w:tblCellMar>
        <w:left w:w="0" w:type="dxa"/>
        <w:top w:w="0" w:type="dxa"/>
        <w:right w:w="0" w:type="dxa"/>
        <w:bottom w:w="0" w:type="dxa"/>
      </w:tblCellMar>
    </w:tblPr>
  </w:style>
  <w:style w:type="table" w:styleId="1500" w:customStyle="1">
    <w:name w:val="Grid Table 1 Light1"/>
    <w:uiPriority w:val="99"/>
    <w:qFormat/>
    <w:tblPr>
      <w:tblCellMar>
        <w:left w:w="0" w:type="dxa"/>
        <w:top w:w="0" w:type="dxa"/>
        <w:right w:w="0" w:type="dxa"/>
        <w:bottom w:w="0" w:type="dxa"/>
      </w:tblCellMar>
    </w:tblPr>
  </w:style>
  <w:style w:type="table" w:styleId="1501" w:customStyle="1">
    <w:name w:val="Grid Table 21"/>
    <w:uiPriority w:val="99"/>
    <w:qFormat/>
    <w:tblPr>
      <w:tblCellMar>
        <w:left w:w="0" w:type="dxa"/>
        <w:top w:w="0" w:type="dxa"/>
        <w:right w:w="0" w:type="dxa"/>
        <w:bottom w:w="0" w:type="dxa"/>
      </w:tblCellMar>
    </w:tblPr>
  </w:style>
  <w:style w:type="table" w:styleId="1502" w:customStyle="1">
    <w:name w:val="Grid Table 31"/>
    <w:uiPriority w:val="99"/>
    <w:qFormat/>
    <w:tblPr>
      <w:tblCellMar>
        <w:left w:w="0" w:type="dxa"/>
        <w:top w:w="0" w:type="dxa"/>
        <w:right w:w="0" w:type="dxa"/>
        <w:bottom w:w="0" w:type="dxa"/>
      </w:tblCellMar>
    </w:tblPr>
  </w:style>
  <w:style w:type="table" w:styleId="1503" w:customStyle="1">
    <w:name w:val="Grid Table 41"/>
    <w:uiPriority w:val="59"/>
    <w:qFormat/>
    <w:tblPr>
      <w:tblCellMar>
        <w:left w:w="0" w:type="dxa"/>
        <w:top w:w="0" w:type="dxa"/>
        <w:right w:w="0" w:type="dxa"/>
        <w:bottom w:w="0" w:type="dxa"/>
      </w:tblCellMar>
    </w:tblPr>
  </w:style>
  <w:style w:type="table" w:styleId="1504" w:customStyle="1">
    <w:name w:val="Grid Table 5 Dark1"/>
    <w:uiPriority w:val="99"/>
    <w:qFormat/>
    <w:tblPr>
      <w:tblCellMar>
        <w:left w:w="0" w:type="dxa"/>
        <w:top w:w="0" w:type="dxa"/>
        <w:right w:w="0" w:type="dxa"/>
        <w:bottom w:w="0" w:type="dxa"/>
      </w:tblCellMar>
    </w:tblPr>
  </w:style>
  <w:style w:type="table" w:styleId="1505" w:customStyle="1">
    <w:name w:val="Grid Table 6 Colorful1"/>
    <w:uiPriority w:val="99"/>
    <w:qFormat/>
    <w:tblPr>
      <w:tblCellMar>
        <w:left w:w="0" w:type="dxa"/>
        <w:top w:w="0" w:type="dxa"/>
        <w:right w:w="0" w:type="dxa"/>
        <w:bottom w:w="0" w:type="dxa"/>
      </w:tblCellMar>
    </w:tblPr>
  </w:style>
  <w:style w:type="table" w:styleId="1506" w:customStyle="1">
    <w:name w:val="Grid Table 7 Colorful1"/>
    <w:uiPriority w:val="99"/>
    <w:qFormat/>
    <w:tblPr>
      <w:tblCellMar>
        <w:left w:w="0" w:type="dxa"/>
        <w:top w:w="0" w:type="dxa"/>
        <w:right w:w="0" w:type="dxa"/>
        <w:bottom w:w="0" w:type="dxa"/>
      </w:tblCellMar>
    </w:tblPr>
  </w:style>
  <w:style w:type="table" w:styleId="1507" w:customStyle="1">
    <w:name w:val="List Table 1 Light1"/>
    <w:uiPriority w:val="99"/>
    <w:qFormat/>
    <w:tblPr>
      <w:tblCellMar>
        <w:left w:w="0" w:type="dxa"/>
        <w:top w:w="0" w:type="dxa"/>
        <w:right w:w="0" w:type="dxa"/>
        <w:bottom w:w="0" w:type="dxa"/>
      </w:tblCellMar>
    </w:tblPr>
  </w:style>
  <w:style w:type="table" w:styleId="1508" w:customStyle="1">
    <w:name w:val="List Table 21"/>
    <w:uiPriority w:val="99"/>
    <w:qFormat/>
    <w:tblPr>
      <w:tblCellMar>
        <w:left w:w="0" w:type="dxa"/>
        <w:top w:w="0" w:type="dxa"/>
        <w:right w:w="0" w:type="dxa"/>
        <w:bottom w:w="0" w:type="dxa"/>
      </w:tblCellMar>
    </w:tblPr>
  </w:style>
  <w:style w:type="table" w:styleId="1509" w:customStyle="1">
    <w:name w:val="List Table 31"/>
    <w:uiPriority w:val="99"/>
    <w:qFormat/>
    <w:tblPr>
      <w:tblCellMar>
        <w:left w:w="0" w:type="dxa"/>
        <w:top w:w="0" w:type="dxa"/>
        <w:right w:w="0" w:type="dxa"/>
        <w:bottom w:w="0" w:type="dxa"/>
      </w:tblCellMar>
    </w:tblPr>
  </w:style>
  <w:style w:type="table" w:styleId="1510" w:customStyle="1">
    <w:name w:val="List Table 41"/>
    <w:uiPriority w:val="99"/>
    <w:qFormat/>
    <w:tblPr>
      <w:tblCellMar>
        <w:left w:w="0" w:type="dxa"/>
        <w:top w:w="0" w:type="dxa"/>
        <w:right w:w="0" w:type="dxa"/>
        <w:bottom w:w="0" w:type="dxa"/>
      </w:tblCellMar>
    </w:tblPr>
  </w:style>
  <w:style w:type="table" w:styleId="1511" w:customStyle="1">
    <w:name w:val="List Table 5 Dark1"/>
    <w:uiPriority w:val="99"/>
    <w:qFormat/>
    <w:tblPr>
      <w:tblCellMar>
        <w:left w:w="0" w:type="dxa"/>
        <w:top w:w="0" w:type="dxa"/>
        <w:right w:w="0" w:type="dxa"/>
        <w:bottom w:w="0" w:type="dxa"/>
      </w:tblCellMar>
    </w:tblPr>
  </w:style>
  <w:style w:type="table" w:styleId="1512" w:customStyle="1">
    <w:name w:val="List Table 6 Colorful1"/>
    <w:uiPriority w:val="99"/>
    <w:qFormat/>
    <w:tblPr>
      <w:tblCellMar>
        <w:left w:w="0" w:type="dxa"/>
        <w:top w:w="0" w:type="dxa"/>
        <w:right w:w="0" w:type="dxa"/>
        <w:bottom w:w="0" w:type="dxa"/>
      </w:tblCellMar>
    </w:tblPr>
  </w:style>
  <w:style w:type="table" w:styleId="1513" w:customStyle="1">
    <w:name w:val="List Table 7 Colorful1"/>
    <w:uiPriority w:val="99"/>
    <w:qFormat/>
    <w:tblPr>
      <w:tblCellMar>
        <w:left w:w="0" w:type="dxa"/>
        <w:top w:w="0" w:type="dxa"/>
        <w:right w:w="0" w:type="dxa"/>
        <w:bottom w:w="0" w:type="dxa"/>
      </w:tblCellMar>
    </w:tblPr>
  </w:style>
  <w:style w:type="table" w:styleId="1514" w:customStyle="1">
    <w:name w:val="Lined - Accent 12"/>
    <w:uiPriority w:val="99"/>
    <w:qFormat/>
    <w:rPr>
      <w:color w:val="404040"/>
    </w:rPr>
    <w:tblPr>
      <w:tblCellMar>
        <w:left w:w="0" w:type="dxa"/>
        <w:top w:w="0" w:type="dxa"/>
        <w:right w:w="0" w:type="dxa"/>
        <w:bottom w:w="0" w:type="dxa"/>
      </w:tblCellMar>
    </w:tblPr>
  </w:style>
  <w:style w:type="table" w:styleId="1515" w:customStyle="1">
    <w:name w:val="Bordered &amp; Lined - Accent 12"/>
    <w:uiPriority w:val="99"/>
    <w:qFormat/>
    <w:rPr>
      <w:color w:val="404040"/>
    </w:rPr>
    <w:tblPr>
      <w:tblCellMar>
        <w:left w:w="0" w:type="dxa"/>
        <w:top w:w="0" w:type="dxa"/>
        <w:right w:w="0" w:type="dxa"/>
        <w:bottom w:w="0" w:type="dxa"/>
      </w:tblCellMar>
    </w:tblPr>
  </w:style>
  <w:style w:type="character" w:styleId="1516" w:customStyle="1">
    <w:name w:val="未处理的提及1"/>
    <w:basedOn w:val="805"/>
    <w:uiPriority w:val="99"/>
    <w:semiHidden/>
    <w:unhideWhenUsed/>
    <w:qFormat/>
    <w:rPr>
      <w:color w:val="605e5c"/>
      <w:shd w:val="clear" w:color="auto" w:fill="e1dfdd"/>
    </w:rPr>
  </w:style>
  <w:style w:type="paragraph" w:styleId="1517" w:customStyle="1">
    <w:name w:val="附录标题"/>
    <w:next w:val="795"/>
    <w:uiPriority w:val="0"/>
    <w:qFormat/>
    <w:pPr>
      <w:spacing w:after="240"/>
      <w:widowControl w:val="off"/>
      <w:outlineLvl w:val="0"/>
    </w:pPr>
    <w:rPr>
      <w:rFonts w:hint="default" w:ascii="Times New Roman" w:hAnsi="Times New Roman" w:eastAsia="宋体" w:cs="Times New Roman"/>
      <w:b/>
      <w:sz w:val="24"/>
    </w:rPr>
  </w:style>
  <w:style w:type="paragraph" w:styleId="1518" w:customStyle="1">
    <w:name w:val="章前标题"/>
    <w:next w:val="795"/>
    <w:uiPriority w:val="0"/>
    <w:qFormat/>
    <w:pPr>
      <w:jc w:val="center"/>
      <w:spacing w:before="240" w:after="240"/>
      <w:widowControl w:val="off"/>
    </w:pPr>
    <w:rPr>
      <w:rFonts w:hint="default" w:ascii="黑体" w:hAnsi="黑体" w:eastAsia="黑体" w:cs="黑体"/>
      <w:sz w:val="32"/>
      <w:szCs w:val="36"/>
    </w:rPr>
  </w:style>
  <w:style w:type="paragraph" w:styleId="1519" w:customStyle="1">
    <w:name w:val="章节标题"/>
    <w:next w:val="795"/>
    <w:uiPriority w:val="0"/>
    <w:qFormat/>
    <w:pPr>
      <w:jc w:val="center"/>
      <w:spacing w:before="240" w:after="240"/>
      <w:widowControl w:val="off"/>
      <w:outlineLvl w:val="0"/>
    </w:pPr>
    <w:rPr>
      <w:rFonts w:hint="default" w:ascii="Times New Roman" w:hAnsi="Times New Roman" w:eastAsia="黑体" w:cs="Times New Roman"/>
      <w:sz w:val="32"/>
      <w:szCs w:val="36"/>
    </w:rPr>
  </w:style>
  <w:style w:type="paragraph" w:styleId="1520" w:customStyle="1">
    <w:name w:val="内嵌文档标题1"/>
    <w:next w:val="795"/>
    <w:uiPriority w:val="0"/>
    <w:qFormat/>
    <w:pPr>
      <w:jc w:val="center"/>
      <w:spacing w:before="240" w:after="240" w:line="360" w:lineRule="auto"/>
      <w:widowControl w:val="off"/>
      <w:outlineLvl w:val="0"/>
    </w:pPr>
    <w:rPr>
      <w:rFonts w:hint="default" w:ascii="Times New Roman" w:hAnsi="Times New Roman" w:eastAsia="宋体" w:cs="Times New Roman"/>
      <w:b/>
      <w:sz w:val="24"/>
    </w:rPr>
  </w:style>
  <w:style w:type="paragraph" w:styleId="1521" w:customStyle="1">
    <w:name w:val="强调标题"/>
    <w:next w:val="795"/>
    <w:uiPriority w:val="0"/>
    <w:qFormat/>
    <w:pPr>
      <w:ind w:firstLine="420"/>
      <w:spacing w:after="120" w:line="360" w:lineRule="auto"/>
      <w:outlineLvl w:val="0"/>
    </w:pPr>
    <w:rPr>
      <w:rFonts w:hint="default" w:ascii="Calibri" w:hAnsi="Calibri" w:eastAsia="宋体" w:cs="Times New Roman"/>
      <w:b/>
      <w:sz w:val="24"/>
    </w:rPr>
  </w:style>
  <w:style w:type="paragraph" w:styleId="1522" w:customStyle="1">
    <w:name w:val="表格标题"/>
    <w:next w:val="795"/>
    <w:uiPriority w:val="0"/>
    <w:qFormat/>
    <w:pPr>
      <w:jc w:val="center"/>
      <w:spacing w:before="240" w:after="240"/>
      <w:widowControl w:val="off"/>
    </w:pPr>
    <w:rPr>
      <w:rFonts w:hint="default" w:ascii="宋体" w:hAnsi="宋体" w:eastAsia="宋体" w:cs="宋体"/>
      <w:b/>
      <w:sz w:val="24"/>
      <w:szCs w:val="22"/>
    </w:rPr>
  </w:style>
  <w:style w:type="paragraph" w:styleId="1523" w:customStyle="1">
    <w:name w:val="内嵌文档标题2"/>
    <w:next w:val="795"/>
    <w:uiPriority w:val="0"/>
    <w:qFormat/>
    <w:pPr>
      <w:jc w:val="center"/>
      <w:spacing w:before="240" w:after="240" w:line="360" w:lineRule="auto"/>
      <w:shd w:val="clear" w:color="auto" w:fill="ffffff"/>
      <w:widowControl w:val="off"/>
      <w:outlineLvl w:val="0"/>
    </w:pPr>
    <w:rPr>
      <w:rFonts w:hint="default" w:ascii="宋体" w:hAnsi="宋体" w:eastAsia="宋体" w:cs="宋体"/>
      <w:b/>
      <w:bCs/>
      <w:sz w:val="24"/>
      <w:szCs w:val="30"/>
    </w:rPr>
  </w:style>
  <w:style w:type="paragraph" w:styleId="1524" w:customStyle="1">
    <w:name w:val="Footer"/>
    <w:basedOn w:val="795"/>
    <w:uiPriority w:val="99"/>
    <w:qFormat/>
    <w:pPr>
      <w:jc w:val="left"/>
      <w:tabs>
        <w:tab w:val="center" w:pos="4153" w:leader="none"/>
        <w:tab w:val="right" w:pos="8306" w:leader="none"/>
      </w:tabs>
    </w:pPr>
    <w:rPr>
      <w:sz w:val="18"/>
      <w:szCs w:val="20"/>
    </w:rPr>
  </w:style>
  <w:style w:type="numbering" w:styleId="15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王苏琪</cp:lastModifiedBy>
  <cp:revision>44</cp:revision>
  <dcterms:created xsi:type="dcterms:W3CDTF">2024-09-03T02:08:00Z</dcterms:created>
  <dcterms:modified xsi:type="dcterms:W3CDTF">2026-10-12T05:58:20Z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D456D5B8DF4C4286A3862138A33C087C_13</vt:lpwstr>
  </property>
  <property fmtid="{D5CDD505-2E9C-101B-9397-08002B2CF9AE}" pid="4" name="KSOTemplateDocerSaveRecord">
    <vt:lpwstr>eyJoZGlkIjoiMjE0MDljMGE0NTFiMjgwNzE0MTFjYTE5MDRjYjY2NTkiLCJ1c2VySWQiOiIyMzI1ODEzMTAifQ==</vt:lpwstr>
  </property>
</Properties>
</file>