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6"/>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71"/>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sz w:val="32"/>
          <w:szCs w:val="24"/>
          <w:highlight w:val="none"/>
          <w:lang w:eastAsia="zh-CN"/>
        </w:rPr>
        <w:t xml:space="preserve">项目名称</w:t>
      </w:r>
      <w:r>
        <w:rPr>
          <w:rFonts w:hint="eastAsia" w:ascii="Arial" w:hAnsi="Arial" w:eastAsia="宋体" w:cs="Times New Roman"/>
          <w:b/>
          <w:bCs/>
          <w:color w:val="000000"/>
          <w:sz w:val="32"/>
          <w:szCs w:val="24"/>
          <w:highlight w:val="none"/>
          <w:lang w:eastAsia="zh-CN"/>
        </w:rPr>
        <w:t xml:space="preserve">：</w:t>
      </w:r>
      <w:r>
        <w:rPr>
          <w:rFonts w:hint="eastAsia" w:ascii="Arial" w:hAnsi="Arial" w:eastAsia="宋体" w:cs="Times New Roman"/>
          <w:b/>
          <w:bCs/>
          <w:color w:val="000000"/>
          <w:sz w:val="32"/>
          <w:szCs w:val="24"/>
          <w:highlight w:val="none"/>
          <w:lang w:val="en-US" w:eastAsia="zh-CN"/>
        </w:rPr>
        <w:t xml:space="preserve">南京财经高等职业技术学校智慧校园大数据分析平台优化升级</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871"/>
        <w:ind w:firstLine="1606"/>
        <w:jc w:val="left"/>
        <w:spacing w:before="120" w:after="120" w:line="360" w:lineRule="auto"/>
        <w:rPr>
          <w:color w:val="000000"/>
          <w:highlight w:val="none"/>
          <w:lang w:val="en-US"/>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w:t>
      </w:r>
      <w:r>
        <w:rPr>
          <w:rFonts w:hint="eastAsia"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val="en-US" w:eastAsia="zh-CN"/>
        </w:rPr>
        <w:t xml:space="preserve">-JZCG-C20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w:t>
      </w:r>
      <w:r>
        <w:rPr>
          <w:rFonts w:hint="eastAsia" w:cs="Times New Roman"/>
          <w:b/>
          <w:bCs w:val="0"/>
          <w:color w:val="000000"/>
          <w:sz w:val="32"/>
          <w:szCs w:val="32"/>
          <w:highlight w:val="none"/>
          <w:u w:val="none"/>
          <w:lang w:val="en-US" w:eastAsia="zh-CN"/>
        </w:rPr>
        <w:t xml:space="preserve">0413</w:t>
      </w:r>
      <w:r>
        <w:rPr>
          <w:color w:val="000000"/>
          <w:highlight w:val="none"/>
          <w:lang w:val="en-US"/>
        </w:rPr>
      </w:r>
      <w:r/>
    </w:p>
    <w:p>
      <w:pPr>
        <w:pStyle w:val="87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71"/>
        <w:ind w:left="0" w:right="0"/>
        <w:jc w:val="center"/>
        <w:keepLines w:val="0"/>
        <w:keepNext w:val="0"/>
        <w:spacing w:before="0" w:beforeAutospacing="0" w:after="0" w:afterAutospacing="0"/>
        <w:widowControl w:val="off"/>
        <w:rPr>
          <w:highlight w:val="none"/>
        </w:rPr>
        <w:suppressLineNumbers w:val="0"/>
      </w:pPr>
      <w:r>
        <w:rPr>
          <w:highlight w:val="none"/>
        </w:rPr>
      </w:r>
      <w:r/>
    </w:p>
    <w:p>
      <w:pPr>
        <w:pStyle w:val="943"/>
      </w:pPr>
      <w:r/>
      <w:r/>
    </w:p>
    <w:p>
      <w:pPr>
        <w:pStyle w:val="871"/>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6"/>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71"/>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71"/>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71"/>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71"/>
        <w:spacing w:line="480" w:lineRule="auto"/>
        <w:rPr>
          <w:rFonts w:hint="eastAsia" w:ascii="仿宋_GB2312" w:hAnsi="Arial" w:eastAsia="仿宋_GB2312"/>
          <w:b/>
          <w:sz w:val="28"/>
          <w:szCs w:val="21"/>
          <w:highlight w:val="none"/>
        </w:rPr>
      </w:pPr>
      <w:r/>
      <w:bookmarkStart w:id="0" w:name="_Toc523127445"/>
      <w:r/>
      <w:bookmarkStart w:id="1" w:name="_Toc513029200"/>
      <w:r/>
      <w:bookmarkStart w:id="2" w:name="_Toc479757206"/>
      <w:r/>
      <w:bookmarkStart w:id="3" w:name="_Toc120614210"/>
      <w:r/>
      <w:bookmarkStart w:id="4" w:name="_Toc20823272"/>
      <w:r/>
      <w:bookmarkStart w:id="5" w:name="_Toc16938516"/>
      <w:r>
        <w:rPr>
          <w:rFonts w:hint="eastAsia" w:ascii="仿宋_GB2312" w:hAnsi="Arial" w:eastAsia="仿宋_GB2312"/>
          <w:b/>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871"/>
        <w:rPr>
          <w:rFonts w:hint="eastAsia" w:ascii="Times New Roman" w:hAnsi="Times New Roman"/>
          <w:szCs w:val="21"/>
          <w:highlight w:val="none"/>
        </w:rPr>
      </w:pPr>
      <w:r>
        <w:rPr>
          <w:rFonts w:hint="eastAsia" w:ascii="Times New Roman" w:hAnsi="Times New Roman"/>
          <w:szCs w:val="21"/>
          <w:highlight w:val="none"/>
        </w:rPr>
      </w:r>
      <w:r/>
    </w:p>
    <w:p>
      <w:pPr>
        <w:pStyle w:val="871"/>
        <w:rPr>
          <w:rFonts w:hint="eastAsia" w:ascii="Times New Roman" w:hAnsi="Times New Roman"/>
          <w:szCs w:val="21"/>
          <w:highlight w:val="none"/>
        </w:rPr>
      </w:pPr>
      <w:r>
        <w:rPr>
          <w:rFonts w:hint="eastAsia" w:ascii="Times New Roman" w:hAnsi="Times New Roman"/>
          <w:szCs w:val="21"/>
          <w:highlight w:val="none"/>
        </w:rPr>
      </w:r>
      <w:r/>
    </w:p>
    <w:p>
      <w:pPr>
        <w:pStyle w:val="871"/>
        <w:rPr>
          <w:rFonts w:hint="eastAsia" w:ascii="Times New Roman" w:hAnsi="Times New Roman"/>
          <w:szCs w:val="21"/>
          <w:highlight w:val="none"/>
        </w:rPr>
      </w:pPr>
      <w:r>
        <w:rPr>
          <w:rFonts w:hint="eastAsia" w:ascii="Times New Roman" w:hAnsi="Times New Roman"/>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olor w:val="000000"/>
          <w:sz w:val="24"/>
          <w:szCs w:val="24"/>
          <w:highlight w:val="none"/>
          <w:lang w:val="en-US"/>
        </w:rPr>
      </w:pPr>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w:t>
      </w:r>
      <w:r>
        <w:rPr>
          <w:rFonts w:hint="eastAsia" w:ascii="宋体" w:hAnsi="宋体" w:cs="Times New Roman"/>
          <w:color w:val="000000"/>
          <w:sz w:val="24"/>
          <w:szCs w:val="24"/>
          <w:highlight w:val="none"/>
          <w:lang w:val="en-US" w:eastAsia="zh-CN"/>
        </w:rPr>
        <w:t xml:space="preserve">00</w:t>
      </w:r>
      <w:r>
        <w:rPr>
          <w:rFonts w:hint="eastAsia" w:ascii="宋体" w:hAnsi="宋体" w:cs="Times New Roman"/>
          <w:color w:val="000000"/>
          <w:sz w:val="24"/>
          <w:szCs w:val="24"/>
          <w:highlight w:val="none"/>
          <w:lang w:eastAsia="zh-CN"/>
        </w:rPr>
        <w:t xml:space="preserve">-JZCG-C20</w:t>
      </w:r>
      <w:r>
        <w:rPr>
          <w:rFonts w:hint="eastAsia" w:ascii="宋体" w:hAnsi="宋体" w:cs="Times New Roman"/>
          <w:color w:val="000000"/>
          <w:sz w:val="24"/>
          <w:szCs w:val="24"/>
          <w:highlight w:val="none"/>
          <w:lang w:val="en-US" w:eastAsia="zh-CN"/>
        </w:rPr>
        <w:t xml:space="preserve">26</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0413</w:t>
      </w:r>
      <w:r>
        <w:rPr>
          <w:rFonts w:ascii="宋体" w:hAnsi="宋体"/>
          <w:color w:val="000000"/>
          <w:sz w:val="24"/>
          <w:szCs w:val="24"/>
          <w:highlight w:val="none"/>
          <w:lang w:val="en-US"/>
        </w:rPr>
      </w:r>
      <w:r/>
    </w:p>
    <w:p>
      <w:pPr>
        <w:pStyle w:val="871"/>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r>
      <w:r>
        <w:rPr>
          <w:rFonts w:ascii="SimSun" w:hAnsi="SimSun" w:eastAsia="SimSun" w:cs="SimSun"/>
          <w:color w:val="000000"/>
          <w:sz w:val="24"/>
        </w:rPr>
        <w:t xml:space="preserve">南京财经高等职业技术学校</w:t>
      </w:r>
      <w:r>
        <w:rPr>
          <w:rFonts w:hint="eastAsia" w:ascii="宋体" w:hAnsi="宋体" w:eastAsia="宋体" w:cs="宋体"/>
          <w:color w:val="000000"/>
          <w:sz w:val="24"/>
          <w:szCs w:val="24"/>
          <w:highlight w:val="none"/>
          <w:lang w:val="en-US" w:eastAsia="zh-CN"/>
        </w:rPr>
        <w:t xml:space="preserve">智慧校园大数据分析平台优化升级</w:t>
      </w:r>
      <w:r>
        <w:rPr>
          <w:rFonts w:hint="eastAsia" w:ascii="宋体" w:hAnsi="宋体" w:eastAsia="宋体"/>
          <w:color w:val="000000"/>
          <w:sz w:val="24"/>
          <w:szCs w:val="24"/>
          <w:highlight w:val="none"/>
          <w:lang w:eastAsia="zh-CN"/>
        </w:rPr>
      </w:r>
      <w:r/>
    </w:p>
    <w:p>
      <w:pPr>
        <w:pStyle w:val="871"/>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lang w:val="en-US" w:eastAsia="zh-CN"/>
        </w:rPr>
        <w:t xml:space="preserve">万元</w:t>
      </w:r>
      <w:r>
        <w:rPr>
          <w:rFonts w:ascii="宋体" w:hAnsi="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871"/>
        <w:ind w:firstLine="480"/>
        <w:pageBreakBefore w:val="0"/>
        <w:spacing w:line="240" w:lineRule="auto"/>
        <w:widowControl w:val="off"/>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rPr>
        <w:t xml:space="preserve">本项目为智能报告分析平台建设项目，在一期大数据分析管理平台及学校本地化部署的大模型基础上，开展七大模块页面优化与六类智能报告、招生智能体的建设，并配套购置高性能工作站一台。</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71"/>
        <w:ind w:firstLine="48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天</w:t>
      </w:r>
      <w:r>
        <w:rPr>
          <w:rFonts w:ascii="宋体" w:hAnsi="宋体" w:eastAsia="宋体" w:cs="Times New Roman"/>
          <w:color w:val="000000"/>
          <w:sz w:val="24"/>
          <w:szCs w:val="24"/>
          <w:highlight w:val="none"/>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本项目专门面向中小微企业采购，全部服务承接商应为中小微企业或监狱企业或残疾人福利性单位，提供《中小企业声明函》或《残疾人福利性单位声明函》（格式见第六章）或监狱企业的证明文件。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71"/>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71"/>
        <w:spacing w:line="240" w:lineRule="auto"/>
        <w:rPr>
          <w:rFonts w:hint="eastAsia" w:ascii="宋体" w:hAnsi="宋体" w:eastAsia="宋体"/>
          <w:b w:val="0"/>
          <w:bCs w:val="0"/>
          <w:sz w:val="24"/>
          <w:szCs w:val="24"/>
          <w:highlight w:val="none"/>
          <w:lang w:eastAsia="zh-CN"/>
        </w:rPr>
        <w:outlineLvl w:val="9"/>
      </w:pPr>
      <w:r>
        <w:rPr>
          <w:rFonts w:hint="eastAsia" w:ascii="宋体" w:hAnsi="宋体" w:eastAsia="宋体" w:cs="宋体"/>
          <w:b w:val="0"/>
          <w:bCs w:val="0"/>
          <w:color w:val="0000ff"/>
          <w:sz w:val="24"/>
          <w:szCs w:val="24"/>
          <w:highlight w:val="none"/>
          <w:u w:val="none"/>
        </w:rPr>
        <w:t xml:space="preserve"> </w:t>
      </w:r>
      <w:r>
        <w:rPr>
          <w:rFonts w:hint="eastAsia" w:ascii="宋体" w:hAnsi="宋体" w:cs="宋体"/>
          <w:b w:val="0"/>
          <w:bCs w:val="0"/>
          <w:color w:val="0000ff"/>
          <w:sz w:val="24"/>
          <w:szCs w:val="24"/>
          <w:highlight w:val="none"/>
          <w:u w:val="none"/>
          <w:lang w:val="en-US" w:eastAsia="zh-CN"/>
        </w:rPr>
        <w:t xml:space="preserve">  </w:t>
      </w:r>
      <w:r>
        <w:rPr>
          <w:rFonts w:hint="eastAsia" w:ascii="宋体" w:hAnsi="宋体" w:cs="宋体"/>
          <w:b w:val="0"/>
          <w:bCs w:val="0"/>
          <w:color w:val="000000" w:themeColor="text1"/>
          <w:sz w:val="24"/>
          <w:szCs w:val="24"/>
          <w:highlight w:val="none"/>
          <w:u w:val="none"/>
          <w:lang w:val="en-US" w:eastAsia="zh-CN"/>
        </w:rPr>
        <w:t xml:space="preserve"> </w:t>
      </w:r>
      <w:r>
        <w:rPr>
          <w:rFonts w:hint="eastAsia" w:ascii="宋体" w:hAnsi="宋体" w:eastAsia="宋体" w:cs="宋体"/>
          <w:b w:val="0"/>
          <w:bCs w:val="0"/>
          <w:color w:val="000000" w:themeColor="text1"/>
          <w:sz w:val="24"/>
          <w:szCs w:val="24"/>
          <w:highlight w:val="none"/>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highlight w:val="none"/>
          <w:u w:val="none"/>
        </w:rPr>
        <w:t xml:space="preserve">年11</w:t>
      </w:r>
      <w:r>
        <w:rPr>
          <w:rFonts w:hint="eastAsia" w:ascii="宋体" w:hAnsi="宋体"/>
          <w:b w:val="0"/>
          <w:bCs w:val="0"/>
          <w:color w:val="000000" w:themeColor="text1"/>
          <w:sz w:val="24"/>
          <w:szCs w:val="24"/>
          <w:highlight w:val="none"/>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宋体" w:hAnsi="宋体"/>
          <w:b w:val="0"/>
          <w:bCs w:val="0"/>
          <w:color w:val="000000" w:themeColor="text1"/>
          <w:sz w:val="24"/>
          <w:szCs w:val="24"/>
          <w:highlight w:val="none"/>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14</w:t>
      </w:r>
      <w:r>
        <w:rPr>
          <w:rFonts w:hint="eastAsia" w:ascii="Times New Roman" w:hAnsi="Times New Roman" w:eastAsia="宋体" w:cs="Times New Roman"/>
          <w:b w:val="0"/>
          <w:bCs w:val="0"/>
          <w:color w:val="000000" w:themeColor="text1"/>
          <w:sz w:val="24"/>
          <w:szCs w:val="24"/>
          <w:highlight w:val="none"/>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highlight w:val="none"/>
          <w:u w:val="none"/>
        </w:rPr>
        <w:t xml:space="preserve">分</w:t>
      </w:r>
      <w:r>
        <w:rPr>
          <w:rFonts w:hint="eastAsia" w:ascii="宋体" w:hAnsi="宋体"/>
          <w:b w:val="0"/>
          <w:bCs w:val="0"/>
          <w:sz w:val="24"/>
          <w:szCs w:val="24"/>
          <w:highlight w:val="none"/>
          <w:u w:val="none"/>
        </w:rPr>
        <w:t xml:space="preserve">（</w:t>
      </w:r>
      <w:r>
        <w:rPr>
          <w:rFonts w:hint="eastAsia" w:ascii="宋体" w:hAnsi="宋体"/>
          <w:b w:val="0"/>
          <w:bCs w:val="0"/>
          <w:sz w:val="24"/>
          <w:szCs w:val="24"/>
          <w:highlight w:val="none"/>
        </w:rPr>
        <w:t xml:space="preserve">北京时间）</w:t>
      </w:r>
      <w:r>
        <w:rPr>
          <w:rFonts w:hint="eastAsia" w:ascii="宋体" w:hAnsi="宋体"/>
          <w:b w:val="0"/>
          <w:bCs w:val="0"/>
          <w:sz w:val="24"/>
          <w:szCs w:val="24"/>
          <w:highlight w:val="none"/>
          <w:lang w:eastAsia="zh-CN"/>
        </w:rPr>
        <w:t xml:space="preserve">。</w:t>
      </w:r>
      <w:r>
        <w:rPr>
          <w:rFonts w:hint="eastAsia" w:ascii="宋体" w:hAnsi="宋体" w:eastAsia="宋体"/>
          <w:b w:val="0"/>
          <w:bCs w:val="0"/>
          <w:sz w:val="24"/>
          <w:szCs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1"/>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color w:val="000000"/>
          <w:sz w:val="24"/>
        </w:rPr>
        <w:t xml:space="preserve">采购人《质疑函》收件人：邢</w:t>
      </w:r>
      <w:r>
        <w:rPr>
          <w:rFonts w:hint="eastAsia" w:ascii="宋体" w:hAnsi="宋体"/>
          <w:color w:val="000000"/>
          <w:sz w:val="24"/>
          <w:lang w:val="en-US" w:eastAsia="zh-CN"/>
        </w:rPr>
        <w:t xml:space="preserve">老师</w:t>
      </w:r>
      <w:r>
        <w:rPr>
          <w:rFonts w:hint="eastAsia" w:ascii="宋体" w:hAnsi="宋体"/>
          <w:color w:val="000000"/>
          <w:sz w:val="24"/>
        </w:rPr>
        <w:t xml:space="preserve">，收件地址：</w:t>
      </w:r>
      <w:r>
        <w:rPr>
          <w:rFonts w:hint="eastAsia" w:ascii="宋体" w:hAnsi="宋体" w:cs="宋体"/>
          <w:color w:val="000000"/>
          <w:sz w:val="24"/>
          <w:szCs w:val="24"/>
        </w:rPr>
        <w:t xml:space="preserve">南京市秦淮区</w:t>
      </w:r>
      <w:r>
        <w:rPr>
          <w:rFonts w:hint="eastAsia" w:ascii="宋体" w:hAnsi="宋体"/>
          <w:color w:val="000000"/>
          <w:sz w:val="24"/>
          <w:szCs w:val="24"/>
        </w:rPr>
        <w:t xml:space="preserve">莫愁</w:t>
      </w:r>
      <w:r>
        <w:rPr>
          <w:rFonts w:hint="eastAsia" w:ascii="宋体" w:hAnsi="宋体"/>
          <w:color w:val="000000"/>
          <w:sz w:val="24"/>
          <w:szCs w:val="24"/>
          <w:lang w:eastAsia="zh-CN"/>
        </w:rPr>
        <w:t xml:space="preserve">路</w:t>
      </w:r>
      <w:r>
        <w:rPr>
          <w:rFonts w:hint="eastAsia" w:ascii="宋体" w:hAnsi="宋体"/>
          <w:color w:val="000000"/>
          <w:sz w:val="24"/>
          <w:szCs w:val="24"/>
        </w:rPr>
        <w:t xml:space="preserve">419</w:t>
      </w:r>
      <w:r>
        <w:rPr>
          <w:rFonts w:hint="eastAsia" w:ascii="宋体" w:hAnsi="宋体" w:cs="宋体"/>
          <w:color w:val="000000"/>
          <w:sz w:val="24"/>
          <w:szCs w:val="24"/>
        </w:rPr>
        <w:t xml:space="preserve">号，</w:t>
      </w:r>
      <w:r>
        <w:rPr>
          <w:rFonts w:hint="eastAsia" w:ascii="宋体" w:hAnsi="宋体"/>
          <w:color w:val="000000"/>
          <w:sz w:val="24"/>
        </w:rPr>
        <w:t xml:space="preserve">联系电话：17715663607。</w:t>
      </w:r>
      <w:r>
        <w:rPr>
          <w:rFonts w:ascii="宋体" w:hAnsi="宋体" w:eastAsia="宋体" w:cs="Times New Roman"/>
          <w:b w:val="0"/>
          <w:bCs w:val="0"/>
          <w:color w:val="000000"/>
          <w:sz w:val="24"/>
          <w:highlight w:val="none"/>
          <w:lang w:val="en-US" w:eastAsia="zh-CN"/>
        </w:rPr>
      </w:r>
      <w:r/>
    </w:p>
    <w:p>
      <w:pPr>
        <w:pStyle w:val="871"/>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称：南京财经高等职业技术学校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南京市秦淮区</w:t>
      </w:r>
      <w:r>
        <w:rPr>
          <w:rFonts w:hint="eastAsia" w:ascii="宋体" w:hAnsi="宋体"/>
          <w:color w:val="000000"/>
          <w:sz w:val="24"/>
          <w:szCs w:val="24"/>
        </w:rPr>
        <w:t xml:space="preserve">莫愁</w:t>
      </w:r>
      <w:r>
        <w:rPr>
          <w:rFonts w:hint="eastAsia" w:ascii="宋体" w:hAnsi="宋体"/>
          <w:color w:val="000000"/>
          <w:sz w:val="24"/>
          <w:szCs w:val="24"/>
          <w:lang w:eastAsia="zh-CN"/>
        </w:rPr>
        <w:t xml:space="preserve">路</w:t>
      </w:r>
      <w:r>
        <w:rPr>
          <w:rFonts w:hint="eastAsia" w:ascii="宋体" w:hAnsi="宋体"/>
          <w:color w:val="000000"/>
          <w:sz w:val="24"/>
          <w:szCs w:val="24"/>
        </w:rPr>
        <w:t xml:space="preserve">419</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联系人：周老师</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lang w:val="en-US" w:eastAsia="zh-CN"/>
        </w:rPr>
        <w:t xml:space="preserve">17715663818</w:t>
      </w:r>
      <w:r>
        <w:rPr>
          <w:rFonts w:hint="eastAsia" w:ascii="宋体" w:hAnsi="宋体"/>
          <w:color w:val="000000"/>
          <w:sz w:val="24"/>
          <w:szCs w:val="24"/>
        </w:rPr>
        <w:t xml:space="preserve"> </w:t>
      </w:r>
      <w:bookmarkStart w:id="6" w:name="_Toc28359086"/>
      <w:r/>
      <w:bookmarkStart w:id="7" w:name="_Toc28359009"/>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ascii="宋体" w:hAnsi="宋体" w:eastAsia="宋体" w:cs="Times New Roman"/>
          <w:color w:val="0000ff"/>
          <w:sz w:val="24"/>
          <w:szCs w:val="24"/>
          <w:highlight w:val="none"/>
          <w:u w:val="none"/>
          <w:lang w:val="en-US" w:eastAsia="zh-CN"/>
        </w:rPr>
      </w:pPr>
      <w:r>
        <w:rPr>
          <w:rFonts w:ascii="宋体" w:hAnsi="宋体" w:eastAsia="宋体" w:cs="Times New Roman"/>
          <w:color w:val="0000ff"/>
          <w:sz w:val="24"/>
          <w:szCs w:val="24"/>
          <w:highlight w:val="none"/>
          <w:u w:val="none"/>
          <w:lang w:val="en-US" w:eastAsia="zh-CN"/>
        </w:rPr>
      </w:r>
      <w:r/>
    </w:p>
    <w:p>
      <w:pPr>
        <w:pStyle w:val="871"/>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 w:name="_Hlt16619475"/>
      <w:r/>
      <w:bookmarkEnd w:id="8"/>
      <w:r/>
      <w:bookmarkStart w:id="9" w:name="_Toc458694821"/>
      <w:r/>
      <w:bookmarkStart w:id="10" w:name="_Toc513029204"/>
      <w:r/>
      <w:bookmarkStart w:id="11" w:name="_Toc16938520"/>
      <w:r/>
      <w:bookmarkStart w:id="12" w:name="_Toc20823276"/>
      <w:r>
        <w:rPr>
          <w:rFonts w:hint="eastAsia" w:ascii="方正楷体_GBK" w:hAnsi="方正楷体_GBK" w:eastAsia="方正楷体_GBK" w:cs="方正楷体_GBK"/>
          <w:b/>
          <w:bCs/>
          <w:sz w:val="28"/>
          <w:szCs w:val="28"/>
          <w:highlight w:val="none"/>
          <w:lang w:val="en-US" w:eastAsia="zh-CN"/>
        </w:rPr>
        <w:t xml:space="preserve">1</w:t>
      </w:r>
      <w:bookmarkEnd w:id="9"/>
      <w:r>
        <w:rPr>
          <w:rFonts w:hint="eastAsia" w:ascii="方正楷体_GBK" w:hAnsi="方正楷体_GBK" w:eastAsia="方正楷体_GBK" w:cs="方正楷体_GBK"/>
          <w:b/>
          <w:bCs/>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Toc16938521"/>
      <w:r/>
      <w:bookmarkStart w:id="14" w:name="_Toc513029205"/>
      <w:r/>
      <w:bookmarkStart w:id="15" w:name="_Toc20823277"/>
      <w:r>
        <w:rPr>
          <w:rFonts w:hint="eastAsia" w:ascii="方正楷体_GBK" w:hAnsi="方正楷体_GBK" w:eastAsia="方正楷体_GBK" w:cs="方正楷体_GBK"/>
          <w:b/>
          <w:bCs/>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6" w:name="_Toc20823278"/>
      <w:r/>
      <w:bookmarkStart w:id="17" w:name="_Toc513029206"/>
      <w:r/>
      <w:bookmarkStart w:id="18" w:name="_Toc16938522"/>
      <w:r>
        <w:rPr>
          <w:rFonts w:hint="eastAsia" w:ascii="方正楷体_GBK" w:hAnsi="方正楷体_GBK" w:eastAsia="方正楷体_GBK" w:cs="方正楷体_GBK"/>
          <w:b/>
          <w:bCs/>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sz w:val="28"/>
          <w:szCs w:val="28"/>
          <w:highlight w:val="none"/>
          <w:lang w:val="en-US" w:eastAsia="zh-CN"/>
        </w:rPr>
      </w:r>
      <w:r/>
    </w:p>
    <w:p>
      <w:pPr>
        <w:pStyle w:val="871"/>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9" w:name="_Toc20823279"/>
      <w:r/>
      <w:bookmarkStart w:id="20" w:name="_Toc513029207"/>
      <w:r/>
      <w:bookmarkStart w:id="21" w:name="_Toc16938523"/>
      <w:r/>
      <w:bookmarkStart w:id="22" w:name="_Toc462564067"/>
      <w:r>
        <w:rPr>
          <w:rFonts w:hint="eastAsia" w:ascii="方正楷体_GBK" w:hAnsi="方正楷体_GBK" w:eastAsia="方正楷体_GBK" w:cs="方正楷体_GBK"/>
          <w:b/>
          <w:bCs/>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16938525"/>
      <w:r/>
      <w:bookmarkStart w:id="24" w:name="_Toc120614215"/>
      <w:r/>
      <w:bookmarkStart w:id="25" w:name="_Toc20823281"/>
      <w:r/>
      <w:bookmarkStart w:id="26" w:name="_Toc513029209"/>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7" w:name="_Toc16938526"/>
      <w:r/>
      <w:bookmarkStart w:id="28" w:name="_Toc513029210"/>
      <w:r/>
      <w:bookmarkStart w:id="29" w:name="_Toc20823282"/>
      <w:r>
        <w:rPr>
          <w:rFonts w:hint="eastAsia" w:ascii="方正楷体_GBK" w:hAnsi="方正楷体_GBK" w:eastAsia="方正楷体_GBK" w:cs="方正楷体_GBK"/>
          <w:b/>
          <w:bCs/>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0" w:name="_Toc462564070"/>
      <w:r/>
      <w:bookmarkStart w:id="31" w:name="_Toc16938527"/>
      <w:r/>
      <w:bookmarkStart w:id="32" w:name="_Toc513029211"/>
      <w:r/>
      <w:bookmarkStart w:id="33"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4" w:name="_Hlt26954838"/>
      <w:r/>
      <w:bookmarkEnd w:id="34"/>
      <w:r/>
      <w:bookmarkStart w:id="35" w:name="_Hlt26670360"/>
      <w:r/>
      <w:bookmarkEnd w:id="35"/>
      <w:r/>
      <w:bookmarkStart w:id="36" w:name="_Hlt26668975"/>
      <w:r/>
      <w:bookmarkEnd w:id="36"/>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71"/>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7" w:name="_Hlt26954731"/>
      <w:r/>
      <w:bookmarkEnd w:id="37"/>
      <w:r/>
      <w:bookmarkStart w:id="38" w:name="_Hlt26670486"/>
      <w:r/>
      <w:bookmarkEnd w:id="38"/>
      <w:r/>
      <w:bookmarkStart w:id="39" w:name="_Hlt26670482"/>
      <w:r/>
      <w:bookmarkEnd w:id="39"/>
      <w:r/>
      <w:bookmarkStart w:id="40" w:name="_Hlt26954846"/>
      <w:r/>
      <w:bookmarkEnd w:id="40"/>
      <w:r/>
      <w:bookmarkStart w:id="41" w:name="_Hlt26954848"/>
      <w:r/>
      <w:bookmarkEnd w:id="41"/>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71"/>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2" w:name="_Toc14577360"/>
      <w:r/>
      <w:bookmarkStart w:id="43" w:name="_Toc49090511"/>
      <w:r>
        <w:rPr>
          <w:rFonts w:hint="eastAsia" w:ascii="方正楷体_GBK" w:hAnsi="方正楷体_GBK" w:eastAsia="方正楷体_GBK" w:cs="方正楷体_GBK"/>
          <w:b/>
          <w:bCs/>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739"/>
      <w:r/>
      <w:bookmarkEnd w:id="44"/>
      <w:r/>
      <w:bookmarkStart w:id="45" w:name="_Hlt26954852"/>
      <w:r/>
      <w:bookmarkEnd w:id="45"/>
      <w:r/>
      <w:bookmarkStart w:id="46" w:name="_Toc16938540"/>
      <w:r/>
      <w:bookmarkStart w:id="47" w:name="_Toc20823296"/>
      <w:r/>
      <w:bookmarkStart w:id="48" w:name="_Toc513029224"/>
      <w:r/>
      <w:bookmarkStart w:id="49"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0" w:name="_Toc513029225"/>
      <w:r/>
      <w:bookmarkStart w:id="51" w:name="_Toc462564084"/>
      <w:r/>
      <w:bookmarkStart w:id="52" w:name="_Toc20823297"/>
      <w:r/>
      <w:bookmarkStart w:id="53" w:name="_Toc16938541"/>
      <w:r>
        <w:rPr>
          <w:rFonts w:hint="eastAsia" w:ascii="方正楷体_GBK" w:hAnsi="方正楷体_GBK" w:eastAsia="方正楷体_GBK" w:cs="方正楷体_GBK"/>
          <w:b/>
          <w:bCs/>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16938542"/>
      <w:r/>
      <w:bookmarkStart w:id="55" w:name="_Toc20823298"/>
      <w:r/>
      <w:bookmarkStart w:id="56"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7" w:name="_Toc513029228"/>
      <w:r/>
      <w:bookmarkStart w:id="58" w:name="_Toc20823300"/>
      <w:r/>
      <w:bookmarkStart w:id="59" w:name="_Toc16938544"/>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120614218"/>
      <w:r/>
      <w:bookmarkStart w:id="61" w:name="_Toc513029229"/>
      <w:r/>
      <w:bookmarkStart w:id="62" w:name="_Toc20823301"/>
      <w:r/>
      <w:bookmarkStart w:id="63" w:name="_Toc16938545"/>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4" w:name="_Toc513029232"/>
      <w:r/>
      <w:bookmarkStart w:id="65" w:name="_Toc16938548"/>
      <w:r/>
      <w:bookmarkStart w:id="66" w:name="_Toc20823304"/>
      <w:r>
        <w:rPr>
          <w:rFonts w:hint="eastAsia" w:ascii="方正楷体_GBK" w:hAnsi="方正楷体_GBK" w:eastAsia="方正楷体_GBK" w:cs="方正楷体_GBK"/>
          <w:b/>
          <w:bCs/>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7" w:name="_Toc513029233"/>
      <w:r/>
      <w:bookmarkStart w:id="68" w:name="_Toc16938549"/>
      <w:r/>
      <w:bookmarkStart w:id="69" w:name="_Toc20823305"/>
      <w:r>
        <w:rPr>
          <w:rFonts w:hint="eastAsia" w:ascii="方正楷体_GBK" w:hAnsi="方正楷体_GBK" w:eastAsia="方正楷体_GBK" w:cs="方正楷体_GBK"/>
          <w:b/>
          <w:bCs/>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71"/>
        <w:ind w:firstLine="455"/>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16938551"/>
      <w:r/>
      <w:bookmarkStart w:id="71" w:name="_Toc120614219"/>
      <w:r/>
      <w:bookmarkStart w:id="72" w:name="_Toc20823307"/>
      <w:r/>
      <w:bookmarkStart w:id="73"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w:t>
      </w:r>
      <w:r>
        <w:rPr>
          <w:rFonts w:hint="eastAsia" w:ascii="宋体" w:hAnsi="宋体" w:cs="Times New Roman"/>
          <w:color w:val="000000"/>
          <w:sz w:val="24"/>
          <w:szCs w:val="21"/>
          <w:highlight w:val="none"/>
          <w:lang w:val="en-US" w:eastAsia="zh-CN"/>
        </w:rPr>
        <w:t xml:space="preserve">23</w:t>
      </w:r>
      <w:r>
        <w:rPr>
          <w:rFonts w:hint="eastAsia" w:ascii="宋体" w:hAnsi="宋体" w:eastAsia="宋体" w:cs="Times New Roman"/>
          <w:color w:val="000000"/>
          <w:sz w:val="24"/>
          <w:szCs w:val="21"/>
          <w:highlight w:val="none"/>
          <w:lang w:val="en-US" w:eastAsia="zh-CN"/>
        </w:rPr>
        <w:t xml:space="preserve">.1.2条第三款规定的情形外，磋商过程中符合要求的供应商或者提交最后报价且未超过采购预算或最高限价的供应商不足三家。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4" w:name="_Toc513029238"/>
      <w:r/>
      <w:bookmarkStart w:id="75" w:name="_Toc16938554"/>
      <w:r/>
      <w:bookmarkStart w:id="76" w:name="_Toc20823310"/>
      <w:r>
        <w:rPr>
          <w:rFonts w:hint="eastAsia" w:ascii="方正楷体_GBK" w:hAnsi="方正楷体_GBK" w:eastAsia="方正楷体_GBK" w:cs="方正楷体_GBK"/>
          <w:b/>
          <w:bCs/>
          <w:sz w:val="28"/>
          <w:szCs w:val="28"/>
          <w:highlight w:val="none"/>
          <w:lang w:val="en-US" w:eastAsia="zh-CN"/>
        </w:rPr>
        <w:t xml:space="preserve">2</w:t>
      </w:r>
      <w:bookmarkEnd w:id="74"/>
      <w:r>
        <w:rPr>
          <w:rFonts w:hint="eastAsia" w:ascii="方正楷体_GBK" w:hAnsi="方正楷体_GBK" w:eastAsia="方正楷体_GBK" w:cs="方正楷体_GBK"/>
          <w:b/>
          <w:bCs/>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5"/>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5"/>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5"/>
        <w:ind w:firstLine="420"/>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71"/>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71"/>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71"/>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75"/>
        <w:ind w:firstLine="420"/>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871"/>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94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3"/>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2"/>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系统开发完成并验收合格后，甲方支付合同总价款的70%。</w:t>
      </w:r>
      <w:r>
        <w:rPr>
          <w:rFonts w:hint="eastAsia"/>
          <w:color w:val="000000"/>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w:t>
      </w:r>
      <w:r>
        <w:rPr>
          <w:rFonts w:hint="eastAsia" w:hAnsi="宋体" w:cs="Courier New"/>
          <w:sz w:val="24"/>
          <w:szCs w:val="24"/>
          <w:highlight w:val="none"/>
          <w:lang w:val="en-US" w:eastAsia="zh-CN"/>
        </w:rPr>
        <w:t xml:space="preserve">3</w:t>
      </w:r>
      <w:r>
        <w:rPr>
          <w:rFonts w:hint="eastAsia" w:ascii="宋体" w:hAnsi="宋体" w:eastAsia="宋体" w:cs="Courier New"/>
          <w:sz w:val="24"/>
          <w:szCs w:val="24"/>
          <w:highlight w:val="none"/>
          <w:lang w:val="en-US" w:eastAsia="zh-CN"/>
        </w:rPr>
        <w:t xml:space="preserve"> 满足合同约定支付条件且预算资金下达后，甲方收到乙方发票10个工作日内，将资金支付到合同约定的乙方账户。 </w:t>
      </w:r>
      <w:r>
        <w:rPr>
          <w:rFonts w:hint="eastAsia" w:ascii="宋体" w:hAnsi="宋体" w:eastAsia="宋体" w:cs="Courier New"/>
          <w:sz w:val="24"/>
          <w:szCs w:val="24"/>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百分之五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Toc20823346"/>
      <w:r/>
      <w:bookmarkStart w:id="79" w:name="_Hlt16619350"/>
      <w:r/>
      <w:bookmarkStart w:id="80" w:name="_Toc120614244"/>
      <w:r/>
      <w:bookmarkStart w:id="81" w:name="_Toc16938590"/>
      <w:r/>
      <w:bookmarkStart w:id="82" w:name="_Toc479757211"/>
      <w:r/>
      <w:bookmarkStart w:id="83" w:name="_Toc462564139"/>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1"/>
        <w:ind w:firstLine="480"/>
        <w:spacing w:line="264" w:lineRule="auto"/>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本项目为智能报告分析平台建设项目，在一期大数据分析管理平台及学校本地化部署的大模型基础上，开展七大模块页面优化与六类智能报告、招生智能体的建设，并配套购置高性能工作站一台。</w:t>
      </w:r>
      <w:r>
        <w:rPr>
          <w:rFonts w:hint="eastAsia" w:ascii="宋体" w:hAnsi="宋体" w:eastAsia="宋体" w:cs="Times New Roman"/>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（二）建设目标</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TW"/>
        </w:rPr>
      </w:pPr>
      <w:r>
        <w:rPr>
          <w:rFonts w:hint="eastAsia" w:ascii="宋体" w:hAnsi="宋体" w:eastAsia="宋体" w:cs="Times New Roman"/>
          <w:color w:val="000000"/>
          <w:sz w:val="24"/>
          <w:szCs w:val="24"/>
          <w:highlight w:val="none"/>
          <w:lang w:val="zh-TW" w:eastAsia="zh-TW"/>
        </w:rPr>
        <w:t xml:space="preserve">（1）页面优化建设：完成平台七大模块全部页面的系统性优化重构，实现页面布局合理化、信息分区清晰化、可视化组件标准化、多终端适配规范化，优化后页面加载速度提升40%以上，自动适配</w:t>
      </w:r>
      <w:r>
        <w:rPr>
          <w:rFonts w:hint="eastAsia" w:ascii="宋体" w:hAnsi="宋体" w:eastAsia="宋体" w:cs="Times New Roman"/>
          <w:color w:val="000000"/>
          <w:sz w:val="24"/>
          <w:szCs w:val="24"/>
          <w:highlight w:val="none"/>
          <w:lang w:val="zh-TW" w:eastAsia="zh-CN"/>
        </w:rPr>
        <w:t xml:space="preserve">多终端</w:t>
      </w:r>
      <w:r>
        <w:rPr>
          <w:rFonts w:hint="eastAsia" w:ascii="宋体" w:hAnsi="宋体" w:eastAsia="宋体" w:cs="Times New Roman"/>
          <w:color w:val="000000"/>
          <w:sz w:val="24"/>
          <w:szCs w:val="24"/>
          <w:highlight w:val="none"/>
          <w:lang w:val="zh-TW" w:eastAsia="zh-TW"/>
        </w:rPr>
        <w:t xml:space="preserve">。</w:t>
      </w:r>
      <w:r>
        <w:rPr>
          <w:rFonts w:hint="eastAsia" w:ascii="宋体" w:hAnsi="宋体" w:eastAsia="宋体" w:cs="Times New Roman"/>
          <w:color w:val="000000"/>
          <w:sz w:val="24"/>
          <w:szCs w:val="24"/>
          <w:highlight w:val="none"/>
          <w:lang w:val="zh-TW" w:eastAsia="zh-TW"/>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TW"/>
        </w:rPr>
      </w:pPr>
      <w:r>
        <w:rPr>
          <w:rFonts w:hint="eastAsia" w:ascii="宋体" w:hAnsi="宋体" w:eastAsia="宋体" w:cs="Times New Roman"/>
          <w:color w:val="000000"/>
          <w:sz w:val="24"/>
          <w:szCs w:val="24"/>
          <w:highlight w:val="none"/>
          <w:lang w:val="zh-TW" w:eastAsia="zh-TW"/>
        </w:rPr>
        <w:t xml:space="preserve">（2）学生智能成长报告：基于学生画像、学生监管模块全量数据，自动生成覆盖学业表现、行为出勤、校园生活、奖惩荣誉、线上学习、图书借阅、职业发展倾向七大维度的智能成长报告，实现学期/学年自动生成、个性化发展建议输出。</w:t>
      </w:r>
      <w:r>
        <w:rPr>
          <w:rFonts w:hint="eastAsia" w:ascii="宋体" w:hAnsi="宋体" w:eastAsia="宋体" w:cs="Times New Roman"/>
          <w:color w:val="000000"/>
          <w:sz w:val="24"/>
          <w:szCs w:val="24"/>
          <w:highlight w:val="none"/>
          <w:lang w:val="zh-TW" w:eastAsia="zh-TW"/>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TW"/>
        </w:rPr>
        <w:t xml:space="preserve">（3）班级智能运营报告：基于班级画像、学生监管模块数据，打造面向班主任与院系管理员的班级运营分析工具，涵盖学风建设、德育表现、日常出勤、集体荣誉、横向对标五大维度，自动生成周度简报、月度运营报告、学期综合报告，支持同年级同专业班级横向对标分析。</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TW"/>
        </w:rPr>
        <w:t xml:space="preserve">（4）教师智能分析报告</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zh-TW" w:eastAsia="zh-TW"/>
        </w:rPr>
        <w:t xml:space="preserve">基于教师画像模块全量数据，构建覆盖教学工作量、教学效果、教研科研、荣誉发展、学生评价五大维度的教师智能分析报告，自动生成教师个人、教研室、师资队伍三级报告，客观呈现教师职业发展轨迹，为教师考核评价、职称评聘、师资培养提供量化数据支撑。</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TW"/>
        </w:rPr>
        <w:t xml:space="preserve">（5）专业智能分析报告</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zh-TW" w:eastAsia="zh-TW"/>
        </w:rPr>
        <w:t xml:space="preserve">整合招生、培养、师资、就业全链条数据，构建专业智能分析报告体系，覆盖生源质量、培养过程、师资配置、教学成果、就业出口五大维度，支持专业横向对标与动态预警，为专业结构优化与人才培养方案修订提供数据决策支撑。</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TW"/>
        </w:rPr>
        <w:t xml:space="preserve">（6）毕业质量智能分析报告</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zh-TW" w:eastAsia="zh-TW"/>
        </w:rPr>
        <w:t xml:space="preserve">基于就业看板与毕业生全周期数据，构建覆盖就业率与去向、专业对口度、就业质量、升学情况、用人单位反馈五大维度的毕业质量分析报告，支持毕业生发展追踪分析，形成</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zh-TW" w:eastAsia="zh-TW"/>
        </w:rPr>
        <w:t xml:space="preserve">入口看生源、出口看质量</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zh-TW" w:eastAsia="zh-TW"/>
        </w:rPr>
        <w:t xml:space="preserve">的闭环评价机制。</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TW"/>
        </w:rPr>
        <w:t xml:space="preserve">（7）资产智能分析报告</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zh-TW" w:eastAsia="zh-TW"/>
        </w:rPr>
        <w:t xml:space="preserve">基于资产看板全量数据，构建覆盖规模结构、使用效率、变动情况、处置情况、教学设备效益五大维度的资产分析报告，实现资产配置合理性评估与闲置资产识别，为资产采购决策与调配优化提供数据支撑。</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8）招生智能体：采用大模型+RAG检索增强技术，对接平台全量招生数据与校园知识库，建设招生专属智能体，实现自然语言智能问答、个性化招生咨询、招生数据趋势分析等功能，提供7×24小时全天候招生咨询服务，所有数据在校内闭环，确保安全可控。</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en-US" w:eastAsia="zh-CN"/>
        </w:rPr>
        <w:t xml:space="preserve">高性能工作站</w:t>
      </w:r>
      <w:r>
        <w:rPr>
          <w:rFonts w:hint="eastAsia" w:ascii="宋体" w:hAnsi="宋体" w:eastAsia="宋体" w:cs="Times New Roman"/>
          <w:color w:val="000000"/>
          <w:sz w:val="24"/>
          <w:szCs w:val="24"/>
          <w:highlight w:val="none"/>
          <w:lang w:val="zh-TW" w:eastAsia="zh-CN"/>
        </w:rPr>
        <w:t xml:space="preserve">：</w:t>
      </w:r>
      <w:r>
        <w:rPr>
          <w:rFonts w:hint="eastAsia" w:ascii="宋体" w:hAnsi="宋体" w:eastAsia="宋体" w:cs="Times New Roman"/>
          <w:color w:val="000000"/>
          <w:sz w:val="24"/>
          <w:szCs w:val="24"/>
          <w:highlight w:val="none"/>
          <w:lang w:val="en-US" w:eastAsia="zh-CN"/>
        </w:rPr>
        <w:t xml:space="preserve">部署智能报告分析平台，展示学生智能成长报告，班级智能运营报告，教师智能分析报告，专业智能分析报告，毕业质量智能分析报告，资产智能分析报告。</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bookmarkStart w:id="86" w:name="_Toc241005973"/>
      <w:r/>
      <w:bookmarkStart w:id="87" w:name="_Toc240493027"/>
      <w:r>
        <w:rPr>
          <w:rFonts w:hint="eastAsia" w:ascii="宋体" w:hAnsi="宋体" w:eastAsia="宋体" w:cs="Times New Roman"/>
          <w:color w:val="000000"/>
          <w:sz w:val="24"/>
          <w:szCs w:val="24"/>
          <w:highlight w:val="none"/>
          <w:lang w:val="en-US" w:eastAsia="zh-CN"/>
        </w:rPr>
        <w:t xml:space="preserve">（三）七大业务模块建设现状</w:t>
      </w:r>
      <w:bookmarkEnd w:id="86"/>
      <w:r/>
      <w:bookmarkEnd w:id="87"/>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（1）数据看板：承载专项数据展示与综合统计，支撑各业务条线日常数据查阅。</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2）校情驾驶舱：集中展示校园概况（在校学生总数、在校教师总数、课题数量、奖项数量、平均就业率）、校园环境与资产概况（资产总额、资产总数、资产种类、损坏资产种类，按土地、房屋及构筑物、通用设备、专用设备、文物和陈列品、图书/档案、家具/用具/装具及动植物七大类分布展示）、校园生活、项目管理、师资力量、学生概况、课程分析、就业地分析、生源地分析等综合视图。</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（3）教师画像：涵盖统计视图与个体视图，覆盖人事信息、教学能力、科研能力（课题、论文、专利、著作、培训）、德育、奖励、一卡通、图书借阅、企业实践等多维信息。</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（4）班级画像：支撑班级维度的学情、班情综合研判。</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5）学生画像：涵盖统计与个体视图，覆盖基本信息、课程与成绩、图书借阅、奖惩、消费、缴费及个人情况（品德素养、学习能力、运动健康、表现能力、志愿活动、社团实践、心理健康、家庭情况、综合评语）等全貌信息。</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（6）学生监管：包含星标学生、所有预警，以及成绩不良、网课异常、心理健康、行踪异常、消费异常五类预警，预警条件可配置，支持按学期、年月、年级、系部、专业、班级筛选与名单导出。</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（7）校园安全：集成莫愁路校区、江宁校区、夫子庙校区等多校区的实时校园监控。</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bookmarkStart w:id="88" w:name="_Toc240493177"/>
      <w:r/>
      <w:bookmarkStart w:id="89" w:name="_Toc241006130"/>
      <w:r>
        <w:rPr>
          <w:rFonts w:hint="eastAsia" w:ascii="宋体" w:hAnsi="宋体" w:eastAsia="宋体" w:cs="Times New Roman"/>
          <w:color w:val="000000"/>
          <w:sz w:val="24"/>
          <w:szCs w:val="24"/>
          <w:highlight w:val="none"/>
          <w:lang w:val="en-US" w:eastAsia="zh-CN"/>
        </w:rPr>
        <w:t xml:space="preserve">（四）一期数据资源</w:t>
      </w:r>
      <w:bookmarkEnd w:id="88"/>
      <w:r/>
      <w:bookmarkEnd w:id="89"/>
      <w:r>
        <w:rPr>
          <w:rFonts w:hint="eastAsia" w:ascii="宋体" w:hAnsi="宋体" w:eastAsia="宋体" w:cs="Times New Roman"/>
          <w:color w:val="000000"/>
          <w:sz w:val="24"/>
          <w:szCs w:val="24"/>
          <w:highlight w:val="none"/>
          <w:lang w:val="en-US" w:eastAsia="zh-CN"/>
        </w:rPr>
        <w:t xml:space="preserve">现状</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一期平台已汇聚校内教学、师资、学生、资产、安防、能源、图书、一卡通、就业、科研、奖惩等全维度校园数据，形成较为完整的教育数据资源底座，</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TW" w:eastAsia="zh-CN"/>
        </w:rPr>
        <w:t xml:space="preserve">数据对接主要包括API对接和数据库直连两种方式，API对接</w:t>
      </w:r>
      <w:r>
        <w:rPr>
          <w:rFonts w:hint="eastAsia" w:ascii="宋体" w:hAnsi="宋体" w:eastAsia="宋体" w:cs="Times New Roman"/>
          <w:color w:val="000000"/>
          <w:sz w:val="24"/>
          <w:szCs w:val="24"/>
          <w:highlight w:val="none"/>
          <w:lang w:val="en-US" w:eastAsia="zh-CN"/>
        </w:rPr>
        <w:t xml:space="preserve">采用 HTTP/HTTPS 协议，基于 RESTful 风格设计，支持客户端通过标准 HTTP 请求完成数据交互。请求与响应体默认使用 JSON 格式编码，字符集统一为 UTF-8；数据库直连主要是业务平台通过开放数据库表视图的方式提供给一期平台调用。</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（五）本地算力资源现状</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本次项目复用现有已建成的高可用算力平台硬件资源，将其作为千问 Qwen3.8-27B 大模型推理服务的底层承载底座。平台各计算节点之间通过 100GbE 高速网卡实现互联通信，高速网络能够保障节点间大流量数据高效传输，整体架构支持算力横向扩展，同时具备完善的故障检测与容错能力，在单节点发生异常时可实现业务无损转移，保障大模型服务持续稳定运行，现有平台 GPU+CPU 整合算力指标如下：</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FP64 双精度：4.92 TFLOPS（算力由 CPU 提供）</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FP32 单精度：247 TFLOPS</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FP16：496 TFLOPS</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FP8：948 TFLOPS（算力由 GPU 提供）</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zh-TW" w:eastAsia="zh-CN"/>
        </w:rPr>
        <w:t xml:space="preserve">本项目将直接复用上述存量算力资源承载大模型能力，无需额外采购、新增算力硬件设备。项目新增工作站定位为前端业务展示载体，专门用于部署智能报告分析平台，面向多类业务场景，支撑学生智能成长报告、班级智能运营报告、教师智能分析报告、专业智能分析报告、毕业质量智能分析报告、资产智能分析报告的渲染、查询与可视化展示工作，实现基于大模型输出结果的多维度数据呈现，为教学管理、专业建设、质量评估、资产管理等业务提供直观的智能分析视图。</w:t>
      </w:r>
      <w:r>
        <w:rPr>
          <w:rFonts w:hint="eastAsia" w:ascii="宋体" w:hAnsi="宋体" w:eastAsia="宋体" w:cs="Times New Roman"/>
          <w:color w:val="000000"/>
          <w:sz w:val="24"/>
          <w:szCs w:val="24"/>
          <w:highlight w:val="none"/>
          <w:lang w:val="zh-TW"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（六）</w:t>
      </w:r>
      <w:r>
        <w:rPr>
          <w:rFonts w:hint="eastAsia" w:ascii="宋体" w:hAnsi="宋体" w:eastAsia="宋体" w:cs="Times New Roman"/>
          <w:color w:val="000000"/>
          <w:sz w:val="24"/>
          <w:szCs w:val="24"/>
          <w:highlight w:val="none"/>
          <w:lang w:val="en-US" w:eastAsia="zh-CN"/>
        </w:rPr>
        <w:t xml:space="preserve">项目建设遵循标准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2"/>
        <w:tblW w:w="504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0"/>
        <w:gridCol w:w="1637"/>
        <w:gridCol w:w="850"/>
        <w:gridCol w:w="850"/>
        <w:gridCol w:w="1641"/>
        <w:gridCol w:w="1066"/>
        <w:gridCol w:w="1326"/>
        <w:gridCol w:w="1097"/>
        <w:gridCol w:w="822"/>
      </w:tblGrid>
      <w:tr>
        <w:trPr>
          <w:trHeight w:val="470"/>
        </w:trPr>
        <w:tc>
          <w:tcPr>
            <w:tcW w:w="5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63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64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1066"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82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Style w:val="891"/>
                <w:rFonts w:hint="eastAsia" w:ascii="宋体" w:hAnsi="宋体" w:eastAsia="宋体" w:cs="宋体"/>
                <w:lang w:eastAsia="zh-CN"/>
              </w:rPr>
              <w:t xml:space="preserve">备注</w:t>
            </w:r>
            <w:r>
              <w:rPr>
                <w:rStyle w:val="891"/>
                <w:rFonts w:hint="eastAsia" w:ascii="宋体" w:hAnsi="宋体" w:eastAsia="宋体" w:cs="宋体"/>
                <w:lang w:eastAsia="zh-CN"/>
              </w:rPr>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页面优化建设</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641" w:type="dxa"/>
            <w:vAlign w:val="center"/>
            <w:textDirection w:val="lrTb"/>
            <w:noWrap w:val="false"/>
          </w:tcPr>
          <w:p>
            <w:pPr>
              <w:pStyle w:val="871"/>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学生智能成长报告</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highlight w:val="none"/>
                <w:lang w:val="en-US" w:eastAsia="zh-CN"/>
              </w:rPr>
            </w:r>
            <w:r/>
          </w:p>
        </w:tc>
        <w:tc>
          <w:tcPr>
            <w:tcW w:w="1641" w:type="dxa"/>
            <w:vAlign w:val="center"/>
            <w:textDirection w:val="lrTb"/>
            <w:noWrap w:val="false"/>
          </w:tcPr>
          <w:p>
            <w:pPr>
              <w:pStyle w:val="871"/>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班级智能运营报告</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highlight w:val="none"/>
                <w:lang w:val="en-US" w:eastAsia="zh-CN"/>
              </w:rPr>
            </w:r>
            <w:r/>
          </w:p>
        </w:tc>
        <w:tc>
          <w:tcPr>
            <w:tcW w:w="1641" w:type="dxa"/>
            <w:vAlign w:val="center"/>
            <w:textDirection w:val="lrTb"/>
            <w:noWrap w:val="false"/>
          </w:tcPr>
          <w:p>
            <w:pPr>
              <w:pStyle w:val="871"/>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教师智能分析报告</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highlight w:val="none"/>
                <w:lang w:val="en-US" w:eastAsia="zh-CN"/>
              </w:rPr>
            </w:r>
            <w:r/>
          </w:p>
        </w:tc>
        <w:tc>
          <w:tcPr>
            <w:tcW w:w="1641" w:type="dxa"/>
            <w:vAlign w:val="center"/>
            <w:textDirection w:val="lrTb"/>
            <w:noWrap w:val="false"/>
          </w:tcPr>
          <w:p>
            <w:pPr>
              <w:pStyle w:val="871"/>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专业智能分析报告</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rPr>
            </w:r>
            <w:r/>
          </w:p>
        </w:tc>
        <w:tc>
          <w:tcPr>
            <w:tcW w:w="1641"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毕业质量智能分析报告</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rPr>
            </w:r>
            <w:r/>
          </w:p>
        </w:tc>
        <w:tc>
          <w:tcPr>
            <w:tcW w:w="1641"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资产智能分析报告</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rPr>
            </w:r>
            <w:r/>
          </w:p>
        </w:tc>
        <w:tc>
          <w:tcPr>
            <w:tcW w:w="1641"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招生智能体</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rPr>
            </w:r>
            <w:r/>
          </w:p>
        </w:tc>
        <w:tc>
          <w:tcPr>
            <w:tcW w:w="1641"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r>
        <w:trPr>
          <w:trHeight w:val="597"/>
        </w:trPr>
        <w:tc>
          <w:tcPr>
            <w:tcW w:w="55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163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高性能工作站</w:t>
            </w: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台</w:t>
            </w:r>
            <w:r>
              <w:rPr>
                <w:rFonts w:hint="eastAsia" w:ascii="宋体" w:hAnsi="宋体" w:eastAsia="宋体" w:cs="Times New Roman"/>
                <w:bCs/>
                <w:color w:val="000000"/>
                <w:sz w:val="24"/>
                <w:szCs w:val="24"/>
                <w:highlight w:val="none"/>
                <w:lang w:val="en-US" w:eastAsia="zh-CN"/>
              </w:rPr>
            </w:r>
            <w:r/>
          </w:p>
        </w:tc>
        <w:tc>
          <w:tcPr>
            <w:tcW w:w="1641"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50000</w:t>
            </w:r>
            <w:r>
              <w:rPr>
                <w:rFonts w:hint="eastAsia" w:ascii="宋体" w:hAnsi="宋体" w:eastAsia="宋体" w:cs="Times New Roman"/>
                <w:bCs/>
                <w:color w:val="000000"/>
                <w:sz w:val="24"/>
                <w:szCs w:val="24"/>
                <w:highlight w:val="none"/>
              </w:rPr>
            </w:r>
            <w:r/>
          </w:p>
        </w:tc>
        <w:tc>
          <w:tcPr>
            <w:tcW w:w="10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2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109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822" w:type="dxa"/>
            <w:vAlign w:val="center"/>
            <w:textDirection w:val="lrTb"/>
            <w:noWrap w:val="false"/>
          </w:tcPr>
          <w:p>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90" w:name="_Toc120614281"/>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产品</w:t>
            </w:r>
            <w:r>
              <w:rPr>
                <w:rFonts w:hint="eastAsia" w:ascii="宋体" w:hAnsi="宋体" w:eastAsia="宋体" w:cs="宋体"/>
                <w:b/>
                <w:bCs w:val="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eastAsia="宋体" w:cs="宋体"/>
                <w:b/>
                <w:bCs w:val="0"/>
                <w:sz w:val="24"/>
                <w:szCs w:val="24"/>
                <w:highlight w:val="none"/>
              </w:rPr>
            </w:r>
            <w:r/>
          </w:p>
        </w:tc>
      </w:tr>
      <w:tr>
        <w:trPr>
          <w:trHeight w:val="90"/>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页面优化建设</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基于一期大数据分析管理平台对现有七大模块（数据看板、校情驾驶舱、教师画像、班级画像、学生画像、学生监管、校园安全）全部页面进行系统性优化重构，包括页面布局优化、信息分区调整、可视化组件标准化、数据对接、数据清洗、交互逻辑优化等。</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2.采用主流前端框架（Vue.js/React），配合ECharts可视化图表库，实现响应式布局与组件化开发。</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3.支持PC端（1920×1080及以上）、大屏端（4K）多终端自适应适配，通过CSS Grid/Flexbox实现自适应布局，核心内容在不同设备上均可完整展示。</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4.首屏加载时间由当前的8秒提升至3秒以内，采用路由懒加载与组件按需加载。大数据量图表采用Canvas渲染模式，支持数据分片加载与虚拟滚动。</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5.建立平台统一的UI组件库，包含数据卡片、统计榜单、筛选面板、详情弹窗、导出按钮等常用组件。</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6.报表导出功能支持Excel、PDF双格式导出，导出文件自动命名包含看板名称与日期。</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学生智能成长报告</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基于学生画像、学生监管模块全量数据，调用学校已本地化部署的Qwen3.8-27B大模型平台，自动生成覆盖学业表现、行为出勤、校园生活、奖惩荣誉、线上学习、图书借阅、职业发展倾向七大维度的智能成长报告。</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▲2.报告类型包括：学期成长报告（每学期末自动生成）、学年成长报告（每学年末自动生成）、专项分析报告（按需生成，针对学业预警、消费异常、出勤异常等专项问题）。</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3.每份报告包含：成长概览（数据卡片+趋势曲线图）、维度分析（七维度逐一展开，含横向对比）、风险预警（自动识别学业/行为/生活风险）、个性化建议、成长轨迹（时间轴展示）。</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4.学业分析模型采用加权平均算法计算综合学业得分，结合历次成绩趋势分析学业进步/退步情况，设置学业预警阈值（如连续两次不及格、平均分下降超过10分等），自动触发预警。</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行为分析模型基于学生门禁出入、消费、图书借阅等行为数据，通过聚类分析识别学生行为模式（规律型、波动型、异常型），结合时间序列分析检测行为异常。上述学业与行为分析模型以相关数据完整接入为前提；若部分数据暂不具备，供应商应在实施方案中说明数据治理计划，或提出经采购人认可的替代分析方案。</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6.报告支持网页端在线查看（交互式图表）、PDF一键导出（排版精美，适合打印归档）、自动推送（每学期末向学生本人推送查看提醒，班主任收到所辖班级全部学生报告生成通知）。</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严格遵循平台现有权限体系，实行分级查看权限管理：学生本人仅可查看个人报告；班主任可查看所辖班级全部学生报告；院系管理员可查看对应院系全部学生报告；校级管理员可查看全校学生报告并可配置报告规则。</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班级智能运营报告</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numPr>
                <w:ilvl w:val="0"/>
                <w:numId w:val="5"/>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基于班级画像、学生监管模块数据，调用学校已本地化部署的Qwen3.8</w:t>
            </w:r>
            <w:r>
              <w:rPr>
                <w:rFonts w:hint="eastAsia" w:ascii="宋体" w:hAnsi="宋体" w:eastAsia="宋体" w:cs="宋体"/>
                <w:bCs/>
                <w:color w:val="000000"/>
                <w:sz w:val="24"/>
                <w:szCs w:val="24"/>
                <w:highlight w:val="none"/>
                <w:lang w:val="en-US" w:eastAsia="zh-CN"/>
              </w:rPr>
            </w:r>
            <w:r/>
          </w:p>
          <w:p>
            <w:pPr>
              <w:pStyle w:val="871"/>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-27B大模型平台，打造面向班主任与院系管理员的班级运营分析工具，涵盖学风建设、德育表现、日常出勤、集体荣誉、横向对标五大维度。</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2.报告类型包括：周度简报（每周一自动生成上周运营简报）、月度运营报告（每月初自动生成）、学期综合报告（每学期末自动生成，整合全学期数据）。</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每份报告包含：运营概览（数据卡片+趋势曲线图）、维度分析（五维度逐一展开）、横向对标（雷达图+排名表展示同年级同专业班级排名）、异常预警（自动识别班级内异常学生、学风下滑风险等）、管理建议（生成班主任工作参考指引与改进建议）。</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4.横向对标支持同年级、同专业班级之间在学业、德育、出勤、学习活跃度、综合运营等维度的对比分析，支持同时选择2-5个班级进行横向对比，以雷达图+数据表格双展示模式呈现。</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5.自动追踪班级各维度排名的学期变化趋势，识别排名上升/下降的维度及可能原因，自动识别优势维度与薄弱维度，输出针对性改进建议。</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班级智能运营报告与班级画像模块深度联动，报告内各维度数据可直接跳转至班级画像对应详情页面。报告内异常学生预警名单同步至学生监管模块的星标学生管理，形成“报告识别→监管标记→跟踪处置”的闭环管理流程。</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▲7.支持报告内学生姓名点击跳转至学生画像详情页或学生智能成长报告，实现“班级整体→学生个体”的联动分析。</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教师智能分析报告</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基于教师画像模块全量数据，调用学校已本地化部署的Qwen3.8-27B大模型平台，构建覆盖教学工作量、教学效果、教研科研、荣誉发展、学生评价五大维度的教师智能分析报告，支持教师个人、教研室、师资队伍三级报告自动生成。</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2.发展概览：以数据卡片形式展示教师核心指标（课时量、科研成果数、荣誉数、评教得分等），配合发展趋势曲线图，直观呈现教师整体发展态势。</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▲3.综合评估：以雷达图展示教学、科研、德育、培训综合能力，输出教师能力画像与职业发展阶段标识，为教师考核评价、职称评聘、师资培养提供量化数据支撑。</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4.发展建议：结合各维度表现与职称发展阶段，输出个性化提升建议，涵盖教学改革、科研规划、培训进修等方向。</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专业智能分析报告</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TW" w:eastAsia="zh-TW"/>
              </w:rPr>
              <w:t xml:space="preserve"> 整合招生、培养、师资、就业全链条数据，</w:t>
            </w:r>
            <w:r>
              <w:rPr>
                <w:rFonts w:hint="eastAsia" w:ascii="宋体" w:hAnsi="宋体" w:eastAsia="宋体" w:cs="宋体"/>
                <w:bCs/>
                <w:color w:val="000000"/>
                <w:sz w:val="24"/>
                <w:szCs w:val="24"/>
                <w:highlight w:val="none"/>
                <w:lang w:val="en-US" w:eastAsia="zh-CN"/>
              </w:rPr>
              <w:t xml:space="preserve">调用学校已本地化部署的Qwen3.8-27B大模型平台，</w:t>
            </w:r>
            <w:r>
              <w:rPr>
                <w:rFonts w:hint="eastAsia" w:ascii="宋体" w:hAnsi="宋体" w:eastAsia="宋体" w:cs="宋体"/>
                <w:bCs/>
                <w:color w:val="000000"/>
                <w:sz w:val="24"/>
                <w:szCs w:val="24"/>
                <w:highlight w:val="none"/>
                <w:lang w:val="zh-TW" w:eastAsia="zh-TW"/>
              </w:rPr>
              <w:t xml:space="preserve">构建专业智能分析报告体系，覆盖生源质量、培养过程、师资配置、教学成果、就业出口五大维度，支持专业横向对标与动态预警，为专业结构优化与人才培养方案修订提供数据决策支撑。</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2.全链条分析，覆盖招生、培养、就业各环节数据展示与评估。</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3.以雷达图+排名表形式展示本专业在校内同类专业中的综合排名与各维度排名。</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4.预警提示，自动识别生源、培养、就业各环节风险，输出预警提示与建议关注事项。</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5.结合分析结果输出专业建设改进建议，涵盖课程体系、师资配置、校企合作等方向。</w:t>
            </w:r>
            <w:r>
              <w:rPr>
                <w:rFonts w:ascii="宋体" w:hAnsi="宋体" w:eastAsia="宋体" w:cs="宋体"/>
                <w:bCs/>
                <w:color w:val="000000"/>
                <w:sz w:val="24"/>
                <w:szCs w:val="24"/>
                <w:highlight w:val="none"/>
                <w:lang w:val="en-US" w:eastAsia="zh-CN"/>
              </w:rPr>
            </w:r>
            <w:r/>
          </w:p>
        </w:tc>
      </w:tr>
      <w:tr>
        <w:trPr>
          <w:trHeight w:val="90"/>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毕业质量智能分析报告</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TW" w:eastAsia="zh-TW"/>
              </w:rPr>
              <w:t xml:space="preserve">基于就业看板与毕业生全周期数据，</w:t>
            </w:r>
            <w:r>
              <w:rPr>
                <w:rFonts w:hint="eastAsia" w:ascii="宋体" w:hAnsi="宋体" w:eastAsia="宋体" w:cs="宋体"/>
                <w:bCs/>
                <w:color w:val="000000"/>
                <w:sz w:val="24"/>
                <w:szCs w:val="24"/>
                <w:highlight w:val="none"/>
                <w:lang w:val="en-US" w:eastAsia="zh-CN"/>
              </w:rPr>
              <w:t xml:space="preserve">调用学校已本地化部署的Qwen3.8-27B大模型平台，</w:t>
            </w:r>
            <w:r>
              <w:rPr>
                <w:rFonts w:hint="eastAsia" w:ascii="宋体" w:hAnsi="宋体" w:eastAsia="宋体" w:cs="宋体"/>
                <w:bCs/>
                <w:color w:val="000000"/>
                <w:sz w:val="24"/>
                <w:szCs w:val="24"/>
                <w:highlight w:val="none"/>
                <w:lang w:val="zh-TW" w:eastAsia="zh-TW"/>
              </w:rPr>
              <w:t xml:space="preserve">构建覆盖就业率与去向、专业对口度、就业质量、升学情况、用人单位反馈五大维度的毕业质量分析报告，支持毕业生发展追踪分析，形成"入口看生源、出口看质量"的闭环评价机制，</w:t>
            </w:r>
            <w:r>
              <w:rPr>
                <w:rFonts w:hint="eastAsia" w:ascii="宋体" w:hAnsi="宋体" w:eastAsia="宋体" w:cs="宋体"/>
                <w:bCs/>
                <w:color w:val="000000"/>
                <w:sz w:val="24"/>
                <w:szCs w:val="24"/>
                <w:highlight w:val="none"/>
                <w:lang w:val="en-US" w:eastAsia="zh-CN"/>
              </w:rPr>
              <w:t xml:space="preserve">以数据卡片形式展示核心指标（毕业人数、就业率、升学率、平均薪酬等），配合历年趋势曲线，直观呈现毕业质量整体态势。</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2.按性别、专业、生源地域等维度交叉分析就业差异，识别就业困难群体，输出精准帮扶建议。</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3.基于就业质量指数综合评估，输出与历年同期、同类专业的对比结论。</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4.输出就业指导、校企合作、专业建设等方面的改进建议。</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资产智能分析报告</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▲1.基于资产看板全量数据</w:t>
            </w:r>
            <w:r>
              <w:rPr>
                <w:rFonts w:hint="eastAsia" w:ascii="宋体" w:hAnsi="宋体" w:eastAsia="宋体" w:cs="宋体"/>
                <w:bCs/>
                <w:color w:val="000000"/>
                <w:sz w:val="24"/>
                <w:szCs w:val="24"/>
                <w:highlight w:val="none"/>
                <w:lang w:val="zh-TW" w:eastAsia="zh-TW"/>
              </w:rPr>
              <w:t xml:space="preserve">，</w:t>
            </w:r>
            <w:r>
              <w:rPr>
                <w:rFonts w:hint="eastAsia" w:ascii="宋体" w:hAnsi="宋体" w:eastAsia="宋体" w:cs="宋体"/>
                <w:bCs/>
                <w:color w:val="000000"/>
                <w:sz w:val="24"/>
                <w:szCs w:val="24"/>
                <w:highlight w:val="none"/>
                <w:lang w:val="en-US" w:eastAsia="zh-CN"/>
              </w:rPr>
              <w:t xml:space="preserve">调用学校已本地化部署的Qwen3.8-27B大模型平台，构建资产智能分析报告体系。报告覆盖资产规模与结构、使用效率、变动情况、处置情况、教学设备效益五大维度，自动生成月度资产简报与年度资产分析报告，实现资产配置合理性评估与使用效率监测，自动识别闲置资产与低效资产，为资产采购决策、调配优化、报废处置提供数据支撑，全面提升学校资产管理精细化水平。以数据卡片形式展示核心指标（资产总数、总价值、本期新增、本期报废等），配合分类结构饼图与多期趋势曲线。</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2.自动识别闲置资产、低效资产清单，输出资产调配与处置建议。</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3.结合专业建设需求与使用效率数据，输出采购优先级与资产调配优化建议。</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招生智能体</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▲1.依托平台全量招生数据与校园知识库</w:t>
            </w:r>
            <w:r>
              <w:rPr>
                <w:rFonts w:hint="eastAsia" w:ascii="宋体" w:hAnsi="宋体" w:eastAsia="宋体" w:cs="宋体"/>
                <w:bCs/>
                <w:color w:val="000000"/>
                <w:sz w:val="24"/>
                <w:szCs w:val="24"/>
                <w:highlight w:val="none"/>
                <w:lang w:val="zh-TW" w:eastAsia="zh-TW"/>
              </w:rPr>
              <w:t xml:space="preserve">，</w:t>
            </w:r>
            <w:r>
              <w:rPr>
                <w:rFonts w:hint="eastAsia" w:ascii="宋体" w:hAnsi="宋体" w:eastAsia="宋体" w:cs="宋体"/>
                <w:bCs/>
                <w:color w:val="000000"/>
                <w:sz w:val="24"/>
                <w:szCs w:val="24"/>
                <w:highlight w:val="none"/>
                <w:lang w:val="en-US" w:eastAsia="zh-CN"/>
              </w:rPr>
              <w:t xml:space="preserve">采用本地化轻量大模型（Qwen3.8-27B）+RAG检索增强的成熟技术方案，建设招生专属智能体，实现全天候、智能化的招生咨询服务。智能体面向考生、家长及招生工作人员，提供自然语言智能问答、个性化招生咨询、招生数据趋势分析等功能，所有数据在校内闭环，确保安全可控。</w:t>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2.智能问答功能覆盖以下高频咨询场景：学校概况、专业介绍、招生计划、录取分数、资助政策、校园生活、就业前景、办事流程等，所有回答均标注信息来源。</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3.支持多轮对话，能够理解上下文语境进行连续交互式咨询。支持个性化推荐功能，根据考生咨询内容与兴趣偏好主动推荐相关专业、信息及时间提醒。</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4.面向招生工作人员提供数据化招生趋势分析能力，包括咨询热点分析、生源分布分析、专业热度分析、对话质量分析等。</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知识库建设：整合学校简介、专业介绍、招生计划、录取分数、资助政策、校园生活、就业前景等全量招生信息构建结构化知识库。支持文档批量导入（Word、PDF、Excel等格式），自动分块、向量化、入库。新增知识内容需经招生办公室审核确认后入库。</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安全保障：大模型、向量数据库、知识库均部署在校内服务器，所有数据存储与推理过程在校内完成。智能体回答中涉及的敏感数据自动脱敏处理。建立对话内容审计机制，所有对话日志记录在册，日志留存期限不少于6个月，日志访问实行权限管控并留存访问记录。建立敏感词库进行实时过滤。</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高性能工作站</w:t>
            </w:r>
            <w:r>
              <w:rPr>
                <w:rFonts w:hint="eastAsia" w:ascii="宋体" w:hAnsi="宋体" w:eastAsia="宋体" w:cs="宋体"/>
                <w:bCs/>
                <w:color w:val="000000"/>
                <w:sz w:val="24"/>
                <w:szCs w:val="24"/>
                <w:highlight w:val="none"/>
                <w:lang w:val="en-US" w:eastAsia="zh-CN"/>
              </w:rPr>
            </w:r>
            <w:r/>
          </w:p>
        </w:tc>
        <w:tc>
          <w:tcPr>
            <w:tcW w:w="7790" w:type="dxa"/>
            <w:vAlign w:val="top"/>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机型：国产自主研发，专业图形处理工作站，塔式机箱，容积满足扩展与散热需要</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▲CPU：处理器采用板载设计，配置1颗国产C86架构CPU，每颗CPU物理核心数≥8核，每颗CPU主频≥3.1GHz，每颗CPU三级缓存≥16MB，支持超线程技术，线程数量≥16；（签订合同时提供BIOS截图或参数证明材料）</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内存：配置不少于1根32GB DDR4 3200MHz UDIMM内存，配置≥4个内存插槽，最大支持单条32GB内存，最大可支持128GB内存容量，支持内存Register ECC保护、内存镜像、内存热备；</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PCI-E：PCI-E插槽≥4个，PCI-E 3.0*16≥2，PCI-E 3.0*8≥1，PCI-E 3.0*1≥1；</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硬盘：容量≥512G*1，容量≥4T*1</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GPU：GPU≥1个，显存≥6G；</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接口：提供10个USB接口，前置4个USB3.0，后置2个USB3.0和4个USB2.01个HDMI，1个VGA，1个串口，前后2组音频接口；</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电源：配置≥500W静音电源；</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保修：3年原厂整机质保，3年原厂上门服务，费用包含在报价中；</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据安全与恢复服务：该整机硬盘部分因涉及关键数据，避免业务迁移过程中存在未知的数据安全风险，防止恢复过程中数据泄露，须提供不低于三年的硬盘数据恢复服务，服务响应时间不得超过4小时（签订合同时提供由国家信息中心（或同等权威数据恢复机构）出具的数据恢复服务承诺书</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en-US" w:eastAsia="zh-CN"/>
              </w:rPr>
              <w:t xml:space="preserve">证明</w:t>
            </w:r>
            <w:r>
              <w:rPr>
                <w:rFonts w:hint="eastAsia" w:ascii="宋体" w:hAnsi="宋体" w:eastAsia="宋体" w:cs="宋体"/>
                <w:bCs/>
                <w:color w:val="000000"/>
                <w:sz w:val="24"/>
                <w:szCs w:val="24"/>
                <w:highlight w:val="none"/>
                <w:lang w:val="en-US" w:eastAsia="zh-CN"/>
              </w:rPr>
              <w:t xml:space="preserve">材料</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r>
    </w:tbl>
    <w:p>
      <w:pPr>
        <w:pStyle w:val="871"/>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w:t>
      </w:r>
      <w:r>
        <w:rPr>
          <w:rFonts w:hint="eastAsia" w:ascii="宋体" w:hAnsi="宋体" w:eastAsia="宋体" w:cs="宋体"/>
          <w:sz w:val="24"/>
          <w:szCs w:val="24"/>
          <w:highlight w:val="none"/>
        </w:rPr>
        <w:t xml:space="preserve">常运行应当具有的物资和服务理解不一致的以采购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理解为准。</w:t>
      </w:r>
      <w:r>
        <w:rPr>
          <w:rFonts w:hint="eastAsia" w:ascii="宋体" w:hAnsi="宋体" w:eastAsia="宋体" w:cs="宋体"/>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883"/>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项目验收指标如下：</w:t>
      </w:r>
      <w:r>
        <w:rPr>
          <w:rFonts w:hint="eastAsia" w:ascii="宋体" w:hAnsi="宋体" w:eastAsia="宋体" w:cs="宋体"/>
          <w:bCs/>
          <w:color w:val="000000"/>
          <w:sz w:val="24"/>
          <w:szCs w:val="24"/>
          <w:highlight w:val="none"/>
          <w:lang w:val="en-US" w:eastAsia="zh-CN" w:bidi="ar-SA"/>
        </w:rPr>
      </w:r>
      <w:r/>
    </w:p>
    <w:tbl>
      <w:tblPr>
        <w:tblW w:w="0" w:type="auto"/>
        <w:tblInd w:w="-108" w:type="dxa"/>
        <w:shd w:val="clear" w:color="212121" w:fill="ffffff"/>
        <w:tblLayout w:type="autofit"/>
        <w:tblCellMar>
          <w:left w:w="108" w:type="dxa"/>
          <w:top w:w="108" w:type="dxa"/>
          <w:right w:w="108" w:type="dxa"/>
          <w:bottom w:w="108" w:type="dxa"/>
        </w:tblCellMar>
        <w:tblLook w:val="04A0" w:firstRow="1" w:lastRow="0" w:firstColumn="1" w:lastColumn="0" w:noHBand="0" w:noVBand="1"/>
      </w:tblPr>
      <w:tblGrid>
        <w:gridCol w:w="846"/>
        <w:gridCol w:w="3366"/>
        <w:gridCol w:w="4293"/>
      </w:tblGrid>
      <w:tr>
        <w:trPr>
          <w:tblHeade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b/>
                <w:bCs/>
                <w:color w:val="000000"/>
                <w:szCs w:val="21"/>
              </w:rPr>
            </w:pPr>
            <w:r>
              <w:rPr>
                <w:rFonts w:hint="eastAsia" w:ascii="宋体" w:hAnsi="宋体" w:cs="黑体"/>
                <w:b/>
                <w:color w:val="000000"/>
                <w:szCs w:val="21"/>
              </w:rPr>
              <w:t xml:space="preserve">维度</w:t>
            </w:r>
            <w:r>
              <w:rPr>
                <w:rFonts w:hint="eastAsia" w:ascii="宋体" w:hAnsi="宋体"/>
                <w:b/>
                <w:bCs/>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b/>
                <w:bCs/>
                <w:color w:val="000000"/>
                <w:szCs w:val="21"/>
              </w:rPr>
            </w:pPr>
            <w:r>
              <w:rPr>
                <w:rFonts w:hint="eastAsia" w:ascii="宋体" w:hAnsi="宋体" w:cs="黑体"/>
                <w:b/>
                <w:color w:val="000000"/>
                <w:szCs w:val="21"/>
              </w:rPr>
              <w:t xml:space="preserve">指标</w:t>
            </w:r>
            <w:r>
              <w:rPr>
                <w:rFonts w:hint="eastAsia" w:ascii="宋体" w:hAnsi="宋体"/>
                <w:b/>
                <w:bCs/>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b/>
                <w:bCs/>
                <w:color w:val="000000"/>
                <w:szCs w:val="21"/>
              </w:rPr>
            </w:pPr>
            <w:r>
              <w:rPr>
                <w:rFonts w:hint="eastAsia" w:ascii="宋体" w:hAnsi="宋体" w:cs="黑体"/>
                <w:b/>
                <w:color w:val="000000"/>
                <w:szCs w:val="21"/>
              </w:rPr>
              <w:t xml:space="preserve">目标值</w:t>
            </w:r>
            <w:r>
              <w:rPr>
                <w:rFonts w:hint="eastAsia" w:ascii="宋体" w:hAnsi="宋体"/>
                <w:b/>
                <w:bCs/>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性能</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首屏加载时间、页面平均响应时间</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首屏≤3 秒</w:t>
            </w:r>
            <w:r>
              <w:rPr>
                <w:rFonts w:hint="eastAsia" w:ascii="宋体" w:hAnsi="宋体"/>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数据</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数据接入完整率、数据准确率</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完整率≥95%；准确率99%</w:t>
            </w:r>
            <w:r>
              <w:rPr>
                <w:rFonts w:hint="eastAsia" w:ascii="宋体" w:hAnsi="宋体"/>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报告</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报告自动生成及时率、生成成功率</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及时率 100%；成功率≥99%</w:t>
            </w:r>
            <w:r>
              <w:rPr>
                <w:rFonts w:hint="eastAsia" w:ascii="宋体" w:hAnsi="宋体"/>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应用</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报告查阅率、预警闭环处置率</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查阅率≥85%；处置率≥90%</w:t>
            </w:r>
            <w:r>
              <w:rPr>
                <w:rFonts w:hint="eastAsia" w:ascii="宋体" w:hAnsi="宋体"/>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智能体</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问答准确率、响应时间</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准确率≥95%；响应≤3 秒</w:t>
            </w:r>
            <w:r>
              <w:rPr>
                <w:rFonts w:hint="eastAsia" w:ascii="宋体" w:hAnsi="宋体"/>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稳定</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系统可用性、故障恢复时间</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可用性≥99.5%；恢复≤4 小时</w:t>
            </w:r>
            <w:r>
              <w:rPr>
                <w:rFonts w:hint="eastAsia" w:ascii="宋体" w:hAnsi="宋体"/>
                <w:color w:val="000000"/>
                <w:szCs w:val="21"/>
              </w:rPr>
            </w:r>
            <w:r/>
          </w:p>
        </w:tc>
      </w:tr>
      <w:tr>
        <w:trPr/>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满意</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66" w:type="dxa"/>
            <w:vAlign w:val="top"/>
            <w:textDirection w:val="lrTb"/>
            <w:noWrap w:val="false"/>
          </w:tcPr>
          <w:p>
            <w:pPr>
              <w:pStyle w:val="871"/>
              <w:jc w:val="left"/>
              <w:spacing w:line="360" w:lineRule="auto"/>
              <w:rPr>
                <w:rFonts w:hint="eastAsia" w:ascii="宋体" w:hAnsi="宋体"/>
                <w:color w:val="000000"/>
                <w:szCs w:val="21"/>
              </w:rPr>
            </w:pPr>
            <w:r>
              <w:rPr>
                <w:rFonts w:hint="eastAsia" w:ascii="宋体" w:hAnsi="宋体" w:cs="宋体"/>
                <w:color w:val="000000"/>
                <w:szCs w:val="21"/>
              </w:rPr>
              <w:t xml:space="preserve">用户满意度</w:t>
            </w:r>
            <w:r>
              <w:rPr>
                <w:rFonts w:hint="eastAsia" w:ascii="宋体" w:hAnsi="宋体"/>
                <w:color w:val="000000"/>
                <w:szCs w:val="21"/>
              </w:rPr>
            </w:r>
            <w:r/>
          </w:p>
        </w:tc>
        <w:tc>
          <w:tcPr>
            <w:shd w:val="clear" w:color="212121" w:fill="ffffff"/>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293" w:type="dxa"/>
            <w:vAlign w:val="top"/>
            <w:textDirection w:val="lrTb"/>
            <w:noWrap w:val="false"/>
          </w:tcPr>
          <w:p>
            <w:pPr>
              <w:pStyle w:val="871"/>
              <w:jc w:val="left"/>
              <w:spacing w:line="360" w:lineRule="auto"/>
              <w:rPr>
                <w:rFonts w:hint="eastAsia" w:ascii="宋体" w:hAnsi="宋体"/>
                <w:color w:val="000000"/>
                <w:szCs w:val="21"/>
              </w:rPr>
            </w:pPr>
            <w:r>
              <w:rPr>
                <w:rFonts w:ascii="宋体" w:hAnsi="宋体" w:cs="宋体"/>
                <w:color w:val="000000"/>
                <w:szCs w:val="21"/>
              </w:rPr>
              <w:t xml:space="preserve">≥85%</w:t>
            </w:r>
            <w:r>
              <w:rPr>
                <w:rFonts w:hint="eastAsia" w:ascii="宋体" w:hAnsi="宋体"/>
                <w:color w:val="000000"/>
                <w:szCs w:val="21"/>
              </w:rPr>
            </w:r>
            <w:r/>
          </w:p>
        </w:tc>
      </w:tr>
    </w:tbl>
    <w:p>
      <w:pPr>
        <w:pStyle w:val="883"/>
        <w:spacing w:line="360" w:lineRule="auto"/>
        <w:rPr>
          <w:rFonts w:hint="eastAsia" w:ascii="宋体" w:hAnsi="宋体"/>
          <w:color w:val="000000"/>
          <w:sz w:val="21"/>
          <w:szCs w:val="21"/>
        </w:rPr>
      </w:pPr>
      <w:r>
        <w:rPr>
          <w:rFonts w:hint="eastAsia" w:ascii="宋体" w:hAnsi="宋体"/>
          <w:color w:val="000000"/>
          <w:sz w:val="21"/>
          <w:szCs w:val="21"/>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（2）运维要求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本项目要求整体维保期一年（磋商文件中另有约定的，从其约定），从验收合格之日起计算。</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项目交付后提供不少于3个月的技术支持服务，及时解答使用问题，收集用户反馈持续优化。建立7×24小时技术服务热线，保障问题及时响应处置。</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（5）知识产权要求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本项目定制开发成果（含源代码、技术文档、智能报告分析模型、知识库等）的知识产权归采购人所有，供应商应在项目验收时完整交付源代码与技术文档。</w:t>
      </w:r>
      <w:r>
        <w:rPr>
          <w:rFonts w:hint="eastAsia" w:ascii="宋体" w:hAnsi="宋体" w:eastAsia="宋体" w:cs="宋体"/>
          <w:bCs/>
          <w:color w:val="000000"/>
          <w:sz w:val="24"/>
          <w:szCs w:val="24"/>
          <w:highlight w:val="none"/>
          <w:lang w:val="en-US" w:eastAsia="zh-CN"/>
        </w:rPr>
      </w:r>
      <w:r/>
    </w:p>
    <w:p>
      <w:pPr>
        <w:pStyle w:val="871"/>
        <w:numPr>
          <w:ilvl w:val="0"/>
          <w:numId w:val="6"/>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数据安全与个人信息保护</w:t>
      </w:r>
      <w:r>
        <w:rPr>
          <w:rFonts w:hint="eastAsia" w:ascii="宋体" w:hAnsi="宋体" w:eastAsia="宋体" w:cs="宋体"/>
          <w:bCs/>
          <w:color w:val="000000"/>
          <w:sz w:val="24"/>
          <w:szCs w:val="24"/>
          <w:highlight w:val="none"/>
          <w:lang w:val="en-US" w:eastAsia="zh-CN"/>
        </w:rPr>
      </w:r>
      <w:r/>
    </w:p>
    <w:p>
      <w:pPr>
        <w:pStyle w:val="871"/>
        <w:numPr>
          <w:ilvl w:val="0"/>
          <w:numId w:val="0"/>
        </w:numPr>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涉及学生、教师等个人信息处理的，供应商应遵循合法、正当、必要与最小必要原则，仅在教学与管理必要范围内处理相关信息；项目数据权属归学校所有，未经学校书面同意，供应商不得留存、使用或对外提供项目数据；项目验收或合同终止后，按学校要求归还、删除或销毁相关数据。</w:t>
      </w:r>
      <w:r>
        <w:rPr>
          <w:rFonts w:hint="eastAsia"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（7）网络安全等级保护测评要求</w:t>
      </w:r>
      <w:r>
        <w:rPr>
          <w:rFonts w:hint="eastAsia"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系统按照网络安全等级保护第二级的要求进行定级、备案与建设，供应商应配合采购人在项目验收前完成等级保护测评。</w:t>
      </w:r>
      <w:r>
        <w:rPr>
          <w:rFonts w:hint="eastAsia"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（8）系统对接要求</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   本次项目建设涉及与现有学校数据中台进行数据对接，数据对接产生的费用由供应商自行承担，采购人负责协调对接工作，联系方式详见第一章。</w:t>
      </w:r>
      <w:r>
        <w:rPr>
          <w:rFonts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（9）培训要求</w:t>
      </w:r>
      <w:r>
        <w:rPr>
          <w:rFonts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①培训对象：供应商应负责对采购人相关人员（包括但不限于信息科室、项目主管科室等至少5人进行全面培训，使受训者能够独立、熟练地完成各系统操作，实现系统的目标和功能。</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培训目标：操作人员能熟练使用各系统每项功能，完成日常工作；接受培训老师能全面了解各系统运行模式，熟知业务流程，能判断一般故障；全面掌握系统安装、设置和使用。五年内每年上门培训不低于两次，提供软件终身升级服务，费用包含在报价中。</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③培训材料：编制简易操作指引、视频教程、常见问题FAQ等培训材料，降低使用门槛，从源头减少操作类问题。培训材料随系统更新同步迭代。</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自然</w:t>
      </w:r>
      <w:r>
        <w:rPr>
          <w:rFonts w:hint="eastAsia" w:ascii="宋体" w:hAnsi="宋体" w:eastAsia="宋体" w:cs="宋体"/>
          <w:color w:val="000000"/>
          <w:sz w:val="24"/>
          <w:szCs w:val="24"/>
          <w:highlight w:val="none"/>
        </w:rPr>
        <w:t xml:space="preserve">日内完成全部建设内容并</w:t>
      </w:r>
      <w:r>
        <w:rPr>
          <w:rFonts w:hint="eastAsia" w:ascii="宋体" w:hAnsi="宋体" w:eastAsia="宋体" w:cs="宋体"/>
          <w:color w:val="000000"/>
          <w:sz w:val="24"/>
          <w:szCs w:val="24"/>
          <w:highlight w:val="none"/>
          <w:lang w:val="en-US" w:eastAsia="zh-CN"/>
        </w:rPr>
        <w:t xml:space="preserve">同步进入试</w:t>
      </w:r>
      <w:r>
        <w:rPr>
          <w:rFonts w:hint="eastAsia" w:ascii="宋体" w:hAnsi="宋体" w:eastAsia="宋体" w:cs="宋体"/>
          <w:color w:val="000000"/>
          <w:sz w:val="24"/>
          <w:szCs w:val="24"/>
          <w:highlight w:val="none"/>
        </w:rPr>
        <w:t xml:space="preserve">运行，</w:t>
      </w:r>
      <w:r>
        <w:rPr>
          <w:rFonts w:hint="eastAsia" w:ascii="宋体" w:hAnsi="宋体"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rPr>
        <w:t xml:space="preserve">试运行期不少于</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自然</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试运行合格后按合同约定组织验收。</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91"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91"/>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1"/>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评审方法与评审标准”。</w:t>
      </w:r>
      <w:r>
        <w:rPr>
          <w:rFonts w:hint="eastAsia" w:ascii="宋体" w:hAnsi="宋体" w:eastAsia="宋体" w:cs="Times New Roman"/>
          <w:color w:val="000000"/>
          <w:sz w:val="24"/>
          <w:szCs w:val="24"/>
          <w:highlight w:val="none"/>
          <w:lang w:val="en-US" w:eastAsia="zh-CN"/>
        </w:rPr>
      </w:r>
      <w:r/>
    </w:p>
    <w:p>
      <w:pPr>
        <w:pStyle w:val="943"/>
        <w:numPr>
          <w:ilvl w:val="0"/>
          <w:numId w:val="0"/>
        </w:numPr>
        <w:jc w:val="both"/>
        <w:spacing w:after="0" w:line="264" w:lineRule="auto"/>
        <w:widowControl w:val="off"/>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9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符合本磋商文件第二章第2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.1.2条</w:t>
      </w:r>
      <w:r>
        <w:rPr>
          <w:rFonts w:hint="eastAsia" w:ascii="宋体" w:hAnsi="宋体" w:cs="宋体"/>
          <w:b/>
          <w:bCs/>
          <w:sz w:val="24"/>
          <w:szCs w:val="24"/>
          <w:highlight w:val="none"/>
          <w:lang w:val="en-US" w:eastAsia="zh-CN"/>
        </w:rPr>
        <w:t xml:space="preserve">第三款</w:t>
      </w:r>
      <w:r>
        <w:rPr>
          <w:rFonts w:hint="eastAsia" w:ascii="宋体" w:hAnsi="宋体" w:eastAsia="宋体" w:cs="宋体"/>
          <w:b/>
          <w:bCs/>
          <w:sz w:val="24"/>
          <w:szCs w:val="24"/>
          <w:highlight w:val="none"/>
        </w:rPr>
        <w:t xml:space="preserve">情形的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可以推荐</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名成交候选供应商。</w:t>
      </w:r>
      <w:r>
        <w:rPr>
          <w:rFonts w:hint="eastAsia" w:ascii="宋体" w:hAnsi="宋体" w:eastAsia="宋体" w:cs="宋体"/>
          <w:sz w:val="24"/>
          <w:szCs w:val="24"/>
          <w:highlight w:val="none"/>
        </w:rPr>
        <w:t xml:space="preserve">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sz w:val="24"/>
          <w:szCs w:val="24"/>
          <w:highlight w:val="none"/>
          <w:lang w:eastAsia="zh-CN"/>
        </w:rPr>
        <w:t xml:space="preserve">分由高到低顺序</w:t>
      </w:r>
      <w:r>
        <w:rPr>
          <w:rFonts w:hint="eastAsia" w:ascii="宋体" w:hAnsi="宋体" w:eastAsia="宋体" w:cs="宋体"/>
          <w:sz w:val="24"/>
          <w:szCs w:val="24"/>
          <w:highlight w:val="none"/>
        </w:rPr>
        <w:t xml:space="preserve">推荐。</w:t>
      </w:r>
      <w:r>
        <w:rPr>
          <w:rFonts w:hint="eastAsia" w:ascii="宋体" w:hAnsi="宋体" w:eastAsia="宋体" w:cs="宋体"/>
          <w:sz w:val="24"/>
          <w:szCs w:val="24"/>
          <w:highlight w:val="none"/>
        </w:rPr>
      </w:r>
      <w:r/>
    </w:p>
    <w:p>
      <w:pPr>
        <w:pStyle w:val="871"/>
        <w:ind w:firstLine="48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rPr>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按照磋商文件要求在《分项报价表》中作出承诺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highlight w:val="none"/>
        </w:rPr>
      </w:r>
      <w:r/>
    </w:p>
    <w:p>
      <w:pPr>
        <w:ind w:firstLine="420"/>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3.供应商需按照</w:t>
      </w:r>
      <w:r>
        <w:rPr>
          <w:rFonts w:hint="eastAsia" w:ascii="宋体" w:hAnsi="宋体" w:eastAsia="宋体" w:cs="Times New Roman"/>
          <w:color w:val="000000"/>
          <w:sz w:val="24"/>
          <w:szCs w:val="24"/>
          <w:highlight w:val="none"/>
          <w:lang w:val="en-US" w:eastAsia="zh-CN"/>
        </w:rPr>
        <w:t xml:space="preserve">磋商文件</w:t>
      </w:r>
      <w:r>
        <w:rPr>
          <w:rFonts w:hint="eastAsia" w:ascii="宋体" w:hAnsi="宋体" w:eastAsia="宋体" w:cs="Times New Roman"/>
          <w:color w:val="000000"/>
          <w:sz w:val="24"/>
          <w:szCs w:val="24"/>
          <w:highlight w:val="none"/>
          <w:lang w:val="en-US" w:eastAsia="zh-CN"/>
        </w:rPr>
        <w:t xml:space="preserve">要求提供《关于符合本国产品标准的声明函》，如不提供将不享受本国产品价格评审优惠。</w:t>
      </w:r>
      <w:r>
        <w:rPr>
          <w:rFonts w:hint="eastAsia" w:ascii="宋体" w:hAnsi="宋体" w:eastAsia="宋体" w:cs="Times New Roman"/>
          <w:color w:val="000000"/>
          <w:sz w:val="24"/>
          <w:szCs w:val="24"/>
          <w:highlight w:val="none"/>
          <w:lang w:val="en-US" w:eastAsia="zh-CN"/>
        </w:rPr>
        <w:t xml:space="preserve">供应商需在《声明函》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lang w:val="en-US"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ascii="宋体" w:hAnsi="宋体" w:eastAsia="宋体" w:cs="宋体"/>
                <w:highlight w:val="none"/>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rPr>
                <w:rFonts w:ascii="宋体" w:hAnsi="宋体" w:eastAsia="宋体" w:cs="宋体"/>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2"/>
                <w:highlight w:val="none"/>
              </w:rPr>
              <w:t xml:space="preserve">价格分</w:t>
            </w:r>
            <w:r>
              <w:rPr>
                <w:rFonts w:ascii="宋体" w:hAnsi="宋体" w:eastAsia="宋体" w:cs="宋体"/>
                <w:highlight w:val="none"/>
              </w:rPr>
            </w:r>
            <w:r/>
          </w:p>
        </w:tc>
        <w:tc>
          <w:tcPr>
            <w:tcW w:w="6330" w:type="dxa"/>
            <w:vAlign w:val="center"/>
            <w:textDirection w:val="lrTb"/>
            <w:noWrap w:val="false"/>
          </w:tcPr>
          <w:p>
            <w:pPr>
              <w:pStyle w:val="871"/>
              <w:jc w:val="left"/>
              <w:spacing w:line="264" w:lineRule="auto"/>
              <w:rPr>
                <w:rFonts w:hint="eastAsia" w:ascii="宋体" w:hAnsi="宋体" w:eastAsia="宋体" w:cs="宋体"/>
                <w:szCs w:val="22"/>
                <w:highlight w:val="none"/>
                <w:lang w:val="en-US" w:eastAsia="zh-CN"/>
              </w:rPr>
            </w:pPr>
            <w:r>
              <w:rPr>
                <w:rFonts w:hint="eastAsia" w:ascii="宋体" w:hAnsi="宋体" w:eastAsia="宋体" w:cs="宋体"/>
                <w:spacing w:val="0"/>
                <w:szCs w:val="22"/>
                <w:highlight w:val="none"/>
              </w:rPr>
              <w:t xml:space="preserve">采用低价优先</w:t>
            </w:r>
            <w:r>
              <w:rPr>
                <w:rFonts w:hint="eastAsia" w:ascii="宋体" w:hAnsi="宋体" w:eastAsia="宋体" w:cs="宋体"/>
                <w:szCs w:val="22"/>
                <w:highlight w:val="none"/>
              </w:rPr>
              <w:t xml:space="preserve">法计算</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即满足</w:t>
            </w:r>
            <w:r>
              <w:rPr>
                <w:rFonts w:hint="eastAsia" w:ascii="宋体" w:hAnsi="宋体" w:eastAsia="宋体" w:cs="宋体"/>
                <w:szCs w:val="22"/>
                <w:highlight w:val="none"/>
                <w:lang w:eastAsia="zh-CN"/>
              </w:rPr>
              <w:t xml:space="preserve">磋商文件</w:t>
            </w:r>
            <w:r>
              <w:rPr>
                <w:rFonts w:hint="eastAsia" w:ascii="宋体" w:hAnsi="宋体" w:eastAsia="宋体" w:cs="宋体"/>
                <w:szCs w:val="22"/>
                <w:highlight w:val="none"/>
              </w:rPr>
              <w:t xml:space="preserve">要求且</w:t>
            </w:r>
            <w:r>
              <w:rPr>
                <w:rFonts w:hint="eastAsia" w:ascii="宋体" w:hAnsi="宋体" w:eastAsia="宋体" w:cs="宋体"/>
                <w:szCs w:val="22"/>
                <w:highlight w:val="none"/>
                <w:lang w:eastAsia="zh-CN"/>
              </w:rPr>
              <w:t xml:space="preserve">最终报价</w:t>
            </w:r>
            <w:r>
              <w:rPr>
                <w:rFonts w:hint="eastAsia" w:ascii="宋体" w:hAnsi="宋体" w:eastAsia="宋体" w:cs="宋体"/>
                <w:szCs w:val="22"/>
                <w:highlight w:val="none"/>
              </w:rPr>
              <w:t xml:space="preserve">最低的</w:t>
            </w:r>
            <w:r>
              <w:rPr>
                <w:rFonts w:hint="eastAsia" w:ascii="宋体" w:hAnsi="宋体" w:eastAsia="宋体" w:cs="宋体"/>
                <w:szCs w:val="22"/>
                <w:highlight w:val="none"/>
                <w:lang w:eastAsia="zh-CN"/>
              </w:rPr>
              <w:t xml:space="preserve">供应商</w:t>
            </w:r>
            <w:r>
              <w:rPr>
                <w:rFonts w:hint="eastAsia" w:ascii="宋体" w:hAnsi="宋体" w:eastAsia="宋体" w:cs="宋体"/>
                <w:spacing w:val="0"/>
                <w:szCs w:val="22"/>
                <w:highlight w:val="none"/>
              </w:rPr>
              <w:t xml:space="preserve">报价为评</w:t>
            </w:r>
            <w:r>
              <w:rPr>
                <w:rFonts w:hint="eastAsia"/>
                <w:highlight w:val="none"/>
                <w:lang w:val="en-US" w:eastAsia="zh-CN"/>
              </w:rPr>
              <w:t xml:space="preserve">审</w:t>
            </w:r>
            <w:r>
              <w:rPr>
                <w:rFonts w:hint="eastAsia" w:ascii="宋体" w:hAnsi="宋体" w:eastAsia="宋体" w:cs="宋体"/>
                <w:spacing w:val="0"/>
                <w:szCs w:val="22"/>
                <w:highlight w:val="none"/>
              </w:rPr>
              <w:t xml:space="preserve">基准</w:t>
            </w:r>
            <w:r>
              <w:rPr>
                <w:rFonts w:hint="eastAsia" w:ascii="宋体" w:hAnsi="宋体" w:eastAsia="宋体" w:cs="宋体"/>
                <w:szCs w:val="22"/>
                <w:highlight w:val="none"/>
              </w:rPr>
              <w:t xml:space="preserve">价</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其价格分为满分。其他</w:t>
            </w:r>
            <w:r>
              <w:rPr>
                <w:rFonts w:hint="eastAsia" w:ascii="宋体" w:hAnsi="宋体" w:eastAsia="宋体" w:cs="宋体"/>
                <w:szCs w:val="22"/>
                <w:highlight w:val="none"/>
                <w:lang w:eastAsia="zh-CN"/>
              </w:rPr>
              <w:t xml:space="preserve">供应商</w:t>
            </w:r>
            <w:r>
              <w:rPr>
                <w:rFonts w:hint="eastAsia" w:ascii="宋体" w:hAnsi="宋体" w:eastAsia="宋体" w:cs="宋体"/>
                <w:szCs w:val="22"/>
                <w:highlight w:val="none"/>
              </w:rPr>
              <w:t xml:space="preserve">的价格分统一按</w:t>
            </w:r>
            <w:r>
              <w:rPr>
                <w:rFonts w:hint="eastAsia" w:ascii="宋体" w:hAnsi="宋体" w:eastAsia="宋体" w:cs="宋体"/>
                <w:spacing w:val="0"/>
                <w:szCs w:val="22"/>
                <w:highlight w:val="none"/>
              </w:rPr>
              <w:t xml:space="preserve">照下列公</w:t>
            </w:r>
            <w:r>
              <w:rPr>
                <w:rFonts w:hint="eastAsia" w:ascii="宋体" w:hAnsi="宋体" w:eastAsia="宋体" w:cs="宋体"/>
                <w:szCs w:val="22"/>
                <w:highlight w:val="none"/>
              </w:rPr>
              <w:t xml:space="preserve">式计算：报价得分=</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评</w:t>
            </w:r>
            <w:r>
              <w:rPr>
                <w:rFonts w:hint="eastAsia"/>
                <w:highlight w:val="none"/>
                <w:lang w:val="en-US" w:eastAsia="zh-CN"/>
              </w:rPr>
              <w:t xml:space="preserve">审</w:t>
            </w:r>
            <w:r>
              <w:rPr>
                <w:rFonts w:hint="eastAsia" w:ascii="宋体" w:hAnsi="宋体" w:eastAsia="宋体" w:cs="宋体"/>
                <w:szCs w:val="22"/>
                <w:highlight w:val="none"/>
              </w:rPr>
              <w:t xml:space="preserve">基准价/</w:t>
            </w:r>
            <w:r>
              <w:rPr>
                <w:rFonts w:hint="eastAsia" w:ascii="宋体" w:hAnsi="宋体" w:eastAsia="宋体" w:cs="宋体"/>
                <w:szCs w:val="22"/>
                <w:highlight w:val="none"/>
                <w:lang w:eastAsia="zh-CN"/>
              </w:rPr>
              <w:t xml:space="preserve">最终</w:t>
            </w:r>
            <w:r>
              <w:rPr>
                <w:rFonts w:hint="eastAsia" w:ascii="宋体" w:hAnsi="宋体" w:eastAsia="宋体" w:cs="宋体"/>
                <w:szCs w:val="22"/>
                <w:highlight w:val="none"/>
              </w:rPr>
              <w:t xml:space="preserve">报价</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价格分值（保留两位</w:t>
            </w:r>
            <w:r>
              <w:rPr>
                <w:rFonts w:hint="eastAsia" w:ascii="宋体" w:hAnsi="宋体" w:eastAsia="宋体" w:cs="宋体"/>
                <w:szCs w:val="22"/>
                <w:highlight w:val="none"/>
                <w:lang w:val="en-US" w:eastAsia="zh-CN"/>
              </w:rPr>
              <w:t xml:space="preserve">小数</w:t>
            </w:r>
            <w:r>
              <w:rPr>
                <w:rFonts w:hint="eastAsia" w:ascii="宋体" w:hAnsi="宋体" w:eastAsia="宋体" w:cs="宋体"/>
                <w:szCs w:val="22"/>
                <w:highlight w:val="none"/>
                <w:lang w:val="en-US" w:eastAsia="zh-CN"/>
              </w:rPr>
              <w:t xml:space="preserve">）</w:t>
            </w:r>
            <w:r>
              <w:rPr>
                <w:rFonts w:hint="eastAsia" w:ascii="宋体" w:hAnsi="宋体" w:eastAsia="宋体" w:cs="宋体"/>
                <w:szCs w:val="22"/>
                <w:highlight w:val="none"/>
                <w:lang w:val="en-US" w:eastAsia="zh-CN"/>
              </w:rPr>
            </w:r>
            <w:r/>
          </w:p>
          <w:p>
            <w:pPr>
              <w:pStyle w:val="871"/>
              <w:jc w:val="left"/>
              <w:spacing w:line="264" w:lineRule="auto"/>
              <w:rPr>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w:t>
            </w:r>
            <w:r>
              <w:rPr>
                <w:rFonts w:hint="eastAsia" w:ascii="宋体" w:hAnsi="宋体" w:cs="宋体"/>
                <w:color w:val="000000"/>
                <w:sz w:val="21"/>
                <w:szCs w:val="21"/>
                <w:highlight w:val="none"/>
                <w:lang w:val="en-US" w:eastAsia="zh-CN" w:bidi="ar-SA"/>
              </w:rPr>
              <w:t xml:space="preserve">最终</w:t>
            </w:r>
            <w:r>
              <w:rPr>
                <w:rFonts w:hint="eastAsia" w:ascii="宋体" w:hAnsi="宋体" w:eastAsia="宋体" w:cs="宋体"/>
                <w:color w:val="000000"/>
                <w:sz w:val="21"/>
                <w:szCs w:val="21"/>
                <w:highlight w:val="none"/>
                <w:lang w:val="en-US" w:eastAsia="zh-CN" w:bidi="ar-SA"/>
              </w:rPr>
              <w:t xml:space="preserve">报价。</w:t>
            </w:r>
            <w:r>
              <w:rPr>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20</w:t>
            </w:r>
            <w:r>
              <w:rPr>
                <w:rFonts w:ascii="宋体" w:hAnsi="宋体" w:eastAsia="宋体" w:cs="宋体"/>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hint="eastAsia"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产品技术参数</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2"/>
                <w:lang w:val="en-US" w:eastAsia="zh-CN" w:bidi="ar-SA"/>
              </w:rPr>
            </w:pPr>
            <w:r>
              <w:rPr>
                <w:rFonts w:hint="eastAsia" w:ascii="宋体" w:hAnsi="宋体" w:eastAsia="宋体" w:cs="宋体"/>
                <w:color w:val="000000"/>
                <w:lang w:val="en-US" w:eastAsia="zh-CN"/>
              </w:rPr>
              <w:t xml:space="preserve">产品</w:t>
            </w:r>
            <w:r>
              <w:rPr>
                <w:rFonts w:ascii="宋体" w:hAnsi="宋体" w:eastAsia="宋体" w:cs="宋体"/>
                <w:color w:val="000000"/>
                <w:lang w:val="en-US" w:eastAsia="zh-CN"/>
              </w:rPr>
              <w:t xml:space="preserve">技术参数全部满足</w:t>
            </w:r>
            <w:r>
              <w:rPr>
                <w:rFonts w:hint="eastAsia" w:ascii="宋体" w:hAnsi="宋体" w:eastAsia="宋体" w:cs="宋体"/>
                <w:color w:val="000000"/>
                <w:lang w:val="en-US" w:eastAsia="zh-CN"/>
              </w:rPr>
              <w:t xml:space="preserve">磋商文件</w:t>
            </w:r>
            <w:r>
              <w:rPr>
                <w:rFonts w:ascii="宋体" w:hAnsi="宋体" w:eastAsia="宋体" w:cs="宋体"/>
                <w:color w:val="000000"/>
                <w:lang w:val="en-US" w:eastAsia="zh-CN"/>
              </w:rPr>
              <w:t xml:space="preserve">要求的得满分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打★指标为必须满足项，如有负偏离将作为无效</w:t>
            </w:r>
            <w:r>
              <w:rPr>
                <w:rFonts w:hint="eastAsia" w:ascii="宋体" w:hAnsi="宋体" w:eastAsia="宋体" w:cs="宋体"/>
                <w:color w:val="000000"/>
                <w:lang w:val="en-US" w:eastAsia="zh-CN"/>
              </w:rPr>
              <w:t xml:space="preserve">响应，</w:t>
            </w:r>
            <w:r>
              <w:rPr>
                <w:rFonts w:ascii="宋体" w:hAnsi="宋体" w:eastAsia="宋体" w:cs="宋体"/>
                <w:color w:val="000000"/>
                <w:lang w:val="en-US" w:eastAsia="zh-CN"/>
              </w:rPr>
              <w:t xml:space="preserve">打▲指标</w:t>
            </w:r>
            <w:r>
              <w:rPr>
                <w:rFonts w:ascii="宋体" w:hAnsi="宋体" w:eastAsia="宋体" w:cs="宋体"/>
                <w:color w:val="000000"/>
                <w:lang w:val="en-US" w:eastAsia="zh-CN"/>
              </w:rPr>
              <w:t xml:space="preserve">为重要指标，</w:t>
            </w:r>
            <w:r>
              <w:rPr>
                <w:rFonts w:hint="eastAsia" w:ascii="宋体" w:hAnsi="宋体" w:eastAsia="宋体" w:cs="宋体"/>
                <w:color w:val="000000"/>
                <w:sz w:val="21"/>
                <w:szCs w:val="21"/>
                <w:lang w:val="en-US" w:eastAsia="zh-CN"/>
              </w:rPr>
              <w:t xml:space="preserve">有1项负偏离扣2分，其余指标有1项负偏离扣0.25分。</w:t>
            </w:r>
            <w:r>
              <w:rPr>
                <w:rFonts w:ascii="Times New Roman" w:hAnsi="Times New Roman" w:eastAsia="宋体" w:cs="Times New Roman"/>
                <w:color w:val="000000"/>
                <w:sz w:val="21"/>
                <w:szCs w:val="22"/>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lang w:eastAsia="zh-CN"/>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ff"/>
                <w:spacing w:val="-2"/>
                <w:highlight w:val="none"/>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.2</w:t>
            </w:r>
            <w:r>
              <w:rPr>
                <w:rFonts w:ascii="宋体" w:hAnsi="宋体" w:eastAsia="宋体" w:cs="宋体"/>
                <w:color w:val="0000ff"/>
                <w:spacing w:val="-2"/>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项目调研与需求理解</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，内容包含：</w:t>
            </w:r>
            <w:r>
              <w:rPr>
                <w:rFonts w:ascii="宋体" w:hAnsi="宋体" w:eastAsia="宋体" w:cs="宋体"/>
                <w:color w:val="000000"/>
                <w:sz w:val="21"/>
                <w:szCs w:val="21"/>
                <w:lang w:val="en-US" w:eastAsia="zh-CN"/>
              </w:rPr>
              <w:t xml:space="preserve">1.</w:t>
            </w:r>
            <w:r>
              <w:rPr>
                <w:rFonts w:hint="eastAsia" w:ascii="宋体" w:hAnsi="宋体"/>
                <w:color w:val="000000"/>
                <w:szCs w:val="21"/>
              </w:rPr>
              <w:t xml:space="preserve">现有系统与业务数据</w:t>
            </w:r>
            <w:r>
              <w:rPr>
                <w:rFonts w:hint="eastAsia" w:ascii="宋体" w:hAnsi="宋体"/>
                <w:color w:val="000000"/>
                <w:szCs w:val="21"/>
                <w:lang w:val="en-US" w:eastAsia="zh-CN"/>
              </w:rPr>
              <w:t xml:space="preserve">梳理</w:t>
            </w:r>
            <w:r>
              <w:rPr>
                <w:rFonts w:hint="eastAsia" w:ascii="宋体" w:hAnsi="宋体" w:eastAsia="宋体" w:cs="宋体"/>
                <w:color w:val="000000"/>
                <w:sz w:val="21"/>
                <w:szCs w:val="21"/>
                <w:lang w:val="en-US" w:eastAsia="zh-CN"/>
              </w:rPr>
              <w:t xml:space="preserve">；2.</w:t>
            </w:r>
            <w:r>
              <w:rPr>
                <w:rFonts w:hint="eastAsia" w:ascii="宋体" w:hAnsi="宋体"/>
                <w:color w:val="000000"/>
                <w:szCs w:val="21"/>
              </w:rPr>
              <w:t xml:space="preserve">数据情况与数据质量分析</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Cs w:val="21"/>
                <w:highlight w:val="none"/>
              </w:rPr>
              <w:t xml:space="preserve">3.项目建设目标；4.</w:t>
            </w:r>
            <w:r>
              <w:rPr>
                <w:rFonts w:hint="eastAsia" w:ascii="宋体" w:hAnsi="宋体"/>
                <w:color w:val="000000"/>
                <w:szCs w:val="21"/>
                <w:highlight w:val="none"/>
              </w:rPr>
              <w:t xml:space="preserve">项目重点、难点识别</w:t>
            </w:r>
            <w:r>
              <w:rPr>
                <w:rFonts w:hint="eastAsia" w:ascii="宋体" w:hAnsi="宋体"/>
                <w:color w:val="000000"/>
                <w:szCs w:val="21"/>
                <w:highlight w:val="none"/>
                <w:lang w:eastAsia="zh-CN"/>
              </w:rPr>
              <w:t xml:space="preserve">。</w:t>
            </w:r>
            <w:r>
              <w:rPr>
                <w:rFonts w:hint="eastAsia"/>
                <w:color w:val="000000"/>
                <w:sz w:val="21"/>
                <w:szCs w:val="21"/>
                <w:highlight w:val="none"/>
                <w:lang w:val="en-US" w:bidi="ar-SA"/>
              </w:rPr>
              <w:t xml:space="preserve">以上每项内容逐项评分：</w:t>
            </w:r>
            <w:r>
              <w:rPr>
                <w:color w:val="000000"/>
                <w:sz w:val="21"/>
                <w:szCs w:val="21"/>
                <w:lang w:val="en-US" w:bidi="ar-SA"/>
              </w:rPr>
            </w:r>
            <w:r/>
          </w:p>
          <w:p>
            <w:pPr>
              <w:pStyle w:val="871"/>
              <w:rPr>
                <w:color w:val="000000"/>
                <w:lang w:val="en-US"/>
              </w:rPr>
            </w:pPr>
            <w:r>
              <w:rPr>
                <w:rFonts w:hint="eastAsia"/>
                <w:color w:val="000000"/>
              </w:rPr>
              <w:t xml:space="preserve">方案内容</w:t>
            </w:r>
            <w:r>
              <w:rPr>
                <w:rFonts w:hint="eastAsia"/>
                <w:color w:val="000000"/>
                <w:lang w:val="en-US" w:eastAsia="zh-CN"/>
              </w:rPr>
              <w:t xml:space="preserve">完整、清晰</w:t>
            </w:r>
            <w:r>
              <w:rPr>
                <w:rFonts w:hint="eastAsia"/>
                <w:color w:val="000000"/>
              </w:rPr>
              <w:t xml:space="preserve">，</w:t>
            </w:r>
            <w:r>
              <w:rPr>
                <w:rFonts w:hint="eastAsia"/>
                <w:color w:val="000000"/>
                <w:lang w:val="en-US" w:eastAsia="zh-CN"/>
              </w:rPr>
              <w:t xml:space="preserve">具有一定的</w:t>
            </w:r>
            <w:r>
              <w:rPr>
                <w:rFonts w:hint="eastAsia"/>
                <w:color w:val="000000"/>
              </w:rPr>
              <w:t xml:space="preserve">针对性</w:t>
            </w:r>
            <w:r>
              <w:rPr>
                <w:rFonts w:hint="eastAsia"/>
                <w:color w:val="000000"/>
                <w:lang w:eastAsia="zh-CN"/>
              </w:rPr>
              <w:t xml:space="preserve">、</w:t>
            </w:r>
            <w:r>
              <w:rPr>
                <w:rFonts w:hint="eastAsia"/>
                <w:color w:val="000000"/>
                <w:lang w:val="en-US" w:eastAsia="zh-CN"/>
              </w:rPr>
              <w:t xml:space="preserve">合理性</w:t>
            </w:r>
            <w:r>
              <w:rPr>
                <w:rFonts w:hint="eastAsia"/>
                <w:color w:val="000000"/>
              </w:rPr>
              <w:t xml:space="preserve">，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871"/>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4"/>
                <w:highlight w:val="none"/>
                <w:lang w:eastAsia="zh-CN"/>
              </w:rPr>
              <w:t xml:space="preserve">主观分</w:t>
            </w:r>
            <w:r>
              <w:rPr>
                <w:rFonts w:ascii="宋体" w:hAnsi="宋体" w:eastAsia="宋体" w:cs="宋体"/>
                <w:color w:val="000000"/>
                <w:highlight w:val="none"/>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2.3</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olor w:val="000000"/>
                <w:szCs w:val="21"/>
              </w:rPr>
              <w:t xml:space="preserve">页面优化方案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ascii="宋体" w:hAnsi="宋体"/>
                <w:color w:val="000000"/>
                <w:szCs w:val="21"/>
              </w:rPr>
              <w:t xml:space="preserve">页面布局</w:t>
            </w:r>
            <w:r>
              <w:rPr>
                <w:rFonts w:hint="eastAsia" w:ascii="宋体" w:hAnsi="宋体"/>
                <w:color w:val="000000"/>
                <w:szCs w:val="21"/>
                <w:lang w:eastAsia="zh-CN"/>
              </w:rPr>
              <w:t xml:space="preserve">、</w:t>
            </w:r>
            <w:r>
              <w:rPr>
                <w:rFonts w:hint="eastAsia" w:ascii="宋体" w:hAnsi="宋体"/>
                <w:color w:val="000000"/>
                <w:szCs w:val="21"/>
              </w:rPr>
              <w:t xml:space="preserve">信息分区</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组件标准化、多终端适配</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性能优化措施</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rFonts w:ascii="宋体" w:hAnsi="宋体" w:eastAsia="宋体" w:cs="宋体"/>
                <w:color w:val="000000"/>
                <w:spacing w:val="1"/>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zh-CN"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sz w:val="21"/>
                <w:szCs w:val="22"/>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2.4</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olor w:val="000000"/>
                <w:szCs w:val="21"/>
              </w:rPr>
              <w:t xml:space="preserve">智能报告建设方案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ascii="宋体" w:hAnsi="宋体"/>
                <w:color w:val="000000"/>
                <w:szCs w:val="21"/>
              </w:rPr>
              <w:t xml:space="preserve">六类报告的数据来源</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六类报告的</w:t>
            </w:r>
            <w:r>
              <w:rPr>
                <w:rFonts w:hint="eastAsia" w:ascii="宋体" w:hAnsi="宋体"/>
                <w:color w:val="000000"/>
                <w:szCs w:val="21"/>
              </w:rPr>
              <w:t xml:space="preserve">算法模型</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六类报告的</w:t>
            </w:r>
            <w:r>
              <w:rPr>
                <w:rFonts w:hint="eastAsia" w:ascii="宋体" w:hAnsi="宋体"/>
                <w:color w:val="000000"/>
                <w:szCs w:val="21"/>
              </w:rPr>
              <w:t xml:space="preserve">指标体系</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六类报告的</w:t>
            </w:r>
            <w:r>
              <w:rPr>
                <w:rFonts w:hint="eastAsia" w:ascii="宋体" w:hAnsi="宋体"/>
                <w:color w:val="000000"/>
                <w:szCs w:val="21"/>
              </w:rPr>
              <w:t xml:space="preserve">结构</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sz w:val="21"/>
                <w:szCs w:val="22"/>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2.5</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olor w:val="000000"/>
                <w:szCs w:val="21"/>
              </w:rPr>
              <w:t xml:space="preserve">招生智能体技术方案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ascii="宋体" w:hAnsi="宋体"/>
                <w:color w:val="000000"/>
                <w:szCs w:val="21"/>
              </w:rPr>
              <w:t xml:space="preserve">RAG检索方案</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知识库建设</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安全与合规措施</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sz w:val="21"/>
                <w:szCs w:val="22"/>
                <w:highlight w:val="none"/>
                <w:lang w:val="en-US" w:eastAsia="zh-CN" w:bidi="ar-SA"/>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2.6</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w:t>
            </w:r>
            <w:r>
              <w:rPr>
                <w:rFonts w:hint="eastAsia"/>
                <w:color w:val="000000"/>
                <w:sz w:val="21"/>
                <w:szCs w:val="21"/>
                <w:highlight w:val="none"/>
                <w:lang w:val="en-US" w:bidi="ar-SA"/>
              </w:rPr>
              <w:t xml:space="preserve">含：</w:t>
            </w:r>
            <w:r>
              <w:rPr>
                <w:rFonts w:hint="eastAsia"/>
                <w:szCs w:val="21"/>
                <w:highlight w:val="none"/>
              </w:rPr>
              <w:t xml:space="preserve">1.</w:t>
            </w:r>
            <w:r>
              <w:rPr>
                <w:rFonts w:hint="eastAsia" w:ascii="宋体" w:hAnsi="宋体"/>
                <w:color w:val="000000"/>
                <w:szCs w:val="21"/>
                <w:highlight w:val="none"/>
              </w:rPr>
              <w:t xml:space="preserve">项目实施计划与里程碑安排</w:t>
            </w:r>
            <w:r>
              <w:rPr>
                <w:rFonts w:hint="eastAsia"/>
                <w:szCs w:val="21"/>
                <w:highlight w:val="none"/>
              </w:rPr>
              <w:t xml:space="preserve">；2.</w:t>
            </w:r>
            <w:r>
              <w:rPr>
                <w:rFonts w:hint="eastAsia" w:ascii="宋体" w:hAnsi="宋体"/>
                <w:color w:val="000000"/>
                <w:szCs w:val="21"/>
                <w:highlight w:val="none"/>
              </w:rPr>
              <w:t xml:space="preserve">风险识别与应对措施</w:t>
            </w:r>
            <w:r>
              <w:rPr>
                <w:rFonts w:hint="eastAsia"/>
                <w:szCs w:val="21"/>
                <w:highlight w:val="none"/>
              </w:rPr>
              <w:t xml:space="preserve">；3.</w:t>
            </w:r>
            <w:r>
              <w:rPr>
                <w:rFonts w:hint="eastAsia" w:ascii="宋体" w:hAnsi="宋体"/>
                <w:color w:val="000000"/>
                <w:szCs w:val="21"/>
                <w:highlight w:val="none"/>
              </w:rPr>
              <w:t xml:space="preserve">试运行</w:t>
            </w:r>
            <w:r>
              <w:rPr>
                <w:rFonts w:hint="eastAsia" w:ascii="宋体" w:hAnsi="宋体"/>
                <w:color w:val="000000"/>
                <w:szCs w:val="21"/>
                <w:highlight w:val="none"/>
                <w:lang w:val="en-US" w:eastAsia="zh-CN"/>
              </w:rPr>
              <w:t xml:space="preserve">安排</w:t>
            </w:r>
            <w:r>
              <w:rPr>
                <w:rFonts w:hint="eastAsia" w:ascii="宋体" w:hAnsi="宋体"/>
                <w:color w:val="000000"/>
                <w:szCs w:val="21"/>
                <w:highlight w:val="none"/>
              </w:rPr>
              <w:t xml:space="preserve">与</w:t>
            </w:r>
            <w:r>
              <w:rPr>
                <w:rFonts w:hint="eastAsia" w:ascii="宋体" w:hAnsi="宋体"/>
                <w:color w:val="000000"/>
                <w:szCs w:val="21"/>
                <w:highlight w:val="none"/>
                <w:lang w:val="en-US" w:eastAsia="zh-CN"/>
              </w:rPr>
              <w:t xml:space="preserve">配合</w:t>
            </w:r>
            <w:r>
              <w:rPr>
                <w:rFonts w:hint="eastAsia" w:ascii="宋体" w:hAnsi="宋体"/>
                <w:color w:val="000000"/>
                <w:szCs w:val="21"/>
                <w:highlight w:val="none"/>
              </w:rPr>
              <w:t xml:space="preserve">验收</w:t>
            </w:r>
            <w:r>
              <w:rPr>
                <w:rFonts w:hint="eastAsia" w:ascii="宋体" w:hAnsi="宋体"/>
                <w:color w:val="000000"/>
                <w:szCs w:val="21"/>
                <w:highlight w:val="none"/>
                <w:lang w:val="en-US" w:eastAsia="zh-CN"/>
              </w:rPr>
              <w:t xml:space="preserve">措施</w:t>
            </w:r>
            <w:r>
              <w:rPr>
                <w:rFonts w:hint="eastAsia" w:ascii="宋体" w:hAnsi="宋体"/>
                <w:color w:val="000000"/>
                <w:szCs w:val="21"/>
                <w:highlight w:val="none"/>
              </w:rPr>
              <w:t xml:space="preserve">；4.与学校现有系统及数据中台对接的实施路径</w:t>
            </w:r>
            <w:r>
              <w:rPr>
                <w:rFonts w:hint="eastAsia"/>
                <w:szCs w:val="21"/>
                <w:highlight w:val="none"/>
              </w:rPr>
              <w:t xml:space="preserve">。</w:t>
            </w:r>
            <w:r>
              <w:rPr>
                <w:rFonts w:hint="eastAsia" w:ascii="Times New Roman" w:hAnsi="Times New Roman" w:eastAsia="宋体" w:cs="Times New Roman"/>
                <w:color w:val="000000"/>
                <w:sz w:val="21"/>
                <w:szCs w:val="21"/>
                <w:highlight w:val="none"/>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w:t>
            </w:r>
            <w:r>
              <w:rPr>
                <w:rFonts w:hint="eastAsia" w:ascii="Times New Roman" w:hAnsi="Times New Roman" w:eastAsia="宋体" w:cs="Times New Roman"/>
                <w:color w:val="000000"/>
                <w:lang w:val="en-US" w:eastAsia="zh-CN"/>
              </w:rPr>
              <w:t xml:space="preserve">具有</w:t>
            </w:r>
            <w:r>
              <w:rPr>
                <w:rFonts w:ascii="Times New Roman" w:hAnsi="Times New Roman" w:eastAsia="宋体" w:cs="Times New Roman"/>
                <w:color w:val="000000"/>
                <w:lang w:val="en-US" w:eastAsia="zh-CN"/>
              </w:rPr>
              <w:t xml:space="preserve">可行性</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0"/>
              <w:ind w:left="0" w:right="0"/>
              <w:rPr>
                <w:rFonts w:hint="eastAsia" w:ascii="宋体" w:hAnsi="宋体" w:eastAsia="宋体" w:cs="宋体"/>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ff"/>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ff"/>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ff"/>
                <w:spacing w:val="-6"/>
                <w:highlight w:val="none"/>
                <w:lang w:val="en-US" w:eastAsia="zh-CN"/>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ff"/>
                <w:spacing w:val="-6"/>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2.7</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评委根据供应商提供的演示内容（总演示时间不超</w:t>
            </w:r>
            <w:r>
              <w:rPr>
                <w:rFonts w:hint="eastAsia" w:ascii="宋体" w:hAnsi="宋体" w:eastAsia="宋体" w:cs="宋体"/>
                <w:color w:val="000000"/>
                <w:sz w:val="21"/>
                <w:szCs w:val="21"/>
                <w:lang w:val="en-US" w:eastAsia="zh-CN"/>
              </w:rPr>
              <w:t xml:space="preserve">过15分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一、可视化引擎</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1.数据源管理——支持统一接入数据库、接口等各类校内外数据，可在线新增、配置、启停和管理数据源，为大屏展示提供统一数据底座。</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2.数据集管理——通过编写查询和配置转换规则，将原始数据加工成可复用的标准数据集，支持在线预览验证，随取随用。</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3.可视化拖拽——提供拖拽式大屏设计器，无需写代码即可将柱状图、饼图、地图等组件自由拖入画布布局，快速搭建数据可视化大屏。</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 二、学生智能成长报告</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4.七大维度展示——一屏完整呈现学生学业表现、行为出勤、校园生活、奖惩荣誉、线上学习、图书借阅、职业发展倾向七个方面的成长画像，并与班级、系部平均水平自动对比。</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5.学期/学年自动生成——系统按学期、学年自动汇聚学生全量数据一键生成成长报告，无需人工统计，并可按学生、系部、年级批量生成和下载。</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6.个性化建议——根据各维度得分自动给出针对性提升建议和风险预警提示，如学业帮扶、证书考取、阅读计划等，每个学生各不相同、可直接落地执行。</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三、教师智能分析报告</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7.五大维度展示——全方位呈现教师教学工作量、教学效果、教研科研、荣誉发展、学生评价五个方面的表现，课时、合格率、课题论文、评教得分等一目了然。</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8.三级报告自动生成——一键自动生成教师个人、教研室、师资队伍三级分析报告，逐层下钻查看，支持批量导出，为教师发展和队伍建设提供依据。</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9.量化数据支撑——报告所有结论均以量化指标为依据，通过加权指数、历年趋势、横向对比和五维雷达图直观呈现，并自动给出发展阶段判定与提升建议。</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 四、招生智能体</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10.智能问答——考生和家长用自然语言即可咨询招生政策、专业、分数线、住宿等问题，系统秒级作答并注明答案出处，回答准确可信、24小时在线。</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11.个性化咨询——学校可自主上传招生章程、专业介绍、资助政策等资料，智能体据此为每位考生提供贴合个人需求的专属解答，内容学校说了算、随时可更新。</w:t>
            </w:r>
            <w:r>
              <w:rPr>
                <w:rFonts w:hint="eastAsia" w:ascii="宋体" w:hAnsi="宋体" w:eastAsia="宋体" w:cs="宋体"/>
                <w:color w:val="000000"/>
                <w:spacing w:val="-2"/>
                <w:sz w:val="21"/>
                <w:szCs w:val="22"/>
                <w:highlight w:val="none"/>
                <w:lang w:val="en-US" w:eastAsia="zh-CN" w:bidi="ar-SA"/>
              </w:rPr>
            </w:r>
            <w:r/>
          </w:p>
          <w:p>
            <w:pPr>
              <w:pStyle w:val="871"/>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12.趋势分析——自动统计考生咨询热点、历年招生计划与录取趋势、生源地区分布，以图表直观呈现，为招生宣传和计划制定提供数据支撑。</w:t>
            </w:r>
            <w:r>
              <w:rPr>
                <w:rFonts w:hint="eastAsia" w:ascii="宋体" w:hAnsi="宋体" w:eastAsia="宋体" w:cs="宋体"/>
                <w:color w:val="000000"/>
                <w:spacing w:val="-2"/>
                <w:sz w:val="21"/>
                <w:szCs w:val="22"/>
                <w:highlight w:val="none"/>
                <w:lang w:val="en-US" w:eastAsia="zh-CN" w:bidi="ar-SA"/>
              </w:rPr>
            </w:r>
            <w:r/>
          </w:p>
          <w:p>
            <w:pPr>
              <w:pStyle w:val="871"/>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类似</w:t>
            </w:r>
            <w:r>
              <w:rPr>
                <w:rFonts w:ascii="宋体" w:hAnsi="宋体" w:eastAsia="宋体" w:cs="宋体"/>
                <w:color w:val="000000"/>
                <w:sz w:val="21"/>
                <w:szCs w:val="21"/>
                <w:lang w:val="en-US" w:eastAsia="zh-CN"/>
              </w:rPr>
              <w:t xml:space="preserve">真实系统演示，建设内容完整、准确</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界面友好的，得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分；建设内容完整性、准确性、界面友好均</w:t>
            </w:r>
            <w:r>
              <w:rPr>
                <w:rFonts w:hint="eastAsia" w:ascii="宋体" w:hAnsi="宋体" w:eastAsia="宋体" w:cs="宋体"/>
                <w:color w:val="000000"/>
                <w:sz w:val="21"/>
                <w:szCs w:val="21"/>
                <w:lang w:val="en-US" w:eastAsia="zh-CN"/>
              </w:rPr>
              <w:t xml:space="preserve">基本满足要求</w:t>
            </w:r>
            <w:r>
              <w:rPr>
                <w:rFonts w:ascii="宋体" w:hAnsi="宋体" w:eastAsia="宋体" w:cs="宋体"/>
                <w:color w:val="000000"/>
                <w:sz w:val="21"/>
                <w:szCs w:val="21"/>
                <w:lang w:val="en-US" w:eastAsia="zh-CN"/>
              </w:rPr>
              <w:t xml:space="preserve">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非类似</w:t>
            </w:r>
            <w:r>
              <w:rPr>
                <w:rFonts w:ascii="宋体" w:hAnsi="宋体" w:eastAsia="宋体" w:cs="宋体"/>
                <w:color w:val="000000"/>
                <w:sz w:val="21"/>
                <w:szCs w:val="21"/>
                <w:lang w:val="en-US" w:eastAsia="zh-CN"/>
              </w:rPr>
              <w:t xml:space="preserve">真实系统</w:t>
            </w:r>
            <w:r>
              <w:rPr>
                <w:rFonts w:hint="eastAsia" w:ascii="宋体" w:hAnsi="宋体" w:eastAsia="宋体" w:cs="宋体"/>
                <w:color w:val="000000"/>
                <w:sz w:val="21"/>
                <w:szCs w:val="21"/>
                <w:lang w:val="en-US" w:eastAsia="zh-CN"/>
              </w:rPr>
              <w:t xml:space="preserve">（如</w:t>
            </w:r>
            <w:r>
              <w:rPr>
                <w:rFonts w:ascii="宋体" w:hAnsi="宋体" w:eastAsia="宋体" w:cs="宋体"/>
                <w:color w:val="000000"/>
                <w:sz w:val="21"/>
                <w:szCs w:val="21"/>
                <w:lang w:val="en-US" w:eastAsia="zh-CN"/>
              </w:rPr>
              <w:t xml:space="preserve">DEMO</w:t>
            </w:r>
            <w:r>
              <w:rPr>
                <w:rFonts w:hint="eastAsia" w:ascii="宋体" w:hAnsi="宋体" w:eastAsia="宋体" w:cs="宋体"/>
                <w:color w:val="000000"/>
                <w:sz w:val="21"/>
                <w:szCs w:val="21"/>
                <w:lang w:val="en-US" w:eastAsia="zh-CN"/>
              </w:rPr>
              <w:t xml:space="preserve">、PPT</w:t>
            </w:r>
            <w:r>
              <w:rPr>
                <w:rFonts w:ascii="宋体" w:hAnsi="宋体" w:eastAsia="宋体" w:cs="宋体"/>
                <w:color w:val="000000"/>
                <w:sz w:val="21"/>
                <w:szCs w:val="21"/>
                <w:lang w:val="en-US" w:eastAsia="zh-CN"/>
              </w:rPr>
              <w:t xml:space="preserve">等方式</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演示</w:t>
            </w:r>
            <w:r>
              <w:rPr>
                <w:rFonts w:hint="eastAsia" w:ascii="宋体" w:hAnsi="宋体" w:eastAsia="宋体" w:cs="宋体"/>
                <w:color w:val="000000"/>
                <w:sz w:val="21"/>
                <w:szCs w:val="21"/>
                <w:lang w:val="en-US" w:eastAsia="zh-CN"/>
              </w:rPr>
              <w:t xml:space="preserve">，得对应一半分值</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rPr>
            </w:r>
            <w:r/>
          </w:p>
          <w:p>
            <w:pPr>
              <w:pStyle w:val="871"/>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本项最多</w:t>
            </w: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rPr>
              <w:t xml:space="preserve">分，采用非真实系统（如：D</w:t>
            </w:r>
            <w:r>
              <w:rPr>
                <w:rFonts w:ascii="宋体" w:hAnsi="宋体" w:eastAsia="宋体" w:cs="宋体"/>
                <w:color w:val="000000"/>
                <w:sz w:val="21"/>
                <w:szCs w:val="21"/>
                <w:lang w:val="en-US" w:eastAsia="zh-CN" w:bidi="ar-SA"/>
              </w:rPr>
              <w:t xml:space="preserve">EMO、PPT等方式）演示最多</w:t>
            </w: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分，建设内容不完整、不准确、界面不友好或未提供演示本项不得分。</w:t>
            </w:r>
            <w:r>
              <w:rPr>
                <w:rFonts w:ascii="宋体" w:hAnsi="宋体" w:eastAsia="宋体" w:cs="宋体"/>
                <w:color w:val="000000"/>
                <w:sz w:val="21"/>
                <w:szCs w:val="21"/>
                <w:lang w:val="en-US" w:eastAsia="zh-CN" w:bidi="ar-SA"/>
              </w:rPr>
            </w:r>
            <w:r/>
          </w:p>
          <w:p>
            <w:pPr>
              <w:pStyle w:val="871"/>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ascii="宋体" w:hAnsi="宋体" w:eastAsia="宋体" w:cs="宋体"/>
                <w:color w:val="000000"/>
                <w:spacing w:val="-6"/>
                <w:highlight w:val="none"/>
                <w:lang w:val="en-US"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szCs w:val="21"/>
              </w:rPr>
              <w:t xml:space="preserve">1.</w:t>
            </w:r>
            <w:r>
              <w:rPr>
                <w:rFonts w:hint="eastAsia" w:ascii="宋体" w:hAnsi="宋体"/>
                <w:szCs w:val="21"/>
              </w:rPr>
              <w:t xml:space="preserve">故障分级处置机制</w:t>
            </w:r>
            <w:r>
              <w:rPr>
                <w:rFonts w:hint="eastAsia"/>
                <w:szCs w:val="21"/>
              </w:rPr>
              <w:t xml:space="preserve">；2.</w:t>
            </w:r>
            <w:r>
              <w:rPr>
                <w:rFonts w:hint="eastAsia" w:ascii="宋体" w:hAnsi="宋体"/>
                <w:szCs w:val="21"/>
              </w:rPr>
              <w:t xml:space="preserve">运维服务方式与人员安排</w:t>
            </w:r>
            <w:r>
              <w:rPr>
                <w:rFonts w:hint="eastAsia"/>
                <w:szCs w:val="21"/>
              </w:rPr>
              <w:t xml:space="preserve">；3.</w:t>
            </w:r>
            <w:r>
              <w:rPr>
                <w:rFonts w:hint="eastAsia" w:ascii="宋体" w:hAnsi="宋体"/>
                <w:szCs w:val="21"/>
              </w:rPr>
              <w:t xml:space="preserve">应急预案</w:t>
            </w:r>
            <w:r>
              <w:rPr>
                <w:rFonts w:hint="eastAsia"/>
                <w:szCs w:val="21"/>
              </w:rPr>
              <w:t xml:space="preserve">；4.</w:t>
            </w:r>
            <w:r>
              <w:rPr>
                <w:rFonts w:hint="eastAsia" w:ascii="宋体" w:hAnsi="宋体"/>
                <w:szCs w:val="21"/>
              </w:rPr>
              <w:t xml:space="preserve">驻场/远程支持安排</w:t>
            </w:r>
            <w:r>
              <w:rPr>
                <w:rFonts w:hint="eastAsia"/>
                <w:szCs w:val="21"/>
              </w:rPr>
              <w:t xml:space="preserve">。</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w:t>
            </w:r>
            <w:r>
              <w:rPr>
                <w:rFonts w:hint="eastAsia" w:ascii="Times New Roman" w:hAnsi="Times New Roman" w:eastAsia="宋体" w:cs="Times New Roman"/>
                <w:color w:val="000000"/>
                <w:lang w:val="en-US" w:eastAsia="zh-CN"/>
              </w:rPr>
              <w:t xml:space="preserve">具有可</w:t>
            </w:r>
            <w:r>
              <w:rPr>
                <w:rFonts w:ascii="Times New Roman" w:hAnsi="Times New Roman" w:eastAsia="宋体" w:cs="Times New Roman"/>
                <w:color w:val="000000"/>
                <w:lang w:val="en-US" w:eastAsia="zh-CN"/>
              </w:rPr>
              <w:t xml:space="preserve">操作性</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：1.培训内容；2.培训日程安排、培训地点、</w:t>
            </w:r>
            <w:r>
              <w:rPr>
                <w:rFonts w:hint="eastAsia" w:ascii="Times New Roman" w:hAnsi="Times New Roman" w:eastAsia="宋体" w:cs="Times New Roman"/>
                <w:color w:val="000000"/>
                <w:sz w:val="21"/>
                <w:szCs w:val="21"/>
                <w:lang w:val="en-US" w:eastAsia="zh-CN" w:bidi="ar-SA"/>
              </w:rPr>
              <w:t xml:space="preserve">培训时长</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eastAsia="zh-CN" w:bidi="ar-SA"/>
              </w:rPr>
              <w:t xml:space="preserve">培训质量保障</w:t>
            </w:r>
            <w:r>
              <w:rPr>
                <w:rFonts w:hint="eastAsia" w:ascii="宋体" w:hAnsi="宋体"/>
                <w:color w:val="000000"/>
                <w:szCs w:val="21"/>
              </w:rPr>
              <w:t xml:space="preserve">与后续支持</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w:t>
            </w:r>
            <w:r>
              <w:rPr>
                <w:rFonts w:hint="eastAsia" w:ascii="Times New Roman" w:hAnsi="Times New Roman" w:eastAsia="宋体" w:cs="Times New Roman"/>
                <w:color w:val="000000"/>
                <w:lang w:val="en-US" w:eastAsia="zh-CN"/>
              </w:rPr>
              <w:t xml:space="preserve">具有可</w:t>
            </w:r>
            <w:r>
              <w:rPr>
                <w:rFonts w:ascii="Times New Roman" w:hAnsi="Times New Roman" w:eastAsia="宋体" w:cs="Times New Roman"/>
                <w:color w:val="000000"/>
                <w:lang w:val="en-US" w:eastAsia="zh-CN"/>
              </w:rPr>
              <w:t xml:space="preserve">操作性</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ascii="宋体" w:hAnsi="宋体" w:eastAsia="宋体" w:cs="宋体"/>
                <w:color w:val="000000"/>
                <w:spacing w:val="-6"/>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highlight w:val="none"/>
                <w:lang w:val="en-US" w:eastAsia="zh-CN"/>
              </w:rPr>
              <w:t xml:space="preserve">供应商提供</w:t>
            </w:r>
            <w:r>
              <w:rPr>
                <w:rFonts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t xml:space="preserve">23</w:t>
            </w:r>
            <w:r>
              <w:rPr>
                <w:rFonts w:ascii="宋体" w:hAnsi="宋体" w:eastAsia="宋体" w:cs="宋体"/>
                <w:color w:val="000000"/>
                <w:highlight w:val="none"/>
                <w:lang w:val="en-US" w:eastAsia="zh-CN"/>
              </w:rPr>
              <w:t xml:space="preserve">年</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月</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日（含）以来类似项目业绩</w:t>
            </w:r>
            <w:r>
              <w:rPr>
                <w:rFonts w:hint="eastAsia" w:ascii="宋体" w:hAnsi="宋体" w:eastAsia="宋体" w:cs="宋体"/>
                <w:color w:val="000000"/>
                <w:highlight w:val="none"/>
                <w:lang w:val="en-US" w:eastAsia="zh-CN"/>
              </w:rPr>
              <w:t xml:space="preserve">（至少包含大数据平台开发或运维）</w:t>
            </w:r>
            <w:r>
              <w:rPr>
                <w:rFonts w:ascii="宋体" w:hAnsi="宋体" w:eastAsia="宋体" w:cs="宋体"/>
                <w:color w:val="000000"/>
                <w:highlight w:val="none"/>
                <w:lang w:val="en-US" w:eastAsia="zh-CN"/>
              </w:rPr>
              <w:t xml:space="preserve">，每提供</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个得</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分。</w:t>
            </w:r>
            <w:r>
              <w:rPr>
                <w:rFonts w:ascii="宋体" w:hAnsi="宋体" w:eastAsia="宋体" w:cs="宋体"/>
                <w:color w:val="000000"/>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highlight w:val="none"/>
                <w:lang w:val="en-US" w:eastAsia="zh-CN"/>
              </w:rPr>
              <w:t xml:space="preserve">提供有效合同，合同</w:t>
            </w:r>
            <w:r>
              <w:rPr>
                <w:rFonts w:hint="eastAsia" w:ascii="宋体" w:hAnsi="宋体" w:eastAsia="宋体" w:cs="宋体"/>
                <w:color w:val="000000"/>
                <w:highlight w:val="none"/>
                <w:lang w:val="en-US" w:eastAsia="zh-CN"/>
              </w:rPr>
              <w:t xml:space="preserve">页</w:t>
            </w:r>
            <w:r>
              <w:rPr>
                <w:rFonts w:ascii="宋体" w:hAnsi="宋体" w:eastAsia="宋体" w:cs="宋体"/>
                <w:color w:val="000000"/>
                <w:highlight w:val="none"/>
                <w:lang w:val="en-US" w:eastAsia="zh-CN"/>
              </w:rPr>
              <w:t xml:space="preserve">须清晰可见相应内容</w:t>
            </w:r>
            <w:r>
              <w:rPr>
                <w:rFonts w:ascii="宋体" w:hAnsi="宋体" w:eastAsia="宋体" w:cs="宋体"/>
                <w:color w:val="000000"/>
                <w:sz w:val="21"/>
                <w:szCs w:val="22"/>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highlight w:val="none"/>
              </w:rPr>
            </w:pPr>
            <w:r>
              <w:rPr>
                <w:rFonts w:ascii="宋体" w:hAnsi="宋体" w:eastAsia="宋体" w:cs="宋体"/>
                <w:spacing w:val="-3"/>
                <w:highlight w:val="none"/>
              </w:rPr>
              <w:t xml:space="preserve">合</w:t>
            </w:r>
            <w:r>
              <w:rPr>
                <w:rFonts w:ascii="宋体" w:hAnsi="宋体" w:eastAsia="宋体" w:cs="宋体"/>
                <w:spacing w:val="-2"/>
                <w:highlight w:val="none"/>
              </w:rPr>
              <w:t xml:space="preserve">计</w:t>
            </w:r>
            <w:r>
              <w:rPr>
                <w:color w:val="ff0000"/>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highlight w:val="none"/>
              </w:rPr>
            </w:pPr>
            <w:r>
              <w:rPr>
                <w:rFonts w:ascii="宋体" w:hAnsi="宋体" w:eastAsia="宋体" w:cs="宋体"/>
                <w:color w:val="ff0000"/>
                <w:spacing w:val="-2"/>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871"/>
        <w:keepLines w:val="0"/>
        <w:keepNext w:val="0"/>
        <w:pageBreakBefore w:val="0"/>
        <w:spacing w:line="264" w:lineRule="auto"/>
        <w:widowControl w:val="off"/>
        <w:rPr>
          <w:rFonts w:hint="eastAsia"/>
          <w:highlight w:val="none"/>
        </w:rPr>
      </w:pPr>
      <w:r>
        <w:rPr>
          <w:rFonts w:hint="eastAsia"/>
          <w:highlight w:val="none"/>
        </w:rPr>
      </w:r>
      <w:r/>
    </w:p>
    <w:p>
      <w:pPr>
        <w:pStyle w:val="871"/>
        <w:keepLines w:val="0"/>
        <w:keepNext w:val="0"/>
        <w:pageBreakBefore w:val="0"/>
        <w:spacing w:line="288" w:lineRule="auto"/>
        <w:widowControl w:val="off"/>
        <w:rPr>
          <w:rFonts w:hint="eastAsia"/>
          <w:highlight w:val="none"/>
        </w:rPr>
      </w:pPr>
      <w:r>
        <w:rPr>
          <w:rFonts w:hint="eastAsia"/>
          <w:highlight w:val="none"/>
        </w:rPr>
      </w:r>
      <w:r/>
    </w:p>
    <w:p>
      <w:pPr>
        <w:pStyle w:val="953"/>
        <w:keepLines w:val="0"/>
        <w:keepNext w:val="0"/>
        <w:pageBreakBefore w:val="0"/>
        <w:spacing w:line="288" w:lineRule="auto"/>
        <w:widowControl w:val="off"/>
        <w:rPr>
          <w:rFonts w:hint="eastAsia"/>
          <w:highlight w:val="none"/>
        </w:rPr>
      </w:pPr>
      <w:r>
        <w:rPr>
          <w:rFonts w:hint="eastAsia"/>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90"/>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rPr>
          <w:rFonts w:hint="eastAsia" w:ascii="宋体" w:hAnsi="宋体"/>
          <w:b/>
          <w:sz w:val="72"/>
          <w:szCs w:val="21"/>
          <w:highlight w:val="none"/>
        </w:rPr>
      </w:pPr>
      <w:r/>
      <w:bookmarkStart w:id="92" w:name="_Hlt26671244"/>
      <w:r/>
      <w:bookmarkEnd w:id="92"/>
      <w:r/>
      <w:bookmarkStart w:id="93" w:name="_Hlt26955039"/>
      <w:r/>
      <w:bookmarkEnd w:id="93"/>
      <w:r/>
      <w:bookmarkStart w:id="94" w:name="_Toc120614282"/>
      <w:r/>
      <w:bookmarkStart w:id="95" w:name="_Toc49090576"/>
      <w:r/>
      <w:bookmarkStart w:id="96" w:name="_Toc26554094"/>
      <w:r>
        <w:rPr>
          <w:rFonts w:hint="eastAsia" w:ascii="宋体" w:hAnsi="宋体"/>
          <w:b/>
          <w:sz w:val="72"/>
          <w:szCs w:val="21"/>
          <w:highlight w:val="none"/>
        </w:rPr>
      </w:r>
      <w:r/>
    </w:p>
    <w:p>
      <w:pPr>
        <w:pStyle w:val="871"/>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71"/>
        <w:jc w:val="center"/>
        <w:rPr>
          <w:rFonts w:hint="eastAsia" w:ascii="宋体" w:hAnsi="宋体"/>
          <w:b/>
          <w:sz w:val="72"/>
          <w:szCs w:val="21"/>
          <w:highlight w:val="none"/>
        </w:rPr>
      </w:pPr>
      <w:r>
        <w:rPr>
          <w:rFonts w:hint="eastAsia" w:ascii="宋体" w:hAnsi="宋体"/>
          <w:b/>
          <w:sz w:val="72"/>
          <w:szCs w:val="21"/>
          <w:highlight w:val="none"/>
        </w:rPr>
      </w:r>
      <w:r/>
    </w:p>
    <w:p>
      <w:pPr>
        <w:pStyle w:val="871"/>
        <w:jc w:val="center"/>
        <w:rPr>
          <w:rFonts w:hint="eastAsia" w:ascii="宋体" w:hAnsi="宋体"/>
          <w:b/>
          <w:sz w:val="72"/>
          <w:szCs w:val="21"/>
          <w:highlight w:val="none"/>
        </w:rPr>
      </w:pPr>
      <w:r>
        <w:rPr>
          <w:rFonts w:hint="eastAsia" w:ascii="宋体" w:hAnsi="宋体"/>
          <w:b/>
          <w:sz w:val="72"/>
          <w:szCs w:val="21"/>
          <w:highlight w:val="none"/>
        </w:rPr>
      </w:r>
      <w:r/>
    </w:p>
    <w:p>
      <w:pPr>
        <w:pStyle w:val="871"/>
        <w:jc w:val="center"/>
        <w:rPr>
          <w:rFonts w:hint="eastAsia" w:ascii="宋体" w:hAnsi="宋体"/>
          <w:b/>
          <w:sz w:val="36"/>
          <w:szCs w:val="21"/>
          <w:highlight w:val="none"/>
        </w:rPr>
      </w:pPr>
      <w:r>
        <w:rPr>
          <w:rFonts w:hint="eastAsia" w:ascii="宋体" w:hAnsi="宋体"/>
          <w:b/>
          <w:sz w:val="36"/>
          <w:szCs w:val="21"/>
          <w:highlight w:val="none"/>
        </w:rPr>
      </w:r>
      <w:r/>
    </w:p>
    <w:p>
      <w:pPr>
        <w:pStyle w:val="871"/>
        <w:jc w:val="center"/>
        <w:rPr>
          <w:rFonts w:hint="eastAsia" w:ascii="宋体" w:hAnsi="宋体"/>
          <w:b/>
          <w:sz w:val="36"/>
          <w:szCs w:val="21"/>
          <w:highlight w:val="none"/>
        </w:rPr>
      </w:pPr>
      <w:r>
        <w:rPr>
          <w:rFonts w:hint="eastAsia" w:ascii="宋体" w:hAnsi="宋体"/>
          <w:b/>
          <w:sz w:val="36"/>
          <w:szCs w:val="21"/>
          <w:highlight w:val="none"/>
        </w:rPr>
      </w:r>
      <w:r/>
    </w:p>
    <w:p>
      <w:pPr>
        <w:pStyle w:val="871"/>
        <w:jc w:val="center"/>
        <w:rPr>
          <w:rFonts w:hint="eastAsia" w:ascii="宋体" w:hAnsi="宋体"/>
          <w:b/>
          <w:sz w:val="36"/>
          <w:szCs w:val="21"/>
          <w:highlight w:val="none"/>
        </w:rPr>
      </w:pPr>
      <w:r>
        <w:rPr>
          <w:rFonts w:hint="eastAsia" w:ascii="宋体" w:hAnsi="宋体"/>
          <w:b/>
          <w:sz w:val="36"/>
          <w:szCs w:val="21"/>
          <w:highlight w:val="none"/>
        </w:rPr>
      </w:r>
      <w:r/>
    </w:p>
    <w:p>
      <w:pPr>
        <w:pStyle w:val="871"/>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71"/>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71"/>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71"/>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7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1"/>
        <w:spacing w:line="440" w:lineRule="exact"/>
        <w:rPr>
          <w:rFonts w:ascii="宋体" w:hAnsi="宋体"/>
          <w:szCs w:val="21"/>
          <w:highlight w:val="none"/>
        </w:rPr>
      </w:pPr>
      <w:r>
        <w:rPr>
          <w:rFonts w:ascii="宋体" w:hAnsi="宋体"/>
          <w:szCs w:val="21"/>
          <w:highlight w:val="none"/>
        </w:rPr>
      </w:r>
      <w:r/>
    </w:p>
    <w:p>
      <w:pPr>
        <w:pStyle w:val="871"/>
        <w:jc w:val="both"/>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71"/>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1"/>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rPr>
      </w:r>
      <w:r/>
    </w:p>
    <w:p>
      <w:pPr>
        <w:pStyle w:val="871"/>
        <w:ind w:firstLine="480"/>
        <w:spacing w:line="440" w:lineRule="exact"/>
        <w:rPr>
          <w:rFonts w:ascii="宋体" w:hAnsi="宋体"/>
          <w:sz w:val="24"/>
          <w:szCs w:val="21"/>
          <w:highlight w:val="none"/>
        </w:rPr>
      </w:pPr>
      <w:r>
        <w:rPr>
          <w:rFonts w:ascii="宋体" w:hAnsi="宋体"/>
          <w:sz w:val="24"/>
          <w:szCs w:val="21"/>
          <w:highlight w:val="none"/>
        </w:rPr>
      </w:r>
      <w:r/>
    </w:p>
    <w:p>
      <w:pPr>
        <w:pStyle w:val="871"/>
        <w:ind w:firstLine="480"/>
        <w:spacing w:line="440" w:lineRule="exact"/>
        <w:rPr>
          <w:rFonts w:ascii="宋体" w:hAnsi="宋体"/>
          <w:sz w:val="24"/>
          <w:szCs w:val="21"/>
          <w:highlight w:val="none"/>
        </w:rPr>
      </w:pPr>
      <w:r>
        <w:rPr>
          <w:rFonts w:ascii="宋体" w:hAnsi="宋体"/>
          <w:sz w:val="24"/>
          <w:szCs w:val="21"/>
          <w:highlight w:val="none"/>
        </w:rPr>
      </w:r>
      <w:r/>
    </w:p>
    <w:p>
      <w:pPr>
        <w:pStyle w:val="871"/>
        <w:ind w:firstLine="480"/>
        <w:spacing w:line="440" w:lineRule="exact"/>
        <w:rPr>
          <w:rFonts w:ascii="宋体" w:hAnsi="宋体"/>
          <w:sz w:val="24"/>
          <w:szCs w:val="21"/>
          <w:highlight w:val="none"/>
        </w:rPr>
      </w:pPr>
      <w:r>
        <w:rPr>
          <w:rFonts w:ascii="宋体" w:hAnsi="宋体"/>
          <w:sz w:val="24"/>
          <w:szCs w:val="21"/>
          <w:highlight w:val="none"/>
        </w:rPr>
      </w:r>
      <w:r/>
    </w:p>
    <w:p>
      <w:pPr>
        <w:pStyle w:val="871"/>
        <w:ind w:firstLine="480"/>
        <w:spacing w:line="440" w:lineRule="exact"/>
        <w:rPr>
          <w:rFonts w:ascii="宋体" w:hAnsi="宋体"/>
          <w:sz w:val="24"/>
          <w:szCs w:val="21"/>
          <w:highlight w:val="none"/>
        </w:rPr>
      </w:pPr>
      <w:r>
        <w:rPr>
          <w:rFonts w:ascii="宋体" w:hAnsi="宋体"/>
          <w:sz w:val="24"/>
          <w:szCs w:val="21"/>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64"/>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7"/>
        <w:ind w:firstLine="0"/>
        <w:rPr>
          <w:rFonts w:hint="eastAsia"/>
          <w:highlight w:val="none"/>
        </w:rPr>
      </w:pPr>
      <w:r>
        <w:rPr>
          <w:rFonts w:hint="eastAsia"/>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w:t>
      </w:r>
      <w:r>
        <w:rPr>
          <w:rFonts w:hint="eastAsia" w:ascii="Times New Roman" w:hAnsi="Times New Roman" w:eastAsia="宋体" w:cs="Times New Roman"/>
          <w:bCs w:val="0"/>
          <w:sz w:val="24"/>
          <w:szCs w:val="24"/>
          <w:highlight w:val="none"/>
          <w:lang w:val="en-US" w:eastAsia="zh-CN"/>
        </w:rPr>
        <w:t xml:space="preserve">参加磋商</w:t>
      </w:r>
      <w:r>
        <w:rPr>
          <w:rFonts w:hint="eastAsia" w:ascii="Times New Roman" w:hAnsi="Times New Roman" w:eastAsia="宋体" w:cs="Times New Roman"/>
          <w:bCs w:val="0"/>
          <w:sz w:val="24"/>
          <w:szCs w:val="24"/>
          <w:highlight w:val="none"/>
          <w:lang w:eastAsia="zh-CN"/>
        </w:rPr>
        <w:t xml:space="preserve">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w:t>
      </w:r>
      <w:r>
        <w:rPr>
          <w:rFonts w:hint="eastAsia" w:ascii="Times New Roman" w:hAnsi="Times New Roman" w:eastAsia="宋体" w:cs="Times New Roman"/>
          <w:i w:val="0"/>
          <w:sz w:val="24"/>
          <w:szCs w:val="24"/>
          <w:highlight w:val="none"/>
          <w:u w:val="none"/>
        </w:rPr>
        <w:t xml:space="preserve">签章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w:t>
      </w:r>
      <w:r>
        <w:rPr>
          <w:rFonts w:hint="eastAsia" w:ascii="Times New Roman" w:hAnsi="Times New Roman" w:eastAsia="宋体" w:cs="Times New Roman"/>
          <w:i w:val="0"/>
          <w:sz w:val="24"/>
          <w:szCs w:val="24"/>
          <w:highlight w:val="none"/>
          <w:u w:val="none"/>
        </w:rPr>
        <w:t xml:space="preserve">签章</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94"/>
      <w:r/>
      <w:bookmarkEnd w:id="95"/>
      <w:r/>
      <w:bookmarkEnd w:id="96"/>
      <w:r/>
      <w:bookmarkStart w:id="97"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71"/>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Cs w:val="21"/>
          <w:highlight w:val="none"/>
        </w:rPr>
        <w:t xml:space="preserve">                    （采购人名称）</w:t>
      </w:r>
      <w:r>
        <w:rPr>
          <w:rFonts w:hint="eastAsia" w:ascii="宋体" w:hAnsi="宋体" w:eastAsia="宋体"/>
          <w:sz w:val="24"/>
          <w:szCs w:val="21"/>
          <w:highlight w:val="none"/>
          <w:lang w:eastAsia="zh-CN"/>
        </w:rPr>
      </w:r>
      <w:r/>
    </w:p>
    <w:p>
      <w:pPr>
        <w:pStyle w:val="966"/>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7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向贵方提供所需服务（包含与货物相关的服务及与服务相关的货物）。</w:t>
      </w:r>
      <w:r>
        <w:rPr>
          <w:rFonts w:hint="eastAsia" w:ascii="宋体" w:hAnsi="宋体"/>
          <w:sz w:val="24"/>
          <w:szCs w:val="21"/>
          <w:highlight w:val="none"/>
        </w:rPr>
      </w:r>
      <w:r/>
    </w:p>
    <w:p>
      <w:pPr>
        <w:pStyle w:val="87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7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7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交付贵方验收、使用。</w:t>
      </w:r>
      <w:r>
        <w:rPr>
          <w:rFonts w:hint="eastAsia" w:ascii="宋体" w:hAnsi="宋体" w:eastAsia="宋体" w:cs="Times New Roman"/>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66"/>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6"/>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1"/>
        <w:rPr>
          <w:rFonts w:hint="eastAsia" w:ascii="宋体" w:hAnsi="宋体"/>
          <w:szCs w:val="21"/>
          <w:highlight w:val="none"/>
        </w:rPr>
      </w:pPr>
      <w:r>
        <w:rPr>
          <w:rFonts w:hint="eastAsia" w:ascii="宋体" w:hAnsi="宋体"/>
          <w:szCs w:val="21"/>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71"/>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7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sz w:val="24"/>
          <w:szCs w:val="24"/>
          <w:highlight w:val="none"/>
        </w:rPr>
        <w:t xml:space="preserve">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rPr>
          <w:rFonts w:ascii="宋体" w:hAnsi="宋体"/>
          <w:sz w:val="24"/>
          <w:szCs w:val="24"/>
          <w:highlight w:val="none"/>
        </w:rPr>
      </w:pPr>
      <w:r>
        <w:rPr>
          <w:rFonts w:ascii="宋体" w:hAnsi="宋体"/>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71"/>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943"/>
        <w:ind w:firstLine="0"/>
        <w:rPr>
          <w:rFonts w:hint="eastAsia"/>
          <w:highlight w:val="none"/>
        </w:rPr>
      </w:pPr>
      <w:r>
        <w:rPr>
          <w:rFonts w:hint="eastAsia"/>
          <w:highlight w:val="none"/>
        </w:rPr>
      </w:r>
      <w:r/>
    </w:p>
    <w:p>
      <w:pPr>
        <w:pStyle w:val="953"/>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71"/>
        <w:rPr>
          <w:rFonts w:hint="eastAsia"/>
          <w:highlight w:val="none"/>
        </w:rPr>
      </w:pPr>
      <w:r>
        <w:rPr>
          <w:rFonts w:hint="eastAsia"/>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5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82"/>
      <w:r/>
      <w:bookmarkEnd w:id="83"/>
      <w:r/>
      <w:bookmarkEnd w:id="97"/>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rPr>
          <w:rFonts w:hint="eastAsia"/>
          <w:b/>
          <w:bCs/>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b/>
          <w:bCs/>
          <w:highlight w:val="none"/>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98" w:name="_Hlt26609391"/>
            <w:r/>
            <w:bookmarkEnd w:id="98"/>
            <w:r/>
            <w:bookmarkStart w:id="99" w:name="_Hlt26580838"/>
            <w:r/>
            <w:bookmarkEnd w:id="99"/>
            <w:r/>
            <w:bookmarkStart w:id="100" w:name="_Hlt26671343"/>
            <w:r/>
            <w:bookmarkEnd w:id="100"/>
            <w:r/>
            <w:bookmarkStart w:id="101" w:name="_Hlt24879081"/>
            <w:r/>
            <w:bookmarkEnd w:id="101"/>
            <w:r/>
            <w:bookmarkStart w:id="102" w:name="_Hlt26955056"/>
            <w:r/>
            <w:bookmarkEnd w:id="102"/>
            <w:r/>
            <w:bookmarkStart w:id="103" w:name="_Hlt26955064"/>
            <w:r/>
            <w:bookmarkEnd w:id="103"/>
            <w:r/>
            <w:bookmarkStart w:id="104" w:name="_Hlt26782999"/>
            <w:r/>
            <w:bookmarkEnd w:id="104"/>
            <w:r/>
            <w:bookmarkStart w:id="105" w:name="_Hlt26671372"/>
            <w:r/>
            <w:bookmarkEnd w:id="10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7"/>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highlight w:val="none"/>
        </w:rPr>
      </w:pPr>
      <w:r>
        <w:rPr>
          <w:highlight w:val="none"/>
        </w:rPr>
      </w:r>
      <w:r/>
    </w:p>
    <w:p>
      <w:pPr>
        <w:pStyle w:val="871"/>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eastAsia="宋体" w:cs="Times New Roman"/>
          <w:b/>
          <w:bCs/>
          <w:sz w:val="24"/>
          <w:szCs w:val="24"/>
          <w:highlight w:val="none"/>
          <w:lang w:eastAsia="zh-CN"/>
        </w:rPr>
        <w:t xml:space="preserve">（即提供服务的人员为中小企业依照《中华人民共和国劳动合同法》订立劳动合同的从业人员）</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3"/>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2"/>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eastAsia="zh-CN"/>
        </w:rPr>
        <w:t xml:space="preserve">（即提供服务的人员为中小企业依照《中华人民共和国劳动合同法》订立劳动合同的从业人员）</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val="0"/>
          <w:bCs w:val="0"/>
          <w:sz w:val="24"/>
          <w:szCs w:val="24"/>
          <w:highlight w:val="none"/>
          <w:lang w:eastAsia="zh-CN"/>
        </w:rPr>
        <w:t xml:space="preserve">3.标书制作工具中上述声明函内容格式与</w:t>
      </w:r>
      <w:r>
        <w:rPr>
          <w:rFonts w:hint="eastAsia" w:ascii="宋体" w:hAnsi="宋体" w:eastAsia="宋体" w:cs="Times New Roman"/>
          <w:b w:val="0"/>
          <w:bCs w:val="0"/>
          <w:sz w:val="24"/>
          <w:szCs w:val="24"/>
          <w:highlight w:val="none"/>
          <w:lang w:val="en-US" w:eastAsia="zh-CN"/>
        </w:rPr>
        <w:t xml:space="preserve">磋商</w:t>
      </w:r>
      <w:r>
        <w:rPr>
          <w:rFonts w:hint="eastAsia" w:ascii="宋体" w:hAnsi="宋体" w:eastAsia="宋体" w:cs="Times New Roman"/>
          <w:b w:val="0"/>
          <w:bCs w:val="0"/>
          <w:sz w:val="24"/>
          <w:szCs w:val="24"/>
          <w:highlight w:val="none"/>
          <w:lang w:eastAsia="zh-CN"/>
        </w:rPr>
        <w:t xml:space="preserve">文件规定不一致的，以</w:t>
      </w:r>
      <w:r>
        <w:rPr>
          <w:rFonts w:hint="eastAsia" w:ascii="宋体" w:hAnsi="宋体" w:eastAsia="宋体" w:cs="Times New Roman"/>
          <w:b w:val="0"/>
          <w:bCs w:val="0"/>
          <w:sz w:val="24"/>
          <w:szCs w:val="24"/>
          <w:highlight w:val="none"/>
          <w:lang w:val="en-US" w:eastAsia="zh-CN"/>
        </w:rPr>
        <w:t xml:space="preserve">磋商</w:t>
      </w:r>
      <w:r>
        <w:rPr>
          <w:rFonts w:hint="eastAsia" w:ascii="宋体" w:hAnsi="宋体" w:eastAsia="宋体" w:cs="Times New Roman"/>
          <w:b w:val="0"/>
          <w:bCs w:val="0"/>
          <w:sz w:val="24"/>
          <w:szCs w:val="24"/>
          <w:highlight w:val="none"/>
          <w:lang w:eastAsia="zh-CN"/>
        </w:rPr>
        <w:t xml:space="preserve">文件为准。</w:t>
      </w:r>
      <w:r>
        <w:rPr>
          <w:rFonts w:hint="eastAsia" w:ascii="宋体" w:hAnsi="宋体" w:eastAsia="宋体" w:cs="Times New Roman"/>
          <w:b/>
          <w:bCs/>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9"/>
          <w:rFonts w:hint="eastAsia"/>
          <w:i w:val="0"/>
          <w:highlight w:val="none"/>
          <w:u w:val="single"/>
          <w:shd w:val="clear" w:color="auto" w:fill="ffffff"/>
        </w:rPr>
        <w:t xml:space="preserve">（产品名称1）</w:t>
      </w:r>
      <w:r>
        <w:rPr>
          <w:rStyle w:val="949"/>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9"/>
          <w:rFonts w:hint="eastAsia"/>
          <w:i w:val="0"/>
          <w:highlight w:val="none"/>
          <w:u w:val="single"/>
          <w:shd w:val="clear" w:color="auto" w:fill="ffffff"/>
        </w:rPr>
        <w:t xml:space="preserve">（厂名）</w:t>
      </w:r>
      <w:r>
        <w:rPr>
          <w:rStyle w:val="949"/>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9"/>
          <w:rFonts w:hint="eastAsia"/>
          <w:i/>
          <w:strike w:val="0"/>
          <w:highlight w:val="none"/>
          <w:u w:val="single"/>
          <w:shd w:val="clear" w:color="auto" w:fill="ffffff"/>
        </w:rPr>
        <w:t xml:space="preserve">（规定比例）</w:t>
      </w:r>
      <w:r>
        <w:rPr>
          <w:rStyle w:val="949"/>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（关键组件）</w:t>
      </w:r>
      <w:r>
        <w:rPr>
          <w:rStyle w:val="949"/>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（关键工序）</w:t>
      </w:r>
      <w:r>
        <w:rPr>
          <w:rStyle w:val="949"/>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7"/>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9"/>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9"/>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9"/>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7"/>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7"/>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7"/>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7"/>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106" w:name="OLE_LINK8"/>
      <w:r>
        <w:rPr>
          <w:rFonts w:hint="eastAsia"/>
          <w:b w:val="0"/>
          <w:bCs w:val="0"/>
          <w:sz w:val="21"/>
          <w:szCs w:val="21"/>
          <w:highlight w:val="none"/>
          <w:shd w:val="clear" w:color="auto" w:fill="ffffff"/>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bookmarkEnd w:id="106"/>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rPr>
          <w:rFonts w:hint="eastAsia" w:ascii="宋体" w:hAnsi="宋体"/>
          <w:sz w:val="24"/>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rPr>
          <w:highlight w:val="none"/>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1"/>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３９</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1"/>
    <w:next w:val="871"/>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1"/>
    <w:next w:val="871"/>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1"/>
    <w:next w:val="871"/>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1"/>
    <w:next w:val="871"/>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1"/>
    <w:next w:val="871"/>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1"/>
    <w:next w:val="871"/>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1"/>
    <w:next w:val="871"/>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1"/>
    <w:next w:val="871"/>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1"/>
    <w:next w:val="871"/>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eastAsia="宋体" w:cs="Times New Roman"/>
      <w:sz w:val="21"/>
      <w:szCs w:val="22"/>
      <w:lang w:val="en-US" w:eastAsia="zh-CN" w:bidi="ar-SA"/>
    </w:rPr>
  </w:style>
  <w:style w:type="paragraph" w:styleId="872">
    <w:name w:val="标题 1"/>
    <w:basedOn w:val="871"/>
    <w:next w:val="871"/>
    <w:link w:val="885"/>
    <w:qFormat/>
    <w:pPr>
      <w:jc w:val="center"/>
      <w:keepNext/>
      <w:outlineLvl w:val="0"/>
    </w:pPr>
    <w:rPr>
      <w:rFonts w:ascii="楷体_GB2312" w:hAnsi="Times New Roman" w:eastAsia="楷体_GB2312" w:cs="Times New Roman"/>
      <w:sz w:val="28"/>
      <w:szCs w:val="28"/>
    </w:rPr>
  </w:style>
  <w:style w:type="paragraph" w:styleId="873">
    <w:name w:val="标题 2"/>
    <w:basedOn w:val="871"/>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7"/>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7"/>
    <w:link w:val="890"/>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7"/>
    <w:link w:val="891"/>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qFormat/>
    <w:tblPr/>
  </w:style>
  <w:style w:type="paragraph" w:styleId="883">
    <w:name w:val="脚注文本"/>
    <w:basedOn w:val="871"/>
    <w:next w:val="884"/>
    <w:link w:val="871"/>
    <w:uiPriority w:val="99"/>
    <w:unhideWhenUsed/>
    <w:qFormat/>
    <w:pPr>
      <w:jc w:val="left"/>
    </w:pPr>
    <w:rPr>
      <w:sz w:val="18"/>
      <w:szCs w:val="18"/>
    </w:rPr>
  </w:style>
  <w:style w:type="paragraph" w:styleId="884">
    <w:name w:val="索引 5"/>
    <w:basedOn w:val="871"/>
    <w:next w:val="871"/>
    <w:link w:val="871"/>
    <w:uiPriority w:val="99"/>
    <w:unhideWhenUsed/>
    <w:qFormat/>
    <w:pPr>
      <w:ind w:left="1680"/>
    </w:pPr>
  </w:style>
  <w:style w:type="character" w:styleId="885">
    <w:name w:val="标题 1 Char"/>
    <w:next w:val="885"/>
    <w:link w:val="872"/>
    <w:rPr>
      <w:rFonts w:ascii="楷体_GB2312" w:hAnsi="Times New Roman" w:eastAsia="楷体_GB2312" w:cs="Times New Roman"/>
      <w:sz w:val="28"/>
      <w:szCs w:val="28"/>
    </w:rPr>
  </w:style>
  <w:style w:type="character" w:styleId="886">
    <w:name w:val="标题 2 Char"/>
    <w:next w:val="886"/>
    <w:link w:val="873"/>
    <w:qFormat/>
    <w:rPr>
      <w:rFonts w:ascii="Arial" w:hAnsi="Arial" w:eastAsia="幼圆" w:cs="Arial"/>
      <w:b/>
      <w:bCs/>
      <w:sz w:val="44"/>
      <w:szCs w:val="44"/>
    </w:rPr>
  </w:style>
  <w:style w:type="paragraph" w:styleId="887">
    <w:name w:val="正文缩进"/>
    <w:basedOn w:val="871"/>
    <w:next w:val="887"/>
    <w:link w:val="888"/>
    <w:qFormat/>
    <w:pPr>
      <w:ind w:firstLine="420"/>
    </w:pPr>
    <w:rPr>
      <w:szCs w:val="21"/>
    </w:rPr>
  </w:style>
  <w:style w:type="character" w:styleId="888">
    <w:name w:val="正文缩进 Char"/>
    <w:next w:val="888"/>
    <w:link w:val="887"/>
    <w:qFormat/>
    <w:rPr>
      <w:szCs w:val="21"/>
    </w:rPr>
  </w:style>
  <w:style w:type="character" w:styleId="889">
    <w:name w:val="标题 3 Char"/>
    <w:next w:val="889"/>
    <w:link w:val="874"/>
    <w:qFormat/>
    <w:rPr>
      <w:rFonts w:ascii="Times New Roman" w:hAnsi="Times New Roman" w:eastAsia="宋体" w:cs="Times New Roman"/>
      <w:b/>
      <w:bCs/>
      <w:sz w:val="32"/>
      <w:szCs w:val="32"/>
    </w:rPr>
  </w:style>
  <w:style w:type="character" w:styleId="890">
    <w:name w:val="标题 4 Char"/>
    <w:next w:val="890"/>
    <w:link w:val="875"/>
    <w:qFormat/>
    <w:rPr>
      <w:rFonts w:ascii="Arial" w:hAnsi="Arial" w:eastAsia="黑体" w:cs="Arial"/>
      <w:b/>
      <w:bCs/>
      <w:sz w:val="28"/>
      <w:szCs w:val="28"/>
    </w:rPr>
  </w:style>
  <w:style w:type="character" w:styleId="891">
    <w:name w:val="标题 5 Char"/>
    <w:next w:val="891"/>
    <w:link w:val="876"/>
    <w:qFormat/>
    <w:rPr>
      <w:rFonts w:ascii="宋体" w:hAnsi="Times New Roman" w:eastAsia="宋体" w:cs="Times New Roman"/>
      <w:color w:val="000000"/>
      <w:sz w:val="28"/>
      <w:szCs w:val="28"/>
    </w:rPr>
  </w:style>
  <w:style w:type="character" w:styleId="892">
    <w:name w:val="标题 6 Char"/>
    <w:next w:val="892"/>
    <w:link w:val="877"/>
    <w:qFormat/>
    <w:rPr>
      <w:rFonts w:ascii="Arial" w:hAnsi="Arial" w:eastAsia="黑体" w:cs="Times New Roman"/>
      <w:b/>
      <w:bCs/>
      <w:sz w:val="24"/>
      <w:szCs w:val="24"/>
    </w:rPr>
  </w:style>
  <w:style w:type="character" w:styleId="893">
    <w:name w:val="标题 7 Char"/>
    <w:next w:val="893"/>
    <w:link w:val="878"/>
    <w:qFormat/>
    <w:rPr>
      <w:rFonts w:ascii="Times New Roman" w:hAnsi="Times New Roman" w:eastAsia="宋体" w:cs="Times New Roman"/>
      <w:b/>
      <w:bCs/>
      <w:sz w:val="24"/>
      <w:szCs w:val="24"/>
    </w:rPr>
  </w:style>
  <w:style w:type="character" w:styleId="894">
    <w:name w:val="标题 8 Char"/>
    <w:next w:val="894"/>
    <w:link w:val="879"/>
    <w:qFormat/>
    <w:rPr>
      <w:rFonts w:ascii="Arial" w:hAnsi="Arial" w:eastAsia="黑体" w:cs="Times New Roman"/>
      <w:sz w:val="24"/>
      <w:szCs w:val="24"/>
    </w:rPr>
  </w:style>
  <w:style w:type="character" w:styleId="895">
    <w:name w:val="标题 9 Char"/>
    <w:next w:val="895"/>
    <w:link w:val="880"/>
    <w:qFormat/>
    <w:rPr>
      <w:rFonts w:ascii="Arial" w:hAnsi="Arial" w:eastAsia="黑体" w:cs="Times New Roman"/>
      <w:szCs w:val="21"/>
    </w:rPr>
  </w:style>
  <w:style w:type="paragraph" w:styleId="896">
    <w:name w:val="列表 3"/>
    <w:basedOn w:val="871"/>
    <w:next w:val="896"/>
    <w:link w:val="871"/>
    <w:pPr>
      <w:ind w:left="100" w:hanging="200"/>
    </w:pPr>
    <w:rPr>
      <w:rFonts w:ascii="Times New Roman" w:hAnsi="Times New Roman" w:eastAsia="宋体" w:cs="Times New Roman"/>
      <w:szCs w:val="21"/>
    </w:rPr>
  </w:style>
  <w:style w:type="paragraph" w:styleId="897">
    <w:name w:val="目录 7"/>
    <w:basedOn w:val="871"/>
    <w:next w:val="871"/>
    <w:link w:val="871"/>
    <w:semiHidden/>
    <w:pPr>
      <w:ind w:left="1260"/>
      <w:jc w:val="left"/>
    </w:pPr>
    <w:rPr>
      <w:rFonts w:ascii="Times New Roman" w:hAnsi="Times New Roman" w:eastAsia="宋体" w:cs="Times New Roman"/>
      <w:szCs w:val="21"/>
    </w:rPr>
  </w:style>
  <w:style w:type="paragraph" w:styleId="898">
    <w:name w:val="文档结构图"/>
    <w:basedOn w:val="871"/>
    <w:next w:val="898"/>
    <w:link w:val="899"/>
    <w:semiHidden/>
    <w:pPr>
      <w:shd w:val="clear" w:color="auto" w:fill="000080"/>
    </w:pPr>
    <w:rPr>
      <w:rFonts w:ascii="Times New Roman" w:hAnsi="Times New Roman" w:eastAsia="宋体" w:cs="Times New Roman"/>
      <w:szCs w:val="21"/>
    </w:rPr>
  </w:style>
  <w:style w:type="character" w:styleId="899">
    <w:name w:val="文档结构图 Char"/>
    <w:next w:val="899"/>
    <w:link w:val="898"/>
    <w:semiHidden/>
    <w:qFormat/>
    <w:rPr>
      <w:rFonts w:ascii="Times New Roman" w:hAnsi="Times New Roman" w:eastAsia="宋体" w:cs="Times New Roman"/>
      <w:szCs w:val="21"/>
      <w:shd w:val="clear" w:color="auto" w:fill="000080"/>
    </w:rPr>
  </w:style>
  <w:style w:type="paragraph" w:styleId="900">
    <w:name w:val="批注文字"/>
    <w:basedOn w:val="871"/>
    <w:next w:val="900"/>
    <w:link w:val="901"/>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1">
    <w:name w:val="批注文字 Char"/>
    <w:basedOn w:val="881"/>
    <w:next w:val="901"/>
    <w:link w:val="900"/>
    <w:uiPriority w:val="99"/>
    <w:semiHidden/>
    <w:qFormat/>
  </w:style>
  <w:style w:type="paragraph" w:styleId="902">
    <w:name w:val="正文文本 3"/>
    <w:basedOn w:val="871"/>
    <w:next w:val="902"/>
    <w:link w:val="903"/>
    <w:rPr>
      <w:rFonts w:ascii="仿宋_GB2312" w:hAnsi="Arial" w:eastAsia="仿宋_GB2312" w:cs="Times New Roman"/>
      <w:sz w:val="32"/>
      <w:szCs w:val="32"/>
    </w:rPr>
  </w:style>
  <w:style w:type="character" w:styleId="903">
    <w:name w:val="正文文本 3 Char"/>
    <w:next w:val="903"/>
    <w:link w:val="902"/>
    <w:qFormat/>
    <w:rPr>
      <w:rFonts w:ascii="仿宋_GB2312" w:hAnsi="Arial" w:eastAsia="仿宋_GB2312" w:cs="Times New Roman"/>
      <w:sz w:val="32"/>
      <w:szCs w:val="32"/>
    </w:rPr>
  </w:style>
  <w:style w:type="paragraph" w:styleId="904">
    <w:name w:val="正文文本"/>
    <w:basedOn w:val="871"/>
    <w:next w:val="904"/>
    <w:link w:val="905"/>
    <w:qFormat/>
    <w:rPr>
      <w:rFonts w:ascii="楷体_GB2312" w:hAnsi="Arial" w:eastAsia="楷体_GB2312" w:cs="Times New Roman"/>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1"/>
    <w:next w:val="908"/>
    <w:link w:val="907"/>
    <w:unhideWhenUsed/>
    <w:qFormat/>
    <w:pPr>
      <w:ind w:left="420"/>
      <w:spacing w:after="120"/>
    </w:pPr>
  </w:style>
  <w:style w:type="character" w:styleId="907">
    <w:name w:val="正文文本缩进 Char"/>
    <w:basedOn w:val="881"/>
    <w:next w:val="907"/>
    <w:link w:val="906"/>
    <w:uiPriority w:val="99"/>
    <w:semiHidden/>
    <w:qFormat/>
  </w:style>
  <w:style w:type="paragraph" w:styleId="908">
    <w:name w:val="寄信人地址"/>
    <w:basedOn w:val="871"/>
    <w:next w:val="908"/>
    <w:link w:val="871"/>
    <w:qFormat/>
    <w:rPr>
      <w:rFonts w:ascii="Arial" w:hAnsi="Arial" w:eastAsia="宋体" w:cs="宋体"/>
    </w:rPr>
  </w:style>
  <w:style w:type="paragraph" w:styleId="909">
    <w:name w:val="列表 2"/>
    <w:basedOn w:val="871"/>
    <w:next w:val="909"/>
    <w:link w:val="871"/>
    <w:qFormat/>
    <w:pPr>
      <w:ind w:left="100" w:hanging="200"/>
    </w:pPr>
    <w:rPr>
      <w:rFonts w:ascii="Times New Roman" w:hAnsi="Times New Roman" w:eastAsia="宋体" w:cs="Times New Roman"/>
      <w:szCs w:val="21"/>
    </w:rPr>
  </w:style>
  <w:style w:type="paragraph" w:styleId="910">
    <w:name w:val="索引 4"/>
    <w:basedOn w:val="871"/>
    <w:next w:val="871"/>
    <w:link w:val="871"/>
    <w:semiHidden/>
    <w:qFormat/>
    <w:pPr>
      <w:ind w:left="1260"/>
    </w:pPr>
    <w:rPr>
      <w:rFonts w:ascii="Calibri" w:hAnsi="Calibri" w:eastAsia="Calibri" w:cs="宋体"/>
      <w:sz w:val="20"/>
      <w:lang w:val="zh-CN"/>
    </w:rPr>
  </w:style>
  <w:style w:type="paragraph" w:styleId="911">
    <w:name w:val="目录 5"/>
    <w:basedOn w:val="871"/>
    <w:next w:val="871"/>
    <w:link w:val="871"/>
    <w:semiHidden/>
    <w:qFormat/>
    <w:pPr>
      <w:ind w:left="840"/>
      <w:jc w:val="left"/>
    </w:pPr>
    <w:rPr>
      <w:rFonts w:ascii="Times New Roman" w:hAnsi="Times New Roman" w:eastAsia="宋体" w:cs="Times New Roman"/>
      <w:szCs w:val="21"/>
    </w:rPr>
  </w:style>
  <w:style w:type="paragraph" w:styleId="912">
    <w:name w:val="目录 3"/>
    <w:basedOn w:val="871"/>
    <w:next w:val="871"/>
    <w:link w:val="871"/>
    <w:semiHidden/>
    <w:qFormat/>
    <w:pPr>
      <w:ind w:left="420"/>
      <w:jc w:val="left"/>
    </w:pPr>
    <w:rPr>
      <w:rFonts w:ascii="Times New Roman" w:hAnsi="Times New Roman" w:eastAsia="宋体" w:cs="Times New Roman"/>
      <w:i/>
      <w:iCs/>
      <w:szCs w:val="24"/>
    </w:rPr>
  </w:style>
  <w:style w:type="paragraph" w:styleId="913">
    <w:name w:val="纯文本"/>
    <w:basedOn w:val="871"/>
    <w:next w:val="913"/>
    <w:link w:val="914"/>
    <w:qFormat/>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1"/>
    <w:next w:val="871"/>
    <w:link w:val="871"/>
    <w:semiHidden/>
    <w:qFormat/>
    <w:pPr>
      <w:ind w:left="1470"/>
      <w:jc w:val="left"/>
    </w:pPr>
    <w:rPr>
      <w:rFonts w:ascii="Times New Roman" w:hAnsi="Times New Roman" w:eastAsia="宋体" w:cs="Times New Roman"/>
      <w:szCs w:val="21"/>
    </w:rPr>
  </w:style>
  <w:style w:type="paragraph" w:styleId="916">
    <w:name w:val="日期"/>
    <w:basedOn w:val="871"/>
    <w:next w:val="871"/>
    <w:link w:val="917"/>
    <w:qFormat/>
    <w:rPr>
      <w:rFonts w:ascii="Times New Roman" w:hAnsi="Times New Roman" w:eastAsia="宋体" w:cs="Times New Roman"/>
      <w:sz w:val="24"/>
      <w:szCs w:val="24"/>
    </w:rPr>
  </w:style>
  <w:style w:type="character" w:styleId="917">
    <w:name w:val="日期 Char"/>
    <w:next w:val="917"/>
    <w:link w:val="916"/>
    <w:qFormat/>
    <w:rPr>
      <w:rFonts w:ascii="Times New Roman" w:hAnsi="Times New Roman" w:eastAsia="宋体" w:cs="Times New Roman"/>
      <w:sz w:val="24"/>
      <w:szCs w:val="24"/>
    </w:rPr>
  </w:style>
  <w:style w:type="paragraph" w:styleId="918">
    <w:name w:val="正文文本缩进 2"/>
    <w:basedOn w:val="871"/>
    <w:next w:val="918"/>
    <w:link w:val="919"/>
    <w:qFormat/>
    <w:pPr>
      <w:ind w:left="630" w:firstLine="645"/>
    </w:pPr>
    <w:rPr>
      <w:rFonts w:ascii="Arial" w:hAnsi="Arial" w:eastAsia="仿宋_GB2312" w:cs="Arial"/>
      <w:sz w:val="32"/>
      <w:szCs w:val="32"/>
    </w:rPr>
  </w:style>
  <w:style w:type="character" w:styleId="919">
    <w:name w:val="正文文本缩进 2 Char"/>
    <w:next w:val="919"/>
    <w:link w:val="918"/>
    <w:qFormat/>
    <w:rPr>
      <w:rFonts w:ascii="Arial" w:hAnsi="Arial" w:eastAsia="仿宋_GB2312" w:cs="Arial"/>
      <w:sz w:val="32"/>
      <w:szCs w:val="32"/>
    </w:rPr>
  </w:style>
  <w:style w:type="paragraph" w:styleId="920">
    <w:name w:val="批注框文本"/>
    <w:basedOn w:val="871"/>
    <w:next w:val="920"/>
    <w:link w:val="921"/>
    <w:semiHidden/>
    <w:rPr>
      <w:rFonts w:ascii="Times New Roman" w:hAnsi="Times New Roman" w:eastAsia="宋体" w:cs="Times New Roman"/>
      <w:sz w:val="18"/>
      <w:szCs w:val="18"/>
    </w:rPr>
  </w:style>
  <w:style w:type="character" w:styleId="921">
    <w:name w:val="批注框文本 Char"/>
    <w:next w:val="921"/>
    <w:link w:val="920"/>
    <w:semiHidden/>
    <w:qFormat/>
    <w:rPr>
      <w:rFonts w:ascii="Times New Roman" w:hAnsi="Times New Roman" w:eastAsia="宋体" w:cs="Times New Roman"/>
      <w:sz w:val="18"/>
      <w:szCs w:val="18"/>
    </w:rPr>
  </w:style>
  <w:style w:type="paragraph" w:styleId="922">
    <w:name w:val="页脚"/>
    <w:basedOn w:val="871"/>
    <w:next w:val="922"/>
    <w:link w:val="923"/>
    <w:qFormat/>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qFormat/>
    <w:rPr>
      <w:rFonts w:ascii="Times New Roman" w:hAnsi="Times New Roman" w:eastAsia="宋体" w:cs="Times New Roman"/>
      <w:sz w:val="18"/>
      <w:szCs w:val="18"/>
    </w:rPr>
  </w:style>
  <w:style w:type="paragraph" w:styleId="924">
    <w:name w:val="页眉"/>
    <w:basedOn w:val="871"/>
    <w:next w:val="924"/>
    <w:link w:val="92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1"/>
    <w:next w:val="871"/>
    <w:link w:val="871"/>
    <w:semiHidden/>
    <w:pPr>
      <w:ind w:left="630"/>
      <w:jc w:val="left"/>
    </w:pPr>
    <w:rPr>
      <w:rFonts w:ascii="Times New Roman" w:hAnsi="Times New Roman" w:eastAsia="宋体" w:cs="Times New Roman"/>
      <w:szCs w:val="21"/>
    </w:rPr>
  </w:style>
  <w:style w:type="paragraph" w:styleId="928">
    <w:name w:val="列表"/>
    <w:basedOn w:val="871"/>
    <w:next w:val="928"/>
    <w:link w:val="871"/>
    <w:qFormat/>
    <w:pPr>
      <w:ind w:left="200" w:hanging="200"/>
    </w:pPr>
    <w:rPr>
      <w:rFonts w:ascii="Times New Roman" w:hAnsi="Times New Roman" w:eastAsia="宋体" w:cs="Times New Roman"/>
      <w:szCs w:val="21"/>
    </w:rPr>
  </w:style>
  <w:style w:type="paragraph" w:styleId="929">
    <w:name w:val="目录 6"/>
    <w:basedOn w:val="871"/>
    <w:next w:val="871"/>
    <w:link w:val="871"/>
    <w:semiHidden/>
    <w:qFormat/>
    <w:pPr>
      <w:ind w:left="1050"/>
      <w:jc w:val="left"/>
    </w:pPr>
    <w:rPr>
      <w:rFonts w:ascii="Times New Roman" w:hAnsi="Times New Roman" w:eastAsia="宋体" w:cs="Times New Roman"/>
      <w:szCs w:val="21"/>
    </w:rPr>
  </w:style>
  <w:style w:type="paragraph" w:styleId="930">
    <w:name w:val="正文文本缩进 3"/>
    <w:basedOn w:val="871"/>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1"/>
    <w:next w:val="871"/>
    <w:link w:val="871"/>
    <w:semiHidden/>
    <w:qFormat/>
    <w:pPr>
      <w:ind w:left="840" w:hanging="420"/>
    </w:pPr>
    <w:rPr>
      <w:rFonts w:ascii="Times New Roman" w:hAnsi="Times New Roman" w:eastAsia="宋体" w:cs="Times New Roman"/>
      <w:szCs w:val="21"/>
    </w:rPr>
  </w:style>
  <w:style w:type="paragraph" w:styleId="933">
    <w:name w:val="目录 2"/>
    <w:basedOn w:val="871"/>
    <w:next w:val="871"/>
    <w:link w:val="871"/>
    <w:semiHidden/>
    <w:pPr>
      <w:ind w:left="210"/>
      <w:jc w:val="left"/>
    </w:pPr>
    <w:rPr>
      <w:rFonts w:ascii="Times New Roman" w:hAnsi="Times New Roman" w:eastAsia="宋体" w:cs="Times New Roman"/>
      <w:smallCaps/>
      <w:szCs w:val="24"/>
    </w:rPr>
  </w:style>
  <w:style w:type="paragraph" w:styleId="934">
    <w:name w:val="目录 9"/>
    <w:basedOn w:val="871"/>
    <w:next w:val="871"/>
    <w:link w:val="871"/>
    <w:semiHidden/>
    <w:pPr>
      <w:ind w:left="1680"/>
      <w:jc w:val="left"/>
    </w:pPr>
    <w:rPr>
      <w:rFonts w:ascii="Times New Roman" w:hAnsi="Times New Roman" w:eastAsia="宋体" w:cs="Times New Roman"/>
      <w:szCs w:val="21"/>
    </w:rPr>
  </w:style>
  <w:style w:type="paragraph" w:styleId="935">
    <w:name w:val="正文文本 2"/>
    <w:basedOn w:val="871"/>
    <w:next w:val="935"/>
    <w:link w:val="936"/>
    <w:qFormat/>
    <w:pPr>
      <w:jc w:val="center"/>
      <w:widowControl/>
    </w:pPr>
    <w:rPr>
      <w:rFonts w:ascii="楷体_GB2312" w:hAnsi="Times New Roman" w:eastAsia="楷体_GB2312" w:cs="Times New Roman"/>
      <w:sz w:val="28"/>
      <w:szCs w:val="28"/>
    </w:rPr>
  </w:style>
  <w:style w:type="character" w:styleId="936">
    <w:name w:val="正文文本 2 Char"/>
    <w:next w:val="936"/>
    <w:link w:val="935"/>
    <w:qFormat/>
    <w:rPr>
      <w:rFonts w:ascii="楷体_GB2312" w:hAnsi="Times New Roman" w:eastAsia="楷体_GB2312" w:cs="Times New Roman"/>
      <w:sz w:val="28"/>
      <w:szCs w:val="28"/>
    </w:rPr>
  </w:style>
  <w:style w:type="paragraph" w:styleId="937">
    <w:name w:val="普通(网站)"/>
    <w:basedOn w:val="871"/>
    <w:next w:val="937"/>
    <w:link w:val="871"/>
    <w:uiPriority w:val="99"/>
    <w:qFormat/>
    <w:pPr>
      <w:jc w:val="left"/>
      <w:spacing w:before="100" w:beforeAutospacing="1" w:after="100" w:afterAutospacing="1"/>
      <w:widowControl/>
    </w:pPr>
    <w:rPr>
      <w:rFonts w:ascii="宋体" w:hAnsi="宋体" w:eastAsia="宋体" w:cs="宋体"/>
      <w:sz w:val="24"/>
      <w:szCs w:val="24"/>
    </w:rPr>
  </w:style>
  <w:style w:type="paragraph" w:styleId="938">
    <w:name w:val="索引 1"/>
    <w:basedOn w:val="871"/>
    <w:next w:val="871"/>
    <w:link w:val="871"/>
    <w:semiHidden/>
    <w:pPr>
      <w:spacing w:line="240" w:lineRule="atLeast"/>
    </w:pPr>
    <w:rPr>
      <w:rFonts w:ascii="Times New Roman" w:hAnsi="Times New Roman" w:eastAsia="宋体" w:cs="Times New Roman"/>
      <w:b/>
      <w:bCs/>
      <w:szCs w:val="21"/>
    </w:rPr>
  </w:style>
  <w:style w:type="paragraph" w:styleId="939">
    <w:name w:val="批注主题"/>
    <w:basedOn w:val="900"/>
    <w:next w:val="900"/>
    <w:link w:val="940"/>
    <w:semiHidden/>
    <w:qFormat/>
    <w:rPr>
      <w:rFonts w:ascii="Times New Roman" w:hAnsi="Times New Roman" w:eastAsia="宋体" w:cs="Times New Roman"/>
      <w:b/>
      <w:bCs/>
      <w:szCs w:val="21"/>
    </w:rPr>
  </w:style>
  <w:style w:type="character" w:styleId="940">
    <w:name w:val="批注主题 Char"/>
    <w:next w:val="940"/>
    <w:link w:val="939"/>
    <w:semiHidden/>
    <w:qFormat/>
    <w:rPr>
      <w:rFonts w:ascii="Times New Roman" w:hAnsi="Times New Roman" w:eastAsia="宋体" w:cs="Times New Roman"/>
      <w:b/>
      <w:bCs/>
      <w:szCs w:val="21"/>
    </w:rPr>
  </w:style>
  <w:style w:type="paragraph" w:styleId="941">
    <w:name w:val="正文首行缩进"/>
    <w:basedOn w:val="871"/>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qFormat/>
    <w:rPr>
      <w:rFonts w:ascii="仿宋_GB2312" w:hAnsi="Times New Roman" w:eastAsia="仿宋_GB2312" w:cs="Times New Roman"/>
      <w:sz w:val="30"/>
      <w:szCs w:val="30"/>
    </w:rPr>
  </w:style>
  <w:style w:type="paragraph" w:styleId="943">
    <w:name w:val="正文首行缩进 2"/>
    <w:basedOn w:val="906"/>
    <w:next w:val="871"/>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2"/>
    <w:next w:val="945"/>
    <w:link w:val="871"/>
    <w:qFormat/>
    <w:pPr>
      <w:jc w:val="both"/>
      <w:widowControl w:val="off"/>
    </w:pPr>
    <w:rPr>
      <w:rFonts w:ascii="Times New Roman" w:hAnsi="Times New Roman" w:eastAsia="宋体" w:cs="Times New Roman"/>
      <w:sz w:val="20"/>
      <w:szCs w:val="20"/>
    </w:rPr>
    <w:tblPr/>
  </w:style>
  <w:style w:type="character" w:styleId="946">
    <w:name w:val="要点"/>
    <w:next w:val="946"/>
    <w:link w:val="871"/>
    <w:qFormat/>
    <w:rPr>
      <w:b/>
      <w:bCs/>
    </w:rPr>
  </w:style>
  <w:style w:type="character" w:styleId="947">
    <w:name w:val="页码"/>
    <w:next w:val="947"/>
    <w:link w:val="871"/>
    <w:qFormat/>
  </w:style>
  <w:style w:type="character" w:styleId="948">
    <w:name w:val="已访问的超链接"/>
    <w:next w:val="948"/>
    <w:link w:val="871"/>
    <w:rPr>
      <w:color w:val="800080"/>
      <w:u w:val="single"/>
    </w:rPr>
  </w:style>
  <w:style w:type="character" w:styleId="949">
    <w:name w:val="强调"/>
    <w:next w:val="949"/>
    <w:link w:val="871"/>
    <w:qFormat/>
    <w:rPr>
      <w:i/>
    </w:rPr>
  </w:style>
  <w:style w:type="character" w:styleId="950">
    <w:name w:val="超链接"/>
    <w:next w:val="950"/>
    <w:link w:val="871"/>
    <w:rPr>
      <w:color w:val="0000ff"/>
      <w:u w:val="single"/>
    </w:rPr>
  </w:style>
  <w:style w:type="character" w:styleId="951">
    <w:name w:val="批注引用"/>
    <w:next w:val="951"/>
    <w:link w:val="871"/>
    <w:semiHidden/>
    <w:qFormat/>
    <w:rPr>
      <w:sz w:val="21"/>
      <w:szCs w:val="21"/>
    </w:rPr>
  </w:style>
  <w:style w:type="paragraph" w:styleId="952">
    <w:name w:val="正文1"/>
    <w:basedOn w:val="871"/>
    <w:next w:val="952"/>
    <w:link w:val="871"/>
    <w:qFormat/>
    <w:pPr>
      <w:ind w:left="350" w:firstLine="0"/>
    </w:pPr>
    <w:rPr>
      <w:rFonts w:cs="Times New Roman"/>
      <w:sz w:val="20"/>
      <w:szCs w:val="24"/>
    </w:rPr>
  </w:style>
  <w:style w:type="paragraph" w:styleId="953">
    <w:name w:val="索引 41"/>
    <w:basedOn w:val="871"/>
    <w:next w:val="871"/>
    <w:link w:val="871"/>
    <w:semiHidden/>
    <w:qFormat/>
    <w:pPr>
      <w:ind w:left="1260"/>
    </w:pPr>
    <w:rPr>
      <w:rFonts w:ascii="Calibri" w:hAnsi="Calibri" w:eastAsia="Calibri" w:cs="宋体"/>
      <w:sz w:val="20"/>
      <w:lang w:val="zh-CN"/>
    </w:rPr>
  </w:style>
  <w:style w:type="paragraph" w:styleId="954">
    <w:name w:val="正文文本缩进1"/>
    <w:basedOn w:val="871"/>
    <w:next w:val="955"/>
    <w:link w:val="871"/>
    <w:unhideWhenUsed/>
    <w:qFormat/>
    <w:pPr>
      <w:ind w:left="420"/>
      <w:spacing w:after="120"/>
    </w:pPr>
  </w:style>
  <w:style w:type="paragraph" w:styleId="955">
    <w:name w:val="正文文本首行缩进 2"/>
    <w:basedOn w:val="954"/>
    <w:next w:val="955"/>
    <w:link w:val="871"/>
    <w:qFormat/>
    <w:pPr>
      <w:ind w:left="0" w:firstLine="420"/>
      <w:spacing w:after="0" w:line="360" w:lineRule="auto"/>
    </w:pPr>
    <w:rPr>
      <w:rFonts w:ascii="宋体" w:hAnsi="宋体"/>
      <w:sz w:val="20"/>
      <w:szCs w:val="20"/>
      <w:lang w:val="en-US" w:eastAsia="en-US"/>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qFormat/>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9">
    <w:name w:val="列出段落 Char"/>
    <w:next w:val="959"/>
    <w:link w:val="960"/>
    <w:qFormat/>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1"/>
    <w:next w:val="904"/>
    <w:link w:val="871"/>
    <w:qFormat/>
    <w:pPr>
      <w:spacing w:after="120"/>
    </w:pPr>
    <w:rPr>
      <w:rFonts w:ascii="宋体" w:hAnsi="Arial" w:eastAsia="宋体" w:cs="Times New Roman"/>
      <w:bCs/>
      <w:iCs/>
      <w:szCs w:val="24"/>
    </w:rPr>
  </w:style>
  <w:style w:type="paragraph" w:styleId="962">
    <w:name w:val="xl27"/>
    <w:basedOn w:val="871"/>
    <w:next w:val="962"/>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1"/>
    <w:next w:val="963"/>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1"/>
    <w:next w:val="964"/>
    <w:link w:val="871"/>
    <w:pPr>
      <w:ind w:firstLine="200"/>
      <w:tabs>
        <w:tab w:val="left" w:pos="360" w:leader="none"/>
      </w:tabs>
    </w:pPr>
    <w:rPr>
      <w:rFonts w:ascii="Times New Roman" w:hAnsi="Times New Roman" w:eastAsia="宋体" w:cs="Times New Roman"/>
      <w:sz w:val="28"/>
      <w:szCs w:val="30"/>
    </w:rPr>
  </w:style>
  <w:style w:type="paragraph" w:styleId="965">
    <w:name w:val=" Char"/>
    <w:basedOn w:val="898"/>
    <w:next w:val="965"/>
    <w:link w:val="871"/>
    <w:rPr>
      <w:rFonts w:ascii="Tahoma" w:hAnsi="Tahoma"/>
      <w:sz w:val="24"/>
      <w:szCs w:val="24"/>
    </w:rPr>
  </w:style>
  <w:style w:type="paragraph" w:styleId="966">
    <w:name w:val="普通正文"/>
    <w:basedOn w:val="871"/>
    <w:next w:val="966"/>
    <w:link w:val="871"/>
    <w:qFormat/>
    <w:pPr>
      <w:ind w:firstLine="480"/>
      <w:jc w:val="left"/>
      <w:spacing w:before="120" w:after="120" w:line="360" w:lineRule="auto"/>
    </w:pPr>
    <w:rPr>
      <w:rFonts w:ascii="Arial" w:hAnsi="Arial" w:eastAsia="宋体" w:cs="Times New Roman"/>
      <w:sz w:val="24"/>
      <w:szCs w:val="24"/>
    </w:rPr>
  </w:style>
  <w:style w:type="paragraph" w:styleId="967">
    <w:name w:val="table_lines"/>
    <w:basedOn w:val="871"/>
    <w:next w:val="967"/>
    <w:link w:val="871"/>
    <w:qFormat/>
    <w:pPr>
      <w:jc w:val="left"/>
      <w:widowControl/>
    </w:pPr>
    <w:rPr>
      <w:rFonts w:ascii="Times New Roman" w:hAnsi="Times New Roman" w:eastAsia="宋体" w:cs="Times New Roman"/>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898"/>
    <w:next w:val="970"/>
    <w:link w:val="871"/>
    <w:pPr>
      <w:spacing w:line="360" w:lineRule="auto"/>
    </w:pPr>
    <w:rPr>
      <w:rFonts w:ascii="Tahoma" w:hAnsi="Tahoma"/>
      <w:sz w:val="24"/>
      <w:szCs w:val="24"/>
    </w:rPr>
  </w:style>
  <w:style w:type="paragraph" w:styleId="971">
    <w:name w:val="List Paragraph"/>
    <w:basedOn w:val="871"/>
    <w:next w:val="971"/>
    <w:link w:val="871"/>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1"/>
    <w:next w:val="930"/>
    <w:link w:val="871"/>
    <w:qFormat/>
    <w:pPr>
      <w:ind w:firstLine="420"/>
      <w:spacing w:line="360" w:lineRule="auto"/>
    </w:pPr>
    <w:rPr>
      <w:rFonts w:ascii="Times New Roman" w:hAnsi="Times New Roman" w:eastAsia="宋体" w:cs="Times New Roman"/>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1"/>
    <w:next w:val="974"/>
    <w:link w:val="871"/>
    <w:qFormat/>
    <w:pPr>
      <w:spacing w:line="360" w:lineRule="auto"/>
    </w:pPr>
    <w:rPr>
      <w:rFonts w:ascii="Times New Roman" w:hAnsi="Times New Roman" w:eastAsia="宋体" w:cs="Times New Roman"/>
      <w:sz w:val="24"/>
      <w:szCs w:val="20"/>
    </w:rPr>
  </w:style>
  <w:style w:type="paragraph" w:styleId="975">
    <w:name w:val="样式1"/>
    <w:basedOn w:val="871"/>
    <w:next w:val="975"/>
    <w:link w:val="871"/>
    <w:pPr>
      <w:numPr>
        <w:ilvl w:val="0"/>
        <w:numId w:val="3"/>
      </w:numPr>
      <w:tabs>
        <w:tab w:val="left" w:pos="709" w:leader="none"/>
      </w:tabs>
    </w:pPr>
    <w:rPr>
      <w:rFonts w:ascii="宋体" w:hAnsi="宋体" w:eastAsia="宋体" w:cs="Times New Roman"/>
      <w:szCs w:val="21"/>
    </w:rPr>
  </w:style>
  <w:style w:type="paragraph" w:styleId="976">
    <w:name w:val="font6"/>
    <w:basedOn w:val="871"/>
    <w:next w:val="976"/>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1"/>
    <w:next w:val="981"/>
    <w:link w:val="87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1"/>
    <w:next w:val="982"/>
    <w:link w:val="871"/>
    <w:qFormat/>
    <w:pPr>
      <w:jc w:val="left"/>
      <w:spacing w:after="160" w:line="240" w:lineRule="exact"/>
      <w:widowControl/>
    </w:pPr>
    <w:rPr>
      <w:rFonts w:ascii="Verdana" w:hAnsi="Verdana" w:eastAsia="宋体" w:cs="Times New Roman"/>
      <w:sz w:val="20"/>
      <w:szCs w:val="20"/>
      <w:lang w:eastAsia="en-US"/>
    </w:rPr>
  </w:style>
  <w:style w:type="paragraph" w:styleId="983">
    <w:name w:val="xl28"/>
    <w:basedOn w:val="871"/>
    <w:next w:val="983"/>
    <w:link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1"/>
    <w:next w:val="984"/>
    <w:link w:val="871"/>
    <w:qFormat/>
    <w:pPr>
      <w:jc w:val="left"/>
      <w:spacing w:after="160" w:line="240" w:lineRule="exact"/>
      <w:widowControl/>
    </w:pPr>
    <w:rPr>
      <w:rFonts w:ascii="Verdana" w:hAnsi="Verdana" w:eastAsia="宋体" w:cs="Times New Roman"/>
      <w:sz w:val="20"/>
      <w:szCs w:val="20"/>
      <w:lang w:eastAsia="en-US"/>
    </w:rPr>
  </w:style>
  <w:style w:type="paragraph" w:styleId="985">
    <w:name w:val="xl30"/>
    <w:basedOn w:val="871"/>
    <w:next w:val="985"/>
    <w:link w:val="871"/>
    <w:qFormat/>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898"/>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_Style 112"/>
    <w:next w:val="990"/>
    <w:link w:val="871"/>
    <w:uiPriority w:val="99"/>
    <w:semiHidden/>
    <w:rPr>
      <w:rFonts w:ascii="Times New Roman" w:hAnsi="Times New Roman" w:eastAsia="宋体" w:cs="Times New Roman"/>
      <w:sz w:val="21"/>
      <w:szCs w:val="21"/>
      <w:lang w:val="en-US" w:eastAsia="zh-CN" w:bidi="ar-SA"/>
    </w:rPr>
  </w:style>
  <w:style w:type="paragraph" w:styleId="991">
    <w:name w:val="No Spacing"/>
    <w:next w:val="991"/>
    <w:link w:val="871"/>
    <w:uiPriority w:val="99"/>
    <w:qFormat/>
    <w:pPr>
      <w:jc w:val="both"/>
      <w:widowControl w:val="off"/>
    </w:pPr>
    <w:rPr>
      <w:rFonts w:ascii="Times New Roman" w:hAnsi="Times New Roman" w:eastAsia="宋体" w:cs="Times New Roman"/>
      <w:sz w:val="21"/>
      <w:szCs w:val="21"/>
      <w:lang w:val="en-US" w:eastAsia="zh-CN" w:bidi="ar-SA"/>
    </w:rPr>
  </w:style>
  <w:style w:type="table" w:styleId="992">
    <w:name w:val="Table Normal"/>
    <w:next w:val="992"/>
    <w:link w:val="871"/>
    <w:qFormat/>
    <w:tblPr/>
  </w:style>
  <w:style w:type="paragraph" w:styleId="993">
    <w:name w:val="正文文本 211"/>
    <w:basedOn w:val="871"/>
    <w:next w:val="993"/>
    <w:link w:val="871"/>
    <w:uiPriority w:val="99"/>
    <w:qFormat/>
    <w:pPr>
      <w:jc w:val="center"/>
    </w:pPr>
    <w:rPr>
      <w:b/>
      <w:bCs/>
      <w:sz w:val="20"/>
      <w:szCs w:val="20"/>
    </w:r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正文文本12"/>
    <w:basedOn w:val="871"/>
    <w:next w:val="995"/>
    <w:link w:val="871"/>
    <w:uiPriority w:val="1"/>
    <w:qFormat/>
    <w:pPr>
      <w:ind w:left="120"/>
    </w:pPr>
    <w:rPr>
      <w:rFonts w:ascii="宋体" w:hAnsi="宋体" w:eastAsia="宋体" w:cs="宋体"/>
      <w:sz w:val="21"/>
      <w:szCs w:val="21"/>
      <w:lang w:val="zh-CN" w:eastAsia="zh-CN" w:bidi="zh-CN"/>
    </w:rPr>
  </w:style>
  <w:style w:type="paragraph" w:styleId="996">
    <w:name w:val="纯文本1"/>
    <w:basedOn w:val="871"/>
    <w:next w:val="996"/>
    <w:link w:val="871"/>
    <w:qFormat/>
    <w:rPr>
      <w:rFonts w:ascii="宋体" w:hAnsi="Courier New" w:cs="Courier New"/>
    </w:rPr>
  </w:style>
  <w:style w:type="table" w:styleId="997">
    <w:name w:val="网格型1"/>
    <w:basedOn w:val="998"/>
    <w:next w:val="997"/>
    <w:link w:val="871"/>
    <w:qFormat/>
    <w:pPr>
      <w:jc w:val="both"/>
      <w:widowControl w:val="off"/>
    </w:pPr>
    <w:tblPr/>
  </w:style>
  <w:style w:type="table" w:styleId="998">
    <w:name w:val="普通表格1"/>
    <w:next w:val="998"/>
    <w:link w:val="871"/>
    <w:uiPriority w:val="99"/>
    <w:unhideWhenUsed/>
    <w:qFormat/>
    <w:tblPr/>
  </w:style>
  <w:style w:type="character" w:styleId="999">
    <w:name w:val="15"/>
    <w:basedOn w:val="881"/>
    <w:next w:val="999"/>
    <w:link w:val="871"/>
    <w:rPr>
      <w:rFonts w:ascii="Times New Roman" w:hAnsi="Times New Roman" w:cs="Times New Roman"/>
    </w:rPr>
  </w:style>
  <w:style w:type="paragraph" w:styleId="1000">
    <w:name w:val="正文首行缩进 211"/>
    <w:basedOn w:val="1001"/>
    <w:next w:val="871"/>
    <w:link w:val="871"/>
    <w:qFormat/>
    <w:pPr>
      <w:ind w:left="0" w:firstLine="420"/>
      <w:spacing w:after="0" w:line="360" w:lineRule="auto"/>
    </w:pPr>
    <w:rPr>
      <w:rFonts w:ascii="宋体" w:hAnsi="宋体" w:eastAsia="宋体" w:cs="Times New Roman"/>
      <w:szCs w:val="20"/>
    </w:rPr>
  </w:style>
  <w:style w:type="paragraph" w:styleId="1001">
    <w:name w:val="正文文本缩进11"/>
    <w:basedOn w:val="871"/>
    <w:next w:val="1002"/>
    <w:link w:val="871"/>
    <w:unhideWhenUsed/>
    <w:qFormat/>
    <w:pPr>
      <w:ind w:left="420"/>
      <w:spacing w:after="120"/>
    </w:pPr>
  </w:style>
  <w:style w:type="paragraph" w:styleId="1002">
    <w:name w:val="寄信人地址1"/>
    <w:basedOn w:val="871"/>
    <w:next w:val="1002"/>
    <w:link w:val="871"/>
    <w:qFormat/>
    <w:rPr>
      <w:rFonts w:ascii="Arial" w:hAnsi="Arial" w:eastAsia="宋体" w:cs="宋体"/>
    </w:rPr>
  </w:style>
  <w:style w:type="paragraph" w:styleId="1003">
    <w:name w:val="Table Paragraph"/>
    <w:basedOn w:val="871"/>
    <w:next w:val="1003"/>
    <w:link w:val="871"/>
    <w:uiPriority w:val="1"/>
    <w:qFormat/>
    <w:pPr>
      <w:jc w:val="left"/>
    </w:pPr>
    <w:rPr>
      <w:rFonts w:ascii="宋体" w:hAnsi="宋体" w:eastAsia="宋体" w:cs="宋体"/>
      <w:sz w:val="22"/>
      <w:szCs w:val="22"/>
      <w:lang w:val="zh-CN" w:bidi="zh-CN"/>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2023-03-27T07:28:00Z</dcterms:created>
  <dcterms:modified xsi:type="dcterms:W3CDTF">2026-10-26T04:21:32Z</dcterms:modified>
</cp:coreProperties>
</file>