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0EEBA2">
      <w:pPr>
        <w:widowControl w:val="0"/>
        <w:spacing w:before="0" w:after="0" w:line="288" w:lineRule="auto"/>
        <w:jc w:val="left"/>
        <w:rPr>
          <w:rFonts w:ascii="Times New Roman" w:hAnsi="Times New Roman" w:eastAsia="Times New Roman" w:cs="Times New Roman"/>
          <w:sz w:val="44"/>
          <w:szCs w:val="44"/>
          <w:highlight w:val="none"/>
        </w:rPr>
      </w:pPr>
    </w:p>
    <w:p w14:paraId="43D30CA0">
      <w:pPr>
        <w:widowControl w:val="0"/>
        <w:spacing w:before="0" w:after="0" w:line="288" w:lineRule="auto"/>
        <w:jc w:val="left"/>
        <w:rPr>
          <w:rFonts w:ascii="Times New Roman" w:hAnsi="Times New Roman" w:eastAsia="Times New Roman" w:cs="Times New Roman"/>
          <w:sz w:val="44"/>
          <w:szCs w:val="44"/>
          <w:highlight w:val="none"/>
        </w:rPr>
      </w:pPr>
    </w:p>
    <w:p w14:paraId="0B314FF2">
      <w:pPr>
        <w:widowControl w:val="0"/>
        <w:spacing w:before="0" w:after="0" w:line="288" w:lineRule="auto"/>
        <w:jc w:val="center"/>
        <w:rPr>
          <w:rFonts w:ascii="Times New Roman" w:hAnsi="Times New Roman" w:eastAsia="Times New Roman" w:cs="Times New Roman"/>
          <w:sz w:val="76"/>
          <w:szCs w:val="76"/>
          <w:highlight w:val="none"/>
        </w:rPr>
      </w:pPr>
      <w:r>
        <w:rPr>
          <w:rFonts w:ascii="黑体" w:hAnsi="黑体" w:eastAsia="黑体" w:cs="黑体"/>
          <w:sz w:val="76"/>
          <w:szCs w:val="76"/>
          <w:highlight w:val="none"/>
        </w:rPr>
        <w:t>公开招标文件</w:t>
      </w:r>
    </w:p>
    <w:p w14:paraId="61399B7D">
      <w:pPr>
        <w:widowControl w:val="0"/>
        <w:spacing w:before="0" w:after="0" w:line="288" w:lineRule="auto"/>
        <w:jc w:val="left"/>
        <w:rPr>
          <w:rFonts w:ascii="Times New Roman" w:hAnsi="Times New Roman" w:eastAsia="Times New Roman" w:cs="Times New Roman"/>
          <w:sz w:val="32"/>
          <w:szCs w:val="32"/>
          <w:highlight w:val="none"/>
        </w:rPr>
      </w:pPr>
    </w:p>
    <w:p w14:paraId="58857CC3">
      <w:pPr>
        <w:widowControl w:val="0"/>
        <w:spacing w:before="0" w:after="0" w:line="288" w:lineRule="auto"/>
        <w:jc w:val="left"/>
        <w:rPr>
          <w:rFonts w:ascii="Times New Roman" w:hAnsi="Times New Roman" w:eastAsia="Times New Roman" w:cs="Times New Roman"/>
          <w:sz w:val="44"/>
          <w:szCs w:val="44"/>
          <w:highlight w:val="none"/>
        </w:rPr>
      </w:pPr>
    </w:p>
    <w:p w14:paraId="4BC2BD8E">
      <w:pPr>
        <w:widowControl w:val="0"/>
        <w:spacing w:before="0" w:after="0"/>
        <w:ind w:firstLine="880"/>
        <w:jc w:val="left"/>
        <w:rPr>
          <w:rFonts w:ascii="Times New Roman" w:hAnsi="Times New Roman" w:eastAsia="Times New Roman" w:cs="Times New Roman"/>
          <w:sz w:val="44"/>
          <w:szCs w:val="44"/>
          <w:highlight w:val="none"/>
        </w:rPr>
      </w:pPr>
    </w:p>
    <w:p w14:paraId="2C4A9DF9">
      <w:pPr>
        <w:widowControl w:val="0"/>
        <w:spacing w:before="0" w:after="0"/>
        <w:ind w:firstLine="880"/>
        <w:jc w:val="left"/>
        <w:rPr>
          <w:rFonts w:ascii="Times New Roman" w:hAnsi="Times New Roman" w:eastAsia="Times New Roman" w:cs="Times New Roman"/>
          <w:sz w:val="44"/>
          <w:szCs w:val="44"/>
          <w:highlight w:val="none"/>
        </w:rPr>
      </w:pPr>
    </w:p>
    <w:tbl>
      <w:tblPr>
        <w:tblStyle w:val="191"/>
        <w:tblW w:w="4750" w:type="pct"/>
        <w:tblInd w:w="609" w:type="dxa"/>
        <w:tblLayout w:type="fixed"/>
        <w:tblCellMar>
          <w:top w:w="0" w:type="dxa"/>
          <w:left w:w="0" w:type="dxa"/>
          <w:bottom w:w="0" w:type="dxa"/>
          <w:right w:w="0" w:type="dxa"/>
        </w:tblCellMar>
      </w:tblPr>
      <w:tblGrid>
        <w:gridCol w:w="8784"/>
      </w:tblGrid>
      <w:tr w14:paraId="1F67F296">
        <w:tblPrEx>
          <w:tblCellMar>
            <w:top w:w="0" w:type="dxa"/>
            <w:left w:w="0" w:type="dxa"/>
            <w:bottom w:w="0" w:type="dxa"/>
            <w:right w:w="0" w:type="dxa"/>
          </w:tblCellMar>
        </w:tblPrEx>
        <w:trPr>
          <w:trHeight w:val="1523" w:hRule="atLeast"/>
        </w:trPr>
        <w:tc>
          <w:tcPr>
            <w:tcW w:w="8568" w:type="dxa"/>
            <w:noWrap w:val="0"/>
            <w:tcMar>
              <w:top w:w="5" w:type="dxa"/>
              <w:left w:w="113" w:type="dxa"/>
              <w:bottom w:w="5" w:type="dxa"/>
              <w:right w:w="113" w:type="dxa"/>
            </w:tcMar>
            <w:vAlign w:val="top"/>
          </w:tcPr>
          <w:p w14:paraId="18E436D9">
            <w:pPr>
              <w:widowControl w:val="0"/>
              <w:spacing w:before="0" w:after="0" w:line="360" w:lineRule="auto"/>
              <w:ind w:left="2200" w:hanging="2200"/>
              <w:jc w:val="left"/>
              <w:rPr>
                <w:rFonts w:hint="eastAsia" w:ascii="黑体" w:hAnsi="黑体" w:eastAsia="黑体" w:cs="黑体"/>
                <w:b w:val="0"/>
                <w:bCs w:val="0"/>
                <w:i w:val="0"/>
                <w:iCs w:val="0"/>
                <w:smallCaps w:val="0"/>
                <w:color w:val="000000"/>
                <w:sz w:val="44"/>
                <w:szCs w:val="44"/>
                <w:highlight w:val="none"/>
                <w:lang w:eastAsia="zh-CN"/>
              </w:rPr>
            </w:pPr>
            <w:r>
              <w:rPr>
                <w:rFonts w:ascii="黑体" w:hAnsi="黑体" w:eastAsia="黑体" w:cs="黑体"/>
                <w:b w:val="0"/>
                <w:bCs w:val="0"/>
                <w:i w:val="0"/>
                <w:iCs w:val="0"/>
                <w:smallCaps w:val="0"/>
                <w:color w:val="000000"/>
                <w:sz w:val="44"/>
                <w:szCs w:val="44"/>
                <w:highlight w:val="none"/>
              </w:rPr>
              <w:t>项目编号：</w:t>
            </w:r>
            <w:r>
              <w:rPr>
                <w:rFonts w:hint="eastAsia" w:ascii="黑体" w:hAnsi="黑体" w:eastAsia="黑体" w:cs="黑体"/>
                <w:b w:val="0"/>
                <w:bCs w:val="0"/>
                <w:i w:val="0"/>
                <w:iCs w:val="0"/>
                <w:smallCaps w:val="0"/>
                <w:color w:val="000000"/>
                <w:sz w:val="44"/>
                <w:szCs w:val="44"/>
                <w:highlight w:val="none"/>
                <w:lang w:eastAsia="zh-CN"/>
              </w:rPr>
              <w:t>JSZC-320000-SMDG-G2026-0104</w:t>
            </w:r>
          </w:p>
          <w:p w14:paraId="68F362C5">
            <w:pPr>
              <w:widowControl w:val="0"/>
              <w:spacing w:before="0" w:after="0" w:line="360" w:lineRule="auto"/>
              <w:ind w:left="2200" w:hanging="2200"/>
              <w:jc w:val="left"/>
              <w:rPr>
                <w:rFonts w:hint="eastAsia" w:ascii="Times New Roman" w:hAnsi="Times New Roman" w:eastAsia="黑体" w:cs="Times New Roman"/>
                <w:b w:val="0"/>
                <w:bCs w:val="0"/>
                <w:i w:val="0"/>
                <w:iCs w:val="0"/>
                <w:smallCaps w:val="0"/>
                <w:color w:val="000000"/>
                <w:sz w:val="44"/>
                <w:szCs w:val="44"/>
                <w:highlight w:val="none"/>
                <w:lang w:eastAsia="zh-CN"/>
              </w:rPr>
            </w:pPr>
            <w:r>
              <w:rPr>
                <w:rFonts w:ascii="黑体" w:hAnsi="黑体" w:eastAsia="黑体" w:cs="黑体"/>
                <w:b w:val="0"/>
                <w:bCs w:val="0"/>
                <w:i w:val="0"/>
                <w:iCs w:val="0"/>
                <w:smallCaps w:val="0"/>
                <w:color w:val="000000"/>
                <w:sz w:val="44"/>
                <w:szCs w:val="44"/>
                <w:highlight w:val="none"/>
              </w:rPr>
              <w:t>项目名称：</w:t>
            </w:r>
            <w:r>
              <w:rPr>
                <w:rFonts w:hint="eastAsia" w:ascii="黑体" w:hAnsi="黑体" w:eastAsia="黑体" w:cs="黑体"/>
                <w:b w:val="0"/>
                <w:bCs w:val="0"/>
                <w:i w:val="0"/>
                <w:iCs w:val="0"/>
                <w:smallCaps w:val="0"/>
                <w:color w:val="000000"/>
                <w:sz w:val="44"/>
                <w:szCs w:val="44"/>
                <w:highlight w:val="none"/>
                <w:lang w:eastAsia="zh-CN"/>
              </w:rPr>
              <w:t>液氧站建设及液氧配送服务</w:t>
            </w:r>
          </w:p>
        </w:tc>
      </w:tr>
    </w:tbl>
    <w:p w14:paraId="2C6047A5">
      <w:pPr>
        <w:widowControl w:val="0"/>
        <w:spacing w:before="0" w:after="0" w:line="288" w:lineRule="auto"/>
        <w:jc w:val="left"/>
        <w:rPr>
          <w:rFonts w:ascii="Times New Roman" w:hAnsi="Times New Roman" w:eastAsia="Times New Roman" w:cs="Times New Roman"/>
          <w:sz w:val="44"/>
          <w:szCs w:val="44"/>
          <w:highlight w:val="none"/>
        </w:rPr>
      </w:pPr>
    </w:p>
    <w:p w14:paraId="7BB0249B">
      <w:pPr>
        <w:widowControl w:val="0"/>
        <w:spacing w:before="0" w:after="0" w:line="288" w:lineRule="auto"/>
        <w:jc w:val="left"/>
        <w:rPr>
          <w:rFonts w:ascii="Times New Roman" w:hAnsi="Times New Roman" w:eastAsia="Times New Roman" w:cs="Times New Roman"/>
          <w:sz w:val="44"/>
          <w:szCs w:val="44"/>
          <w:highlight w:val="none"/>
        </w:rPr>
      </w:pPr>
    </w:p>
    <w:p w14:paraId="56B597B0">
      <w:pPr>
        <w:widowControl w:val="0"/>
        <w:spacing w:before="0" w:after="0" w:line="288" w:lineRule="auto"/>
        <w:jc w:val="left"/>
        <w:rPr>
          <w:rFonts w:ascii="Times New Roman" w:hAnsi="Times New Roman" w:eastAsia="Times New Roman" w:cs="Times New Roman"/>
          <w:sz w:val="32"/>
          <w:szCs w:val="32"/>
          <w:highlight w:val="none"/>
        </w:rPr>
      </w:pPr>
    </w:p>
    <w:p w14:paraId="03C8E667">
      <w:pPr>
        <w:widowControl w:val="0"/>
        <w:spacing w:before="0" w:after="0" w:line="288" w:lineRule="auto"/>
        <w:jc w:val="left"/>
        <w:rPr>
          <w:rFonts w:ascii="Times New Roman" w:hAnsi="Times New Roman" w:eastAsia="Times New Roman" w:cs="Times New Roman"/>
          <w:sz w:val="32"/>
          <w:szCs w:val="32"/>
          <w:highlight w:val="none"/>
        </w:rPr>
      </w:pPr>
    </w:p>
    <w:p w14:paraId="2B25F80E">
      <w:pPr>
        <w:widowControl w:val="0"/>
        <w:spacing w:before="0" w:after="0" w:line="288" w:lineRule="auto"/>
        <w:jc w:val="left"/>
        <w:rPr>
          <w:rFonts w:ascii="Times New Roman" w:hAnsi="Times New Roman" w:eastAsia="Times New Roman" w:cs="Times New Roman"/>
          <w:sz w:val="32"/>
          <w:szCs w:val="32"/>
          <w:highlight w:val="none"/>
        </w:rPr>
      </w:pPr>
    </w:p>
    <w:p w14:paraId="51FD0574">
      <w:pPr>
        <w:widowControl w:val="0"/>
        <w:spacing w:before="0" w:after="0" w:line="288" w:lineRule="auto"/>
        <w:jc w:val="left"/>
        <w:rPr>
          <w:rFonts w:ascii="Times New Roman" w:hAnsi="Times New Roman" w:eastAsia="Times New Roman" w:cs="Times New Roman"/>
          <w:sz w:val="32"/>
          <w:szCs w:val="32"/>
          <w:highlight w:val="none"/>
        </w:rPr>
      </w:pPr>
    </w:p>
    <w:p w14:paraId="1D49B95F">
      <w:pPr>
        <w:widowControl w:val="0"/>
        <w:spacing w:before="0" w:after="0" w:line="288" w:lineRule="auto"/>
        <w:jc w:val="left"/>
        <w:rPr>
          <w:rFonts w:ascii="Times New Roman" w:hAnsi="Times New Roman" w:eastAsia="Times New Roman" w:cs="Times New Roman"/>
          <w:sz w:val="32"/>
          <w:szCs w:val="32"/>
          <w:highlight w:val="none"/>
        </w:rPr>
      </w:pPr>
    </w:p>
    <w:p w14:paraId="1150016D">
      <w:pPr>
        <w:widowControl w:val="0"/>
        <w:spacing w:before="0" w:after="0" w:line="360" w:lineRule="auto"/>
        <w:jc w:val="center"/>
        <w:rPr>
          <w:rFonts w:ascii="Times New Roman" w:hAnsi="Times New Roman" w:eastAsia="Times New Roman" w:cs="Times New Roman"/>
          <w:sz w:val="44"/>
          <w:szCs w:val="44"/>
          <w:highlight w:val="none"/>
        </w:rPr>
      </w:pPr>
      <w:r>
        <w:rPr>
          <w:rFonts w:ascii="黑体" w:hAnsi="黑体" w:eastAsia="黑体" w:cs="黑体"/>
          <w:sz w:val="44"/>
          <w:szCs w:val="44"/>
          <w:highlight w:val="none"/>
        </w:rPr>
        <w:t>苏美达国际技术贸易有限公司</w:t>
      </w:r>
    </w:p>
    <w:p w14:paraId="4DD028E0">
      <w:pPr>
        <w:widowControl w:val="0"/>
        <w:spacing w:before="0" w:after="0" w:line="360" w:lineRule="auto"/>
        <w:jc w:val="center"/>
        <w:rPr>
          <w:rFonts w:ascii="Times New Roman" w:hAnsi="Times New Roman" w:eastAsia="Times New Roman" w:cs="Times New Roman"/>
          <w:sz w:val="44"/>
          <w:szCs w:val="44"/>
          <w:highlight w:val="none"/>
        </w:rPr>
      </w:pPr>
      <w:r>
        <w:rPr>
          <w:rFonts w:ascii="黑体" w:hAnsi="黑体" w:eastAsia="黑体" w:cs="黑体"/>
          <w:sz w:val="44"/>
          <w:szCs w:val="44"/>
          <w:highlight w:val="none"/>
        </w:rPr>
        <w:t>二〇二六年</w:t>
      </w:r>
      <w:r>
        <w:rPr>
          <w:rFonts w:hint="eastAsia" w:ascii="黑体" w:hAnsi="黑体" w:eastAsia="黑体" w:cs="黑体"/>
          <w:sz w:val="44"/>
          <w:szCs w:val="44"/>
          <w:highlight w:val="none"/>
          <w:lang w:val="en-US" w:eastAsia="zh-CN"/>
        </w:rPr>
        <w:t>九</w:t>
      </w:r>
      <w:r>
        <w:rPr>
          <w:rFonts w:ascii="黑体" w:hAnsi="黑体" w:eastAsia="黑体" w:cs="黑体"/>
          <w:sz w:val="44"/>
          <w:szCs w:val="44"/>
          <w:highlight w:val="none"/>
        </w:rPr>
        <w:t>月</w:t>
      </w:r>
    </w:p>
    <w:p w14:paraId="12BD7B76">
      <w:pPr>
        <w:spacing w:before="240" w:after="240"/>
        <w:rPr>
          <w:rFonts w:ascii="Times New Roman" w:hAnsi="Times New Roman" w:eastAsia="Times New Roman" w:cs="Times New Roman"/>
          <w:highlight w:val="none"/>
        </w:rPr>
      </w:pPr>
      <w:r>
        <w:rPr>
          <w:rFonts w:ascii="Times New Roman" w:hAnsi="Times New Roman" w:eastAsia="Times New Roman" w:cs="Times New Roman"/>
          <w:highlight w:val="none"/>
        </w:rPr>
        <w:t> </w:t>
      </w:r>
    </w:p>
    <w:p w14:paraId="10CEF580">
      <w:pPr>
        <w:widowControl w:val="0"/>
        <w:spacing w:before="0" w:after="0" w:line="288" w:lineRule="auto"/>
        <w:ind w:firstLine="425"/>
        <w:jc w:val="center"/>
        <w:rPr>
          <w:rFonts w:ascii="黑体" w:hAnsi="黑体" w:eastAsia="黑体" w:cs="黑体"/>
          <w:sz w:val="36"/>
          <w:szCs w:val="36"/>
          <w:highlight w:val="none"/>
        </w:rPr>
      </w:pPr>
    </w:p>
    <w:p w14:paraId="4088376B">
      <w:pPr>
        <w:widowControl w:val="0"/>
        <w:spacing w:before="0" w:after="0" w:line="288" w:lineRule="auto"/>
        <w:ind w:firstLine="425"/>
        <w:jc w:val="center"/>
        <w:rPr>
          <w:rFonts w:ascii="黑体" w:hAnsi="黑体" w:eastAsia="黑体" w:cs="黑体"/>
          <w:sz w:val="36"/>
          <w:szCs w:val="36"/>
          <w:highlight w:val="none"/>
        </w:rPr>
      </w:pPr>
    </w:p>
    <w:p w14:paraId="1480FE6A">
      <w:pPr>
        <w:widowControl w:val="0"/>
        <w:spacing w:before="0" w:after="0" w:line="288" w:lineRule="auto"/>
        <w:ind w:firstLine="425"/>
        <w:jc w:val="center"/>
        <w:rPr>
          <w:rFonts w:ascii="黑体" w:hAnsi="黑体" w:eastAsia="黑体" w:cs="黑体"/>
          <w:sz w:val="36"/>
          <w:szCs w:val="36"/>
          <w:highlight w:val="none"/>
        </w:rPr>
      </w:pPr>
    </w:p>
    <w:p w14:paraId="62FC1E86">
      <w:pPr>
        <w:widowControl w:val="0"/>
        <w:spacing w:before="0" w:after="0" w:line="288" w:lineRule="auto"/>
        <w:ind w:firstLine="425"/>
        <w:jc w:val="center"/>
        <w:rPr>
          <w:rFonts w:ascii="Times New Roman" w:hAnsi="Times New Roman" w:eastAsia="Times New Roman" w:cs="Times New Roman"/>
          <w:sz w:val="36"/>
          <w:szCs w:val="36"/>
          <w:highlight w:val="none"/>
        </w:rPr>
      </w:pPr>
      <w:r>
        <w:rPr>
          <w:rFonts w:ascii="黑体" w:hAnsi="黑体" w:eastAsia="黑体" w:cs="黑体"/>
          <w:sz w:val="36"/>
          <w:szCs w:val="36"/>
          <w:highlight w:val="none"/>
        </w:rPr>
        <w:t>第一章 招标公告</w:t>
      </w:r>
    </w:p>
    <w:p w14:paraId="7BCB4E86">
      <w:pPr>
        <w:widowControl w:val="0"/>
        <w:spacing w:before="0" w:after="0" w:line="288" w:lineRule="auto"/>
        <w:jc w:val="left"/>
        <w:rPr>
          <w:rFonts w:ascii="Times New Roman" w:hAnsi="Times New Roman" w:eastAsia="Times New Roman" w:cs="Times New Roman"/>
          <w:sz w:val="20"/>
          <w:szCs w:val="20"/>
          <w:highlight w:val="none"/>
        </w:rPr>
      </w:pPr>
    </w:p>
    <w:p w14:paraId="4DA818FC">
      <w:pPr>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项目概况</w:t>
      </w:r>
    </w:p>
    <w:p w14:paraId="5104D1DA">
      <w:pPr>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江苏省肿瘤医院</w:t>
      </w:r>
      <w:r>
        <w:rPr>
          <w:rFonts w:hint="eastAsia" w:ascii="宋体" w:hAnsi="宋体" w:eastAsia="宋体" w:cs="宋体"/>
          <w:sz w:val="21"/>
          <w:szCs w:val="21"/>
          <w:highlight w:val="none"/>
          <w:lang w:eastAsia="zh-CN"/>
        </w:rPr>
        <w:t>液氧站建设及液氧配送服务</w:t>
      </w:r>
      <w:r>
        <w:rPr>
          <w:rFonts w:ascii="宋体" w:hAnsi="宋体" w:eastAsia="宋体" w:cs="宋体"/>
          <w:sz w:val="21"/>
          <w:szCs w:val="21"/>
          <w:highlight w:val="none"/>
        </w:rPr>
        <w:t>项目的潜在供应商应在苏采云线上获取招标文件，并于2026年</w:t>
      </w:r>
      <w:r>
        <w:rPr>
          <w:rFonts w:hint="eastAsia" w:ascii="宋体" w:hAnsi="宋体" w:eastAsia="宋体" w:cs="宋体"/>
          <w:sz w:val="21"/>
          <w:szCs w:val="21"/>
          <w:highlight w:val="none"/>
          <w:lang w:val="en-US" w:eastAsia="zh-CN"/>
        </w:rPr>
        <w:t>10月19日09</w:t>
      </w:r>
      <w:r>
        <w:rPr>
          <w:rFonts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ascii="宋体" w:hAnsi="宋体" w:eastAsia="宋体" w:cs="宋体"/>
          <w:sz w:val="21"/>
          <w:szCs w:val="21"/>
          <w:highlight w:val="none"/>
        </w:rPr>
        <w:t>0（北京时间）前提交投标文件。</w:t>
      </w:r>
    </w:p>
    <w:p w14:paraId="70CF24A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一、项目基本情况</w:t>
      </w:r>
    </w:p>
    <w:p w14:paraId="3DF54A3F">
      <w:pPr>
        <w:widowControl w:val="0"/>
        <w:spacing w:before="0" w:after="0" w:line="360" w:lineRule="auto"/>
        <w:ind w:firstLine="420"/>
        <w:jc w:val="left"/>
        <w:rPr>
          <w:rFonts w:hint="eastAsia" w:ascii="宋体" w:hAnsi="宋体" w:eastAsia="宋体" w:cs="宋体"/>
          <w:b/>
          <w:bCs/>
          <w:sz w:val="21"/>
          <w:szCs w:val="21"/>
          <w:highlight w:val="none"/>
          <w:lang w:eastAsia="zh-CN"/>
        </w:rPr>
      </w:pPr>
      <w:r>
        <w:rPr>
          <w:rFonts w:ascii="宋体" w:hAnsi="宋体" w:eastAsia="宋体" w:cs="宋体"/>
          <w:b/>
          <w:bCs/>
          <w:sz w:val="21"/>
          <w:szCs w:val="21"/>
          <w:highlight w:val="none"/>
        </w:rPr>
        <w:t>项目编号：</w:t>
      </w:r>
      <w:r>
        <w:rPr>
          <w:rFonts w:hint="eastAsia" w:ascii="宋体" w:hAnsi="宋体" w:eastAsia="宋体" w:cs="宋体"/>
          <w:b w:val="0"/>
          <w:bCs w:val="0"/>
          <w:sz w:val="21"/>
          <w:szCs w:val="21"/>
          <w:highlight w:val="none"/>
          <w:lang w:eastAsia="zh-CN"/>
        </w:rPr>
        <w:t>JSZC-320000-SMDG-G2026-0104</w:t>
      </w:r>
    </w:p>
    <w:p w14:paraId="18E7DCBB">
      <w:pPr>
        <w:widowControl w:val="0"/>
        <w:spacing w:before="0" w:after="0" w:line="360" w:lineRule="auto"/>
        <w:ind w:firstLine="420"/>
        <w:jc w:val="left"/>
        <w:rPr>
          <w:rFonts w:hint="eastAsia" w:ascii="Times New Roman" w:hAnsi="Times New Roman" w:eastAsia="宋体" w:cs="Times New Roman"/>
          <w:sz w:val="21"/>
          <w:szCs w:val="21"/>
          <w:highlight w:val="none"/>
          <w:lang w:eastAsia="zh-CN"/>
        </w:rPr>
      </w:pPr>
      <w:r>
        <w:rPr>
          <w:rFonts w:ascii="宋体" w:hAnsi="宋体" w:eastAsia="宋体" w:cs="宋体"/>
          <w:b/>
          <w:bCs/>
          <w:sz w:val="21"/>
          <w:szCs w:val="21"/>
          <w:highlight w:val="none"/>
        </w:rPr>
        <w:t>项目名称：</w:t>
      </w:r>
      <w:r>
        <w:rPr>
          <w:rFonts w:hint="eastAsia" w:ascii="宋体" w:hAnsi="宋体" w:eastAsia="宋体" w:cs="宋体"/>
          <w:sz w:val="21"/>
          <w:szCs w:val="21"/>
          <w:highlight w:val="none"/>
          <w:lang w:eastAsia="zh-CN"/>
        </w:rPr>
        <w:t>液氧站建设及液氧配送服务</w:t>
      </w:r>
    </w:p>
    <w:p w14:paraId="77A02849">
      <w:pPr>
        <w:widowControl w:val="0"/>
        <w:spacing w:before="0" w:after="0" w:line="360" w:lineRule="auto"/>
        <w:ind w:firstLine="420"/>
        <w:jc w:val="left"/>
        <w:rPr>
          <w:rFonts w:hint="default" w:ascii="Times New Roman" w:hAnsi="Times New Roman" w:eastAsia="宋体" w:cs="Times New Roman"/>
          <w:sz w:val="21"/>
          <w:szCs w:val="21"/>
          <w:highlight w:val="none"/>
          <w:lang w:val="en-US" w:eastAsia="zh-CN"/>
        </w:rPr>
      </w:pPr>
      <w:r>
        <w:rPr>
          <w:rFonts w:ascii="宋体" w:hAnsi="宋体" w:eastAsia="宋体" w:cs="宋体"/>
          <w:b/>
          <w:bCs/>
          <w:sz w:val="21"/>
          <w:szCs w:val="21"/>
          <w:highlight w:val="none"/>
        </w:rPr>
        <w:t>采购</w:t>
      </w:r>
      <w:r>
        <w:rPr>
          <w:rFonts w:hint="eastAsia" w:ascii="宋体" w:hAnsi="宋体" w:eastAsia="宋体" w:cs="宋体"/>
          <w:b/>
          <w:bCs/>
          <w:sz w:val="21"/>
          <w:szCs w:val="21"/>
          <w:highlight w:val="none"/>
          <w:lang w:val="en-US" w:eastAsia="zh-CN"/>
        </w:rPr>
        <w:t>总</w:t>
      </w:r>
      <w:r>
        <w:rPr>
          <w:rFonts w:ascii="宋体" w:hAnsi="宋体" w:eastAsia="宋体" w:cs="宋体"/>
          <w:b/>
          <w:bCs/>
          <w:sz w:val="21"/>
          <w:szCs w:val="21"/>
          <w:highlight w:val="none"/>
        </w:rPr>
        <w:t>预算：</w:t>
      </w:r>
      <w:bookmarkStart w:id="0" w:name="OLE_LINK6"/>
      <w:r>
        <w:rPr>
          <w:rFonts w:hint="eastAsia" w:ascii="宋体" w:hAnsi="宋体" w:eastAsia="宋体" w:cs="宋体"/>
          <w:b w:val="0"/>
          <w:bCs w:val="0"/>
          <w:sz w:val="21"/>
          <w:szCs w:val="21"/>
          <w:highlight w:val="none"/>
          <w:lang w:val="en-US" w:eastAsia="zh-CN"/>
        </w:rPr>
        <w:t>180万元。其中：</w:t>
      </w:r>
      <w:r>
        <w:rPr>
          <w:rFonts w:hint="eastAsia" w:ascii="宋体" w:hAnsi="宋体" w:eastAsia="宋体" w:cs="宋体"/>
          <w:sz w:val="21"/>
          <w:szCs w:val="21"/>
          <w:highlight w:val="none"/>
          <w:lang w:val="en-US" w:eastAsia="zh-CN"/>
        </w:rPr>
        <w:t>1.医用液氧及一体化瓶氧90万元/年；2.液氧罐采购及氧站建设费90万元</w:t>
      </w:r>
      <w:bookmarkEnd w:id="0"/>
      <w:r>
        <w:rPr>
          <w:rFonts w:hint="eastAsia" w:ascii="宋体" w:hAnsi="宋体" w:eastAsia="宋体" w:cs="宋体"/>
          <w:sz w:val="21"/>
          <w:szCs w:val="21"/>
          <w:highlight w:val="none"/>
          <w:lang w:val="en-US" w:eastAsia="zh-CN"/>
        </w:rPr>
        <w:t>。</w:t>
      </w:r>
    </w:p>
    <w:p w14:paraId="5A76AAD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最高限价：</w:t>
      </w:r>
      <w:r>
        <w:rPr>
          <w:rFonts w:hint="eastAsia" w:ascii="宋体" w:hAnsi="宋体" w:eastAsia="宋体" w:cs="宋体"/>
          <w:sz w:val="21"/>
          <w:szCs w:val="21"/>
          <w:highlight w:val="none"/>
          <w:lang w:val="en-US" w:eastAsia="zh-CN"/>
        </w:rPr>
        <w:t>1.医用液氧及一体化瓶氧90万元/年；2.液氧罐采购及氧站建设费90万元。</w:t>
      </w:r>
      <w:r>
        <w:rPr>
          <w:rFonts w:ascii="宋体" w:hAnsi="宋体" w:eastAsia="宋体" w:cs="宋体"/>
          <w:sz w:val="21"/>
          <w:szCs w:val="21"/>
          <w:highlight w:val="none"/>
        </w:rPr>
        <w:t>超过采购预算金额及最高限价作无效投标处理。</w:t>
      </w:r>
    </w:p>
    <w:p w14:paraId="363E354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采购需求简介：</w:t>
      </w:r>
      <w:r>
        <w:rPr>
          <w:rFonts w:hint="eastAsia" w:ascii="宋体" w:hAnsi="宋体" w:eastAsia="宋体" w:cs="宋体"/>
          <w:sz w:val="21"/>
          <w:szCs w:val="21"/>
          <w:highlight w:val="none"/>
          <w:lang w:val="en-US" w:eastAsia="zh-CN"/>
        </w:rPr>
        <w:t>江苏省肿瘤医院医用液氧供应，服务内容包含服务期内江苏省肿瘤医院医用液氧供应，在医院指定地点建设液氧站一套，并负责服务期内设备运维，</w:t>
      </w:r>
      <w:r>
        <w:rPr>
          <w:rFonts w:ascii="宋体" w:hAnsi="宋体" w:eastAsia="宋体" w:cs="宋体"/>
          <w:sz w:val="21"/>
          <w:szCs w:val="21"/>
          <w:highlight w:val="none"/>
        </w:rPr>
        <w:t>具体要求详见第四章。</w:t>
      </w:r>
    </w:p>
    <w:p w14:paraId="682ED0E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采购标的对应中小企业划分标准所属行业：</w:t>
      </w:r>
      <w:r>
        <w:rPr>
          <w:rFonts w:hint="eastAsia" w:ascii="宋体" w:hAnsi="宋体" w:eastAsia="宋体" w:cs="宋体"/>
          <w:sz w:val="21"/>
          <w:szCs w:val="21"/>
          <w:highlight w:val="none"/>
          <w:lang w:val="en-US" w:eastAsia="zh-CN"/>
        </w:rPr>
        <w:t>工业</w:t>
      </w:r>
      <w:r>
        <w:rPr>
          <w:rFonts w:ascii="宋体" w:hAnsi="宋体" w:eastAsia="宋体" w:cs="宋体"/>
          <w:sz w:val="20"/>
          <w:szCs w:val="20"/>
          <w:highlight w:val="none"/>
        </w:rPr>
        <w:t>。</w:t>
      </w:r>
    </w:p>
    <w:p w14:paraId="33946D82">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合同履行期限：</w:t>
      </w:r>
      <w:r>
        <w:rPr>
          <w:rFonts w:hint="eastAsia" w:ascii="宋体" w:hAnsi="宋体" w:eastAsia="宋体" w:cs="宋体"/>
          <w:sz w:val="21"/>
          <w:szCs w:val="21"/>
          <w:highlight w:val="none"/>
          <w:lang w:val="en-US" w:eastAsia="zh-CN"/>
        </w:rPr>
        <w:t>三</w:t>
      </w:r>
      <w:r>
        <w:rPr>
          <w:rFonts w:ascii="宋体" w:hAnsi="宋体" w:eastAsia="宋体" w:cs="宋体"/>
          <w:sz w:val="21"/>
          <w:szCs w:val="21"/>
          <w:highlight w:val="none"/>
        </w:rPr>
        <w:t>年。合同每执行一个年度，医院有权对供应商进行考核，考核不合格的，医院有权终止合同；考核合格后，在医院补足下一年度的预算后，合同方可继续执行。</w:t>
      </w:r>
    </w:p>
    <w:p w14:paraId="1F28C08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本项目</w:t>
      </w:r>
      <w:r>
        <w:rPr>
          <w:rFonts w:ascii="宋体" w:hAnsi="宋体" w:eastAsia="宋体" w:cs="宋体"/>
          <w:b/>
          <w:bCs/>
          <w:sz w:val="21"/>
          <w:szCs w:val="21"/>
          <w:highlight w:val="none"/>
        </w:rPr>
        <w:t>不接受</w:t>
      </w:r>
      <w:r>
        <w:rPr>
          <w:rFonts w:ascii="宋体" w:hAnsi="宋体" w:eastAsia="宋体" w:cs="宋体"/>
          <w:sz w:val="21"/>
          <w:szCs w:val="21"/>
          <w:highlight w:val="none"/>
        </w:rPr>
        <w:t>联合体投标。</w:t>
      </w:r>
    </w:p>
    <w:p w14:paraId="36CFD38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本项目中标后</w:t>
      </w:r>
      <w:r>
        <w:rPr>
          <w:rFonts w:ascii="宋体" w:hAnsi="宋体" w:eastAsia="宋体" w:cs="宋体"/>
          <w:b/>
          <w:bCs/>
          <w:sz w:val="21"/>
          <w:szCs w:val="21"/>
          <w:highlight w:val="none"/>
        </w:rPr>
        <w:t>不允许</w:t>
      </w:r>
      <w:r>
        <w:rPr>
          <w:rFonts w:ascii="宋体" w:hAnsi="宋体" w:eastAsia="宋体" w:cs="宋体"/>
          <w:sz w:val="21"/>
          <w:szCs w:val="21"/>
          <w:highlight w:val="none"/>
        </w:rPr>
        <w:t>转包、分包。</w:t>
      </w:r>
    </w:p>
    <w:p w14:paraId="42EFEF4C">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二、申请人的资格要求：</w:t>
      </w:r>
    </w:p>
    <w:p w14:paraId="65ADD71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2.1满足《中华人民共和国政府采购法》第二十二条规定：</w:t>
      </w:r>
    </w:p>
    <w:p w14:paraId="4C7376C1">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（1）具有独立承担民事责任的能力，提供法人或其他组织的营业执照等证明文件，复印件加盖公章；</w:t>
      </w:r>
    </w:p>
    <w:p w14:paraId="5570169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（2）法人代表授权书（原件）及法定代表人、授权代表身份证复印件及</w:t>
      </w:r>
      <w:r>
        <w:rPr>
          <w:rFonts w:hint="eastAsia" w:ascii="宋体" w:hAnsi="宋体" w:eastAsia="宋体" w:cs="宋体"/>
          <w:b/>
          <w:bCs/>
          <w:sz w:val="21"/>
          <w:szCs w:val="21"/>
          <w:highlight w:val="none"/>
          <w:lang w:eastAsia="zh-CN"/>
        </w:rPr>
        <w:t>2026年4月-2026年9月</w:t>
      </w:r>
      <w:r>
        <w:rPr>
          <w:rFonts w:ascii="宋体" w:hAnsi="宋体" w:eastAsia="宋体" w:cs="宋体"/>
          <w:sz w:val="21"/>
          <w:szCs w:val="21"/>
          <w:highlight w:val="none"/>
        </w:rPr>
        <w:t>内任意一月投标单位为其缴纳的社保证明（如果是法定代表人直接参与投标的可以不提供授权书）；</w:t>
      </w:r>
    </w:p>
    <w:p w14:paraId="42DBD1B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（3）具有良好的商业信誉和健全的财务会计制度，提供</w:t>
      </w:r>
      <w:r>
        <w:rPr>
          <w:rFonts w:hint="eastAsia" w:ascii="宋体" w:hAnsi="宋体" w:eastAsia="宋体" w:cs="宋体"/>
          <w:b/>
          <w:bCs/>
          <w:sz w:val="21"/>
          <w:szCs w:val="21"/>
          <w:highlight w:val="none"/>
          <w:lang w:eastAsia="zh-CN"/>
        </w:rPr>
        <w:t>2026年4月-2026年9月</w:t>
      </w:r>
      <w:r>
        <w:rPr>
          <w:rFonts w:ascii="宋体" w:hAnsi="宋体" w:eastAsia="宋体" w:cs="宋体"/>
          <w:sz w:val="21"/>
          <w:szCs w:val="21"/>
          <w:highlight w:val="none"/>
        </w:rPr>
        <w:t>内任意一月份的财务状况报告（至少包括资产负债表或利润表）（法人或者其他组织成立未满三个月的可以不提供），或其银行出具的资信证书（复印件）（</w:t>
      </w:r>
      <w:r>
        <w:rPr>
          <w:rFonts w:hint="eastAsia" w:ascii="宋体" w:hAnsi="宋体" w:eastAsia="宋体" w:cs="宋体"/>
          <w:b/>
          <w:bCs/>
          <w:sz w:val="21"/>
          <w:szCs w:val="21"/>
          <w:highlight w:val="none"/>
          <w:lang w:eastAsia="zh-CN"/>
        </w:rPr>
        <w:t>2026年4月-2026年9月</w:t>
      </w:r>
      <w:r>
        <w:rPr>
          <w:rFonts w:ascii="宋体" w:hAnsi="宋体" w:eastAsia="宋体" w:cs="宋体"/>
          <w:sz w:val="21"/>
          <w:szCs w:val="21"/>
          <w:highlight w:val="none"/>
        </w:rPr>
        <w:t>内），或2024或2025年度经审计的财务报告复印件加盖公章；</w:t>
      </w:r>
    </w:p>
    <w:p w14:paraId="2D366B7C">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（4）具有履行合同所必需的设备和专业技术能力（根据项目需求提供履行合同所必需的设备和专业技术能力的证明材料或相关加盖公章的承诺函，承诺函自行编写）；</w:t>
      </w:r>
    </w:p>
    <w:p w14:paraId="6E0AD65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69F26431">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（6）有依法缴纳税收的良好记录，提供</w:t>
      </w:r>
      <w:r>
        <w:rPr>
          <w:rFonts w:hint="eastAsia" w:ascii="宋体" w:hAnsi="宋体" w:eastAsia="宋体" w:cs="宋体"/>
          <w:b/>
          <w:bCs/>
          <w:sz w:val="21"/>
          <w:szCs w:val="21"/>
          <w:highlight w:val="none"/>
          <w:lang w:eastAsia="zh-CN"/>
        </w:rPr>
        <w:t>2026年4月-2026年9月</w:t>
      </w:r>
      <w:r>
        <w:rPr>
          <w:rFonts w:ascii="宋体" w:hAnsi="宋体" w:eastAsia="宋体" w:cs="宋体"/>
          <w:sz w:val="21"/>
          <w:szCs w:val="21"/>
          <w:highlight w:val="none"/>
        </w:rPr>
        <w:t>内任意一月份的纳税凭据复印件加盖公章（依法免税的应提供相应文件说明）；</w:t>
      </w:r>
    </w:p>
    <w:p w14:paraId="65C91AB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（7）有依法缴纳社会保障资金的良好记录，提供</w:t>
      </w:r>
      <w:r>
        <w:rPr>
          <w:rFonts w:hint="eastAsia" w:ascii="宋体" w:hAnsi="宋体" w:eastAsia="宋体" w:cs="宋体"/>
          <w:b/>
          <w:bCs/>
          <w:sz w:val="21"/>
          <w:szCs w:val="21"/>
          <w:highlight w:val="none"/>
          <w:lang w:eastAsia="zh-CN"/>
        </w:rPr>
        <w:t>2026年4月-2026年9月</w:t>
      </w:r>
      <w:r>
        <w:rPr>
          <w:rFonts w:ascii="宋体" w:hAnsi="宋体" w:eastAsia="宋体" w:cs="宋体"/>
          <w:sz w:val="21"/>
          <w:szCs w:val="21"/>
          <w:highlight w:val="none"/>
        </w:rPr>
        <w:t>内任意一月份的依法缴纳社会保障资金的凭据复印件加盖公章；</w:t>
      </w:r>
    </w:p>
    <w:p w14:paraId="208D21E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2.2落实政府采购政策需满足的资格要求：本项目非专门面向中小企业采购</w:t>
      </w:r>
    </w:p>
    <w:p w14:paraId="76450166">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2.3本项目的特定资格要求：</w:t>
      </w:r>
    </w:p>
    <w:p w14:paraId="3423602E">
      <w:pPr>
        <w:keepNext w:val="0"/>
        <w:keepLines w:val="0"/>
        <w:pageBreakBefore w:val="0"/>
        <w:widowControl w:val="0"/>
        <w:bidi w:val="0"/>
        <w:spacing w:before="0" w:after="0" w:line="360" w:lineRule="auto"/>
        <w:ind w:firstLine="420"/>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（1）①供应商如为液氧制造商，必须具备药品生产许可证（医用氧（液态））、移动式压力容器充装许可证书。（需提供证书复印件并加盖公章，原件备查）。</w:t>
      </w:r>
    </w:p>
    <w:p w14:paraId="3431CD7A">
      <w:pPr>
        <w:keepNext w:val="0"/>
        <w:keepLines w:val="0"/>
        <w:pageBreakBefore w:val="0"/>
        <w:widowControl w:val="0"/>
        <w:bidi w:val="0"/>
        <w:spacing w:before="0" w:after="0" w:line="360" w:lineRule="auto"/>
        <w:ind w:firstLine="420"/>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②供应商如为液氧代理商，除提供所投液氧产品制造商的上述资质外，</w:t>
      </w:r>
      <w:r>
        <w:rPr>
          <w:rFonts w:hint="eastAsia" w:ascii="宋体" w:hAnsi="宋体" w:eastAsia="宋体" w:cs="宋体"/>
          <w:color w:val="000000"/>
          <w:sz w:val="21"/>
          <w:highlight w:val="none"/>
          <w:lang w:val="en-US" w:eastAsia="zh-CN"/>
        </w:rPr>
        <w:t>还</w:t>
      </w:r>
      <w:r>
        <w:rPr>
          <w:rFonts w:hint="eastAsia" w:ascii="宋体" w:hAnsi="宋体" w:eastAsia="宋体" w:cs="宋体"/>
          <w:color w:val="000000"/>
          <w:sz w:val="21"/>
          <w:highlight w:val="none"/>
        </w:rPr>
        <w:t>须提供药品经营许可证、危险化学品经营许可证（需提供证书复印件并加盖公章，原件备查），同时须提供与制造商合作协议复印件并加盖公章，原件备查。</w:t>
      </w:r>
    </w:p>
    <w:p w14:paraId="44B248F9">
      <w:pPr>
        <w:keepNext w:val="0"/>
        <w:keepLines w:val="0"/>
        <w:pageBreakBefore w:val="0"/>
        <w:widowControl w:val="0"/>
        <w:bidi w:val="0"/>
        <w:spacing w:before="0" w:after="0" w:line="360" w:lineRule="auto"/>
        <w:ind w:firstLine="420"/>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（2）①供应商如为瓶氧制造商，必须具备药品生产许可证（医用氧（气态））、气瓶充装许可证。（需提供证书复印件并加盖公章，原件备查）。</w:t>
      </w:r>
    </w:p>
    <w:p w14:paraId="32886C49">
      <w:pPr>
        <w:keepNext w:val="0"/>
        <w:keepLines w:val="0"/>
        <w:pageBreakBefore w:val="0"/>
        <w:widowControl w:val="0"/>
        <w:bidi w:val="0"/>
        <w:spacing w:before="0" w:after="0" w:line="360" w:lineRule="auto"/>
        <w:ind w:firstLine="420"/>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②供应商如为瓶氧代理商，除提供所投瓶氧产品制造商的上述资质外，</w:t>
      </w:r>
      <w:r>
        <w:rPr>
          <w:rFonts w:hint="eastAsia" w:ascii="宋体" w:hAnsi="宋体" w:eastAsia="宋体" w:cs="宋体"/>
          <w:color w:val="000000"/>
          <w:sz w:val="21"/>
          <w:highlight w:val="none"/>
          <w:lang w:val="en-US" w:eastAsia="zh-CN"/>
        </w:rPr>
        <w:t>还</w:t>
      </w:r>
      <w:r>
        <w:rPr>
          <w:rFonts w:hint="eastAsia" w:ascii="宋体" w:hAnsi="宋体" w:eastAsia="宋体" w:cs="宋体"/>
          <w:color w:val="000000"/>
          <w:sz w:val="21"/>
          <w:highlight w:val="none"/>
        </w:rPr>
        <w:t>须提供药品经营许可证、危险化学品经营许可证（需提供证书复印件并加盖公章，原件备查），同时须提供与制造商合作协议复印件并加盖公章，原件备查。</w:t>
      </w:r>
      <w:bookmarkStart w:id="1" w:name="_GoBack"/>
      <w:bookmarkEnd w:id="1"/>
    </w:p>
    <w:p w14:paraId="7DC7E36C">
      <w:pPr>
        <w:keepNext w:val="0"/>
        <w:keepLines w:val="0"/>
        <w:pageBreakBefore w:val="0"/>
        <w:widowControl w:val="0"/>
        <w:bidi w:val="0"/>
        <w:spacing w:before="0" w:after="0" w:line="360" w:lineRule="auto"/>
        <w:ind w:firstLine="420"/>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（3）所投液氧和瓶氧产品分别具有有效期内的《药品注册证》或《药品注册批件》或《药品再注册批件》。（需提供证书复印件并加盖公章，原件备查）。</w:t>
      </w:r>
    </w:p>
    <w:p w14:paraId="68F62BBE">
      <w:pPr>
        <w:keepNext w:val="0"/>
        <w:keepLines w:val="0"/>
        <w:pageBreakBefore w:val="0"/>
        <w:widowControl w:val="0"/>
        <w:bidi w:val="0"/>
        <w:spacing w:before="0" w:after="0" w:line="360" w:lineRule="auto"/>
        <w:ind w:firstLine="420"/>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（4）提供所投液氧罐制造商的特种设备生产许可证，许可项目含压力容器制造（含安装、修理、改造）（需提供证书复印件并加盖公章，原件备查）。</w:t>
      </w:r>
    </w:p>
    <w:p w14:paraId="55059FC6">
      <w:pPr>
        <w:keepNext w:val="0"/>
        <w:keepLines w:val="0"/>
        <w:pageBreakBefore w:val="0"/>
        <w:widowControl w:val="0"/>
        <w:bidi w:val="0"/>
        <w:spacing w:before="0" w:after="0" w:line="360" w:lineRule="auto"/>
        <w:ind w:firstLine="420"/>
        <w:jc w:val="left"/>
        <w:rPr>
          <w:rFonts w:ascii="宋体" w:hAnsi="宋体" w:eastAsia="宋体" w:cs="宋体"/>
          <w:b w:val="0"/>
          <w:bCs w:val="0"/>
          <w:sz w:val="21"/>
          <w:szCs w:val="21"/>
          <w:highlight w:val="none"/>
        </w:rPr>
      </w:pPr>
      <w:r>
        <w:rPr>
          <w:rFonts w:hint="eastAsia" w:ascii="宋体" w:hAnsi="宋体" w:eastAsia="宋体" w:cs="宋体"/>
          <w:color w:val="000000"/>
          <w:sz w:val="21"/>
          <w:highlight w:val="none"/>
        </w:rPr>
        <w:t>（5）供应商须提供符合南京市危险化学品运输要求的道路运输经营许可证（经营范围含2类1项、2类2项），如供应商委托第三方运输企业承担气体运输服务，则供应商需提供与该运输企业的协议书，且运输企业应具有上述证书(供应商提供协议和证书复印件加盖公章)。</w:t>
      </w:r>
    </w:p>
    <w:p w14:paraId="3D4B8CF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2.4供应商存在下列情形的不得参加本次招标活动：</w:t>
      </w:r>
    </w:p>
    <w:p w14:paraId="543BD0F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（1）单位负责人为同一人或者存在直接控股、管理关系的不同供应商，不得参加同一合同项下的政府采购活动。</w:t>
      </w:r>
    </w:p>
    <w:p w14:paraId="3D3D720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（2）除单一来源项目外，凡为采购项目提供整体设计、规范编制或者项目管理、监理、检测等服务的供应商不得再参加本项目的采购活动。</w:t>
      </w:r>
    </w:p>
    <w:p w14:paraId="6D3D08DE">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012E6222">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三、获取招标文件</w:t>
      </w:r>
      <w:r>
        <w:rPr>
          <w:rFonts w:ascii="宋体" w:hAnsi="宋体" w:eastAsia="宋体" w:cs="宋体"/>
          <w:sz w:val="21"/>
          <w:szCs w:val="21"/>
          <w:highlight w:val="none"/>
        </w:rPr>
        <w:t xml:space="preserve"> </w:t>
      </w:r>
    </w:p>
    <w:p w14:paraId="77DFF6D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1.获取时间：自招标公告发布之日起5个工作日 </w:t>
      </w:r>
    </w:p>
    <w:p w14:paraId="46102BC4">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2.地点：“苏采云”系统注册登记成功后免费下载</w:t>
      </w:r>
    </w:p>
    <w:p w14:paraId="22417828">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3.获取方式：本项目采用网上注册登记方式</w:t>
      </w:r>
    </w:p>
    <w:p w14:paraId="0BD94ED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3.1潜在供应商访问电子招标响应交易平台的网络地址和方法：</w:t>
      </w:r>
    </w:p>
    <w:p w14:paraId="196AD40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5874DD2B">
      <w:pPr>
        <w:widowControl w:val="0"/>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3.2潜在供应商访问“苏采云”系统的网络地址和方法：“苏采云”系统的网址：http://jszfcg.jsczt.cn/。</w:t>
      </w:r>
    </w:p>
    <w:p w14:paraId="72F58E16">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3.3“CA数字证书”的获取：</w:t>
      </w:r>
    </w:p>
    <w:p w14:paraId="19759EC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5B90068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3.4采购文件（后缀名为“.kedt”）、供应商操作手册及政府采购客户端工具可通过“苏采云”系统--已报名项目--报名详情页面内相应链接进行下载。</w:t>
      </w:r>
    </w:p>
    <w:p w14:paraId="06D7A27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3.5招标代理机构（采购代理机构）将数据电文形式的采购文件加载至“苏采云”系统，供潜在供应商下载或者查阅。</w:t>
      </w:r>
    </w:p>
    <w:p w14:paraId="6477B2E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3.6请潜在投标单位提前安装相应的控件（详见《江苏省政府采购管理交易系统（苏采云）供应商操作手册》）并使用谷歌浏览器登录“苏采云”系统参与不见面开评标。</w:t>
      </w:r>
    </w:p>
    <w:p w14:paraId="3611B9BC">
      <w:pPr>
        <w:widowControl w:val="0"/>
        <w:spacing w:before="0" w:after="0" w:line="360" w:lineRule="auto"/>
        <w:ind w:firstLine="420"/>
        <w:jc w:val="left"/>
        <w:rPr>
          <w:rFonts w:ascii="Times New Roman" w:hAnsi="Times New Roman" w:eastAsia="Times New Roman" w:cs="Times New Roman"/>
          <w:highlight w:val="none"/>
        </w:rPr>
      </w:pPr>
      <w:r>
        <w:rPr>
          <w:rFonts w:ascii="宋体" w:hAnsi="宋体" w:eastAsia="宋体" w:cs="宋体"/>
          <w:b/>
          <w:bCs/>
          <w:sz w:val="21"/>
          <w:szCs w:val="21"/>
          <w:highlight w:val="none"/>
        </w:rPr>
        <w:t>四、投标截止时间、开标时间和地点</w:t>
      </w:r>
    </w:p>
    <w:p w14:paraId="70014B94">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1.投标截止时间：2026年</w:t>
      </w:r>
      <w:r>
        <w:rPr>
          <w:rFonts w:hint="eastAsia" w:ascii="宋体" w:hAnsi="宋体" w:eastAsia="宋体" w:cs="宋体"/>
          <w:sz w:val="21"/>
          <w:szCs w:val="21"/>
          <w:highlight w:val="none"/>
          <w:lang w:val="en-US" w:eastAsia="zh-CN"/>
        </w:rPr>
        <w:t>10月19日09</w:t>
      </w:r>
      <w:r>
        <w:rPr>
          <w:rFonts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ascii="宋体" w:hAnsi="宋体" w:eastAsia="宋体" w:cs="宋体"/>
          <w:sz w:val="21"/>
          <w:szCs w:val="21"/>
          <w:highlight w:val="none"/>
        </w:rPr>
        <w:t>0（北京时间）</w:t>
      </w:r>
    </w:p>
    <w:p w14:paraId="6A12AD2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2.开标时间：2026年</w:t>
      </w:r>
      <w:r>
        <w:rPr>
          <w:rFonts w:hint="eastAsia" w:ascii="宋体" w:hAnsi="宋体" w:eastAsia="宋体" w:cs="宋体"/>
          <w:sz w:val="21"/>
          <w:szCs w:val="21"/>
          <w:highlight w:val="none"/>
          <w:lang w:val="en-US" w:eastAsia="zh-CN"/>
        </w:rPr>
        <w:t>10月19日09</w:t>
      </w:r>
      <w:r>
        <w:rPr>
          <w:rFonts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ascii="宋体" w:hAnsi="宋体" w:eastAsia="宋体" w:cs="宋体"/>
          <w:sz w:val="21"/>
          <w:szCs w:val="21"/>
          <w:highlight w:val="none"/>
        </w:rPr>
        <w:t xml:space="preserve">0（北京时间） </w:t>
      </w:r>
    </w:p>
    <w:p w14:paraId="01C3CC32">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3.开标地点：“苏采云”系统（网址： http://jszfcg.jsczt.cn/）“开标大厅”，点击“苏采云”进入系统“开标大厅”。</w:t>
      </w:r>
    </w:p>
    <w:p w14:paraId="6CEA5065">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注：各供应商请关注开标大厅交流区，在开标结束后，请勿离开开标大厅。</w:t>
      </w:r>
    </w:p>
    <w:p w14:paraId="10D81FA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F345BB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五、公告期限</w:t>
      </w:r>
    </w:p>
    <w:p w14:paraId="1837CC66">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自本公告发布之日起5个工作日。</w:t>
      </w:r>
    </w:p>
    <w:p w14:paraId="572291B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六、其他补充事宜</w:t>
      </w:r>
    </w:p>
    <w:p w14:paraId="4048D8B4">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1.本项目公告媒体：江苏政府采购网（http://www.ccgp-jiangsu.gov.cn/）</w:t>
      </w:r>
    </w:p>
    <w:p w14:paraId="417B74E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705B59FF">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7E327214">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137A386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4.有关本次招标的事项若存在变动或修改，敬请及时关注在“江苏政府采购网”发布的更正公告。</w:t>
      </w:r>
    </w:p>
    <w:p w14:paraId="3C964AA6">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七、对本次招标提出询问，请按以下方式联系</w:t>
      </w:r>
    </w:p>
    <w:p w14:paraId="5A65DCA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1.采购人信息</w:t>
      </w:r>
    </w:p>
    <w:p w14:paraId="3F96D0D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名    称：江苏省肿瘤医院</w:t>
      </w:r>
    </w:p>
    <w:p w14:paraId="23A28C9C">
      <w:pPr>
        <w:widowControl w:val="0"/>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地    址：江苏省南京市百子亭42号</w:t>
      </w:r>
    </w:p>
    <w:p w14:paraId="3F26BF99">
      <w:pPr>
        <w:widowControl w:val="0"/>
        <w:shd w:val="clear" w:color="auto" w:fill="FFFFFF"/>
        <w:spacing w:before="0" w:after="0" w:line="360" w:lineRule="auto"/>
        <w:ind w:firstLine="420"/>
        <w:jc w:val="left"/>
        <w:rPr>
          <w:rFonts w:hint="eastAsia" w:ascii="Times New Roman" w:hAnsi="Times New Roman" w:eastAsia="宋体" w:cs="Times New Roman"/>
          <w:sz w:val="21"/>
          <w:szCs w:val="21"/>
          <w:highlight w:val="none"/>
          <w:lang w:eastAsia="zh-CN"/>
        </w:rPr>
      </w:pPr>
      <w:r>
        <w:rPr>
          <w:rFonts w:ascii="宋体" w:hAnsi="宋体" w:eastAsia="宋体" w:cs="宋体"/>
          <w:sz w:val="21"/>
          <w:szCs w:val="21"/>
          <w:highlight w:val="none"/>
        </w:rPr>
        <w:t>联系人：</w:t>
      </w:r>
      <w:r>
        <w:rPr>
          <w:rFonts w:hint="eastAsia" w:ascii="宋体" w:hAnsi="宋体" w:eastAsia="宋体" w:cs="宋体"/>
          <w:sz w:val="21"/>
          <w:szCs w:val="21"/>
          <w:highlight w:val="none"/>
          <w:lang w:eastAsia="zh-CN"/>
        </w:rPr>
        <w:t>姚老师</w:t>
      </w:r>
    </w:p>
    <w:p w14:paraId="3DD74578">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联系方式：025-83283339</w:t>
      </w:r>
    </w:p>
    <w:p w14:paraId="731AE92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2.采购代理机构信息</w:t>
      </w:r>
    </w:p>
    <w:p w14:paraId="54E19AF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名    称：苏美达国际技术贸易有限公司            </w:t>
      </w:r>
    </w:p>
    <w:p w14:paraId="6B959F5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地 址：江苏省南京市长江路198号苏美达大厦 </w:t>
      </w:r>
    </w:p>
    <w:p w14:paraId="77B6DD83">
      <w:pPr>
        <w:widowControl w:val="0"/>
        <w:spacing w:before="0" w:after="0" w:line="360" w:lineRule="auto"/>
        <w:ind w:firstLine="420"/>
        <w:jc w:val="left"/>
        <w:rPr>
          <w:rFonts w:hint="default" w:ascii="Times New Roman" w:hAnsi="Times New Roman" w:eastAsia="Times New Roman" w:cs="Times New Roman"/>
          <w:sz w:val="21"/>
          <w:szCs w:val="21"/>
          <w:highlight w:val="none"/>
          <w:lang w:val="en-US"/>
        </w:rPr>
      </w:pPr>
      <w:r>
        <w:rPr>
          <w:rFonts w:ascii="宋体" w:hAnsi="宋体" w:eastAsia="宋体" w:cs="宋体"/>
          <w:sz w:val="21"/>
          <w:szCs w:val="21"/>
          <w:highlight w:val="none"/>
        </w:rPr>
        <w:t>联系方式：025-</w:t>
      </w:r>
      <w:r>
        <w:rPr>
          <w:rFonts w:hint="eastAsia" w:ascii="宋体" w:hAnsi="宋体" w:eastAsia="宋体" w:cs="宋体"/>
          <w:sz w:val="21"/>
          <w:szCs w:val="21"/>
          <w:highlight w:val="none"/>
        </w:rPr>
        <w:t>84531056</w:t>
      </w:r>
    </w:p>
    <w:p w14:paraId="3DA13E5C">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3.项目联系方式</w:t>
      </w:r>
    </w:p>
    <w:p w14:paraId="64BA03B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项目联系人：</w:t>
      </w:r>
      <w:r>
        <w:rPr>
          <w:rFonts w:hint="eastAsia" w:ascii="宋体" w:hAnsi="宋体" w:eastAsia="宋体" w:cs="宋体"/>
          <w:sz w:val="21"/>
          <w:szCs w:val="21"/>
          <w:highlight w:val="none"/>
          <w:lang w:val="en-US" w:eastAsia="zh-CN"/>
        </w:rPr>
        <w:t>周翠</w:t>
      </w:r>
      <w:r>
        <w:rPr>
          <w:rFonts w:ascii="宋体" w:hAnsi="宋体" w:eastAsia="宋体" w:cs="宋体"/>
          <w:sz w:val="21"/>
          <w:szCs w:val="21"/>
          <w:highlight w:val="none"/>
        </w:rPr>
        <w:t>、张静雯、杨扬</w:t>
      </w:r>
    </w:p>
    <w:p w14:paraId="61C274F6">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电 话：025-</w:t>
      </w:r>
      <w:r>
        <w:rPr>
          <w:rFonts w:hint="eastAsia" w:ascii="宋体" w:hAnsi="宋体" w:eastAsia="宋体" w:cs="宋体"/>
          <w:sz w:val="21"/>
          <w:szCs w:val="21"/>
          <w:highlight w:val="none"/>
        </w:rPr>
        <w:t>84531056</w:t>
      </w:r>
      <w:r>
        <w:rPr>
          <w:rFonts w:ascii="宋体" w:hAnsi="宋体" w:eastAsia="宋体" w:cs="宋体"/>
          <w:sz w:val="21"/>
          <w:szCs w:val="21"/>
          <w:highlight w:val="none"/>
        </w:rPr>
        <w:t xml:space="preserve">、025-84532458、025-84532455  </w:t>
      </w:r>
    </w:p>
    <w:p w14:paraId="661D153A">
      <w:pPr>
        <w:widowControl w:val="0"/>
        <w:spacing w:before="0" w:after="0" w:line="288" w:lineRule="auto"/>
        <w:jc w:val="center"/>
        <w:rPr>
          <w:rFonts w:ascii="Times New Roman" w:hAnsi="Times New Roman" w:eastAsia="Times New Roman" w:cs="Times New Roman"/>
          <w:sz w:val="36"/>
          <w:szCs w:val="36"/>
          <w:highlight w:val="none"/>
        </w:rPr>
      </w:pPr>
      <w:r>
        <w:rPr>
          <w:rFonts w:ascii="Times New Roman" w:hAnsi="Times New Roman" w:eastAsia="Times New Roman" w:cs="Times New Roman"/>
          <w:sz w:val="36"/>
          <w:szCs w:val="36"/>
          <w:highlight w:val="none"/>
        </w:rPr>
        <w:br w:type="page" w:clear="all"/>
      </w:r>
      <w:r>
        <w:rPr>
          <w:rFonts w:ascii="黑体" w:hAnsi="黑体" w:eastAsia="黑体" w:cs="黑体"/>
          <w:sz w:val="36"/>
          <w:szCs w:val="36"/>
          <w:highlight w:val="none"/>
        </w:rPr>
        <w:t>第二章 投标人须知</w:t>
      </w:r>
    </w:p>
    <w:p w14:paraId="6B04EDAE">
      <w:pPr>
        <w:shd w:val="clear" w:color="auto" w:fill="FFFFFF"/>
        <w:spacing w:before="0" w:after="0" w:line="360" w:lineRule="auto"/>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投标人须知前附表</w:t>
      </w:r>
    </w:p>
    <w:tbl>
      <w:tblPr>
        <w:tblStyle w:val="191"/>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39"/>
        <w:gridCol w:w="7835"/>
      </w:tblGrid>
      <w:tr w14:paraId="27B806E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40" w:hRule="atLeast"/>
        </w:trPr>
        <w:tc>
          <w:tcPr>
            <w:tcW w:w="1040" w:type="dxa"/>
            <w:tcBorders>
              <w:bottom w:val="single" w:color="000000" w:sz="6" w:space="0"/>
              <w:right w:val="single" w:color="000000" w:sz="6" w:space="0"/>
            </w:tcBorders>
            <w:noWrap w:val="0"/>
            <w:tcMar>
              <w:top w:w="8" w:type="dxa"/>
              <w:left w:w="108" w:type="dxa"/>
              <w:bottom w:w="8" w:type="dxa"/>
              <w:right w:w="108" w:type="dxa"/>
            </w:tcMar>
            <w:vAlign w:val="center"/>
          </w:tcPr>
          <w:p w14:paraId="2E850E0B">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序号</w:t>
            </w:r>
          </w:p>
        </w:tc>
        <w:tc>
          <w:tcPr>
            <w:tcW w:w="8928" w:type="dxa"/>
            <w:tcBorders>
              <w:left w:val="single" w:color="000000" w:sz="6" w:space="0"/>
              <w:bottom w:val="single" w:color="000000" w:sz="6" w:space="0"/>
            </w:tcBorders>
            <w:noWrap w:val="0"/>
            <w:tcMar>
              <w:top w:w="8" w:type="dxa"/>
              <w:left w:w="108" w:type="dxa"/>
              <w:bottom w:w="8" w:type="dxa"/>
              <w:right w:w="108" w:type="dxa"/>
            </w:tcMar>
            <w:vAlign w:val="center"/>
          </w:tcPr>
          <w:p w14:paraId="76BB505E">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主要内容</w:t>
            </w:r>
          </w:p>
        </w:tc>
      </w:tr>
      <w:tr w14:paraId="2DC2A23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40" w:hRule="atLeast"/>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45F7C5E">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1</w:t>
            </w:r>
          </w:p>
        </w:tc>
        <w:tc>
          <w:tcPr>
            <w:tcW w:w="8928"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6711C4CB">
            <w:pPr>
              <w:shd w:val="clear" w:color="auto" w:fill="FFFFFF"/>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采 购 人：江苏省肿瘤医院</w:t>
            </w:r>
          </w:p>
          <w:p w14:paraId="76538444">
            <w:pPr>
              <w:shd w:val="clear" w:color="auto" w:fill="FFFFFF"/>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地    址：江苏省南京市百子亭42号</w:t>
            </w:r>
          </w:p>
          <w:p w14:paraId="0270E0FB">
            <w:pPr>
              <w:shd w:val="clear" w:color="auto" w:fill="FFFFFF"/>
              <w:spacing w:before="0" w:after="0" w:line="360" w:lineRule="auto"/>
              <w:jc w:val="left"/>
              <w:rPr>
                <w:rFonts w:hint="eastAsia" w:ascii="Times New Roman" w:hAnsi="Times New Roman" w:eastAsia="宋体" w:cs="Times New Roman"/>
                <w:b w:val="0"/>
                <w:bCs w:val="0"/>
                <w:i w:val="0"/>
                <w:iCs w:val="0"/>
                <w:smallCaps w:val="0"/>
                <w:color w:val="000000"/>
                <w:sz w:val="21"/>
                <w:szCs w:val="21"/>
                <w:highlight w:val="none"/>
                <w:lang w:eastAsia="zh-CN"/>
              </w:rPr>
            </w:pPr>
            <w:r>
              <w:rPr>
                <w:rFonts w:ascii="宋体" w:hAnsi="宋体" w:eastAsia="宋体" w:cs="宋体"/>
                <w:b w:val="0"/>
                <w:bCs w:val="0"/>
                <w:i w:val="0"/>
                <w:iCs w:val="0"/>
                <w:smallCaps w:val="0"/>
                <w:color w:val="000000"/>
                <w:sz w:val="21"/>
                <w:szCs w:val="21"/>
                <w:highlight w:val="none"/>
              </w:rPr>
              <w:t>项目联系人：</w:t>
            </w:r>
            <w:r>
              <w:rPr>
                <w:rFonts w:hint="eastAsia" w:ascii="宋体" w:hAnsi="宋体" w:eastAsia="宋体" w:cs="宋体"/>
                <w:b w:val="0"/>
                <w:bCs w:val="0"/>
                <w:i w:val="0"/>
                <w:iCs w:val="0"/>
                <w:smallCaps w:val="0"/>
                <w:color w:val="000000"/>
                <w:sz w:val="21"/>
                <w:szCs w:val="21"/>
                <w:highlight w:val="none"/>
                <w:lang w:eastAsia="zh-CN"/>
              </w:rPr>
              <w:t>姚老师</w:t>
            </w:r>
          </w:p>
          <w:p w14:paraId="1A2B19AF">
            <w:pPr>
              <w:shd w:val="clear" w:color="auto" w:fill="FFFFFF"/>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电    话：025-83283339</w:t>
            </w:r>
          </w:p>
        </w:tc>
      </w:tr>
      <w:tr w14:paraId="29FA757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40" w:hRule="atLeast"/>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0BE182F">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2</w:t>
            </w:r>
          </w:p>
        </w:tc>
        <w:tc>
          <w:tcPr>
            <w:tcW w:w="8928"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4F5AAC71">
            <w:pPr>
              <w:shd w:val="clear" w:color="auto" w:fill="FFFFFF"/>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采购代理机构：苏美达国际技术贸易有限公司</w:t>
            </w:r>
          </w:p>
          <w:p w14:paraId="13BB63D9">
            <w:pPr>
              <w:shd w:val="clear" w:color="auto" w:fill="FFFFFF"/>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联 系 人：</w:t>
            </w:r>
            <w:r>
              <w:rPr>
                <w:rFonts w:hint="eastAsia" w:ascii="宋体" w:hAnsi="宋体" w:eastAsia="宋体" w:cs="宋体"/>
                <w:b w:val="0"/>
                <w:bCs w:val="0"/>
                <w:i w:val="0"/>
                <w:iCs w:val="0"/>
                <w:smallCaps w:val="0"/>
                <w:color w:val="000000"/>
                <w:sz w:val="21"/>
                <w:szCs w:val="21"/>
                <w:highlight w:val="none"/>
                <w:lang w:val="en-US" w:eastAsia="zh-CN"/>
              </w:rPr>
              <w:t>周翠</w:t>
            </w:r>
            <w:r>
              <w:rPr>
                <w:rFonts w:ascii="宋体" w:hAnsi="宋体" w:eastAsia="宋体" w:cs="宋体"/>
                <w:b w:val="0"/>
                <w:bCs w:val="0"/>
                <w:i w:val="0"/>
                <w:iCs w:val="0"/>
                <w:smallCaps w:val="0"/>
                <w:color w:val="000000"/>
                <w:sz w:val="21"/>
                <w:szCs w:val="21"/>
                <w:highlight w:val="none"/>
              </w:rPr>
              <w:t xml:space="preserve">、张静雯、杨扬   </w:t>
            </w:r>
          </w:p>
          <w:p w14:paraId="1BCF4A4B">
            <w:pPr>
              <w:shd w:val="clear" w:color="auto" w:fill="FFFFFF"/>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联系电话：</w:t>
            </w:r>
            <w:r>
              <w:rPr>
                <w:rFonts w:ascii="宋体" w:hAnsi="宋体" w:eastAsia="宋体" w:cs="宋体"/>
                <w:sz w:val="21"/>
                <w:szCs w:val="21"/>
                <w:highlight w:val="none"/>
              </w:rPr>
              <w:t>025-</w:t>
            </w:r>
            <w:r>
              <w:rPr>
                <w:rFonts w:hint="eastAsia" w:ascii="宋体" w:hAnsi="宋体" w:eastAsia="宋体" w:cs="宋体"/>
                <w:sz w:val="21"/>
                <w:szCs w:val="21"/>
                <w:highlight w:val="none"/>
              </w:rPr>
              <w:t>84531056</w:t>
            </w:r>
            <w:r>
              <w:rPr>
                <w:rFonts w:ascii="宋体" w:hAnsi="宋体" w:eastAsia="宋体" w:cs="宋体"/>
                <w:b w:val="0"/>
                <w:bCs w:val="0"/>
                <w:i w:val="0"/>
                <w:iCs w:val="0"/>
                <w:smallCaps w:val="0"/>
                <w:color w:val="000000"/>
                <w:sz w:val="21"/>
                <w:szCs w:val="21"/>
                <w:highlight w:val="none"/>
              </w:rPr>
              <w:t>、025-84532458、025-84532455</w:t>
            </w:r>
          </w:p>
          <w:p w14:paraId="6263AD9B">
            <w:pPr>
              <w:shd w:val="clear" w:color="auto" w:fill="FFFFFF"/>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联系地址：江苏省南京市长江路198号苏美达大厦</w:t>
            </w:r>
          </w:p>
        </w:tc>
      </w:tr>
      <w:tr w14:paraId="0FA5CA3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40" w:hRule="atLeast"/>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6080B4AD">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3</w:t>
            </w:r>
          </w:p>
        </w:tc>
        <w:tc>
          <w:tcPr>
            <w:tcW w:w="8928"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3BACB9D4">
            <w:pPr>
              <w:shd w:val="clear" w:color="auto" w:fill="FFFFFF"/>
              <w:spacing w:before="0" w:after="0"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ascii="宋体" w:hAnsi="宋体" w:eastAsia="宋体" w:cs="宋体"/>
                <w:b w:val="0"/>
                <w:bCs w:val="0"/>
                <w:i w:val="0"/>
                <w:iCs w:val="0"/>
                <w:smallCaps w:val="0"/>
                <w:color w:val="000000"/>
                <w:sz w:val="21"/>
                <w:szCs w:val="21"/>
                <w:highlight w:val="none"/>
              </w:rPr>
              <w:t>项目名称：</w:t>
            </w:r>
            <w:r>
              <w:rPr>
                <w:rFonts w:hint="eastAsia" w:ascii="宋体" w:hAnsi="宋体" w:eastAsia="宋体" w:cs="宋体"/>
                <w:b w:val="0"/>
                <w:bCs w:val="0"/>
                <w:i w:val="0"/>
                <w:iCs w:val="0"/>
                <w:smallCaps w:val="0"/>
                <w:color w:val="000000"/>
                <w:sz w:val="21"/>
                <w:szCs w:val="21"/>
                <w:highlight w:val="none"/>
                <w:lang w:eastAsia="zh-CN"/>
              </w:rPr>
              <w:t>液氧站建设及液氧配送服务</w:t>
            </w:r>
          </w:p>
          <w:p w14:paraId="3D8C518B">
            <w:pPr>
              <w:shd w:val="clear" w:color="auto" w:fill="FFFFFF"/>
              <w:spacing w:before="0" w:after="0" w:line="360" w:lineRule="auto"/>
              <w:jc w:val="left"/>
              <w:rPr>
                <w:rFonts w:hint="eastAsia" w:ascii="Times New Roman" w:hAnsi="Times New Roman" w:eastAsia="宋体" w:cs="Times New Roman"/>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项目编号：</w:t>
            </w:r>
            <w:r>
              <w:rPr>
                <w:rFonts w:hint="eastAsia" w:ascii="宋体" w:hAnsi="宋体" w:eastAsia="宋体" w:cs="宋体"/>
                <w:b w:val="0"/>
                <w:bCs w:val="0"/>
                <w:i w:val="0"/>
                <w:iCs w:val="0"/>
                <w:smallCaps w:val="0"/>
                <w:color w:val="000000"/>
                <w:sz w:val="21"/>
                <w:szCs w:val="21"/>
                <w:highlight w:val="none"/>
                <w:lang w:eastAsia="zh-CN"/>
              </w:rPr>
              <w:t>JSZC-320000-SMDG-G2026-0104</w:t>
            </w:r>
          </w:p>
        </w:tc>
      </w:tr>
      <w:tr w14:paraId="00FBAD5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40" w:hRule="atLeast"/>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D211771">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4</w:t>
            </w:r>
          </w:p>
        </w:tc>
        <w:tc>
          <w:tcPr>
            <w:tcW w:w="8928"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598BB562">
            <w:pPr>
              <w:shd w:val="clear" w:color="auto" w:fill="FFFFFF"/>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采购方式：</w:t>
            </w:r>
            <w:r>
              <w:rPr>
                <w:rFonts w:ascii="宋体" w:hAnsi="宋体" w:eastAsia="宋体" w:cs="宋体"/>
                <w:b/>
                <w:bCs/>
                <w:i w:val="0"/>
                <w:iCs w:val="0"/>
                <w:smallCaps w:val="0"/>
                <w:color w:val="000000"/>
                <w:sz w:val="21"/>
                <w:szCs w:val="21"/>
                <w:highlight w:val="none"/>
              </w:rPr>
              <w:t xml:space="preserve">公开招标 </w:t>
            </w:r>
          </w:p>
        </w:tc>
      </w:tr>
      <w:tr w14:paraId="39CB973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40" w:hRule="atLeast"/>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C5D23A3">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5</w:t>
            </w:r>
          </w:p>
        </w:tc>
        <w:tc>
          <w:tcPr>
            <w:tcW w:w="8928"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51CE96E8">
            <w:pPr>
              <w:shd w:val="clear" w:color="auto" w:fill="FFFFFF"/>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投标有效期</w:t>
            </w:r>
            <w:r>
              <w:rPr>
                <w:rFonts w:ascii="宋体" w:hAnsi="宋体" w:eastAsia="宋体" w:cs="宋体"/>
                <w:b w:val="0"/>
                <w:bCs w:val="0"/>
                <w:i w:val="0"/>
                <w:iCs w:val="0"/>
                <w:smallCaps w:val="0"/>
                <w:color w:val="000000"/>
                <w:sz w:val="21"/>
                <w:szCs w:val="21"/>
                <w:highlight w:val="none"/>
              </w:rPr>
              <w:t>：开标之日起90天</w:t>
            </w:r>
          </w:p>
        </w:tc>
      </w:tr>
      <w:tr w14:paraId="736D6BC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75" w:hRule="atLeast"/>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05E1FBB">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6</w:t>
            </w:r>
          </w:p>
        </w:tc>
        <w:tc>
          <w:tcPr>
            <w:tcW w:w="8928"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61716000">
            <w:pPr>
              <w:shd w:val="clear" w:color="auto" w:fill="FFFFFF"/>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投标保证金：本项目无需缴纳投标保证金</w:t>
            </w:r>
          </w:p>
        </w:tc>
      </w:tr>
      <w:tr w14:paraId="56F33CB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59" w:hRule="atLeast"/>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C714A87">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7</w:t>
            </w:r>
          </w:p>
        </w:tc>
        <w:tc>
          <w:tcPr>
            <w:tcW w:w="8928"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33C80752">
            <w:pPr>
              <w:widowControl w:val="0"/>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投标截止时间：2026年</w:t>
            </w:r>
            <w:r>
              <w:rPr>
                <w:rFonts w:hint="eastAsia" w:ascii="宋体" w:hAnsi="宋体" w:eastAsia="宋体" w:cs="宋体"/>
                <w:b w:val="0"/>
                <w:bCs w:val="0"/>
                <w:i w:val="0"/>
                <w:iCs w:val="0"/>
                <w:smallCaps w:val="0"/>
                <w:color w:val="000000"/>
                <w:sz w:val="21"/>
                <w:szCs w:val="21"/>
                <w:highlight w:val="none"/>
                <w:lang w:val="en-US" w:eastAsia="zh-CN"/>
              </w:rPr>
              <w:t>10月19日09</w:t>
            </w:r>
            <w:r>
              <w:rPr>
                <w:rFonts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val="en-US" w:eastAsia="zh-CN"/>
              </w:rPr>
              <w:t>3</w:t>
            </w:r>
            <w:r>
              <w:rPr>
                <w:rFonts w:ascii="宋体" w:hAnsi="宋体" w:eastAsia="宋体" w:cs="宋体"/>
                <w:b w:val="0"/>
                <w:bCs w:val="0"/>
                <w:i w:val="0"/>
                <w:iCs w:val="0"/>
                <w:smallCaps w:val="0"/>
                <w:color w:val="000000"/>
                <w:sz w:val="21"/>
                <w:szCs w:val="21"/>
                <w:highlight w:val="none"/>
              </w:rPr>
              <w:t>0（北京时间）</w:t>
            </w:r>
          </w:p>
          <w:p w14:paraId="04356E38">
            <w:pPr>
              <w:widowControl w:val="0"/>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开标时间：2026年</w:t>
            </w:r>
            <w:r>
              <w:rPr>
                <w:rFonts w:hint="eastAsia" w:ascii="宋体" w:hAnsi="宋体" w:eastAsia="宋体" w:cs="宋体"/>
                <w:b w:val="0"/>
                <w:bCs w:val="0"/>
                <w:i w:val="0"/>
                <w:iCs w:val="0"/>
                <w:smallCaps w:val="0"/>
                <w:color w:val="000000"/>
                <w:sz w:val="21"/>
                <w:szCs w:val="21"/>
                <w:highlight w:val="none"/>
                <w:lang w:val="en-US" w:eastAsia="zh-CN"/>
              </w:rPr>
              <w:t>10月19日09</w:t>
            </w:r>
            <w:r>
              <w:rPr>
                <w:rFonts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val="en-US" w:eastAsia="zh-CN"/>
              </w:rPr>
              <w:t>30</w:t>
            </w:r>
            <w:r>
              <w:rPr>
                <w:rFonts w:ascii="宋体" w:hAnsi="宋体" w:eastAsia="宋体" w:cs="宋体"/>
                <w:b w:val="0"/>
                <w:bCs w:val="0"/>
                <w:i w:val="0"/>
                <w:iCs w:val="0"/>
                <w:smallCaps w:val="0"/>
                <w:color w:val="000000"/>
                <w:sz w:val="21"/>
                <w:szCs w:val="21"/>
                <w:highlight w:val="none"/>
              </w:rPr>
              <w:t>（北京时间）</w:t>
            </w:r>
          </w:p>
          <w:p w14:paraId="1572E92C">
            <w:pPr>
              <w:widowControl w:val="0"/>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地点：“苏采云”政府采购交易系统网上开标大厅</w:t>
            </w:r>
          </w:p>
        </w:tc>
      </w:tr>
      <w:tr w14:paraId="1A3BE5E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5F59020">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8</w:t>
            </w:r>
          </w:p>
        </w:tc>
        <w:tc>
          <w:tcPr>
            <w:tcW w:w="8928"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34C09FF2">
            <w:pPr>
              <w:widowControl w:val="0"/>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投标报价：</w:t>
            </w:r>
          </w:p>
          <w:p w14:paraId="3677984F">
            <w:pPr>
              <w:widowControl w:val="0"/>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1.本项目以人民币报价，本次采购采用总承包方式，投标报价为项目履约完成涉及的全部费用。</w:t>
            </w:r>
          </w:p>
          <w:p w14:paraId="592981BA">
            <w:pPr>
              <w:widowControl w:val="0"/>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2.除非采购文件有特别说明，采购人不接受备选的投标方案或有选择的报价。</w:t>
            </w:r>
          </w:p>
        </w:tc>
      </w:tr>
      <w:tr w14:paraId="31C247E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40" w:hRule="atLeast"/>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965532F">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9</w:t>
            </w:r>
          </w:p>
        </w:tc>
        <w:tc>
          <w:tcPr>
            <w:tcW w:w="8928"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020C1A59">
            <w:pPr>
              <w:widowControl w:val="0"/>
              <w:spacing w:before="0" w:after="0" w:line="360" w:lineRule="auto"/>
              <w:ind w:firstLine="15"/>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现场勘查要求：本项目不组织</w:t>
            </w:r>
            <w:r>
              <w:rPr>
                <w:rFonts w:ascii="宋体" w:hAnsi="宋体" w:eastAsia="宋体" w:cs="宋体"/>
                <w:b w:val="0"/>
                <w:bCs w:val="0"/>
                <w:i w:val="0"/>
                <w:iCs w:val="0"/>
                <w:smallCaps w:val="0"/>
                <w:color w:val="000000"/>
                <w:sz w:val="21"/>
                <w:szCs w:val="21"/>
                <w:highlight w:val="none"/>
              </w:rPr>
              <w:t>。</w:t>
            </w:r>
          </w:p>
        </w:tc>
      </w:tr>
      <w:tr w14:paraId="5479B34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63" w:hRule="atLeast"/>
        </w:trPr>
        <w:tc>
          <w:tcPr>
            <w:tcW w:w="1040" w:type="dxa"/>
            <w:tcBorders>
              <w:top w:val="single" w:color="000000" w:sz="6" w:space="0"/>
              <w:right w:val="single" w:color="000000" w:sz="6" w:space="0"/>
            </w:tcBorders>
            <w:noWrap w:val="0"/>
            <w:tcMar>
              <w:top w:w="8" w:type="dxa"/>
              <w:left w:w="108" w:type="dxa"/>
              <w:bottom w:w="8" w:type="dxa"/>
              <w:right w:w="108" w:type="dxa"/>
            </w:tcMar>
            <w:vAlign w:val="center"/>
          </w:tcPr>
          <w:p w14:paraId="1299434D">
            <w:pPr>
              <w:shd w:val="clear" w:color="auto" w:fill="FFFFFF"/>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10</w:t>
            </w:r>
          </w:p>
        </w:tc>
        <w:tc>
          <w:tcPr>
            <w:tcW w:w="8928" w:type="dxa"/>
            <w:tcBorders>
              <w:top w:val="single" w:color="000000" w:sz="6" w:space="0"/>
              <w:left w:val="single" w:color="000000" w:sz="6" w:space="0"/>
            </w:tcBorders>
            <w:noWrap w:val="0"/>
            <w:tcMar>
              <w:top w:w="8" w:type="dxa"/>
              <w:left w:w="108" w:type="dxa"/>
              <w:bottom w:w="8" w:type="dxa"/>
              <w:right w:w="108" w:type="dxa"/>
            </w:tcMar>
            <w:vAlign w:val="center"/>
          </w:tcPr>
          <w:p w14:paraId="5EA9541C">
            <w:pPr>
              <w:shd w:val="clear" w:color="auto" w:fill="FFFFFF"/>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投标报价中的投标价不得超过招标公告、招标文件规定的采购预算及最高限价，超过规定的采购预算及最高限价的投标文件，按无效投标处理。 </w:t>
            </w:r>
          </w:p>
        </w:tc>
      </w:tr>
    </w:tbl>
    <w:p w14:paraId="16B678BB">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Times New Roman" w:hAnsi="Times New Roman" w:eastAsia="Times New Roman" w:cs="Times New Roman"/>
          <w:highlight w:val="none"/>
        </w:rPr>
        <w:br w:type="page" w:clear="all"/>
      </w:r>
      <w:r>
        <w:rPr>
          <w:rFonts w:ascii="宋体" w:hAnsi="宋体" w:eastAsia="宋体" w:cs="宋体"/>
          <w:b/>
          <w:bCs/>
          <w:sz w:val="21"/>
          <w:szCs w:val="21"/>
          <w:highlight w:val="none"/>
        </w:rPr>
        <w:t>一、总 则</w:t>
      </w:r>
    </w:p>
    <w:p w14:paraId="6514611F">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1.适用法律</w:t>
      </w:r>
    </w:p>
    <w:p w14:paraId="6E7D6CD8">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1.1 《中华人民共和国招标投标法》《中华人民共和国政府采购法》《中华人民共和国政府采购法实施条例》《政府采购货物和服务招标投标管理办法》等有关法律、规章和规定等。</w:t>
      </w:r>
    </w:p>
    <w:p w14:paraId="57BCC4BF">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2.定义</w:t>
      </w:r>
    </w:p>
    <w:p w14:paraId="0B7C69FE">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2.1 本文件中采购代理机构为</w:t>
      </w:r>
      <w:r>
        <w:rPr>
          <w:rFonts w:ascii="宋体" w:hAnsi="宋体" w:eastAsia="宋体" w:cs="宋体"/>
          <w:b/>
          <w:bCs/>
          <w:sz w:val="21"/>
          <w:szCs w:val="21"/>
          <w:highlight w:val="none"/>
          <w:u w:val="single"/>
        </w:rPr>
        <w:t>苏美达国际技术贸易有限公司</w:t>
      </w:r>
      <w:r>
        <w:rPr>
          <w:rFonts w:ascii="宋体" w:hAnsi="宋体" w:eastAsia="宋体" w:cs="宋体"/>
          <w:sz w:val="21"/>
          <w:szCs w:val="21"/>
          <w:highlight w:val="none"/>
        </w:rPr>
        <w:t>；采购人为</w:t>
      </w:r>
      <w:r>
        <w:rPr>
          <w:rFonts w:ascii="宋体" w:hAnsi="宋体" w:eastAsia="宋体" w:cs="宋体"/>
          <w:b/>
          <w:bCs/>
          <w:sz w:val="21"/>
          <w:szCs w:val="21"/>
          <w:highlight w:val="none"/>
          <w:u w:val="single"/>
        </w:rPr>
        <w:t>江苏省肿瘤医院</w:t>
      </w:r>
      <w:r>
        <w:rPr>
          <w:rFonts w:ascii="宋体" w:hAnsi="宋体" w:eastAsia="宋体" w:cs="宋体"/>
          <w:sz w:val="21"/>
          <w:szCs w:val="21"/>
          <w:highlight w:val="none"/>
        </w:rPr>
        <w:t>；投标人（亦称供应商）系指参加投标竞争并满足招标文件资格要求规定的法人、其他组织或者自然人。</w:t>
      </w:r>
    </w:p>
    <w:p w14:paraId="44374B11">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2.2 “货物和服务”指本文件中所述产品及相关货物和服务。</w:t>
      </w:r>
    </w:p>
    <w:p w14:paraId="30D42F6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2.3 “用户或使用单位”指使用货物、服务的单位。</w:t>
      </w:r>
    </w:p>
    <w:p w14:paraId="1D2D0F2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3.政策功能</w:t>
      </w:r>
    </w:p>
    <w:p w14:paraId="0605C98F">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 </w:t>
      </w:r>
      <w:r>
        <w:rPr>
          <w:rFonts w:ascii="宋体" w:hAnsi="宋体" w:eastAsia="宋体" w:cs="宋体"/>
          <w:sz w:val="21"/>
          <w:szCs w:val="21"/>
          <w:highlight w:val="none"/>
        </w:rPr>
        <w:t>3.1 促进中小企业发展政策</w:t>
      </w:r>
    </w:p>
    <w:p w14:paraId="74FDC7A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684B8E4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63B59B2">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86C3AB4">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4903504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3.2 节能产品、环境标志产品政策</w:t>
      </w:r>
    </w:p>
    <w:p w14:paraId="36951BAF">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（1）政府采购节能产品、环境标志产品实施品目清单管理。</w:t>
      </w:r>
    </w:p>
    <w:p w14:paraId="63D7634E">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（2）拟采购产品属于节能产品、环境标志产品品目清单规定必须强制采购的，实行强制采购。</w:t>
      </w:r>
    </w:p>
    <w:p w14:paraId="29BEDBD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（3）拟采购产品属于节能产品、环境标志产品品目清单规定优先采购的，在性能、技术、服务等指标同等条件下，实行优先采购，优先采购的评审标准详见本招标文件第三章。</w:t>
      </w:r>
    </w:p>
    <w:p w14:paraId="3E388406">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（4）参加政府采购活动的节能产品、环境标志产品供应商应当提供国家确定的认证机构出具的、处于有效期之内的节能产品、环境标志产品认证证书。</w:t>
      </w:r>
    </w:p>
    <w:p w14:paraId="1354EED5">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3.3 采购本国产品的支持政策</w:t>
      </w:r>
    </w:p>
    <w:p w14:paraId="0CAC8EA1">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27C6A77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ECD6B4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1F687A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具体内容如下：</w:t>
      </w:r>
    </w:p>
    <w:p w14:paraId="1FA8C6F2">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3.3.1 本项目政府采购活动中既有本国产品又有非本国产品参与竞争的，依法对本国产品给予价格评审优惠，对本国产品的报价给予20%的价格扣除，用扣除后的价格参与评审。</w:t>
      </w:r>
    </w:p>
    <w:p w14:paraId="2DD6D19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81F7C4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3.3.3 供应商需按照招标文件的要求提供《关于符合本国产品标准的声明函》（以下简称《声明函》），如不提供将不享受本国产品价格评审优惠。</w:t>
      </w:r>
    </w:p>
    <w:p w14:paraId="4C385A6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3.3.4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0001AA4">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A9E459E">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208CAB25">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3.5 提供的产品属于信息安全产品的，供应商应当选择经国家认证的信息安全产品投标，并提供由中国信息安全认证中心按国家标准认证颁发的有效认证证书复印件。</w:t>
      </w:r>
    </w:p>
    <w:p w14:paraId="57E5403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558A9FC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3.7 为推进社会诚信体系建设，根据财政部等政策要求，在政府采购活动中查询、使用信用记录，推进政府采购领域联合惩戒工作。</w:t>
      </w:r>
    </w:p>
    <w:p w14:paraId="26F109E2">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243EB1E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4.投标费用</w:t>
      </w:r>
    </w:p>
    <w:p w14:paraId="3BCBD176">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4.1 供应商应自行承担所有与参加投标有关的费用，无论采购结果如何，代理机构和采购人在任何情况下均无义务和责任承担这些费用。</w:t>
      </w:r>
    </w:p>
    <w:p w14:paraId="2DBBEAB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5.招标文件的约束力</w:t>
      </w:r>
    </w:p>
    <w:p w14:paraId="0D13419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5.1 供应商一旦参加本项目采购活动，即被认为接受了本招标文件的规定和约束。</w:t>
      </w:r>
    </w:p>
    <w:p w14:paraId="730F07BE">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二、招标文件</w:t>
      </w:r>
    </w:p>
    <w:p w14:paraId="76FDFCA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6.招标文件构成</w:t>
      </w:r>
    </w:p>
    <w:p w14:paraId="35126321">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6.1 招标文件由以下部分组成：</w:t>
      </w:r>
    </w:p>
    <w:p w14:paraId="013B4F7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第一章  招标公告</w:t>
      </w:r>
    </w:p>
    <w:p w14:paraId="6D315C0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第二章  投标人须知</w:t>
      </w:r>
    </w:p>
    <w:p w14:paraId="140B387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第三章  评标标准</w:t>
      </w:r>
    </w:p>
    <w:p w14:paraId="1DC9668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第四章  服务要求</w:t>
      </w:r>
    </w:p>
    <w:p w14:paraId="14B49B4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第五章  合同草案条款</w:t>
      </w:r>
    </w:p>
    <w:p w14:paraId="0C00B67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第六章  投标文件格式</w:t>
      </w:r>
    </w:p>
    <w:p w14:paraId="495578D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6.2 </w:t>
      </w:r>
      <w:r>
        <w:rPr>
          <w:rFonts w:ascii="宋体" w:hAnsi="宋体" w:eastAsia="宋体" w:cs="宋体"/>
          <w:b/>
          <w:bCs/>
          <w:sz w:val="21"/>
          <w:szCs w:val="21"/>
          <w:highlight w:val="none"/>
        </w:rPr>
        <w:t>招标的最小单位是包。采购需求中未分包的，供应商对要求提供的服务不得部分投标；采购需求中已经分包的，以包为单位投标</w:t>
      </w:r>
      <w:r>
        <w:rPr>
          <w:rFonts w:ascii="宋体" w:hAnsi="宋体" w:eastAsia="宋体" w:cs="宋体"/>
          <w:sz w:val="21"/>
          <w:szCs w:val="21"/>
          <w:highlight w:val="none"/>
        </w:rPr>
        <w:t>。</w:t>
      </w:r>
    </w:p>
    <w:p w14:paraId="1E2B3CD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628144B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6.4 供应商被视为充分熟悉本招标项目的各种情况以及与履行合同有关的一切其他情况。</w:t>
      </w:r>
    </w:p>
    <w:p w14:paraId="72B413FA">
      <w:pPr>
        <w:keepNext/>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7.招标文件的澄清、补充或修改</w:t>
      </w:r>
    </w:p>
    <w:p w14:paraId="381E6341">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7.1 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7EA7BB0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7.2 采购代理机构对已发出的招标文件进行必要的澄清或者修改，将在投标截止时间15日前，在原招标公告媒体上公布。不足15日的，采购人或者采购代理机构应当顺延提交投标文件的截止时间。</w:t>
      </w:r>
    </w:p>
    <w:p w14:paraId="17C26B9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7.3 采购代理机构在招标文件要求提交投标文件截止时间3日前，有权决定延长投标截止时间和开标时间，并在原招标公告媒体上发布变更公告。</w:t>
      </w:r>
    </w:p>
    <w:p w14:paraId="4C05FF6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7.4 为使供应商在准备投标时有合理的时间考虑招标文件的补充或修改，采购代理机构可视情况推迟投标截止时间和开标时间，并在原招标公告媒体发布更正公告。</w:t>
      </w:r>
    </w:p>
    <w:p w14:paraId="387A212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7.5 采购代理机构发出的所有补充、修改和变更文件均作为招标文件的组成部分，与招标文件具有同等法律效力，并对投标人具有约束力。 </w:t>
      </w:r>
    </w:p>
    <w:p w14:paraId="1157830F">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三、投标文件的编制</w:t>
      </w:r>
    </w:p>
    <w:p w14:paraId="5EDDAF34">
      <w:pPr>
        <w:keepNext/>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8.投标文件的语言、计量单位、货币</w:t>
      </w:r>
    </w:p>
    <w:p w14:paraId="3EDD649F">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8.1 供应商提交的投标文件（包括技术文件和资料、图纸中的说明）以及供应商与采购代理机构之间就有关投标的所有来往函电均应以简体中文书写。</w:t>
      </w:r>
    </w:p>
    <w:p w14:paraId="52C5F9BD">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8.2 供应商已印刷好的资料如产品样本、说明书等可以用其他语言，但其中要点应附有中文译文。对不同文本投标文件的解释发生异议的，以中文翻译文本为准。</w:t>
      </w:r>
    </w:p>
    <w:p w14:paraId="55844CE0">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8.3 除招标文件中有特殊要求外，招标文件中所使用的计量单位应为国家法定计量单位。</w:t>
      </w:r>
    </w:p>
    <w:p w14:paraId="23998F07">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8.4 本招标文件所表述的时间均为北京时间。</w:t>
      </w:r>
    </w:p>
    <w:p w14:paraId="3AF0FA0C">
      <w:pPr>
        <w:keepNext/>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8.5 所有投标响应报价具体详见投标人须知前附表。</w:t>
      </w:r>
    </w:p>
    <w:p w14:paraId="3FF77520">
      <w:pPr>
        <w:keepNext/>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9.联合体（本项目不接受联合体投标）</w:t>
      </w:r>
    </w:p>
    <w:p w14:paraId="1F346CD1">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10.投标文件的组成（相应内容上传至投标客户端，并签电子公章）：</w:t>
      </w:r>
    </w:p>
    <w:p w14:paraId="4E0860DB">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10.1 投标函（格式见附件）；</w:t>
      </w:r>
    </w:p>
    <w:p w14:paraId="2390C8EC">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10.2 资格证明文件（详见第一章招标公告“申请人的资格要求”）；</w:t>
      </w:r>
    </w:p>
    <w:p w14:paraId="18D3C928">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10.3 开标一览表（格式见附件）；</w:t>
      </w:r>
    </w:p>
    <w:p w14:paraId="5E694920">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10.4 分项报价表（格式见附件）；</w:t>
      </w:r>
    </w:p>
    <w:p w14:paraId="777117AE">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10.5 商务/技术条款偏离表（格式见附件）；</w:t>
      </w:r>
    </w:p>
    <w:p w14:paraId="2ACEF27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10.6 售后服务实施方案等；</w:t>
      </w:r>
    </w:p>
    <w:p w14:paraId="0F286D2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10.7 评分标准中对应的所需证明材料（如有自行添加）；</w:t>
      </w:r>
    </w:p>
    <w:p w14:paraId="73CAC982">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10.8 要求采购人提供的配合（如有自拟并自行添加）；</w:t>
      </w:r>
    </w:p>
    <w:p w14:paraId="5777199F">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10.9 其他（投标人认为有必要提供的声明和文件，如有自拟并自行添加）；</w:t>
      </w:r>
    </w:p>
    <w:p w14:paraId="7B0ED12C">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（1）投标供应商简介和经营情况说明；</w:t>
      </w:r>
    </w:p>
    <w:p w14:paraId="6641204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（2）如是小微企业的，提供《中小企业声明函》；</w:t>
      </w:r>
    </w:p>
    <w:p w14:paraId="31E5F07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（3）残疾人福利性单位声明函（供应商为残疾人福利性单位的提供）；</w:t>
      </w:r>
    </w:p>
    <w:p w14:paraId="29F6356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（4）由省级以上监狱管理局、戒毒管理局出具的属于监狱企业的证明文件（如适用）；</w:t>
      </w:r>
    </w:p>
    <w:p w14:paraId="3A4B2A86">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54BF23C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上述10.1-10.5项必须全部提供，否则投标文件无效。</w:t>
      </w:r>
      <w:r>
        <w:rPr>
          <w:rFonts w:ascii="宋体" w:hAnsi="宋体" w:eastAsia="宋体" w:cs="宋体"/>
          <w:sz w:val="21"/>
          <w:szCs w:val="21"/>
          <w:highlight w:val="none"/>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02DD4068">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其他部分由供应商根据编制投标文件需要提供的其他相关文件。</w:t>
      </w:r>
    </w:p>
    <w:p w14:paraId="36E98C34">
      <w:pPr>
        <w:keepNext/>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11.投标文件的有效期</w:t>
      </w:r>
    </w:p>
    <w:p w14:paraId="54DBC79C">
      <w:pPr>
        <w:widowControl w:val="0"/>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11.1 自开标之日起90天内，投标文件应保持有效，有效期短于此规定的投标文件将视为无效。</w:t>
      </w:r>
    </w:p>
    <w:p w14:paraId="61FCA18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11.2 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27E2CEFB">
      <w:pPr>
        <w:keepNext/>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12.投标文件的编制要求和签署要求</w:t>
      </w:r>
    </w:p>
    <w:p w14:paraId="7A097984">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12.1 投标人应由其法定代表人或法定代表人授权代表在规定的网上投标时间，凭 CA 证书登录“苏采云”系统在线编制投标文件（电子数据），并在投标截止时间之前上传投标文件。</w:t>
      </w:r>
    </w:p>
    <w:p w14:paraId="728670A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12.2 投标人应对 CA 证书妥善保管，如被他人盗用投标，因此带来的结果均由投标人自行承担。</w:t>
      </w:r>
    </w:p>
    <w:p w14:paraId="65205E28">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12.3 投标人应当对招标文件提出的要求和条件作出实质性响应，并在电子投标系统逐条应答。</w:t>
      </w:r>
    </w:p>
    <w:p w14:paraId="4F555FAF">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12.4 投标人应对要求提供的资格证明文件（如资质证书、资格证书）、技术资料（如白皮书、彩页、手册、检测报告等）扫描上传至投标系统。</w:t>
      </w:r>
    </w:p>
    <w:p w14:paraId="43C47E45">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四、投标文件的递交</w:t>
      </w:r>
    </w:p>
    <w:p w14:paraId="24E93CC9">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13.电子投标文件的递交</w:t>
      </w:r>
    </w:p>
    <w:p w14:paraId="47FC7213">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13.1 投标人应当按照规定，在投标截止时间前制作并上传电子投标文件。</w:t>
      </w:r>
    </w:p>
    <w:p w14:paraId="7999878B">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14.投标截止日期</w:t>
      </w:r>
    </w:p>
    <w:p w14:paraId="59485725">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14.1 投标人上传电子投标文件的时间不得迟于招标公告中规定的投标截止时间。</w:t>
      </w:r>
    </w:p>
    <w:p w14:paraId="66A58BAC">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投标人应充分考虑到网络环境、网络带宽等风险因素，如因投标人自身原因造成的电子投标文件上传不成功的作无效投标处理。</w:t>
      </w:r>
    </w:p>
    <w:p w14:paraId="5E957BC2">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14.2 采购人及采购代理机构可以按照规定，通过修改招标文件酌情延长投标截止日期，在此情况下，投标人的所有权利和义务以及投标人受制的截止日期均应以延长后新的截止日期为准。</w:t>
      </w:r>
    </w:p>
    <w:p w14:paraId="62C20979">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15.投标文件的拒收</w:t>
      </w:r>
    </w:p>
    <w:p w14:paraId="48D26266">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15.1 采购人及采购代理机构拒绝接收在其规定的投标截止时间后上传的任何投标文件。</w:t>
      </w:r>
    </w:p>
    <w:p w14:paraId="31437D2E">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16.投标文件的撤回和修改</w:t>
      </w:r>
    </w:p>
    <w:p w14:paraId="763C392F">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16.1 投标文件的撤回</w:t>
      </w:r>
    </w:p>
    <w:p w14:paraId="3A7E47F4">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16.1.1 电子投标文件的撤回</w:t>
      </w:r>
    </w:p>
    <w:p w14:paraId="4265B72F">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投标人可在投标截止时间前，撤回其电子投标文件。</w:t>
      </w:r>
    </w:p>
    <w:p w14:paraId="70A3830D">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16.1.2 投标人撤回电子投标文件，则认为其不再参与本项目投标活动。</w:t>
      </w:r>
    </w:p>
    <w:p w14:paraId="05FCA470">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16.2 投标文件的修改</w:t>
      </w:r>
    </w:p>
    <w:p w14:paraId="16A9B23E">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16.2.1 投标人可在投标截止时间前，对其电子投标文件进行修改。</w:t>
      </w:r>
    </w:p>
    <w:p w14:paraId="434D59B5">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16.2.2 在投标截止时间之后，投标人不得对其电子投标文件作任何修改。</w:t>
      </w:r>
    </w:p>
    <w:p w14:paraId="34E89ADE">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16.3 在投标截止时间至招标文件中规定的投标有效期满之间的这段时间内，投标人不得撤回其投标。</w:t>
      </w:r>
    </w:p>
    <w:p w14:paraId="4FBD3424">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五、开标与评标</w:t>
      </w:r>
    </w:p>
    <w:p w14:paraId="5F2B1429">
      <w:pPr>
        <w:keepNext/>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17.开标</w:t>
      </w:r>
    </w:p>
    <w:p w14:paraId="4EEF3F6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17.1 开标时间及地点。开标应当在招标文件确定的提交投标文件截止时间的同一时间公开进行；开标地点应当为招标文件中预先确定的地点。</w:t>
      </w:r>
    </w:p>
    <w:p w14:paraId="6C735A8E">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17.2 由电子招标投标交易平台主持，邀请投标人参加。</w:t>
      </w:r>
    </w:p>
    <w:p w14:paraId="2171165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17.3 所有投标单位使用 CA 证书在开标时间时解密各自投标文件，由工作人员操作系统进行开标。投标人不足3家的，不得开标。</w:t>
      </w:r>
    </w:p>
    <w:p w14:paraId="1026B79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17.4 投标人原因造成投标文件未解密的，视为撤销其投标文件；因投标人之外的原因造成投标文件未解密的，视为撤回其投标文件。部分投标文件未解密的，其他投标文件的开标可以继续进行。</w:t>
      </w:r>
    </w:p>
    <w:p w14:paraId="796737D1">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18.资格性审查</w:t>
      </w:r>
    </w:p>
    <w:p w14:paraId="19E57768">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18.1 开标结束后，采购人或者采购代理机构应当依据法律法规和采购文件的规定，对投标人的资格进行审查，以确定投标供应商提供资格证明的合法性、真实性，是否具备投标资格。</w:t>
      </w:r>
    </w:p>
    <w:p w14:paraId="0A3F21B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18.2 信用信息查询</w:t>
      </w:r>
    </w:p>
    <w:p w14:paraId="677EA1C1">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57A4232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18.3 通过资格性审查合格的投标人不足3家的，不得评标。</w:t>
      </w:r>
    </w:p>
    <w:p w14:paraId="660E4482">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19.评标 </w:t>
      </w:r>
    </w:p>
    <w:p w14:paraId="08EC83C1">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19.1 评标组织</w:t>
      </w:r>
    </w:p>
    <w:p w14:paraId="23414C65">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评标工作由采购代理机构负责组织，具体评标事务由依法组建的评标委员会负责，并独立履行下列职责：</w:t>
      </w:r>
    </w:p>
    <w:p w14:paraId="13FCFFA3">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（1）审查、评价投标文件是否符合招标文件的商务、技术等实质性要求；</w:t>
      </w:r>
    </w:p>
    <w:p w14:paraId="60F0E465">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（2）要求投标人对投标文件有关事项作出澄清或者说明；</w:t>
      </w:r>
    </w:p>
    <w:p w14:paraId="468815F4">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（3）对投标文件进行比较和评价；</w:t>
      </w:r>
    </w:p>
    <w:p w14:paraId="5AFF6A7C">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（4）确定中标候选人名单，以及根据采购人委托直接确定中标人；</w:t>
      </w:r>
    </w:p>
    <w:p w14:paraId="61B3E4D0">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（5）向采购人、采购代理机构或者有关部门报告评标中发现的违法行为。</w:t>
      </w:r>
    </w:p>
    <w:p w14:paraId="372DB7F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19.2 评标委员会由采购人代表和有关技术、经济等方面的专家组成，独立开展评审工作且评标委员会人员构成符合有关规定。</w:t>
      </w:r>
    </w:p>
    <w:p w14:paraId="4B2B707F">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19.3 对投标文件的符合性审查</w:t>
      </w:r>
    </w:p>
    <w:p w14:paraId="52ACA3A0">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19.3.1 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宋体" w:hAnsi="宋体" w:eastAsia="宋体" w:cs="宋体"/>
          <w:b/>
          <w:bCs/>
          <w:sz w:val="21"/>
          <w:szCs w:val="21"/>
          <w:highlight w:val="none"/>
        </w:rPr>
        <w:t>实质性要求是指本招标文件中用带星号（“★”）的商务和技术要求（如有）。</w:t>
      </w:r>
    </w:p>
    <w:p w14:paraId="233C7C0B">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19.3.2 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2927E35A">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19.3.3 评审时，投标文件出现不一致情形的，按下列规定执行：</w:t>
      </w:r>
    </w:p>
    <w:p w14:paraId="6057BB06">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19.3.3.1 投标文件正本与副本不符的，以正本为准。</w:t>
      </w:r>
    </w:p>
    <w:p w14:paraId="3BD8EEA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19.3.3.2 投标文件报价出现前后不一致的，按照下列规定修正：</w:t>
      </w:r>
    </w:p>
    <w:p w14:paraId="76489BEC">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（1）投标文件中开标一览表（报价表）内容与投标文件中相应内容不一致的，以开标一览表（报价表）为准；</w:t>
      </w:r>
    </w:p>
    <w:p w14:paraId="3BEA25D8">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（2）大写金额和小写金额不一致的，以大写金额为准；</w:t>
      </w:r>
    </w:p>
    <w:p w14:paraId="4D206DE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（3）单价金额小数点或者百分比有明显错位的，以开标一览表的总价为准，并修改单价；</w:t>
      </w:r>
    </w:p>
    <w:p w14:paraId="02B99970">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（4）总价金额与按单价汇总金额不一致的，以单价金额计算结果为准。</w:t>
      </w:r>
    </w:p>
    <w:p w14:paraId="141DDEC4">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066126E4">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19.3.4 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19E5411C">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评标过程中出现下列情形之一的，评标委员会应当启动异常低价投标（响应）审查程序：</w:t>
      </w:r>
    </w:p>
    <w:p w14:paraId="75F1EEC1">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①投标（响应）报价低于全部通过符合性审查供应商投标（响应）报价平均值50%的，即投标（响应）报价〈全部通过符合性审查供应商投标（响应）报价平均值×50%；</w:t>
      </w:r>
    </w:p>
    <w:p w14:paraId="5ED5BFBF">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②投标（响应）报价低于通过符合性审查的次低报价供应商投标（响应）报价50%的，即投标（响应）报价〈通过符合性审查的次低报价供应商投标（响应）报价×50%；</w:t>
      </w:r>
    </w:p>
    <w:p w14:paraId="01AE577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③投标（响应）报价低于采购项目最高限价45%的，即投标（响应）报价〈采购项目最高限价×45%；</w:t>
      </w:r>
    </w:p>
    <w:p w14:paraId="5E948E34">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④评标委员会基于专业判断，认为供应商报价过低，有可能影响产品质量或者不能诚信履约的其他情形。</w:t>
      </w:r>
    </w:p>
    <w:p w14:paraId="45D3F7E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5C53CF9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7EAEDEB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异常低价投标（响应）审查的启动原因、审查意见和审查结果应当在评审报告中记录，并随供应商提供的相关书面说明及证明材料，以及评标委员会有关互联网浏览、查询历史一并归档。</w:t>
      </w:r>
    </w:p>
    <w:p w14:paraId="59338BD6">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19.3.5 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14:paraId="2B9A3F18">
      <w:pPr>
        <w:keepNext/>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19.4 投标文件的澄清</w:t>
      </w:r>
    </w:p>
    <w:p w14:paraId="5C0134FC">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611881D5">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19.4.2 评标委员会应当通过“苏采云”系统要求投标人作出澄清、说明或者补正，并规定回复时间。投标人回复应当采用通过“苏采云”系统（使用“CA数字证书”，加盖电子签章）形式，将作为投标文件内容的一部分。</w:t>
      </w:r>
    </w:p>
    <w:p w14:paraId="64219A4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19.4.3 供应商澄清、说明或者补正不得超出投标文件的范围或者改变投标文件的实质性内容。供应商拒不按照要求对投标文件进行澄清、说明或者补正的，视其放弃该项权利。</w:t>
      </w:r>
    </w:p>
    <w:p w14:paraId="3E111635">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19.5 比较与评价</w:t>
      </w:r>
    </w:p>
    <w:p w14:paraId="6D084D4F">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19.5.1 投标文件资格性检查和符合性检查结束后，凡属于“无效投标文件确认”的投标文件不进入比较与评价程序。</w:t>
      </w:r>
    </w:p>
    <w:p w14:paraId="5832A7FC">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19.5.2 评标委员会应当按照招标文件中规定的评标方法和标准，对符合性审查合格的投标文件进行商务和技术评估，综合比较与评价。</w:t>
      </w:r>
    </w:p>
    <w:p w14:paraId="32D5AA3D">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19.5.3 除评标方法和评标标准另有规定外，评标采用综合评分法。即投标文件满足招标文件全部实质性要求，且按照评审因素的量化指标评审得分最高的供应商为中标候选供应商的评标方法。评标时，评标委员会各成员应当独立对每个投标人的投标文件进行评价，并汇总每个投标人的得分。</w:t>
      </w:r>
    </w:p>
    <w:p w14:paraId="4A97FB1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19.5.4 评审因素包括投标报价、技术或服务水平、履约能力、售后服务等。</w:t>
      </w:r>
    </w:p>
    <w:p w14:paraId="65F0102C">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19.5.5 评标方法和评标标准详见文件第三章。</w:t>
      </w:r>
    </w:p>
    <w:p w14:paraId="7721E85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34E6D671">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61C7B6A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非单一产品采购项目，采购人根据采购项目技术构成、产品价格比重等合理确定核心产品，并在招标文件中载明。多家供应商提供的核心产品品牌相同的，按前述规定处理。</w:t>
      </w:r>
    </w:p>
    <w:p w14:paraId="7BC6F28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19.6 投标供应商存在下列情况之一的，其投标无效：</w:t>
      </w:r>
    </w:p>
    <w:p w14:paraId="2DCD020E">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（1）投标人在苏采云系统规定的时间内未成功解密电子投标文件的。</w:t>
      </w:r>
    </w:p>
    <w:p w14:paraId="68A98D50">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（2）投标人未按照招标文件要求上传电子投标文件的。</w:t>
      </w:r>
    </w:p>
    <w:p w14:paraId="5E628139">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（3）供应商不具备招标文件中规定资格要求的；</w:t>
      </w:r>
    </w:p>
    <w:p w14:paraId="1F762482">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（4）供应商在报价时采用选择性报价；</w:t>
      </w:r>
    </w:p>
    <w:p w14:paraId="3BEFB173">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（5）报价超过招标文件中规定的预算金额或者最高限价的；</w:t>
      </w:r>
    </w:p>
    <w:p w14:paraId="7624E9EA">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（6）投标文件含有采购人不能接受的附加条件的；</w:t>
      </w:r>
    </w:p>
    <w:p w14:paraId="3A05848B">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（7）不同供应商的投标文件由同一单位或者个人编制；</w:t>
      </w:r>
    </w:p>
    <w:p w14:paraId="5EB502B8">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（8）不同供应商委托同一单位或者个人办理投标事宜；</w:t>
      </w:r>
    </w:p>
    <w:p w14:paraId="3B74F273">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（9）不同供应商的投标文件载明的项目管理成员或联系人员为同一人；</w:t>
      </w:r>
    </w:p>
    <w:p w14:paraId="637DE128">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（10）不同供应商的投标文件异常一致或者投标报价呈规律性差异；</w:t>
      </w:r>
    </w:p>
    <w:p w14:paraId="2EA10883">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（11）不同供应商的投标文件相互混装；</w:t>
      </w:r>
    </w:p>
    <w:p w14:paraId="26E6DF46">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（12）不同供应商的负责人为同一人或者存在控股、管理关系的；</w:t>
      </w:r>
    </w:p>
    <w:p w14:paraId="522AD947">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（13）不同供应商的委托代理人（或法定代表人、项目经理、项目总监、项目负责人等）在招标文件发布日上月至投标截止日当月在同一单位缴纳社会保险的；</w:t>
      </w:r>
    </w:p>
    <w:p w14:paraId="1F85B27D">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（14）提供虚假材料的（包括工商营业执照、财务报表、资格证明文件等）；</w:t>
      </w:r>
    </w:p>
    <w:p w14:paraId="1079FE7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（15）未通过符合性检查的；</w:t>
      </w:r>
    </w:p>
    <w:p w14:paraId="7D3E81C9">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155727EC">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（17）不符合招标文件中规定的其他实质性要求的；</w:t>
      </w:r>
    </w:p>
    <w:p w14:paraId="123594E6">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（18）法律法规和招标文件规定的其他无效情形。</w:t>
      </w:r>
    </w:p>
    <w:p w14:paraId="4407816D">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19.7 出现下列情形之一的，应予废标：</w:t>
      </w:r>
    </w:p>
    <w:p w14:paraId="3B50C846">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（1）符合专业条件的供应商或者对招标文件作实质响应的供应商不足三家的；</w:t>
      </w:r>
    </w:p>
    <w:p w14:paraId="6858EC0B">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（2）出现影响采购公正的违法、违规行为的；</w:t>
      </w:r>
    </w:p>
    <w:p w14:paraId="54D0DAF8">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（3）因重大变故，采购任务取消的；</w:t>
      </w:r>
    </w:p>
    <w:p w14:paraId="7415FB16">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（4）评标委员会认定招标文件存在歧义、重大缺陷导致评审工作无法进行的，或者招标文件内容违反国家有关强制性规定的。</w:t>
      </w:r>
    </w:p>
    <w:p w14:paraId="0F1F3C7E">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在评标期间，通过资格审查或符合性审查的投标人不足3家情形的，比照19.3.5款执行。</w:t>
      </w:r>
    </w:p>
    <w:p w14:paraId="09E08D63">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六、授标</w:t>
      </w:r>
    </w:p>
    <w:p w14:paraId="4C57DA5E">
      <w:pPr>
        <w:keepNext/>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20.确定中标供应商</w:t>
      </w:r>
    </w:p>
    <w:p w14:paraId="5AAAB092">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20.1 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在满足招标文件要求的条件下，评标委员会根据评分细则进行评审，按得分由高到低的顺序推荐中标候选人。如果得分相同，</w:t>
      </w:r>
      <w:r>
        <w:rPr>
          <w:rFonts w:hint="eastAsia" w:ascii="宋体" w:hAnsi="宋体" w:eastAsia="宋体" w:cs="宋体"/>
          <w:sz w:val="21"/>
          <w:szCs w:val="21"/>
          <w:highlight w:val="none"/>
        </w:rPr>
        <w:t>按报价由低到高顺序排列，得分且报价相同的，按</w:t>
      </w:r>
      <w:r>
        <w:rPr>
          <w:rFonts w:hint="eastAsia" w:ascii="宋体" w:hAnsi="宋体" w:eastAsia="宋体" w:cs="宋体"/>
          <w:sz w:val="21"/>
          <w:szCs w:val="21"/>
          <w:highlight w:val="none"/>
          <w:lang w:val="en-US" w:eastAsia="zh-CN"/>
        </w:rPr>
        <w:t>服务方案</w:t>
      </w:r>
      <w:r>
        <w:rPr>
          <w:rFonts w:hint="eastAsia" w:ascii="宋体" w:hAnsi="宋体" w:eastAsia="宋体" w:cs="宋体"/>
          <w:sz w:val="21"/>
          <w:szCs w:val="21"/>
          <w:highlight w:val="none"/>
        </w:rPr>
        <w:t>得分</w:t>
      </w:r>
      <w:r>
        <w:rPr>
          <w:rFonts w:ascii="宋体" w:hAnsi="宋体" w:eastAsia="宋体" w:cs="宋体"/>
          <w:sz w:val="21"/>
          <w:szCs w:val="21"/>
          <w:highlight w:val="none"/>
        </w:rPr>
        <w:t>由高到低的</w:t>
      </w:r>
      <w:r>
        <w:rPr>
          <w:rFonts w:hint="eastAsia" w:ascii="宋体" w:hAnsi="宋体" w:eastAsia="宋体" w:cs="宋体"/>
          <w:sz w:val="21"/>
          <w:szCs w:val="21"/>
          <w:highlight w:val="none"/>
        </w:rPr>
        <w:t>顺序排列。最低投标价等任何单项因素的最优不是中标的必要条件。</w:t>
      </w:r>
    </w:p>
    <w:p w14:paraId="3790CC66">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20.2 中标人确定后，在江苏政府采购网上公告中标结果，中标公告期为1个工作日，公告的同时向中标供应商发出中标通知书。</w:t>
      </w:r>
    </w:p>
    <w:p w14:paraId="0DB9246F">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20.3 中标供应商在收到中标通知书后，应郑重保证履行中标供应商应履行的，含招标代理服务费在内的一切义务和责任。</w:t>
      </w:r>
    </w:p>
    <w:p w14:paraId="4DFA103F">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20.4 中标通知书对采购人和中标供应商具有同等法律效力。</w:t>
      </w:r>
    </w:p>
    <w:p w14:paraId="3717DEF8">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20.5 中标通知书发出后，中标或者成交后无正当理由拒不与采购人签订政府采购合同的，情节严重的，由财政部门将其列入不良行为记录名单，在一至三年内禁止参加政府采购活动，并予以通报。</w:t>
      </w:r>
    </w:p>
    <w:p w14:paraId="1E1CBF23">
      <w:pPr>
        <w:shd w:val="clear" w:color="auto" w:fill="FFFFFF"/>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20.6 若评标委员会发现供应商的投标文件中有弄虚作假行为，则该供应商将失去中标资格。</w:t>
      </w:r>
    </w:p>
    <w:p w14:paraId="1277B985">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21.评标过程的保密性</w:t>
      </w:r>
    </w:p>
    <w:p w14:paraId="76C0FF0B">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21.1 采购人和采购代理机构将采取必要措施，保证评标在严格保密的情况下进行。</w:t>
      </w:r>
    </w:p>
    <w:p w14:paraId="67E7E424">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21.2 任何单位和个人不得非法干预、影响评标办法的确定，以及评标过程和结果。</w:t>
      </w:r>
    </w:p>
    <w:p w14:paraId="489250C8">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21.3 凡是与审查、澄清、评价和比较投标的有关资料等，均不向投标人及与评标无关的其他人员透露。</w:t>
      </w:r>
    </w:p>
    <w:p w14:paraId="374DD366">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22.签订合同</w:t>
      </w:r>
    </w:p>
    <w:p w14:paraId="35470D6B">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22.1 采购人应当自中标通知书发出之日起三十日内，按照招标文件和中标供应商投标文件的约定，与中标供应商签订书面合同。所签订的合同不得对招标文件和中标供应商投标文件作实质性修改。</w:t>
      </w:r>
    </w:p>
    <w:p w14:paraId="4C54EFCF">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22.2 招标文件、中标供应商的投标文件及评标过程中有关澄清、说明或者补正文件均应作为合同附件。</w:t>
      </w:r>
    </w:p>
    <w:p w14:paraId="5F20EBB8">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22.3 采购人不得向中标人提出任何不合理的要求作为签订合同的条件。</w:t>
      </w:r>
    </w:p>
    <w:p w14:paraId="582BBF39">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22.4 中标供应商因不可抗力或者自身原因不能履行采购合同的，采购人可以与排位在中标供应商之后第一位的中标候选供应商签订采购合同，以此类推；采购人也可以重新开展采购活动。</w:t>
      </w:r>
    </w:p>
    <w:p w14:paraId="6E89DE63">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22.5 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338339CB">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22.6 采购人与中标人应当根据合同的约定依法履行合同义务。</w:t>
      </w:r>
    </w:p>
    <w:p w14:paraId="765DB823">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22.7 履约保证金</w:t>
      </w:r>
      <w:r>
        <w:rPr>
          <w:rFonts w:ascii="宋体" w:hAnsi="宋体" w:eastAsia="宋体" w:cs="宋体"/>
          <w:b/>
          <w:color w:val="000000"/>
          <w:sz w:val="21"/>
        </w:rPr>
        <w:t>（本项目不收取）</w:t>
      </w:r>
    </w:p>
    <w:p w14:paraId="4653569E">
      <w:pPr>
        <w:keepNext/>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23.招标代理服务费</w:t>
      </w:r>
    </w:p>
    <w:p w14:paraId="5A61128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23.1 </w:t>
      </w:r>
      <w:r>
        <w:rPr>
          <w:rFonts w:hint="eastAsia" w:ascii="宋体" w:hAnsi="宋体" w:eastAsia="宋体" w:cs="宋体"/>
          <w:sz w:val="21"/>
          <w:szCs w:val="21"/>
          <w:highlight w:val="none"/>
          <w:lang w:val="en-US"/>
        </w:rPr>
        <w:t>本项费用已综合包含在供应商投标报价内，不单独列项、不另行结算。各供应商在编制报价文件时，须足额测算、统筹将该项代理费纳入成本综合考量，因未合理预估该项费用所产生的损失与风险，均由供应商自行承担。</w:t>
      </w:r>
    </w:p>
    <w:p w14:paraId="14161245">
      <w:pPr>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23.2 </w:t>
      </w:r>
      <w:r>
        <w:rPr>
          <w:rFonts w:hint="eastAsia" w:ascii="宋体" w:hAnsi="宋体" w:eastAsia="宋体" w:cs="宋体"/>
          <w:sz w:val="21"/>
          <w:szCs w:val="21"/>
          <w:highlight w:val="none"/>
          <w:lang w:val="en-US" w:eastAsia="zh-CN"/>
        </w:rPr>
        <w:t>中标</w:t>
      </w:r>
      <w:r>
        <w:rPr>
          <w:rFonts w:hint="eastAsia" w:ascii="宋体" w:hAnsi="宋体" w:eastAsia="宋体" w:cs="宋体"/>
          <w:sz w:val="21"/>
          <w:szCs w:val="21"/>
          <w:highlight w:val="none"/>
          <w:lang w:val="en-US"/>
        </w:rPr>
        <w:t>供应商按《招标代理服务收费管理暂行办法》（国家发展计划委员会计价格[2002]1980号）规定的标准的75%向采购代理机构支付代理服务费。根据江苏省财政厅《关于进一步规范政府采购活动相关费用管理的通知》（苏财规〔2026〕1号）相关要求，为提高采购效率、简化资金支付流程，本项目代理费由</w:t>
      </w:r>
      <w:r>
        <w:rPr>
          <w:rFonts w:hint="eastAsia" w:ascii="宋体" w:hAnsi="宋体" w:eastAsia="宋体" w:cs="宋体"/>
          <w:sz w:val="21"/>
          <w:szCs w:val="21"/>
          <w:highlight w:val="none"/>
          <w:lang w:val="en-US" w:eastAsia="zh-CN"/>
        </w:rPr>
        <w:t>中标</w:t>
      </w:r>
      <w:r>
        <w:rPr>
          <w:rFonts w:hint="eastAsia" w:ascii="宋体" w:hAnsi="宋体" w:eastAsia="宋体" w:cs="宋体"/>
          <w:sz w:val="21"/>
          <w:szCs w:val="21"/>
          <w:highlight w:val="none"/>
          <w:lang w:val="en-US"/>
        </w:rPr>
        <w:t>供应商在领取</w:t>
      </w:r>
      <w:r>
        <w:rPr>
          <w:rFonts w:hint="eastAsia" w:ascii="宋体" w:hAnsi="宋体" w:eastAsia="宋体" w:cs="宋体"/>
          <w:sz w:val="21"/>
          <w:szCs w:val="21"/>
          <w:highlight w:val="none"/>
          <w:lang w:val="en-US" w:eastAsia="zh-CN"/>
        </w:rPr>
        <w:t>中标</w:t>
      </w:r>
      <w:r>
        <w:rPr>
          <w:rFonts w:hint="eastAsia" w:ascii="宋体" w:hAnsi="宋体" w:eastAsia="宋体" w:cs="宋体"/>
          <w:sz w:val="21"/>
          <w:szCs w:val="21"/>
          <w:highlight w:val="none"/>
          <w:lang w:val="en-US"/>
        </w:rPr>
        <w:t>通知书时，一次性支付至采购代理机构</w:t>
      </w:r>
      <w:r>
        <w:rPr>
          <w:rFonts w:hint="eastAsia" w:ascii="宋体" w:hAnsi="宋体" w:eastAsia="宋体" w:cs="宋体"/>
          <w:sz w:val="21"/>
          <w:szCs w:val="21"/>
          <w:highlight w:val="none"/>
        </w:rPr>
        <w:t>。</w:t>
      </w:r>
    </w:p>
    <w:p w14:paraId="7BA76952">
      <w:pPr>
        <w:spacing w:before="0" w:after="0" w:line="360" w:lineRule="auto"/>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23.3 服务费受理账户信息：</w:t>
      </w:r>
    </w:p>
    <w:p w14:paraId="70D3A9FC">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收款单位：苏美达国际技术贸易有限公司</w:t>
      </w:r>
    </w:p>
    <w:p w14:paraId="71F6E714">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开户行：中信南京分行营业部 </w:t>
      </w:r>
    </w:p>
    <w:p w14:paraId="3EA5F7D5">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账号：7321010182300013675 </w:t>
      </w:r>
    </w:p>
    <w:p w14:paraId="268956D9">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七、质疑和投诉</w:t>
      </w:r>
    </w:p>
    <w:p w14:paraId="3631F050">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24.质疑</w:t>
      </w:r>
    </w:p>
    <w:p w14:paraId="45F01E0A">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24.1 供应商对招标活动事项有疑问的，可以向采购代理机构提出询问，采购代理机构将依法作出答复，但答复的内容不涉及商业秘密</w:t>
      </w:r>
      <w:r>
        <w:rPr>
          <w:rFonts w:ascii="宋体" w:hAnsi="宋体" w:eastAsia="宋体" w:cs="宋体"/>
          <w:b/>
          <w:bCs/>
          <w:sz w:val="21"/>
          <w:szCs w:val="21"/>
          <w:highlight w:val="none"/>
        </w:rPr>
        <w:t>。</w:t>
      </w:r>
    </w:p>
    <w:p w14:paraId="64A744DC">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24.2 供应商认为招标文件、采购过程和中标结果使自己的合法权益受到损害的，可以在知道或者应知其权益受到损害之日起七个工作日内，将质疑文件原件送达采购人或采购代理机构。</w:t>
      </w:r>
    </w:p>
    <w:p w14:paraId="00ECC9B9">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供应商应知其权益受到损害之日，是指：</w:t>
      </w:r>
    </w:p>
    <w:p w14:paraId="6604DF55">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（一）对可以质疑的招标文件提出质疑的，为收到招标文件之日或者招标文件公告期限届满之日；</w:t>
      </w:r>
    </w:p>
    <w:p w14:paraId="368B166E">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（二）对采购过程提出质疑的，为各采购程序环节结束之日；</w:t>
      </w:r>
    </w:p>
    <w:p w14:paraId="39F65B14">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（三）对中标或者成交结果提出质疑的，为中标或者成交结果公告期限届满之日。</w:t>
      </w:r>
    </w:p>
    <w:p w14:paraId="1B66989D">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24.3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6DA9BDEB">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采购代理机构将在一定范围内公开质疑人的名称、质疑事项、质疑处理结果，供有关采购人、财政部门、行业协会查询。</w:t>
      </w:r>
    </w:p>
    <w:p w14:paraId="6203C493">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24.4 质疑文件应包括以下主要内容，并按照“谁主张、谁举证”的原则，附上相关证明材料。否则，采购代理机构不予受理：</w:t>
      </w:r>
    </w:p>
    <w:p w14:paraId="6D85EADC">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（1）质疑项目名称、项目编号、包号、招标公告发布时间、开标时间；</w:t>
      </w:r>
    </w:p>
    <w:p w14:paraId="518DB9FA">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（2）具体的质疑事项及法律依据（具体条款）；</w:t>
      </w:r>
    </w:p>
    <w:p w14:paraId="3504A205">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（3）质疑相关证明文件或证明材料，如果涉及产品功能或技术指标的，应出具相关制造商的证明文件（友情提示：供应商全部产品线中没有满足技术需求要求的产品才可以对招标产品提出质疑，并提出</w:t>
      </w:r>
      <w:r>
        <w:rPr>
          <w:rFonts w:ascii="宋体" w:hAnsi="宋体" w:eastAsia="宋体" w:cs="宋体"/>
          <w:b/>
          <w:bCs/>
          <w:sz w:val="21"/>
          <w:szCs w:val="21"/>
          <w:highlight w:val="none"/>
        </w:rPr>
        <w:t>修改理由</w:t>
      </w:r>
      <w:r>
        <w:rPr>
          <w:rFonts w:ascii="宋体" w:hAnsi="宋体" w:eastAsia="宋体" w:cs="宋体"/>
          <w:sz w:val="21"/>
          <w:szCs w:val="21"/>
          <w:highlight w:val="none"/>
        </w:rPr>
        <w:t>和</w:t>
      </w:r>
      <w:r>
        <w:rPr>
          <w:rFonts w:ascii="宋体" w:hAnsi="宋体" w:eastAsia="宋体" w:cs="宋体"/>
          <w:b/>
          <w:bCs/>
          <w:sz w:val="21"/>
          <w:szCs w:val="21"/>
          <w:highlight w:val="none"/>
        </w:rPr>
        <w:t>修改建议</w:t>
      </w:r>
      <w:r>
        <w:rPr>
          <w:rFonts w:ascii="宋体" w:hAnsi="宋体" w:eastAsia="宋体" w:cs="宋体"/>
          <w:sz w:val="21"/>
          <w:szCs w:val="21"/>
          <w:highlight w:val="none"/>
        </w:rPr>
        <w:t>）；</w:t>
      </w:r>
    </w:p>
    <w:p w14:paraId="16F1C17E">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（4）质疑供应商名称、地址、联系方式（包括手机、传真号码）；</w:t>
      </w:r>
    </w:p>
    <w:p w14:paraId="42F4C0B1">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（5）法定代表人签署本人姓名或印盖本人姓名章并加盖单位公章，或法定代表人授权委托代理人加盖单位公章，并由参加采购项目的授权委托代理人签署本人姓名或印盖本人姓名章等。</w:t>
      </w:r>
    </w:p>
    <w:p w14:paraId="46A522A1">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24.5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20FEFA16">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24.6 采购代理机构在收到投标商的书面质疑后将及时组织调查核实，在</w:t>
      </w:r>
      <w:r>
        <w:rPr>
          <w:rFonts w:ascii="宋体" w:hAnsi="宋体" w:eastAsia="宋体" w:cs="宋体"/>
          <w:b/>
          <w:bCs/>
          <w:sz w:val="21"/>
          <w:szCs w:val="21"/>
          <w:highlight w:val="none"/>
        </w:rPr>
        <w:t>七个工作日内</w:t>
      </w:r>
      <w:r>
        <w:rPr>
          <w:rFonts w:ascii="宋体" w:hAnsi="宋体" w:eastAsia="宋体" w:cs="宋体"/>
          <w:sz w:val="21"/>
          <w:szCs w:val="21"/>
          <w:highlight w:val="none"/>
        </w:rPr>
        <w:t>作出答复，并以书面或在网站公告形式通知质疑投标商和其他有关投标商，答复的内容不涉及商业秘密。代理机构遵循“谁过错谁负担”的原则，有过错的一方承担调查论证费用。</w:t>
      </w:r>
    </w:p>
    <w:p w14:paraId="76459BA3">
      <w:pPr>
        <w:shd w:val="clear" w:color="auto" w:fill="FFFFFF"/>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25.投诉</w:t>
      </w:r>
    </w:p>
    <w:p w14:paraId="746FE7C2">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供应商对代理机构的答复不满意，或代理机构未在规定的时间内作出答复的，可以在答复期满后</w:t>
      </w:r>
      <w:r>
        <w:rPr>
          <w:rFonts w:ascii="宋体" w:hAnsi="宋体" w:eastAsia="宋体" w:cs="宋体"/>
          <w:b/>
          <w:bCs/>
          <w:sz w:val="21"/>
          <w:szCs w:val="21"/>
          <w:highlight w:val="none"/>
        </w:rPr>
        <w:t>十五个工作日内</w:t>
      </w:r>
      <w:r>
        <w:rPr>
          <w:rFonts w:ascii="宋体" w:hAnsi="宋体" w:eastAsia="宋体" w:cs="宋体"/>
          <w:sz w:val="21"/>
          <w:szCs w:val="21"/>
          <w:highlight w:val="none"/>
        </w:rPr>
        <w:t>向采购人同级财政部门投诉。</w:t>
      </w:r>
    </w:p>
    <w:p w14:paraId="09C6522D">
      <w:pPr>
        <w:widowControl w:val="0"/>
        <w:spacing w:before="0" w:after="0" w:line="288" w:lineRule="auto"/>
        <w:jc w:val="center"/>
        <w:rPr>
          <w:rFonts w:ascii="Times New Roman" w:hAnsi="Times New Roman" w:eastAsia="Times New Roman" w:cs="Times New Roman"/>
          <w:sz w:val="36"/>
          <w:szCs w:val="36"/>
          <w:highlight w:val="none"/>
        </w:rPr>
      </w:pPr>
      <w:r>
        <w:rPr>
          <w:rFonts w:ascii="Times New Roman" w:hAnsi="Times New Roman" w:eastAsia="Times New Roman" w:cs="Times New Roman"/>
          <w:sz w:val="36"/>
          <w:szCs w:val="36"/>
          <w:highlight w:val="none"/>
        </w:rPr>
        <w:br w:type="page" w:clear="all"/>
      </w:r>
      <w:r>
        <w:rPr>
          <w:rFonts w:ascii="黑体" w:hAnsi="黑体" w:eastAsia="黑体" w:cs="黑体"/>
          <w:sz w:val="36"/>
          <w:szCs w:val="36"/>
          <w:highlight w:val="none"/>
        </w:rPr>
        <w:t>第三章 评标标准</w:t>
      </w:r>
    </w:p>
    <w:p w14:paraId="63A257AD">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本项目采用综合评分法。对投标报价、技术和商务等情况进行综合评审，满分100分，将全部评委评分直接进行算术平均，小数点后保留2位。</w:t>
      </w:r>
    </w:p>
    <w:p w14:paraId="1BA27E98">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p>
    <w:p w14:paraId="2B8FAFA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在满足招标文件要求的条件下，评标委员会根据评分细则进行评审，按得分由高到低的顺序推荐中标候选人。如果得分相同，</w:t>
      </w:r>
      <w:r>
        <w:rPr>
          <w:rFonts w:hint="eastAsia" w:ascii="宋体" w:hAnsi="宋体" w:eastAsia="宋体" w:cs="宋体"/>
          <w:sz w:val="21"/>
          <w:szCs w:val="21"/>
          <w:highlight w:val="none"/>
        </w:rPr>
        <w:t>按报价由低到高顺序排列，得分且报价相同的，按</w:t>
      </w:r>
      <w:r>
        <w:rPr>
          <w:rFonts w:hint="eastAsia" w:ascii="宋体" w:hAnsi="宋体" w:eastAsia="宋体" w:cs="宋体"/>
          <w:sz w:val="21"/>
          <w:szCs w:val="21"/>
          <w:highlight w:val="none"/>
          <w:lang w:val="en-US" w:eastAsia="zh-CN"/>
        </w:rPr>
        <w:t>服务方案</w:t>
      </w:r>
      <w:r>
        <w:rPr>
          <w:rFonts w:hint="eastAsia" w:ascii="宋体" w:hAnsi="宋体" w:eastAsia="宋体" w:cs="宋体"/>
          <w:sz w:val="21"/>
          <w:szCs w:val="21"/>
          <w:highlight w:val="none"/>
        </w:rPr>
        <w:t>得分</w:t>
      </w:r>
      <w:r>
        <w:rPr>
          <w:rFonts w:ascii="宋体" w:hAnsi="宋体" w:eastAsia="宋体" w:cs="宋体"/>
          <w:sz w:val="21"/>
          <w:szCs w:val="21"/>
          <w:highlight w:val="none"/>
        </w:rPr>
        <w:t>由高到低的</w:t>
      </w:r>
      <w:r>
        <w:rPr>
          <w:rFonts w:hint="eastAsia" w:ascii="宋体" w:hAnsi="宋体" w:eastAsia="宋体" w:cs="宋体"/>
          <w:sz w:val="21"/>
          <w:szCs w:val="21"/>
          <w:highlight w:val="none"/>
        </w:rPr>
        <w:t>顺序排列。最低投标价等任何单项因素的最优不是中标的必要条件。具体打分办法如下：</w:t>
      </w:r>
    </w:p>
    <w:tbl>
      <w:tblPr>
        <w:tblStyle w:val="1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78"/>
        <w:gridCol w:w="1171"/>
        <w:gridCol w:w="6639"/>
        <w:gridCol w:w="742"/>
      </w:tblGrid>
      <w:tr w14:paraId="558A5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7"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2E7F351">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b/>
                <w:color w:val="000000"/>
                <w:sz w:val="21"/>
              </w:rPr>
              <w:t>序号</w:t>
            </w:r>
          </w:p>
        </w:tc>
        <w:tc>
          <w:tcPr>
            <w:tcW w:w="634" w:type="pct"/>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229A514A">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b/>
                <w:color w:val="000000"/>
                <w:sz w:val="21"/>
              </w:rPr>
              <w:t>评审因素</w:t>
            </w:r>
          </w:p>
        </w:tc>
        <w:tc>
          <w:tcPr>
            <w:tcW w:w="3595" w:type="pct"/>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11537B7D">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b/>
                <w:color w:val="000000"/>
                <w:sz w:val="21"/>
              </w:rPr>
              <w:t>评审标准</w:t>
            </w:r>
          </w:p>
        </w:tc>
        <w:tc>
          <w:tcPr>
            <w:tcW w:w="402" w:type="pct"/>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243DB875">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b/>
                <w:color w:val="000000"/>
                <w:sz w:val="21"/>
              </w:rPr>
              <w:t>分值</w:t>
            </w:r>
          </w:p>
        </w:tc>
      </w:tr>
      <w:tr w14:paraId="3113C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45C05E9">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1</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1B856E0D">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价格</w:t>
            </w:r>
          </w:p>
        </w:tc>
        <w:tc>
          <w:tcPr>
            <w:tcW w:w="3595" w:type="pct"/>
            <w:tcBorders>
              <w:bottom w:val="single" w:color="000000" w:sz="8" w:space="0"/>
              <w:right w:val="single" w:color="000000" w:sz="8" w:space="0"/>
            </w:tcBorders>
            <w:tcMar>
              <w:top w:w="0" w:type="dxa"/>
              <w:left w:w="108" w:type="dxa"/>
              <w:bottom w:w="0" w:type="dxa"/>
              <w:right w:w="108" w:type="dxa"/>
            </w:tcMar>
            <w:vAlign w:val="center"/>
          </w:tcPr>
          <w:p w14:paraId="4B26023B">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满足招标文件要求且投标价格最低的投标报价为评标基准价，其价格分为满分，其他投标人的价格分按下列公式计算：投标报价得分＝（评标基准价/投标报价）×20（得分四舍五入保留到小数点后两位）</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74BE646D">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20</w:t>
            </w:r>
          </w:p>
        </w:tc>
      </w:tr>
      <w:tr w14:paraId="1BAC4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EF0E7C6">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rFonts w:ascii="宋体" w:hAnsi="宋体" w:eastAsia="宋体" w:cs="宋体"/>
                <w:color w:val="000000"/>
                <w:sz w:val="21"/>
              </w:rPr>
            </w:pPr>
            <w:r>
              <w:rPr>
                <w:rFonts w:ascii="宋体" w:hAnsi="宋体" w:eastAsia="宋体" w:cs="宋体"/>
                <w:color w:val="000000"/>
                <w:sz w:val="21"/>
              </w:rPr>
              <w:t>2</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52E543CE">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rFonts w:ascii="宋体" w:hAnsi="宋体" w:eastAsia="宋体" w:cs="宋体"/>
                <w:color w:val="000000"/>
                <w:sz w:val="21"/>
                <w:szCs w:val="21"/>
                <w14:ligatures w14:val="none"/>
              </w:rPr>
            </w:pPr>
            <w:r>
              <w:rPr>
                <w:rFonts w:ascii="宋体" w:hAnsi="宋体" w:eastAsia="宋体" w:cs="宋体"/>
                <w:color w:val="000000"/>
                <w:sz w:val="21"/>
                <w:szCs w:val="21"/>
              </w:rPr>
              <w:t>技术参数</w:t>
            </w:r>
          </w:p>
        </w:tc>
        <w:tc>
          <w:tcPr>
            <w:tcW w:w="3595" w:type="pct"/>
            <w:tcBorders>
              <w:bottom w:val="single" w:color="000000" w:sz="8" w:space="0"/>
              <w:right w:val="single" w:color="000000" w:sz="8" w:space="0"/>
            </w:tcBorders>
            <w:tcMar>
              <w:top w:w="0" w:type="dxa"/>
              <w:left w:w="108" w:type="dxa"/>
              <w:bottom w:w="0" w:type="dxa"/>
              <w:right w:w="108" w:type="dxa"/>
            </w:tcMar>
            <w:vAlign w:val="center"/>
          </w:tcPr>
          <w:p w14:paraId="13C2E68E">
            <w:pPr>
              <w:widowControl w:val="0"/>
              <w:pBdr>
                <w:top w:val="none" w:color="000000" w:sz="0" w:space="0"/>
                <w:left w:val="none" w:color="000000" w:sz="0" w:space="0"/>
                <w:bottom w:val="none" w:color="000000" w:sz="0" w:space="0"/>
                <w:right w:val="none" w:color="000000" w:sz="0" w:space="0"/>
              </w:pBdr>
              <w:bidi w:val="0"/>
              <w:spacing w:line="360" w:lineRule="auto"/>
              <w:ind w:left="0" w:right="0" w:firstLine="0"/>
              <w:jc w:val="both"/>
              <w:outlineLvl w:val="0"/>
              <w:rPr>
                <w:rFonts w:ascii="宋体" w:hAnsi="宋体" w:eastAsia="宋体" w:cs="宋体"/>
                <w:color w:val="000000"/>
                <w:sz w:val="21"/>
                <w:szCs w:val="21"/>
                <w14:ligatures w14:val="none"/>
              </w:rPr>
            </w:pPr>
            <w:r>
              <w:rPr>
                <w:rFonts w:ascii="宋体" w:hAnsi="宋体" w:eastAsia="宋体" w:cs="宋体"/>
                <w:color w:val="000000"/>
                <w:sz w:val="21"/>
                <w:szCs w:val="21"/>
              </w:rPr>
              <w:t>满足招标</w:t>
            </w:r>
            <w:r>
              <w:rPr>
                <w:rFonts w:ascii="宋体" w:hAnsi="宋体" w:eastAsia="宋体" w:cs="宋体"/>
                <w:color w:val="000000"/>
                <w:sz w:val="21"/>
                <w:szCs w:val="21"/>
                <w:highlight w:val="none"/>
              </w:rPr>
              <w:t>文件第四章</w:t>
            </w:r>
            <w:r>
              <w:rPr>
                <w:rFonts w:hint="eastAsia" w:ascii="宋体" w:hAnsi="宋体" w:eastAsia="宋体" w:cs="宋体"/>
                <w:color w:val="000000"/>
                <w:sz w:val="21"/>
                <w:szCs w:val="21"/>
                <w:highlight w:val="none"/>
                <w:lang w:eastAsia="zh-CN"/>
              </w:rPr>
              <w:t>“</w:t>
            </w:r>
            <w:r>
              <w:rPr>
                <w:rFonts w:ascii="宋体" w:hAnsi="宋体" w:eastAsia="宋体" w:cs="宋体"/>
                <w:color w:val="000000"/>
                <w:sz w:val="21"/>
                <w:szCs w:val="21"/>
                <w:highlight w:val="none"/>
                <w:lang w:eastAsia="zh-CN" w:bidi="ar-SA"/>
              </w:rPr>
              <w:t>三、</w:t>
            </w:r>
            <w:r>
              <w:rPr>
                <w:rFonts w:hint="eastAsia" w:ascii="宋体" w:hAnsi="宋体" w:eastAsia="宋体" w:cs="宋体"/>
                <w:color w:val="000000"/>
                <w:sz w:val="21"/>
                <w:szCs w:val="21"/>
                <w:highlight w:val="none"/>
                <w:lang w:eastAsia="zh-CN" w:bidi="ar-SA"/>
              </w:rPr>
              <w:t>液氧站建设技术参数</w:t>
            </w:r>
            <w:r>
              <w:rPr>
                <w:rFonts w:hint="eastAsia" w:ascii="宋体" w:hAnsi="宋体" w:eastAsia="宋体" w:cs="宋体"/>
                <w:color w:val="000000"/>
                <w:sz w:val="21"/>
                <w:szCs w:val="21"/>
                <w:highlight w:val="none"/>
                <w:lang w:eastAsia="zh-CN"/>
              </w:rPr>
              <w:t>”</w:t>
            </w:r>
            <w:r>
              <w:rPr>
                <w:rFonts w:ascii="宋体" w:hAnsi="宋体" w:eastAsia="宋体" w:cs="宋体"/>
                <w:color w:val="000000"/>
                <w:sz w:val="21"/>
                <w:szCs w:val="21"/>
                <w:highlight w:val="none"/>
                <w:lang w:eastAsia="zh-CN" w:bidi="ar-SA"/>
              </w:rPr>
              <w:t>表格</w:t>
            </w:r>
            <w:r>
              <w:rPr>
                <w:rFonts w:ascii="宋体" w:hAnsi="宋体" w:eastAsia="宋体" w:cs="宋体"/>
                <w:color w:val="000000"/>
                <w:sz w:val="21"/>
                <w:szCs w:val="21"/>
                <w:highlight w:val="none"/>
              </w:rPr>
              <w:t>中核心参数要求的得10分，有一项指标负偏离扣</w:t>
            </w:r>
            <w:r>
              <w:rPr>
                <w:rFonts w:hint="eastAsia" w:ascii="宋体" w:hAnsi="宋体" w:eastAsia="宋体" w:cs="宋体"/>
                <w:color w:val="000000"/>
                <w:sz w:val="21"/>
                <w:szCs w:val="21"/>
                <w:highlight w:val="none"/>
                <w:lang w:val="en-US" w:eastAsia="zh-CN"/>
              </w:rPr>
              <w:t>0.625</w:t>
            </w:r>
            <w:r>
              <w:rPr>
                <w:rFonts w:ascii="宋体" w:hAnsi="宋体" w:eastAsia="宋体" w:cs="宋体"/>
                <w:color w:val="000000"/>
                <w:sz w:val="21"/>
                <w:szCs w:val="21"/>
                <w:highlight w:val="none"/>
              </w:rPr>
              <w:t>分，扣完为止</w:t>
            </w:r>
            <w:r>
              <w:rPr>
                <w:rFonts w:ascii="宋体" w:hAnsi="宋体" w:eastAsia="宋体" w:cs="宋体"/>
                <w:color w:val="000000"/>
                <w:sz w:val="21"/>
                <w:szCs w:val="21"/>
              </w:rPr>
              <w:t>。</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24D8FA2A">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rFonts w:ascii="宋体" w:hAnsi="宋体" w:eastAsia="宋体" w:cs="宋体"/>
                <w:color w:val="000000"/>
                <w:sz w:val="21"/>
              </w:rPr>
            </w:pPr>
            <w:r>
              <w:rPr>
                <w:rFonts w:ascii="宋体" w:hAnsi="宋体" w:eastAsia="宋体" w:cs="宋体"/>
                <w:color w:val="000000"/>
                <w:sz w:val="21"/>
              </w:rPr>
              <w:t>10</w:t>
            </w:r>
          </w:p>
        </w:tc>
      </w:tr>
      <w:tr w14:paraId="52B25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6749F7F">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3</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6EBEAF27">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业绩</w:t>
            </w:r>
          </w:p>
        </w:tc>
        <w:tc>
          <w:tcPr>
            <w:tcW w:w="3595" w:type="pct"/>
            <w:tcBorders>
              <w:bottom w:val="single" w:color="000000" w:sz="8" w:space="0"/>
              <w:right w:val="single" w:color="000000" w:sz="8" w:space="0"/>
            </w:tcBorders>
            <w:tcMar>
              <w:top w:w="0" w:type="dxa"/>
              <w:left w:w="108" w:type="dxa"/>
              <w:bottom w:w="0" w:type="dxa"/>
              <w:right w:w="108" w:type="dxa"/>
            </w:tcMar>
            <w:vAlign w:val="center"/>
          </w:tcPr>
          <w:p w14:paraId="043CCBBB">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投标人需提供自2023年1月1日以来（以合同签订时间为准）类似液氧供应项目供货合同复印件。每提供1份有效业绩合同得3分，本项最高得9分，未提供不得分。注：业绩合同中同一采购人不重复得分。</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306C59D5">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9</w:t>
            </w:r>
          </w:p>
        </w:tc>
      </w:tr>
      <w:tr w14:paraId="53144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3"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A3E97D4">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4</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39CCAB3C">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供应商生产设备及环境、产品包装情况</w:t>
            </w:r>
          </w:p>
        </w:tc>
        <w:tc>
          <w:tcPr>
            <w:tcW w:w="3595" w:type="pct"/>
            <w:tcBorders>
              <w:right w:val="single" w:color="000000" w:sz="8" w:space="0"/>
            </w:tcBorders>
            <w:tcMar>
              <w:top w:w="0" w:type="dxa"/>
              <w:left w:w="108" w:type="dxa"/>
              <w:bottom w:w="0" w:type="dxa"/>
              <w:right w:w="108" w:type="dxa"/>
            </w:tcMar>
            <w:vAlign w:val="center"/>
          </w:tcPr>
          <w:p w14:paraId="3BBD0F45">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投标人须按要求提供对应清晰、可辨识的佐证材料（图片、清单、证照、证明材料并加盖公章），未提供有效证明材料的对应分项不得分，按以下标准逐项计分，累计得分为本项最终得分：</w:t>
            </w:r>
          </w:p>
          <w:p w14:paraId="71C3279E">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1.生产作业场地及生产设施配置</w:t>
            </w:r>
            <w:r>
              <w:rPr>
                <w:rFonts w:hint="eastAsia" w:ascii="宋体" w:hAnsi="宋体" w:eastAsia="宋体" w:cs="宋体"/>
                <w:color w:val="000000"/>
                <w:sz w:val="21"/>
                <w:lang w:eastAsia="zh-CN"/>
              </w:rPr>
              <w:t>：</w:t>
            </w:r>
            <w:r>
              <w:rPr>
                <w:rFonts w:ascii="宋体" w:hAnsi="宋体" w:eastAsia="宋体" w:cs="宋体"/>
                <w:color w:val="000000"/>
                <w:sz w:val="21"/>
              </w:rPr>
              <w:t>提供有效生产/充装作业场地实景图片、生产设施/设备清单、设备实景图片，材料齐全、场地及设施满足医用液氧生产、充装作业要求的，得3分。</w:t>
            </w:r>
          </w:p>
          <w:p w14:paraId="25340770">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2.专用暂存、贮存设施条件</w:t>
            </w:r>
            <w:r>
              <w:rPr>
                <w:rFonts w:hint="eastAsia" w:ascii="宋体" w:hAnsi="宋体" w:eastAsia="宋体" w:cs="宋体"/>
                <w:color w:val="000000"/>
                <w:sz w:val="21"/>
                <w:lang w:eastAsia="zh-CN"/>
              </w:rPr>
              <w:t>：</w:t>
            </w:r>
            <w:r>
              <w:rPr>
                <w:rFonts w:ascii="宋体" w:hAnsi="宋体" w:eastAsia="宋体" w:cs="宋体"/>
                <w:color w:val="000000"/>
                <w:sz w:val="21"/>
              </w:rPr>
              <w:t>提供液氧专用暂存库、低温贮存设备、合规贮存场地佐证材料，具备专用贮存、暂存保障条件的，得3分；</w:t>
            </w:r>
          </w:p>
          <w:p w14:paraId="06958F49">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szCs w:val="24"/>
              </w:rPr>
            </w:pPr>
            <w:r>
              <w:rPr>
                <w:rFonts w:ascii="宋体" w:hAnsi="宋体" w:eastAsia="宋体" w:cs="宋体"/>
                <w:color w:val="000000"/>
                <w:sz w:val="21"/>
              </w:rPr>
              <w:t>3.液态氧气合规包装及防护措施</w:t>
            </w:r>
            <w:r>
              <w:rPr>
                <w:rFonts w:hint="eastAsia" w:ascii="宋体" w:hAnsi="宋体" w:eastAsia="宋体" w:cs="宋体"/>
                <w:color w:val="000000"/>
                <w:sz w:val="21"/>
                <w:lang w:eastAsia="zh-CN"/>
              </w:rPr>
              <w:t>：</w:t>
            </w:r>
            <w:r>
              <w:rPr>
                <w:rFonts w:ascii="宋体" w:hAnsi="宋体" w:eastAsia="宋体" w:cs="宋体"/>
                <w:color w:val="000000"/>
                <w:sz w:val="21"/>
              </w:rPr>
              <w:t>提供液氧产品包装规范、低温防护、安全密封防护措施说明及佐证材料，具备完整合规包装防护体系的，得3分。</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581C67E8">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9</w:t>
            </w:r>
          </w:p>
        </w:tc>
      </w:tr>
      <w:tr w14:paraId="44AD8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77FA702">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5</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77AB09D4">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14:ligatures w14:val="none"/>
              </w:rPr>
            </w:pPr>
            <w:r>
              <w:rPr>
                <w:rFonts w:ascii="宋体" w:hAnsi="宋体" w:eastAsia="宋体" w:cs="宋体"/>
                <w:color w:val="000000"/>
                <w:sz w:val="21"/>
                <w:szCs w:val="21"/>
              </w:rPr>
              <w:t>生产能力</w:t>
            </w:r>
          </w:p>
        </w:tc>
        <w:tc>
          <w:tcPr>
            <w:tcW w:w="3595" w:type="pct"/>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063E627C">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14:ligatures w14:val="none"/>
              </w:rPr>
            </w:pPr>
            <w:r>
              <w:rPr>
                <w:rFonts w:ascii="宋体" w:hAnsi="宋体" w:eastAsia="宋体" w:cs="宋体"/>
                <w:color w:val="000000"/>
                <w:sz w:val="21"/>
                <w:szCs w:val="21"/>
              </w:rPr>
              <w:t>投标人需具有液氧货源保障能力并提供相应证明材料（如有效医用液氧生产企业供货协议、自有生产厂证明等），具备1个稳定货源得3分，2个及以上稳定货源得6分。</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1D107B95">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6</w:t>
            </w:r>
          </w:p>
        </w:tc>
      </w:tr>
      <w:tr w14:paraId="56FD7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44123DC">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6</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5538F5DD">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认证证书</w:t>
            </w:r>
          </w:p>
        </w:tc>
        <w:tc>
          <w:tcPr>
            <w:tcW w:w="3595" w:type="pct"/>
            <w:tcBorders>
              <w:right w:val="single" w:color="000000" w:sz="8" w:space="0"/>
            </w:tcBorders>
            <w:tcMar>
              <w:top w:w="0" w:type="dxa"/>
              <w:left w:w="108" w:type="dxa"/>
              <w:bottom w:w="0" w:type="dxa"/>
              <w:right w:w="108" w:type="dxa"/>
            </w:tcMar>
            <w:vAlign w:val="center"/>
          </w:tcPr>
          <w:p w14:paraId="043B1A01">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4"/>
                <w:szCs w:val="24"/>
                <w:highlight w:val="none"/>
              </w:rPr>
            </w:pPr>
            <w:r>
              <w:rPr>
                <w:rFonts w:ascii="宋体" w:hAnsi="宋体" w:eastAsia="宋体" w:cs="宋体"/>
                <w:color w:val="000000"/>
                <w:sz w:val="21"/>
                <w:highlight w:val="none"/>
              </w:rPr>
              <w:t>投标人具备有效期内的ISO9001质量管理体系、ISO14001环境管理体系、ISO45001职业健康安全管理体系认证证书，每提供一个证书得1分，满分</w:t>
            </w:r>
            <w:r>
              <w:rPr>
                <w:rFonts w:ascii="宋体" w:hAnsi="宋体" w:eastAsia="宋体" w:cs="宋体"/>
                <w:color w:val="000000"/>
                <w:sz w:val="21"/>
                <w:szCs w:val="21"/>
                <w:highlight w:val="none"/>
              </w:rPr>
              <w:t>3分，</w:t>
            </w:r>
            <w:r>
              <w:rPr>
                <w:rFonts w:ascii="宋体" w:hAnsi="宋体" w:eastAsia="宋体" w:cs="宋体"/>
                <w:color w:val="000000"/>
                <w:sz w:val="21"/>
                <w:szCs w:val="21"/>
                <w:highlight w:val="none"/>
                <w:lang w:eastAsia="zh-CN"/>
              </w:rPr>
              <w:t>提供证书复印件并加盖公章，</w:t>
            </w:r>
            <w:r>
              <w:rPr>
                <w:rFonts w:ascii="宋体" w:hAnsi="宋体" w:eastAsia="宋体" w:cs="宋体"/>
                <w:color w:val="000000"/>
                <w:sz w:val="21"/>
                <w:szCs w:val="21"/>
                <w:highlight w:val="none"/>
              </w:rPr>
              <w:t>证书认证范围须包含医用氧气</w:t>
            </w:r>
            <w:r>
              <w:rPr>
                <w:rFonts w:ascii="宋体" w:hAnsi="宋体" w:eastAsia="宋体" w:cs="宋体"/>
                <w:color w:val="000000"/>
                <w:sz w:val="21"/>
                <w:highlight w:val="none"/>
              </w:rPr>
              <w:t>的销售，证书可在国家认证认可监督管理平台核验。</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29834234">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3</w:t>
            </w:r>
          </w:p>
        </w:tc>
      </w:tr>
      <w:tr w14:paraId="25880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F01DE42">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7</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4DE68421">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气体信息化管理</w:t>
            </w:r>
          </w:p>
        </w:tc>
        <w:tc>
          <w:tcPr>
            <w:tcW w:w="3595" w:type="pct"/>
            <w:tcBorders>
              <w:top w:val="single" w:color="000000" w:sz="8" w:space="0"/>
              <w:bottom w:val="single" w:color="000000" w:sz="8" w:space="0"/>
              <w:right w:val="single" w:color="000000" w:sz="8" w:space="0"/>
            </w:tcBorders>
            <w:tcMar>
              <w:top w:w="0" w:type="dxa"/>
              <w:left w:w="108" w:type="dxa"/>
              <w:bottom w:w="0" w:type="dxa"/>
              <w:right w:w="108" w:type="dxa"/>
            </w:tcMar>
            <w:vAlign w:val="top"/>
          </w:tcPr>
          <w:p w14:paraId="589D01DA">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评委对投标人为本项目单独配置的气体后台信息管理系统进行评价，有则得4分。（须提供类似信息化软件平台的截图等有效证明材料复印件并加盖公章）</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1011D26D">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4</w:t>
            </w:r>
          </w:p>
        </w:tc>
      </w:tr>
      <w:tr w14:paraId="2A299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122BBF4">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8</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26620A78">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增值服务</w:t>
            </w:r>
          </w:p>
        </w:tc>
        <w:tc>
          <w:tcPr>
            <w:tcW w:w="3595" w:type="pct"/>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4B45FA35">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投标人需根据本项目实际情况，提供相关增值服务承诺及对应实施方案，所有增值服务承诺需具体、可落地、可核查，无空泛表述。认可一项，得2分，两项4分。</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73AD7660">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4</w:t>
            </w:r>
          </w:p>
        </w:tc>
      </w:tr>
      <w:tr w14:paraId="758BD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2B72186">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9</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1D9F9B17">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应急需求预案</w:t>
            </w:r>
          </w:p>
        </w:tc>
        <w:tc>
          <w:tcPr>
            <w:tcW w:w="3595" w:type="pct"/>
            <w:tcBorders>
              <w:bottom w:val="single" w:color="000000" w:sz="8" w:space="0"/>
              <w:right w:val="single" w:color="000000" w:sz="8" w:space="0"/>
            </w:tcBorders>
            <w:tcMar>
              <w:top w:w="0" w:type="dxa"/>
              <w:left w:w="108" w:type="dxa"/>
              <w:bottom w:w="0" w:type="dxa"/>
              <w:right w:w="108" w:type="dxa"/>
            </w:tcMar>
            <w:vAlign w:val="center"/>
          </w:tcPr>
          <w:p w14:paraId="56919A43">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供应商需提供应急需求预案，包括但不限于风险评估、应急程序、应急专业队伍配备、应急专用设备、反应速度等。评委根据供应商应急需求预案进行评价：</w:t>
            </w:r>
          </w:p>
          <w:p w14:paraId="5EC61D5C">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1.方案考虑翔实具体全面周到、应对措施科学合理可行的，得7分；</w:t>
            </w:r>
          </w:p>
          <w:p w14:paraId="024ECA2F">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2.方案考虑基本符合全面详细合理、应对措施基本符合科学合理可行性的，得4分；</w:t>
            </w:r>
          </w:p>
          <w:p w14:paraId="701EFC97">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3.方案考虑不太具有全面详细合理性、应对措施不太具有科学合理可行性的，得1分；</w:t>
            </w:r>
          </w:p>
          <w:p w14:paraId="75B1529F">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szCs w:val="24"/>
              </w:rPr>
            </w:pPr>
            <w:r>
              <w:rPr>
                <w:rFonts w:ascii="宋体" w:hAnsi="宋体" w:eastAsia="宋体" w:cs="宋体"/>
                <w:color w:val="000000"/>
                <w:sz w:val="21"/>
              </w:rPr>
              <w:t>4.未提供相关内容的，不得分。</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5371CE7D">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7</w:t>
            </w:r>
          </w:p>
        </w:tc>
      </w:tr>
      <w:tr w14:paraId="591E3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DB3552D">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10</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7148C11C">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液氧储罐运维服务方案</w:t>
            </w:r>
          </w:p>
        </w:tc>
        <w:tc>
          <w:tcPr>
            <w:tcW w:w="3595" w:type="pct"/>
            <w:tcBorders>
              <w:right w:val="single" w:color="000000" w:sz="8" w:space="0"/>
            </w:tcBorders>
            <w:tcMar>
              <w:top w:w="0" w:type="dxa"/>
              <w:left w:w="108" w:type="dxa"/>
              <w:bottom w:w="0" w:type="dxa"/>
              <w:right w:w="108" w:type="dxa"/>
            </w:tcMar>
            <w:vAlign w:val="center"/>
          </w:tcPr>
          <w:p w14:paraId="7D071C0E">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供应商需提供服务期内液氧储罐运维的服务方案，包括但不限于每年对医院人员进行的培训或应急演练及提供液氧站定期安全巡检保障服务等。评委根据供应商运维方案进行评价：</w:t>
            </w:r>
          </w:p>
          <w:p w14:paraId="395AA44D">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1.方案全面合理，服务流程及内容具体，服务人员齐备，得7分；</w:t>
            </w:r>
          </w:p>
          <w:p w14:paraId="73DCD350">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2.方案较全面，服务流程及内容、服务人员匹配基本满足需求，得4分；</w:t>
            </w:r>
          </w:p>
          <w:p w14:paraId="5351B64F">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3.方案较片面，服务流程及内容空洞或欠缺，服务人员匹配欠缺，得1分；</w:t>
            </w:r>
          </w:p>
          <w:p w14:paraId="4FD8C8E4">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szCs w:val="24"/>
              </w:rPr>
            </w:pPr>
            <w:r>
              <w:rPr>
                <w:rFonts w:ascii="宋体" w:hAnsi="宋体" w:eastAsia="宋体" w:cs="宋体"/>
                <w:color w:val="000000"/>
                <w:sz w:val="21"/>
              </w:rPr>
              <w:t>4.未提供相关内容的，不得分。</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3273C1F2">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7</w:t>
            </w:r>
          </w:p>
        </w:tc>
      </w:tr>
      <w:tr w14:paraId="4EAF4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7D21DF1">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11</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3581BCCD">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产品质量保证</w:t>
            </w:r>
          </w:p>
        </w:tc>
        <w:tc>
          <w:tcPr>
            <w:tcW w:w="3595" w:type="pct"/>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0ABDD869">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供应商需提供产品质量保证方案，包括但不限于液氧和瓶氧制造工艺、质量保证措施、质量保障方案、承诺等。评委根据供应商产品质量保证方案进行评价：</w:t>
            </w:r>
          </w:p>
          <w:p w14:paraId="7462F176">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1.产品的安全性、可靠性、质量保障方案内容完整详细，承诺情况可行性、针对性强，得7分；</w:t>
            </w:r>
          </w:p>
          <w:p w14:paraId="1686C6BA">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2.产品的安全性、可靠性、质量保障方案内容基本完整，承诺情况可行性、针对性一般，得4分；</w:t>
            </w:r>
          </w:p>
          <w:p w14:paraId="6523CEEC">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3.产品的安全性、可靠性、质量保障方案内容存在明显不足，承诺情况可行性、针对性较差，得1分；</w:t>
            </w:r>
          </w:p>
          <w:p w14:paraId="2B3FAD77">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szCs w:val="24"/>
              </w:rPr>
            </w:pPr>
            <w:r>
              <w:rPr>
                <w:rFonts w:ascii="宋体" w:hAnsi="宋体" w:eastAsia="宋体" w:cs="宋体"/>
                <w:color w:val="000000"/>
                <w:sz w:val="21"/>
              </w:rPr>
              <w:t>4.未提供相关内容的，不得分。</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366DB375">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7</w:t>
            </w:r>
          </w:p>
        </w:tc>
      </w:tr>
      <w:tr w14:paraId="2EA11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9"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D1249EA">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12</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7F9CADE1">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售后服务措施</w:t>
            </w:r>
          </w:p>
        </w:tc>
        <w:tc>
          <w:tcPr>
            <w:tcW w:w="3595" w:type="pct"/>
            <w:tcBorders>
              <w:right w:val="single" w:color="000000" w:sz="8" w:space="0"/>
            </w:tcBorders>
            <w:tcMar>
              <w:top w:w="0" w:type="dxa"/>
              <w:left w:w="108" w:type="dxa"/>
              <w:bottom w:w="0" w:type="dxa"/>
              <w:right w:w="108" w:type="dxa"/>
            </w:tcMar>
            <w:vAlign w:val="center"/>
          </w:tcPr>
          <w:p w14:paraId="1C1DAE43">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供应商需提供售后服务方案，包括但不限于售后响应情况、售后处理流程等。评委根据供应商售后服务方案进行评价：</w:t>
            </w:r>
          </w:p>
          <w:p w14:paraId="1A979FF4">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1.方案考虑翔实具体全面周到、应对措施科学合理可行的，得7分；</w:t>
            </w:r>
          </w:p>
          <w:p w14:paraId="005CFDC0">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2.方案考虑较全面详细合理、应对措施较科学合理可行的，得4分；</w:t>
            </w:r>
          </w:p>
          <w:p w14:paraId="3A35FE4F">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3.方案考虑不太具有全面详细合理性、应对措施不太具有科学合理可行性的，得1分；</w:t>
            </w:r>
          </w:p>
          <w:p w14:paraId="197A0BE4">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szCs w:val="24"/>
              </w:rPr>
            </w:pPr>
            <w:r>
              <w:rPr>
                <w:rFonts w:ascii="宋体" w:hAnsi="宋体" w:eastAsia="宋体" w:cs="宋体"/>
                <w:color w:val="000000"/>
                <w:sz w:val="21"/>
              </w:rPr>
              <w:t>4.未提供相关内容的，不得分。</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377DC86C">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7</w:t>
            </w:r>
          </w:p>
        </w:tc>
      </w:tr>
      <w:tr w14:paraId="34265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1"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E73665A">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13</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34FCFAD2">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配送服务方案</w:t>
            </w:r>
          </w:p>
        </w:tc>
        <w:tc>
          <w:tcPr>
            <w:tcW w:w="3595" w:type="pct"/>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60C22463">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供应商需提供配送服务方案，包括但不限于本项目的配送服务工作的组织设计、实施方案等。评委根据供应商配送服务方案进行评价：</w:t>
            </w:r>
          </w:p>
          <w:p w14:paraId="4C979545">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1.组织设计、实施方案完善，运作流程清晰，有标准化服务管理体系的，得7分；</w:t>
            </w:r>
          </w:p>
          <w:p w14:paraId="458D9C77">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2.组织设计、实施方案较完善，运作流程较清晰，有服务管理体系的，得4分；</w:t>
            </w:r>
          </w:p>
          <w:p w14:paraId="5B780E46">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rFonts w:ascii="宋体" w:hAnsi="宋体" w:eastAsia="宋体" w:cs="宋体"/>
                <w:color w:val="000000"/>
                <w:sz w:val="21"/>
                <w:szCs w:val="21"/>
              </w:rPr>
            </w:pPr>
            <w:r>
              <w:rPr>
                <w:rFonts w:ascii="宋体" w:hAnsi="宋体" w:eastAsia="宋体" w:cs="宋体"/>
                <w:color w:val="000000"/>
                <w:sz w:val="21"/>
              </w:rPr>
              <w:t>3.方案简单，组织设计、实施方案方案不完整的，得1分；</w:t>
            </w:r>
          </w:p>
          <w:p w14:paraId="31C04F99">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szCs w:val="24"/>
              </w:rPr>
            </w:pPr>
            <w:r>
              <w:rPr>
                <w:rFonts w:ascii="宋体" w:hAnsi="宋体" w:eastAsia="宋体" w:cs="宋体"/>
                <w:color w:val="000000"/>
                <w:sz w:val="21"/>
              </w:rPr>
              <w:t>4.未提供相关内容的，不得分。</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4F47F7DB">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7</w:t>
            </w:r>
          </w:p>
        </w:tc>
      </w:tr>
      <w:tr w14:paraId="5091B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6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08179F4">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总分</w:t>
            </w:r>
          </w:p>
        </w:tc>
        <w:tc>
          <w:tcPr>
            <w:tcW w:w="634" w:type="pct"/>
            <w:tcBorders>
              <w:bottom w:val="single" w:color="000000" w:sz="8" w:space="0"/>
              <w:right w:val="single" w:color="000000" w:sz="8" w:space="0"/>
            </w:tcBorders>
            <w:tcMar>
              <w:top w:w="0" w:type="dxa"/>
              <w:left w:w="108" w:type="dxa"/>
              <w:bottom w:w="0" w:type="dxa"/>
              <w:right w:w="108" w:type="dxa"/>
            </w:tcMar>
            <w:vAlign w:val="center"/>
          </w:tcPr>
          <w:p w14:paraId="55FFFD05">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 </w:t>
            </w:r>
          </w:p>
        </w:tc>
        <w:tc>
          <w:tcPr>
            <w:tcW w:w="3595" w:type="pct"/>
            <w:tcBorders>
              <w:bottom w:val="single" w:color="000000" w:sz="8" w:space="0"/>
              <w:right w:val="single" w:color="000000" w:sz="8" w:space="0"/>
            </w:tcBorders>
            <w:tcMar>
              <w:top w:w="0" w:type="dxa"/>
              <w:left w:w="108" w:type="dxa"/>
              <w:bottom w:w="0" w:type="dxa"/>
              <w:right w:w="108" w:type="dxa"/>
            </w:tcMar>
            <w:vAlign w:val="center"/>
          </w:tcPr>
          <w:p w14:paraId="0B2FC271">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 </w:t>
            </w:r>
          </w:p>
        </w:tc>
        <w:tc>
          <w:tcPr>
            <w:tcW w:w="402" w:type="pct"/>
            <w:tcBorders>
              <w:bottom w:val="single" w:color="000000" w:sz="8" w:space="0"/>
              <w:right w:val="single" w:color="000000" w:sz="8" w:space="0"/>
            </w:tcBorders>
            <w:tcMar>
              <w:top w:w="0" w:type="dxa"/>
              <w:left w:w="108" w:type="dxa"/>
              <w:bottom w:w="0" w:type="dxa"/>
              <w:right w:w="108" w:type="dxa"/>
            </w:tcMar>
            <w:vAlign w:val="center"/>
          </w:tcPr>
          <w:p w14:paraId="49913AC8">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100</w:t>
            </w:r>
          </w:p>
        </w:tc>
      </w:tr>
    </w:tbl>
    <w:p w14:paraId="5AFC550C">
      <w:pPr>
        <w:widowControl w:val="0"/>
        <w:spacing w:before="0" w:after="0" w:line="360" w:lineRule="auto"/>
        <w:ind w:firstLine="420"/>
        <w:jc w:val="left"/>
        <w:rPr>
          <w:rFonts w:ascii="Times New Roman" w:hAnsi="Times New Roman" w:eastAsia="Times New Roman" w:cs="Times New Roman"/>
          <w:sz w:val="21"/>
          <w:szCs w:val="21"/>
          <w:highlight w:val="none"/>
        </w:rPr>
      </w:pPr>
    </w:p>
    <w:p w14:paraId="35DE1F60">
      <w:pPr>
        <w:widowControl w:val="0"/>
        <w:spacing w:before="0" w:after="0" w:line="360" w:lineRule="auto"/>
        <w:ind w:firstLine="420"/>
        <w:jc w:val="left"/>
        <w:rPr>
          <w:rFonts w:ascii="宋体" w:hAnsi="宋体" w:eastAsia="宋体" w:cs="宋体"/>
          <w:sz w:val="21"/>
          <w:szCs w:val="21"/>
          <w:highlight w:val="none"/>
        </w:rPr>
      </w:pPr>
    </w:p>
    <w:p w14:paraId="2035EBEA">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注意事项：</w:t>
      </w:r>
    </w:p>
    <w:p w14:paraId="24CD771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1.评分办法中所涉及的相关各种资格、资质、证书、证明、业绩合同等材料在投标文件中提供复印件（加盖投标人公章），复印件不清晰时提供原件备查，以供评标委员会评标核实。</w:t>
      </w:r>
    </w:p>
    <w:p w14:paraId="17F9D3F0">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2.为便于评分，请投标供应商按评分表样式，逐条列出证明材料所在页码，格式自定。</w:t>
      </w:r>
    </w:p>
    <w:p w14:paraId="0F4B9C0D">
      <w:pPr>
        <w:widowControl w:val="0"/>
        <w:spacing w:before="0" w:after="0"/>
        <w:jc w:val="left"/>
        <w:rPr>
          <w:rFonts w:ascii="Times New Roman" w:hAnsi="Times New Roman" w:eastAsia="Times New Roman" w:cs="Times New Roman"/>
          <w:sz w:val="36"/>
          <w:szCs w:val="36"/>
          <w:highlight w:val="none"/>
        </w:rPr>
      </w:pPr>
      <w:r>
        <w:rPr>
          <w:rFonts w:ascii="Times New Roman" w:hAnsi="Times New Roman" w:eastAsia="Times New Roman" w:cs="Times New Roman"/>
          <w:sz w:val="36"/>
          <w:szCs w:val="36"/>
          <w:highlight w:val="none"/>
        </w:rPr>
        <w:t> </w:t>
      </w:r>
    </w:p>
    <w:p w14:paraId="6FA8F549">
      <w:pPr>
        <w:widowControl w:val="0"/>
        <w:spacing w:before="0" w:after="0" w:line="288" w:lineRule="auto"/>
        <w:jc w:val="center"/>
        <w:rPr>
          <w:rFonts w:ascii="黑体" w:hAnsi="黑体" w:eastAsia="黑体" w:cs="黑体"/>
          <w:sz w:val="36"/>
          <w:szCs w:val="36"/>
          <w:highlight w:val="none"/>
        </w:rPr>
      </w:pPr>
    </w:p>
    <w:p w14:paraId="50BA60B0">
      <w:pPr>
        <w:widowControl w:val="0"/>
        <w:spacing w:before="0" w:after="0" w:line="288" w:lineRule="auto"/>
        <w:jc w:val="center"/>
        <w:rPr>
          <w:rFonts w:ascii="黑体" w:hAnsi="黑体" w:eastAsia="黑体" w:cs="黑体"/>
          <w:sz w:val="36"/>
          <w:szCs w:val="36"/>
          <w:highlight w:val="none"/>
        </w:rPr>
      </w:pPr>
    </w:p>
    <w:p w14:paraId="423621EC">
      <w:pPr>
        <w:widowControl w:val="0"/>
        <w:spacing w:before="0" w:after="0" w:line="288" w:lineRule="auto"/>
        <w:jc w:val="center"/>
        <w:rPr>
          <w:rFonts w:ascii="Times New Roman" w:hAnsi="Times New Roman" w:eastAsia="Times New Roman" w:cs="Times New Roman"/>
          <w:sz w:val="36"/>
          <w:szCs w:val="36"/>
          <w:highlight w:val="none"/>
        </w:rPr>
      </w:pPr>
      <w:r>
        <w:rPr>
          <w:rFonts w:ascii="黑体" w:hAnsi="黑体" w:eastAsia="黑体" w:cs="黑体"/>
          <w:sz w:val="36"/>
          <w:szCs w:val="36"/>
          <w:highlight w:val="none"/>
        </w:rPr>
        <w:t>第四章 服务要求</w:t>
      </w:r>
    </w:p>
    <w:p w14:paraId="652BCD57">
      <w:pPr>
        <w:keepLines w:val="0"/>
        <w:pageBreakBefore w:val="0"/>
        <w:widowControl w:val="0"/>
        <w:numPr>
          <w:ilvl w:val="0"/>
          <w:numId w:val="0"/>
        </w:numPr>
        <w:bidi w:val="0"/>
        <w:spacing w:line="360" w:lineRule="auto"/>
        <w:ind w:left="0" w:firstLine="422"/>
        <w:jc w:val="both"/>
        <w:rPr>
          <w:rFonts w:hint="eastAsia" w:ascii="宋体" w:hAnsi="宋体" w:eastAsia="宋体" w:cs="宋体"/>
          <w:strike w:val="0"/>
          <w:sz w:val="21"/>
          <w:szCs w:val="21"/>
          <w:lang w:val="en-US" w:eastAsia="zh-CN" w:bidi="ar-SA"/>
        </w:rPr>
      </w:pPr>
      <w:r>
        <w:rPr>
          <w:rFonts w:hint="eastAsia" w:ascii="宋体" w:hAnsi="宋体" w:eastAsia="宋体" w:cs="宋体"/>
          <w:b/>
          <w:bCs/>
          <w:strike w:val="0"/>
          <w:sz w:val="21"/>
          <w:szCs w:val="21"/>
          <w:lang w:val="en-US" w:eastAsia="zh-CN" w:bidi="ar-SA"/>
        </w:rPr>
        <w:t>一、项目概述</w:t>
      </w:r>
    </w:p>
    <w:p w14:paraId="6FCCDCAB">
      <w:pPr>
        <w:keepLines w:val="0"/>
        <w:pageBreakBefore w:val="0"/>
        <w:widowControl w:val="0"/>
        <w:bidi w:val="0"/>
        <w:spacing w:line="360" w:lineRule="auto"/>
        <w:ind w:left="0" w:firstLine="420"/>
        <w:jc w:val="both"/>
        <w:rPr>
          <w:rFonts w:hint="eastAsia" w:ascii="宋体" w:hAnsi="宋体" w:eastAsia="宋体" w:cs="宋体"/>
          <w:strike w:val="0"/>
          <w:sz w:val="21"/>
          <w:szCs w:val="21"/>
          <w:lang w:val="en-US" w:eastAsia="zh-CN" w:bidi="ar-SA"/>
        </w:rPr>
      </w:pPr>
      <w:r>
        <w:rPr>
          <w:rFonts w:hint="eastAsia" w:ascii="宋体" w:hAnsi="宋体" w:eastAsia="宋体" w:cs="宋体"/>
          <w:strike w:val="0"/>
          <w:sz w:val="21"/>
          <w:szCs w:val="21"/>
          <w:lang w:val="en-US" w:eastAsia="zh-CN" w:bidi="ar-SA"/>
        </w:rPr>
        <w:t>本次采购的是江苏省肿瘤医院医用液氧及一体化瓶氧供应，服务内容</w:t>
      </w:r>
      <w:r>
        <w:rPr>
          <w:rFonts w:hint="eastAsia" w:ascii="宋体" w:hAnsi="宋体" w:eastAsia="宋体" w:cs="宋体"/>
          <w:bCs/>
          <w:strike w:val="0"/>
          <w:sz w:val="21"/>
          <w:szCs w:val="21"/>
          <w:lang w:val="en-US" w:eastAsia="zh-CN" w:bidi="ar-SA"/>
        </w:rPr>
        <w:t>包含服务期内江苏省肿瘤医院医用液氧及一体化瓶氧供应，</w:t>
      </w:r>
      <w:r>
        <w:rPr>
          <w:rFonts w:hint="eastAsia" w:ascii="宋体" w:hAnsi="宋体" w:eastAsia="宋体" w:cs="宋体"/>
          <w:bCs/>
          <w:iCs/>
          <w:strike w:val="0"/>
          <w:sz w:val="21"/>
          <w:szCs w:val="21"/>
          <w:lang w:val="en-US" w:eastAsia="zh-CN" w:bidi="ar-SA"/>
        </w:rPr>
        <w:t>在医院指定地点建设液氧站一套（液氧罐罐体印有医院名称及logo），并负责服务期内设备运维</w:t>
      </w:r>
      <w:r>
        <w:rPr>
          <w:rFonts w:hint="eastAsia" w:ascii="宋体" w:hAnsi="宋体" w:eastAsia="宋体" w:cs="宋体"/>
          <w:bCs/>
          <w:strike w:val="0"/>
          <w:sz w:val="21"/>
          <w:szCs w:val="21"/>
          <w:highlight w:val="none"/>
          <w:lang w:val="en-US" w:eastAsia="zh-CN" w:bidi="ar-SA"/>
        </w:rPr>
        <w:t>。</w:t>
      </w:r>
      <w:r>
        <w:rPr>
          <w:rFonts w:hint="eastAsia" w:ascii="宋体" w:hAnsi="宋体" w:eastAsia="宋体" w:cs="宋体"/>
          <w:strike w:val="0"/>
          <w:sz w:val="21"/>
          <w:szCs w:val="21"/>
          <w:highlight w:val="none"/>
          <w:lang w:val="en-US" w:eastAsia="zh-CN" w:bidi="ar-SA"/>
        </w:rPr>
        <w:t>服务期：</w:t>
      </w:r>
      <w:r>
        <w:rPr>
          <w:rFonts w:hint="eastAsia" w:ascii="宋体" w:hAnsi="宋体" w:eastAsia="宋体" w:cs="宋体"/>
          <w:bCs/>
          <w:strike w:val="0"/>
          <w:sz w:val="21"/>
          <w:szCs w:val="21"/>
          <w:highlight w:val="none"/>
          <w:lang w:val="en-US" w:eastAsia="zh-CN" w:bidi="ar-SA"/>
        </w:rPr>
        <w:t>三年。</w:t>
      </w:r>
    </w:p>
    <w:p w14:paraId="35F72990">
      <w:pPr>
        <w:keepLines w:val="0"/>
        <w:pageBreakBefore w:val="0"/>
        <w:widowControl w:val="0"/>
        <w:bidi w:val="0"/>
        <w:spacing w:line="360" w:lineRule="auto"/>
        <w:ind w:left="0" w:firstLine="420"/>
        <w:jc w:val="both"/>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lang w:val="en-US" w:eastAsia="zh-CN" w:bidi="ar-SA"/>
        </w:rPr>
        <w:t>供应商所报综合单价，应包括本次采购范围内全部产品价格、运输费（运抵买方项目现场）、液氧充装费用、一体化瓶氧费用、买方操作维护人员培训费、</w:t>
      </w:r>
      <w:r>
        <w:rPr>
          <w:rFonts w:hint="eastAsia" w:ascii="宋体" w:hAnsi="宋体" w:eastAsia="宋体" w:cs="宋体"/>
          <w:iCs/>
          <w:strike w:val="0"/>
          <w:sz w:val="21"/>
          <w:szCs w:val="21"/>
          <w:highlight w:val="none"/>
          <w:lang w:val="en-US" w:eastAsia="zh-CN" w:bidi="ar-SA"/>
        </w:rPr>
        <w:t>液氧储罐和配套设施建设和维护费用、办理许可证相关费用、合同期内的年检校验费用、</w:t>
      </w:r>
      <w:r>
        <w:rPr>
          <w:rFonts w:hint="eastAsia" w:ascii="宋体" w:hAnsi="宋体" w:eastAsia="宋体" w:cs="宋体"/>
          <w:strike w:val="0"/>
          <w:sz w:val="21"/>
          <w:szCs w:val="21"/>
          <w:highlight w:val="none"/>
          <w:lang w:val="en-US" w:eastAsia="zh-CN" w:bidi="ar-SA"/>
        </w:rPr>
        <w:t>税费及供应商认为需要的其他费用等。</w:t>
      </w:r>
    </w:p>
    <w:p w14:paraId="3E2C461A">
      <w:pPr>
        <w:widowControl w:val="0"/>
        <w:spacing w:line="360" w:lineRule="auto"/>
        <w:ind w:left="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采购需求：</w:t>
      </w:r>
    </w:p>
    <w:tbl>
      <w:tblPr>
        <w:tblStyle w:val="194"/>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3"/>
        <w:gridCol w:w="1701"/>
        <w:gridCol w:w="864"/>
        <w:gridCol w:w="589"/>
        <w:gridCol w:w="1123"/>
        <w:gridCol w:w="1262"/>
        <w:gridCol w:w="1581"/>
        <w:gridCol w:w="1396"/>
      </w:tblGrid>
      <w:tr w14:paraId="733F6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38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639E2D">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序号</w:t>
            </w:r>
          </w:p>
        </w:tc>
        <w:tc>
          <w:tcPr>
            <w:tcW w:w="92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DCF8A5">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材料名称</w:t>
            </w:r>
          </w:p>
        </w:tc>
        <w:tc>
          <w:tcPr>
            <w:tcW w:w="46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81A6F9">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规格/型号</w:t>
            </w:r>
          </w:p>
        </w:tc>
        <w:tc>
          <w:tcPr>
            <w:tcW w:w="31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979E7A">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单位</w:t>
            </w:r>
          </w:p>
        </w:tc>
        <w:tc>
          <w:tcPr>
            <w:tcW w:w="60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6D60E6">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年预计采购量</w:t>
            </w:r>
          </w:p>
        </w:tc>
        <w:tc>
          <w:tcPr>
            <w:tcW w:w="68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009818">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纯度</w:t>
            </w:r>
          </w:p>
        </w:tc>
        <w:tc>
          <w:tcPr>
            <w:tcW w:w="85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D27730">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标准</w:t>
            </w:r>
          </w:p>
        </w:tc>
        <w:tc>
          <w:tcPr>
            <w:tcW w:w="75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AA44FD">
            <w:pPr>
              <w:widowControl/>
              <w:spacing w:line="360" w:lineRule="auto"/>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★最高限价（元/年）</w:t>
            </w:r>
          </w:p>
        </w:tc>
      </w:tr>
      <w:tr w14:paraId="265B0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jc w:val="center"/>
        </w:trPr>
        <w:tc>
          <w:tcPr>
            <w:tcW w:w="38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E0854E">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w:t>
            </w:r>
          </w:p>
        </w:tc>
        <w:tc>
          <w:tcPr>
            <w:tcW w:w="92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C9149C">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液态氧</w:t>
            </w:r>
          </w:p>
        </w:tc>
        <w:tc>
          <w:tcPr>
            <w:tcW w:w="46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7687E8">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医用</w:t>
            </w:r>
          </w:p>
        </w:tc>
        <w:tc>
          <w:tcPr>
            <w:tcW w:w="31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84F3C1">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吨</w:t>
            </w:r>
          </w:p>
        </w:tc>
        <w:tc>
          <w:tcPr>
            <w:tcW w:w="60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A4E936">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640</w:t>
            </w:r>
          </w:p>
        </w:tc>
        <w:tc>
          <w:tcPr>
            <w:tcW w:w="68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F863E3">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≥99.5</w:t>
            </w:r>
          </w:p>
        </w:tc>
        <w:tc>
          <w:tcPr>
            <w:tcW w:w="85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9B224E">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《中国药典》2025版</w:t>
            </w:r>
          </w:p>
        </w:tc>
        <w:tc>
          <w:tcPr>
            <w:tcW w:w="75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04AE15">
            <w:pPr>
              <w:widowControl/>
              <w:spacing w:line="360" w:lineRule="auto"/>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768000</w:t>
            </w:r>
          </w:p>
        </w:tc>
      </w:tr>
      <w:tr w14:paraId="0B357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jc w:val="center"/>
        </w:trPr>
        <w:tc>
          <w:tcPr>
            <w:tcW w:w="38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C985EC">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w:t>
            </w:r>
          </w:p>
        </w:tc>
        <w:tc>
          <w:tcPr>
            <w:tcW w:w="92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C57A67">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一体化瓶装氧气（含瓶体租金）</w:t>
            </w:r>
          </w:p>
        </w:tc>
        <w:tc>
          <w:tcPr>
            <w:tcW w:w="46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F536F6">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5升</w:t>
            </w:r>
          </w:p>
        </w:tc>
        <w:tc>
          <w:tcPr>
            <w:tcW w:w="31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322C96">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瓶</w:t>
            </w:r>
          </w:p>
        </w:tc>
        <w:tc>
          <w:tcPr>
            <w:tcW w:w="60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C051CF">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15</w:t>
            </w:r>
          </w:p>
        </w:tc>
        <w:tc>
          <w:tcPr>
            <w:tcW w:w="68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26E5F1">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≥99.5</w:t>
            </w:r>
          </w:p>
        </w:tc>
        <w:tc>
          <w:tcPr>
            <w:tcW w:w="85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5E5CD7">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《中国药典》2025版</w:t>
            </w:r>
          </w:p>
        </w:tc>
        <w:tc>
          <w:tcPr>
            <w:tcW w:w="75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8939DF">
            <w:pPr>
              <w:widowControl/>
              <w:spacing w:line="360" w:lineRule="auto"/>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4000</w:t>
            </w:r>
          </w:p>
        </w:tc>
      </w:tr>
      <w:tr w14:paraId="2E111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jc w:val="center"/>
        </w:trPr>
        <w:tc>
          <w:tcPr>
            <w:tcW w:w="38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90DAE7">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3</w:t>
            </w:r>
          </w:p>
        </w:tc>
        <w:tc>
          <w:tcPr>
            <w:tcW w:w="92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493578">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一体化瓶装氧气（含瓶体租金）</w:t>
            </w:r>
          </w:p>
        </w:tc>
        <w:tc>
          <w:tcPr>
            <w:tcW w:w="46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49BFEB">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2升</w:t>
            </w:r>
          </w:p>
        </w:tc>
        <w:tc>
          <w:tcPr>
            <w:tcW w:w="31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3D8C67">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瓶</w:t>
            </w:r>
          </w:p>
        </w:tc>
        <w:tc>
          <w:tcPr>
            <w:tcW w:w="60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1491BA">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15</w:t>
            </w:r>
          </w:p>
        </w:tc>
        <w:tc>
          <w:tcPr>
            <w:tcW w:w="68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6F46B8">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≥99.5</w:t>
            </w:r>
          </w:p>
        </w:tc>
        <w:tc>
          <w:tcPr>
            <w:tcW w:w="85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0EE445">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《中国药典》2025版</w:t>
            </w:r>
          </w:p>
        </w:tc>
        <w:tc>
          <w:tcPr>
            <w:tcW w:w="75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891EAA">
            <w:pPr>
              <w:widowControl/>
              <w:spacing w:line="360" w:lineRule="auto"/>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3000</w:t>
            </w:r>
          </w:p>
        </w:tc>
      </w:tr>
      <w:tr w14:paraId="321D3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jc w:val="center"/>
        </w:trPr>
        <w:tc>
          <w:tcPr>
            <w:tcW w:w="38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93B0E8">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w:t>
            </w:r>
          </w:p>
        </w:tc>
        <w:tc>
          <w:tcPr>
            <w:tcW w:w="92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F86400">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液氧站建设（含维护）</w:t>
            </w:r>
          </w:p>
        </w:tc>
        <w:tc>
          <w:tcPr>
            <w:tcW w:w="46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0DA89D">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w:t>
            </w:r>
          </w:p>
        </w:tc>
        <w:tc>
          <w:tcPr>
            <w:tcW w:w="31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D472A5">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项</w:t>
            </w:r>
          </w:p>
        </w:tc>
        <w:tc>
          <w:tcPr>
            <w:tcW w:w="60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9E1308">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w:t>
            </w:r>
          </w:p>
        </w:tc>
        <w:tc>
          <w:tcPr>
            <w:tcW w:w="68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51735C">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w:t>
            </w:r>
          </w:p>
        </w:tc>
        <w:tc>
          <w:tcPr>
            <w:tcW w:w="856" w:type="pct"/>
            <w:tcBorders>
              <w:top w:val="single" w:color="000000" w:sz="4" w:space="0"/>
              <w:left w:val="single" w:color="000000" w:sz="4" w:space="0"/>
              <w:right w:val="single" w:color="000000" w:sz="4" w:space="0"/>
            </w:tcBorders>
            <w:tcMar>
              <w:top w:w="0" w:type="dxa"/>
              <w:left w:w="108" w:type="dxa"/>
              <w:bottom w:w="0" w:type="dxa"/>
              <w:right w:w="108" w:type="dxa"/>
            </w:tcMar>
            <w:vAlign w:val="center"/>
          </w:tcPr>
          <w:p w14:paraId="1F5B0B0C">
            <w:pPr>
              <w:widowControl/>
              <w:spacing w:line="360" w:lineRule="auto"/>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w:t>
            </w:r>
          </w:p>
        </w:tc>
        <w:tc>
          <w:tcPr>
            <w:tcW w:w="755" w:type="pct"/>
            <w:tcBorders>
              <w:top w:val="single" w:color="000000" w:sz="4" w:space="0"/>
              <w:left w:val="single" w:color="000000" w:sz="4" w:space="0"/>
              <w:right w:val="single" w:color="000000" w:sz="4" w:space="0"/>
            </w:tcBorders>
            <w:tcMar>
              <w:top w:w="0" w:type="dxa"/>
              <w:left w:w="108" w:type="dxa"/>
              <w:bottom w:w="0" w:type="dxa"/>
              <w:right w:w="108" w:type="dxa"/>
            </w:tcMar>
            <w:vAlign w:val="center"/>
          </w:tcPr>
          <w:p w14:paraId="61B0D7BF">
            <w:pPr>
              <w:widowControl/>
              <w:spacing w:line="360" w:lineRule="auto"/>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w:t>
            </w:r>
          </w:p>
        </w:tc>
      </w:tr>
    </w:tbl>
    <w:p w14:paraId="6D8A6C80">
      <w:pPr>
        <w:keepLines w:val="0"/>
        <w:pageBreakBefore w:val="0"/>
        <w:widowControl w:val="0"/>
        <w:bidi w:val="0"/>
        <w:spacing w:line="360" w:lineRule="auto"/>
        <w:ind w:left="0" w:firstLine="422"/>
        <w:jc w:val="both"/>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注：</w:t>
      </w:r>
    </w:p>
    <w:p w14:paraId="196044D9">
      <w:pPr>
        <w:keepLines w:val="0"/>
        <w:pageBreakBefore w:val="0"/>
        <w:widowControl w:val="0"/>
        <w:bidi w:val="0"/>
        <w:spacing w:line="360" w:lineRule="auto"/>
        <w:ind w:left="0" w:firstLine="422"/>
        <w:jc w:val="both"/>
        <w:rPr>
          <w:rFonts w:hint="default"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1、供应商投标报价不得超过上述采购需求表中对应年度最高限价，否则作无效投标处理。</w:t>
      </w:r>
    </w:p>
    <w:p w14:paraId="3C29B11E">
      <w:pPr>
        <w:keepLines w:val="0"/>
        <w:pageBreakBefore w:val="0"/>
        <w:widowControl w:val="0"/>
        <w:bidi w:val="0"/>
        <w:spacing w:line="360" w:lineRule="auto"/>
        <w:ind w:left="0" w:firstLine="422"/>
        <w:jc w:val="both"/>
        <w:rPr>
          <w:rFonts w:hint="eastAsia" w:ascii="宋体" w:hAnsi="宋体" w:eastAsia="宋体" w:cs="宋体"/>
          <w:strike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2、本次招标的一体化气瓶是指采用阀门、减压器一体化设计，气瓶无需外接减压设备，可直接调节流量并连接至病人呼吸设备。此外，气瓶整体须做消磁处理，确保可在核磁共振（MRI）环境下安全使用。</w:t>
      </w:r>
    </w:p>
    <w:p w14:paraId="42219729">
      <w:pPr>
        <w:keepNext/>
        <w:keepLines w:val="0"/>
        <w:pageBreakBefore w:val="0"/>
        <w:widowControl w:val="0"/>
        <w:bidi w:val="0"/>
        <w:spacing w:line="360" w:lineRule="auto"/>
        <w:ind w:left="0" w:firstLine="422"/>
        <w:jc w:val="both"/>
        <w:outlineLvl w:val="0"/>
        <w:rPr>
          <w:rFonts w:hint="eastAsia" w:ascii="宋体" w:hAnsi="宋体" w:eastAsia="宋体" w:cs="宋体"/>
          <w:b/>
          <w:bCs/>
          <w:sz w:val="21"/>
          <w:szCs w:val="21"/>
          <w:lang w:val="en-US" w:eastAsia="zh-CN" w:bidi="ar-SA"/>
        </w:rPr>
      </w:pPr>
    </w:p>
    <w:p w14:paraId="50DAF216">
      <w:pPr>
        <w:keepNext/>
        <w:keepLines w:val="0"/>
        <w:pageBreakBefore w:val="0"/>
        <w:widowControl w:val="0"/>
        <w:bidi w:val="0"/>
        <w:spacing w:line="360" w:lineRule="auto"/>
        <w:ind w:left="0" w:firstLine="422"/>
        <w:jc w:val="both"/>
        <w:outlineLvl w:val="0"/>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none"/>
          <w:lang w:val="en-US" w:eastAsia="zh-CN" w:bidi="ar-SA"/>
        </w:rPr>
        <w:t>★</w:t>
      </w:r>
      <w:r>
        <w:rPr>
          <w:rFonts w:hint="eastAsia" w:ascii="宋体" w:hAnsi="宋体" w:eastAsia="宋体" w:cs="宋体"/>
          <w:b/>
          <w:bCs/>
          <w:sz w:val="21"/>
          <w:szCs w:val="21"/>
          <w:lang w:val="en-US" w:eastAsia="zh-CN" w:bidi="ar-SA"/>
        </w:rPr>
        <w:t>二、液氧站建设设备清单</w:t>
      </w:r>
    </w:p>
    <w:p w14:paraId="66B49252">
      <w:pPr>
        <w:keepNext/>
        <w:keepLines w:val="0"/>
        <w:pageBreakBefore w:val="0"/>
        <w:widowControl w:val="0"/>
        <w:bidi w:val="0"/>
        <w:spacing w:line="360" w:lineRule="auto"/>
        <w:ind w:left="0" w:firstLine="420"/>
        <w:jc w:val="both"/>
        <w:outlineLvl w:val="0"/>
        <w:rPr>
          <w:rFonts w:hint="eastAsia" w:ascii="宋体" w:hAnsi="宋体" w:eastAsia="宋体" w:cs="宋体"/>
          <w:b/>
          <w:bCs/>
          <w:sz w:val="21"/>
          <w:szCs w:val="21"/>
          <w:lang w:val="en-US" w:eastAsia="zh-CN" w:bidi="ar-SA"/>
        </w:rPr>
      </w:pPr>
      <w:r>
        <w:rPr>
          <w:rFonts w:hint="eastAsia" w:ascii="宋体" w:hAnsi="宋体" w:eastAsia="宋体" w:cs="宋体"/>
          <w:b w:val="0"/>
          <w:bCs w:val="0"/>
          <w:sz w:val="21"/>
          <w:szCs w:val="21"/>
          <w:lang w:val="en-US" w:eastAsia="zh-CN" w:bidi="ar-SA"/>
        </w:rPr>
        <w:t>供应商为医院提供建造液氧站服务，液氧站设备清单如下（缺项、漏项视同供应商增值服务）：</w:t>
      </w:r>
    </w:p>
    <w:tbl>
      <w:tblPr>
        <w:tblStyle w:val="1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24"/>
        <w:gridCol w:w="3171"/>
        <w:gridCol w:w="1440"/>
        <w:gridCol w:w="2561"/>
      </w:tblGrid>
      <w:tr w14:paraId="1C53E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16548CB2">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品项</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55F5F594">
            <w:pPr>
              <w:widowControl w:val="0"/>
              <w:spacing w:line="360" w:lineRule="auto"/>
              <w:ind w:left="0" w:hanging="2"/>
              <w:jc w:val="center"/>
              <w:outlineLvl w:val="0"/>
              <w:rPr>
                <w:rFonts w:hint="eastAsia" w:ascii="宋体" w:hAnsi="宋体" w:eastAsia="宋体" w:cs="宋体"/>
                <w:position w:val="-1"/>
                <w:sz w:val="21"/>
                <w:szCs w:val="21"/>
                <w:highlight w:val="none"/>
              </w:rPr>
            </w:pPr>
            <w:r>
              <w:rPr>
                <w:rFonts w:hint="eastAsia" w:ascii="宋体" w:hAnsi="宋体" w:eastAsia="宋体" w:cs="宋体"/>
                <w:position w:val="-1"/>
                <w:sz w:val="21"/>
                <w:szCs w:val="21"/>
                <w:highlight w:val="none"/>
                <w:lang w:val="en-US" w:eastAsia="zh-CN" w:bidi="ar-SA"/>
              </w:rPr>
              <w:t>型号</w:t>
            </w: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4037392E">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数量</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75FFB654">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单位</w:t>
            </w:r>
          </w:p>
        </w:tc>
      </w:tr>
      <w:tr w14:paraId="58746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730CE2AC">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液氧储罐</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7909B232">
            <w:pPr>
              <w:widowControl w:val="0"/>
              <w:spacing w:line="360" w:lineRule="auto"/>
              <w:ind w:left="0" w:hanging="2"/>
              <w:jc w:val="center"/>
              <w:outlineLvl w:val="0"/>
              <w:rPr>
                <w:rFonts w:hint="eastAsia" w:ascii="宋体" w:hAnsi="宋体" w:eastAsia="宋体" w:cs="宋体"/>
                <w:position w:val="-1"/>
                <w:sz w:val="21"/>
                <w:szCs w:val="21"/>
                <w:highlight w:val="none"/>
              </w:rPr>
            </w:pPr>
            <w:r>
              <w:rPr>
                <w:rFonts w:hint="eastAsia" w:ascii="宋体" w:hAnsi="宋体" w:eastAsia="宋体" w:cs="宋体"/>
                <w:position w:val="-1"/>
                <w:sz w:val="21"/>
                <w:szCs w:val="21"/>
                <w:highlight w:val="none"/>
                <w:lang w:val="en-US" w:eastAsia="zh-CN" w:bidi="ar-SA"/>
              </w:rPr>
              <w:t>5m³、1.6MPa</w:t>
            </w: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06B280BE">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2</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036E113C">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个</w:t>
            </w:r>
          </w:p>
        </w:tc>
      </w:tr>
      <w:tr w14:paraId="22501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4A8B5521">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汽化器</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72618DAB">
            <w:pPr>
              <w:widowControl w:val="0"/>
              <w:spacing w:line="360" w:lineRule="auto"/>
              <w:ind w:left="0" w:hanging="2"/>
              <w:jc w:val="center"/>
              <w:outlineLvl w:val="0"/>
              <w:rPr>
                <w:rFonts w:hint="eastAsia" w:ascii="宋体" w:hAnsi="宋体" w:eastAsia="宋体" w:cs="宋体"/>
                <w:position w:val="-1"/>
                <w:sz w:val="21"/>
                <w:szCs w:val="21"/>
                <w:highlight w:val="none"/>
              </w:rPr>
            </w:pPr>
            <w:r>
              <w:rPr>
                <w:rFonts w:hint="eastAsia" w:ascii="宋体" w:hAnsi="宋体" w:eastAsia="宋体" w:cs="宋体"/>
                <w:position w:val="-1"/>
                <w:sz w:val="21"/>
                <w:szCs w:val="21"/>
                <w:highlight w:val="none"/>
                <w:lang w:val="en-US" w:eastAsia="zh-CN" w:bidi="ar-SA"/>
              </w:rPr>
              <w:t>300Nm³</w:t>
            </w: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2D097DBF">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3</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209D36EA">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个</w:t>
            </w:r>
          </w:p>
        </w:tc>
      </w:tr>
      <w:tr w14:paraId="489CB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0F6B56C0">
            <w:pPr>
              <w:widowControl w:val="0"/>
              <w:spacing w:line="360" w:lineRule="auto"/>
              <w:ind w:left="0" w:hanging="2"/>
              <w:jc w:val="center"/>
              <w:outlineLvl w:val="0"/>
              <w:rPr>
                <w:rFonts w:hint="eastAsia" w:ascii="宋体" w:hAnsi="宋体" w:eastAsia="宋体" w:cs="宋体"/>
                <w:position w:val="-1"/>
                <w:sz w:val="21"/>
                <w:szCs w:val="21"/>
                <w:highlight w:val="none"/>
              </w:rPr>
            </w:pPr>
            <w:r>
              <w:rPr>
                <w:rFonts w:hint="eastAsia" w:ascii="宋体" w:hAnsi="宋体" w:eastAsia="宋体" w:cs="宋体"/>
                <w:position w:val="-1"/>
                <w:sz w:val="21"/>
                <w:szCs w:val="21"/>
                <w:highlight w:val="none"/>
                <w:lang w:val="en-US" w:eastAsia="zh-CN" w:bidi="ar-SA"/>
              </w:rPr>
              <w:t>调压阀</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6E883BB0">
            <w:pPr>
              <w:widowControl w:val="0"/>
              <w:spacing w:line="360" w:lineRule="auto"/>
              <w:ind w:left="0" w:hanging="2"/>
              <w:jc w:val="center"/>
              <w:outlineLvl w:val="0"/>
              <w:rPr>
                <w:rFonts w:hint="eastAsia" w:ascii="宋体" w:hAnsi="宋体" w:eastAsia="宋体" w:cs="宋体"/>
                <w:position w:val="-1"/>
                <w:sz w:val="21"/>
                <w:szCs w:val="21"/>
                <w:highlight w:val="none"/>
              </w:rPr>
            </w:pP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4B4F45C9">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3</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6706F63D">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路</w:t>
            </w:r>
          </w:p>
        </w:tc>
      </w:tr>
      <w:tr w14:paraId="175DE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6C7F5546">
            <w:pPr>
              <w:widowControl w:val="0"/>
              <w:spacing w:line="360" w:lineRule="auto"/>
              <w:ind w:left="0" w:hanging="2"/>
              <w:jc w:val="center"/>
              <w:outlineLvl w:val="0"/>
              <w:rPr>
                <w:rFonts w:hint="eastAsia" w:ascii="宋体" w:hAnsi="宋体" w:eastAsia="宋体" w:cs="宋体"/>
                <w:position w:val="-1"/>
                <w:sz w:val="21"/>
                <w:szCs w:val="21"/>
                <w:highlight w:val="none"/>
              </w:rPr>
            </w:pPr>
            <w:r>
              <w:rPr>
                <w:rFonts w:hint="eastAsia" w:ascii="宋体" w:hAnsi="宋体" w:eastAsia="宋体" w:cs="宋体"/>
                <w:position w:val="-1"/>
                <w:sz w:val="21"/>
                <w:szCs w:val="21"/>
                <w:highlight w:val="none"/>
                <w:lang w:val="en-US" w:eastAsia="zh-CN" w:bidi="ar-SA"/>
              </w:rPr>
              <w:t>泄放阀</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7B457F32">
            <w:pPr>
              <w:widowControl w:val="0"/>
              <w:spacing w:line="360" w:lineRule="auto"/>
              <w:ind w:left="0" w:hanging="2"/>
              <w:jc w:val="center"/>
              <w:outlineLvl w:val="0"/>
              <w:rPr>
                <w:rFonts w:hint="eastAsia" w:ascii="宋体" w:hAnsi="宋体" w:eastAsia="宋体" w:cs="宋体"/>
                <w:position w:val="-1"/>
                <w:sz w:val="21"/>
                <w:szCs w:val="21"/>
                <w:highlight w:val="none"/>
              </w:rPr>
            </w:pP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6AD87AF7">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6</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3BCF0196">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个</w:t>
            </w:r>
          </w:p>
        </w:tc>
      </w:tr>
      <w:tr w14:paraId="129CC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368D27B2">
            <w:pPr>
              <w:widowControl w:val="0"/>
              <w:spacing w:line="360" w:lineRule="auto"/>
              <w:ind w:left="0" w:hanging="2"/>
              <w:jc w:val="center"/>
              <w:outlineLvl w:val="0"/>
              <w:rPr>
                <w:rFonts w:hint="eastAsia" w:ascii="宋体" w:hAnsi="宋体" w:eastAsia="宋体" w:cs="宋体"/>
                <w:position w:val="-1"/>
                <w:sz w:val="21"/>
                <w:szCs w:val="21"/>
                <w:highlight w:val="none"/>
              </w:rPr>
            </w:pPr>
            <w:r>
              <w:rPr>
                <w:rFonts w:hint="eastAsia" w:ascii="宋体" w:hAnsi="宋体" w:eastAsia="宋体" w:cs="宋体"/>
                <w:position w:val="-1"/>
                <w:sz w:val="21"/>
                <w:szCs w:val="21"/>
                <w:highlight w:val="none"/>
                <w:lang w:val="en-US" w:eastAsia="zh-CN" w:bidi="ar-SA"/>
              </w:rPr>
              <w:t>低温球阀</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6661E09E">
            <w:pPr>
              <w:widowControl w:val="0"/>
              <w:spacing w:line="360" w:lineRule="auto"/>
              <w:ind w:left="0" w:hanging="2"/>
              <w:jc w:val="center"/>
              <w:outlineLvl w:val="0"/>
              <w:rPr>
                <w:rFonts w:hint="eastAsia" w:ascii="宋体" w:hAnsi="宋体" w:eastAsia="宋体" w:cs="宋体"/>
                <w:position w:val="-1"/>
                <w:sz w:val="21"/>
                <w:szCs w:val="21"/>
                <w:highlight w:val="none"/>
              </w:rPr>
            </w:pP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02703A8A">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6</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60C82CBA">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个</w:t>
            </w:r>
          </w:p>
        </w:tc>
      </w:tr>
      <w:tr w14:paraId="34B3D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1304E117">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截止阀</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37F772B3">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DN20、DN25、DN40</w:t>
            </w: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28D9832D">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14</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5D61D6A2">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个</w:t>
            </w:r>
          </w:p>
        </w:tc>
      </w:tr>
      <w:tr w14:paraId="67D7F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1AA85D49">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压力表</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5E80F010">
            <w:pPr>
              <w:widowControl w:val="0"/>
              <w:spacing w:line="360" w:lineRule="auto"/>
              <w:ind w:left="0" w:hanging="2"/>
              <w:jc w:val="center"/>
              <w:outlineLvl w:val="0"/>
              <w:rPr>
                <w:rFonts w:hint="eastAsia" w:ascii="宋体" w:hAnsi="宋体" w:eastAsia="宋体" w:cs="宋体"/>
                <w:position w:val="-1"/>
                <w:sz w:val="21"/>
                <w:szCs w:val="21"/>
                <w:highlight w:val="none"/>
              </w:rPr>
            </w:pPr>
            <w:r>
              <w:rPr>
                <w:rFonts w:ascii="宋体" w:hAnsi="宋体" w:eastAsia="宋体" w:cs="宋体"/>
                <w:color w:val="000000"/>
                <w:sz w:val="21"/>
              </w:rPr>
              <w:t>YTF100H</w:t>
            </w: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324AF31E">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6</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489850C4">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个</w:t>
            </w:r>
          </w:p>
        </w:tc>
      </w:tr>
      <w:tr w14:paraId="2EE5A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165BB9DA">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三通球阀</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34AE983C">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3/4</w:t>
            </w: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7A0F226A">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2</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229ABEE9">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个</w:t>
            </w:r>
          </w:p>
        </w:tc>
      </w:tr>
      <w:tr w14:paraId="507DF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1A0F83A1">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针阀</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232E989C">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1/2</w:t>
            </w: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0F15F8E1">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6</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5BC88F23">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个</w:t>
            </w:r>
          </w:p>
        </w:tc>
      </w:tr>
      <w:tr w14:paraId="3A2E8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1AE1E6E3">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过滤器</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5DA644DC">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DN40</w:t>
            </w: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264911F5">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6</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64E946A1">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个</w:t>
            </w:r>
          </w:p>
        </w:tc>
      </w:tr>
      <w:tr w14:paraId="15761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5D3AA23F">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数字化远程监控</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1F699731">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6A232E8A">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1</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31BA898E">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套</w:t>
            </w:r>
          </w:p>
        </w:tc>
      </w:tr>
      <w:tr w14:paraId="52462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5753D9FB">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建2.5米高、厚25cm实墙</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vAlign w:val="center"/>
          </w:tcPr>
          <w:p w14:paraId="1E5C36E2">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钢筋混凝土（防爆墙）</w:t>
            </w: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vAlign w:val="center"/>
          </w:tcPr>
          <w:p w14:paraId="2C2004F5">
            <w:pPr>
              <w:widowControl w:val="0"/>
              <w:spacing w:line="360" w:lineRule="auto"/>
              <w:ind w:left="0" w:hanging="2"/>
              <w:jc w:val="center"/>
              <w:outlineLvl w:val="0"/>
              <w:rPr>
                <w:rFonts w:hint="eastAsia" w:ascii="宋体" w:hAnsi="宋体" w:eastAsia="宋体" w:cs="宋体"/>
                <w:sz w:val="21"/>
                <w:szCs w:val="21"/>
              </w:rPr>
            </w:pPr>
            <w:r>
              <w:rPr>
                <w:rFonts w:hint="eastAsia" w:ascii="宋体" w:hAnsi="宋体" w:eastAsia="宋体" w:cs="宋体"/>
                <w:position w:val="-1"/>
                <w:sz w:val="21"/>
                <w:szCs w:val="21"/>
                <w:lang w:val="en-US" w:eastAsia="zh-CN" w:bidi="ar-SA"/>
              </w:rPr>
              <w:t>1</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vAlign w:val="center"/>
          </w:tcPr>
          <w:p w14:paraId="387C5F14">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w:t>
            </w:r>
          </w:p>
        </w:tc>
      </w:tr>
      <w:tr w14:paraId="6C66D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6D6858A6">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氧气管道管径45mm</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4EBB0811">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150米</w:t>
            </w: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27ABFA60">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2</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tcPr>
          <w:p w14:paraId="4F975359">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路</w:t>
            </w:r>
          </w:p>
        </w:tc>
      </w:tr>
      <w:tr w14:paraId="56541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vAlign w:val="center"/>
          </w:tcPr>
          <w:p w14:paraId="61ED3F63">
            <w:pPr>
              <w:widowControl w:val="0"/>
              <w:spacing w:line="360" w:lineRule="auto"/>
              <w:ind w:left="0" w:hanging="2"/>
              <w:jc w:val="center"/>
              <w:outlineLvl w:val="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氧气管道沟</w:t>
            </w:r>
          </w:p>
        </w:tc>
        <w:tc>
          <w:tcPr>
            <w:tcW w:w="1742"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vAlign w:val="center"/>
          </w:tcPr>
          <w:p w14:paraId="3F466821">
            <w:pPr>
              <w:keepNext/>
              <w:widowControl w:val="0"/>
              <w:jc w:val="center"/>
              <w:outlineLvl w:val="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深：250mm以上</w:t>
            </w:r>
          </w:p>
          <w:p w14:paraId="2801086D">
            <w:pPr>
              <w:widowControl w:val="0"/>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宽：50mm</w:t>
            </w:r>
          </w:p>
          <w:p w14:paraId="27CD2243">
            <w:pPr>
              <w:keepNext/>
              <w:widowControl w:val="0"/>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sz w:val="21"/>
                <w:szCs w:val="21"/>
                <w:lang w:val="en-US" w:eastAsia="zh-CN" w:bidi="ar-SA"/>
              </w:rPr>
              <w:t>长度：150米</w:t>
            </w:r>
          </w:p>
        </w:tc>
        <w:tc>
          <w:tcPr>
            <w:tcW w:w="791"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vAlign w:val="center"/>
          </w:tcPr>
          <w:p w14:paraId="45DBE673">
            <w:pPr>
              <w:widowControl w:val="0"/>
              <w:spacing w:line="360" w:lineRule="auto"/>
              <w:ind w:left="0" w:hanging="2"/>
              <w:jc w:val="center"/>
              <w:outlineLvl w:val="0"/>
              <w:rPr>
                <w:rFonts w:hint="eastAsia" w:ascii="宋体" w:hAnsi="宋体" w:eastAsia="宋体" w:cs="宋体"/>
                <w:sz w:val="21"/>
                <w:szCs w:val="21"/>
              </w:rPr>
            </w:pPr>
            <w:r>
              <w:rPr>
                <w:rFonts w:hint="eastAsia" w:ascii="宋体" w:hAnsi="宋体" w:eastAsia="宋体" w:cs="宋体"/>
                <w:position w:val="-1"/>
                <w:sz w:val="21"/>
                <w:szCs w:val="21"/>
                <w:lang w:val="en-US" w:eastAsia="zh-CN" w:bidi="ar-SA"/>
              </w:rPr>
              <w:t>1</w:t>
            </w:r>
          </w:p>
        </w:tc>
        <w:tc>
          <w:tcPr>
            <w:tcW w:w="1407" w:type="pct"/>
            <w:tcBorders>
              <w:top w:val="single" w:color="auto" w:sz="4" w:space="0"/>
              <w:left w:val="single" w:color="auto" w:sz="4" w:space="0"/>
              <w:bottom w:val="single" w:color="auto" w:sz="4" w:space="0"/>
              <w:right w:val="single" w:color="auto" w:sz="4" w:space="0"/>
            </w:tcBorders>
            <w:tcMar>
              <w:top w:w="40" w:type="dxa"/>
              <w:left w:w="40" w:type="dxa"/>
              <w:bottom w:w="40" w:type="dxa"/>
              <w:right w:w="40" w:type="dxa"/>
            </w:tcMar>
            <w:vAlign w:val="center"/>
          </w:tcPr>
          <w:p w14:paraId="0B65CD53">
            <w:pPr>
              <w:widowControl w:val="0"/>
              <w:spacing w:line="360" w:lineRule="auto"/>
              <w:ind w:left="0" w:hanging="2"/>
              <w:jc w:val="center"/>
              <w:outlineLvl w:val="0"/>
              <w:rPr>
                <w:rFonts w:hint="eastAsia" w:ascii="宋体" w:hAnsi="宋体" w:eastAsia="宋体" w:cs="宋体"/>
                <w:position w:val="-1"/>
                <w:sz w:val="21"/>
                <w:szCs w:val="21"/>
                <w:lang w:val="en-US" w:eastAsia="zh-CN" w:bidi="ar-SA"/>
              </w:rPr>
            </w:pPr>
            <w:r>
              <w:rPr>
                <w:rFonts w:hint="eastAsia" w:ascii="宋体" w:hAnsi="宋体" w:eastAsia="宋体" w:cs="宋体"/>
                <w:position w:val="-1"/>
                <w:sz w:val="21"/>
                <w:szCs w:val="21"/>
                <w:lang w:val="en-US" w:eastAsia="zh-CN" w:bidi="ar-SA"/>
              </w:rPr>
              <w:t>路</w:t>
            </w:r>
          </w:p>
        </w:tc>
      </w:tr>
    </w:tbl>
    <w:p w14:paraId="1FF3EE3E">
      <w:pPr>
        <w:keepNext/>
        <w:keepLines w:val="0"/>
        <w:pageBreakBefore w:val="0"/>
        <w:widowControl w:val="0"/>
        <w:bidi w:val="0"/>
        <w:spacing w:line="360" w:lineRule="auto"/>
        <w:ind w:left="0" w:firstLine="422"/>
        <w:jc w:val="both"/>
        <w:outlineLvl w:val="0"/>
        <w:rPr>
          <w:rFonts w:hint="eastAsia" w:ascii="宋体" w:hAnsi="宋体" w:eastAsia="宋体" w:cs="宋体"/>
          <w:b/>
          <w:bCs/>
          <w:sz w:val="21"/>
          <w:szCs w:val="21"/>
          <w:lang w:val="en-US" w:eastAsia="zh-CN" w:bidi="ar-SA"/>
        </w:rPr>
      </w:pPr>
    </w:p>
    <w:p w14:paraId="387C60F2">
      <w:pPr>
        <w:keepNext/>
        <w:keepLines w:val="0"/>
        <w:pageBreakBefore w:val="0"/>
        <w:widowControl w:val="0"/>
        <w:bidi w:val="0"/>
        <w:spacing w:line="360" w:lineRule="auto"/>
        <w:ind w:left="0" w:firstLine="422"/>
        <w:jc w:val="both"/>
        <w:outlineLvl w:val="0"/>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lang w:val="en-US" w:eastAsia="zh-CN" w:bidi="ar-SA"/>
        </w:rPr>
        <w:t>三、液氧站建设技术参数</w:t>
      </w:r>
    </w:p>
    <w:tbl>
      <w:tblPr>
        <w:tblStyle w:val="18"/>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503"/>
        <w:gridCol w:w="914"/>
        <w:gridCol w:w="6727"/>
      </w:tblGrid>
      <w:tr w14:paraId="02E6C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53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993BE20">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b/>
                <w:color w:val="000000"/>
                <w:sz w:val="21"/>
              </w:rPr>
              <w:t>设备名称</w:t>
            </w:r>
          </w:p>
        </w:tc>
        <w:tc>
          <w:tcPr>
            <w:tcW w:w="929"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1FDA63E0">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b/>
                <w:color w:val="000000"/>
                <w:sz w:val="21"/>
              </w:rPr>
              <w:t>数量</w:t>
            </w:r>
          </w:p>
        </w:tc>
        <w:tc>
          <w:tcPr>
            <w:tcW w:w="6894"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64D7701F">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b/>
                <w:color w:val="000000"/>
                <w:sz w:val="21"/>
              </w:rPr>
              <w:t>核心参数</w:t>
            </w:r>
          </w:p>
        </w:tc>
      </w:tr>
      <w:tr w14:paraId="4AFDE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531" w:type="dxa"/>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80540A1">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液氧站</w:t>
            </w:r>
          </w:p>
        </w:tc>
        <w:tc>
          <w:tcPr>
            <w:tcW w:w="929" w:type="dxa"/>
            <w:tcBorders>
              <w:bottom w:val="single" w:color="000000" w:sz="8" w:space="0"/>
              <w:right w:val="single" w:color="000000" w:sz="8" w:space="0"/>
            </w:tcBorders>
            <w:tcMar>
              <w:top w:w="0" w:type="dxa"/>
              <w:left w:w="108" w:type="dxa"/>
              <w:bottom w:w="0" w:type="dxa"/>
              <w:right w:w="108" w:type="dxa"/>
            </w:tcMar>
            <w:vAlign w:val="center"/>
          </w:tcPr>
          <w:p w14:paraId="0C380692">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1套</w:t>
            </w:r>
          </w:p>
        </w:tc>
        <w:tc>
          <w:tcPr>
            <w:tcW w:w="6894" w:type="dxa"/>
            <w:tcBorders>
              <w:bottom w:val="single" w:color="000000" w:sz="8" w:space="0"/>
              <w:right w:val="single" w:color="000000" w:sz="8" w:space="0"/>
            </w:tcBorders>
            <w:tcMar>
              <w:top w:w="0" w:type="dxa"/>
              <w:left w:w="108" w:type="dxa"/>
              <w:bottom w:w="0" w:type="dxa"/>
              <w:right w:w="108" w:type="dxa"/>
            </w:tcMar>
            <w:vAlign w:val="top"/>
          </w:tcPr>
          <w:p w14:paraId="497A6105">
            <w:pPr>
              <w:widowControl w:val="0"/>
              <w:pBdr>
                <w:top w:val="none" w:color="000000" w:sz="0" w:space="0"/>
                <w:left w:val="none" w:color="000000" w:sz="0" w:space="0"/>
                <w:bottom w:val="none" w:color="000000" w:sz="0" w:space="0"/>
                <w:right w:val="none" w:color="000000" w:sz="0" w:space="0"/>
              </w:pBdr>
              <w:spacing w:line="360" w:lineRule="auto"/>
              <w:ind w:left="0" w:firstLine="0"/>
              <w:jc w:val="both"/>
              <w:rPr>
                <w:sz w:val="24"/>
              </w:rPr>
            </w:pPr>
            <w:r>
              <w:rPr>
                <w:rFonts w:ascii="宋体" w:hAnsi="宋体" w:eastAsia="宋体" w:cs="宋体"/>
                <w:color w:val="000000"/>
                <w:sz w:val="21"/>
              </w:rPr>
              <w:t>1、储罐间须具有自动切换功能，储罐压力可自动调节，无需人为干预；</w:t>
            </w:r>
          </w:p>
          <w:p w14:paraId="4C110DB5">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2、储罐具有节气功能、储罐液相出口具备防倒流功能；</w:t>
            </w:r>
          </w:p>
          <w:p w14:paraId="25F94ABB">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3、汽化器、减压阀组、安全附件等主要设备及阀门均须采用一用一备的设计；</w:t>
            </w:r>
          </w:p>
          <w:p w14:paraId="3EFAAC70">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4、峰值流量输出不小于300 Nm³/h。</w:t>
            </w:r>
          </w:p>
        </w:tc>
      </w:tr>
      <w:tr w14:paraId="2830B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531" w:type="dxa"/>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06D8EE8">
            <w:pPr>
              <w:widowControl w:val="0"/>
              <w:pBdr>
                <w:top w:val="none" w:color="000000" w:sz="0" w:space="0"/>
                <w:left w:val="none" w:color="000000" w:sz="0" w:space="0"/>
                <w:bottom w:val="none" w:color="000000" w:sz="0" w:space="0"/>
                <w:right w:val="none" w:color="000000" w:sz="0" w:space="0"/>
              </w:pBdr>
              <w:spacing w:after="240" w:line="360" w:lineRule="auto"/>
              <w:ind w:left="0" w:right="0" w:firstLine="0"/>
              <w:jc w:val="center"/>
              <w:rPr>
                <w:sz w:val="24"/>
              </w:rPr>
            </w:pPr>
            <w:r>
              <w:rPr>
                <w:rFonts w:ascii="宋体" w:hAnsi="宋体" w:eastAsia="宋体" w:cs="宋体"/>
                <w:color w:val="000000"/>
                <w:sz w:val="21"/>
              </w:rPr>
              <w:t>液氧储罐</w:t>
            </w:r>
          </w:p>
        </w:tc>
        <w:tc>
          <w:tcPr>
            <w:tcW w:w="929" w:type="dxa"/>
            <w:tcBorders>
              <w:bottom w:val="single" w:color="000000" w:sz="8" w:space="0"/>
              <w:right w:val="single" w:color="000000" w:sz="8" w:space="0"/>
            </w:tcBorders>
            <w:tcMar>
              <w:top w:w="0" w:type="dxa"/>
              <w:left w:w="108" w:type="dxa"/>
              <w:bottom w:w="0" w:type="dxa"/>
              <w:right w:w="108" w:type="dxa"/>
            </w:tcMar>
            <w:vAlign w:val="center"/>
          </w:tcPr>
          <w:p w14:paraId="45D79734">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2台</w:t>
            </w:r>
          </w:p>
        </w:tc>
        <w:tc>
          <w:tcPr>
            <w:tcW w:w="6894" w:type="dxa"/>
            <w:tcBorders>
              <w:bottom w:val="single" w:color="000000" w:sz="8" w:space="0"/>
              <w:right w:val="single" w:color="000000" w:sz="8" w:space="0"/>
            </w:tcBorders>
            <w:tcMar>
              <w:top w:w="0" w:type="dxa"/>
              <w:left w:w="108" w:type="dxa"/>
              <w:bottom w:w="0" w:type="dxa"/>
              <w:right w:w="108" w:type="dxa"/>
            </w:tcMar>
            <w:vAlign w:val="center"/>
          </w:tcPr>
          <w:p w14:paraId="6A0AD153">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1、一体化储罐，设计压力1.7 MPa；</w:t>
            </w:r>
          </w:p>
          <w:p w14:paraId="4855C54A">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2、设计标准符合GB/T150.1-GB/T150.4-2011《压力容器》、GB/T18442.1-GB/18442.6-2019《固定式真空绝热深冷压力容器》、GB/T18422.7-2017《固定式真空绝热深冷压力容器第7部分：内容器应变强化技术规定》；</w:t>
            </w:r>
          </w:p>
          <w:p w14:paraId="44417E01">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3、产品设计使用年限≥50年；</w:t>
            </w:r>
          </w:p>
        </w:tc>
      </w:tr>
      <w:tr w14:paraId="4BE07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531" w:type="dxa"/>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CB2FC87">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汽化器</w:t>
            </w:r>
          </w:p>
        </w:tc>
        <w:tc>
          <w:tcPr>
            <w:tcW w:w="929" w:type="dxa"/>
            <w:tcBorders>
              <w:bottom w:val="single" w:color="000000" w:sz="8" w:space="0"/>
              <w:right w:val="single" w:color="000000" w:sz="8" w:space="0"/>
            </w:tcBorders>
            <w:tcMar>
              <w:top w:w="0" w:type="dxa"/>
              <w:left w:w="108" w:type="dxa"/>
              <w:bottom w:w="0" w:type="dxa"/>
              <w:right w:w="108" w:type="dxa"/>
            </w:tcMar>
            <w:vAlign w:val="center"/>
          </w:tcPr>
          <w:p w14:paraId="50D23413">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3台</w:t>
            </w:r>
          </w:p>
        </w:tc>
        <w:tc>
          <w:tcPr>
            <w:tcW w:w="6894" w:type="dxa"/>
            <w:tcBorders>
              <w:bottom w:val="single" w:color="000000" w:sz="8" w:space="0"/>
              <w:right w:val="single" w:color="000000" w:sz="8" w:space="0"/>
            </w:tcBorders>
            <w:tcMar>
              <w:top w:w="0" w:type="dxa"/>
              <w:left w:w="108" w:type="dxa"/>
              <w:bottom w:w="0" w:type="dxa"/>
              <w:right w:w="108" w:type="dxa"/>
            </w:tcMar>
            <w:vAlign w:val="center"/>
          </w:tcPr>
          <w:p w14:paraId="3109C399">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1、设计压力4 MPa，最高工作压力4 MPa；</w:t>
            </w:r>
          </w:p>
          <w:p w14:paraId="588B21CF">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2、主体材质为铝合金牌号3003/6063；</w:t>
            </w:r>
          </w:p>
        </w:tc>
      </w:tr>
      <w:tr w14:paraId="5FBA7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531" w:type="dxa"/>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A08B80B">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调压阀DN25</w:t>
            </w:r>
          </w:p>
        </w:tc>
        <w:tc>
          <w:tcPr>
            <w:tcW w:w="929" w:type="dxa"/>
            <w:tcBorders>
              <w:bottom w:val="single" w:color="000000" w:sz="8" w:space="0"/>
              <w:right w:val="single" w:color="000000" w:sz="8" w:space="0"/>
            </w:tcBorders>
            <w:tcMar>
              <w:top w:w="0" w:type="dxa"/>
              <w:left w:w="108" w:type="dxa"/>
              <w:bottom w:w="0" w:type="dxa"/>
              <w:right w:w="108" w:type="dxa"/>
            </w:tcMar>
            <w:vAlign w:val="center"/>
          </w:tcPr>
          <w:p w14:paraId="5150A9CC">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3路</w:t>
            </w:r>
          </w:p>
        </w:tc>
        <w:tc>
          <w:tcPr>
            <w:tcW w:w="6894" w:type="dxa"/>
            <w:tcBorders>
              <w:bottom w:val="single" w:color="000000" w:sz="8" w:space="0"/>
              <w:right w:val="single" w:color="000000" w:sz="8" w:space="0"/>
            </w:tcBorders>
            <w:tcMar>
              <w:top w:w="0" w:type="dxa"/>
              <w:left w:w="108" w:type="dxa"/>
              <w:bottom w:w="0" w:type="dxa"/>
              <w:right w:w="108" w:type="dxa"/>
            </w:tcMar>
            <w:vAlign w:val="center"/>
          </w:tcPr>
          <w:p w14:paraId="5FCCFFC7">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1、出口压力区间满足0.2-0.8MPa；</w:t>
            </w:r>
          </w:p>
          <w:p w14:paraId="28616547">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2、温度区间满足-30℃至50℃；</w:t>
            </w:r>
          </w:p>
          <w:p w14:paraId="6C0DA74B">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3、阀体材质为黄铜；</w:t>
            </w:r>
          </w:p>
        </w:tc>
      </w:tr>
      <w:tr w14:paraId="05CCA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531" w:type="dxa"/>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C8C202A">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截止阀DN25</w:t>
            </w:r>
          </w:p>
          <w:p w14:paraId="6EA6C478">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（不含储罐）</w:t>
            </w:r>
          </w:p>
        </w:tc>
        <w:tc>
          <w:tcPr>
            <w:tcW w:w="929" w:type="dxa"/>
            <w:tcBorders>
              <w:bottom w:val="single" w:color="000000" w:sz="8" w:space="0"/>
              <w:right w:val="single" w:color="000000" w:sz="8" w:space="0"/>
            </w:tcBorders>
            <w:tcMar>
              <w:top w:w="0" w:type="dxa"/>
              <w:left w:w="108" w:type="dxa"/>
              <w:bottom w:w="0" w:type="dxa"/>
              <w:right w:w="108" w:type="dxa"/>
            </w:tcMar>
            <w:vAlign w:val="center"/>
          </w:tcPr>
          <w:p w14:paraId="64C4C990">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＞15个</w:t>
            </w:r>
          </w:p>
        </w:tc>
        <w:tc>
          <w:tcPr>
            <w:tcW w:w="6894" w:type="dxa"/>
            <w:tcBorders>
              <w:bottom w:val="single" w:color="000000" w:sz="8" w:space="0"/>
              <w:right w:val="single" w:color="000000" w:sz="8" w:space="0"/>
            </w:tcBorders>
            <w:tcMar>
              <w:top w:w="0" w:type="dxa"/>
              <w:left w:w="108" w:type="dxa"/>
              <w:bottom w:w="0" w:type="dxa"/>
              <w:right w:w="108" w:type="dxa"/>
            </w:tcMar>
            <w:vAlign w:val="center"/>
          </w:tcPr>
          <w:p w14:paraId="0E72A2F9">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1、公称压力区间满足0.1-5 MPa；</w:t>
            </w:r>
          </w:p>
          <w:p w14:paraId="31858B83">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2、温度区间满足-196℃至120℃；</w:t>
            </w:r>
          </w:p>
          <w:p w14:paraId="6379BC09">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3、密封设计为金属硬密封；阀体材质为316L不锈钢。</w:t>
            </w:r>
          </w:p>
        </w:tc>
      </w:tr>
      <w:tr w14:paraId="1F4D6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531" w:type="dxa"/>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7327341">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远程监控</w:t>
            </w:r>
          </w:p>
        </w:tc>
        <w:tc>
          <w:tcPr>
            <w:tcW w:w="929" w:type="dxa"/>
            <w:tcBorders>
              <w:bottom w:val="single" w:color="000000" w:sz="8" w:space="0"/>
              <w:right w:val="single" w:color="000000" w:sz="8" w:space="0"/>
            </w:tcBorders>
            <w:tcMar>
              <w:top w:w="0" w:type="dxa"/>
              <w:left w:w="108" w:type="dxa"/>
              <w:bottom w:w="0" w:type="dxa"/>
              <w:right w:w="108" w:type="dxa"/>
            </w:tcMar>
            <w:vAlign w:val="center"/>
          </w:tcPr>
          <w:p w14:paraId="5269353C">
            <w:pPr>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sz w:val="24"/>
              </w:rPr>
            </w:pPr>
            <w:r>
              <w:rPr>
                <w:rFonts w:ascii="宋体" w:hAnsi="宋体" w:eastAsia="宋体" w:cs="宋体"/>
                <w:color w:val="000000"/>
                <w:sz w:val="21"/>
              </w:rPr>
              <w:t>1套</w:t>
            </w:r>
          </w:p>
        </w:tc>
        <w:tc>
          <w:tcPr>
            <w:tcW w:w="6894" w:type="dxa"/>
            <w:tcBorders>
              <w:bottom w:val="single" w:color="000000" w:sz="8" w:space="0"/>
              <w:right w:val="single" w:color="000000" w:sz="8" w:space="0"/>
            </w:tcBorders>
            <w:tcMar>
              <w:top w:w="0" w:type="dxa"/>
              <w:left w:w="108" w:type="dxa"/>
              <w:bottom w:w="0" w:type="dxa"/>
              <w:right w:w="108" w:type="dxa"/>
            </w:tcMar>
            <w:vAlign w:val="center"/>
          </w:tcPr>
          <w:p w14:paraId="1A01BA0A">
            <w:pPr>
              <w:widowControl w:val="0"/>
              <w:pBdr>
                <w:top w:val="none" w:color="000000" w:sz="0" w:space="0"/>
                <w:left w:val="none" w:color="000000" w:sz="0" w:space="0"/>
                <w:bottom w:val="none" w:color="000000" w:sz="0" w:space="0"/>
                <w:right w:val="none" w:color="000000" w:sz="0" w:space="0"/>
              </w:pBdr>
              <w:spacing w:line="360" w:lineRule="auto"/>
              <w:ind w:left="0" w:right="0" w:firstLine="0"/>
              <w:jc w:val="both"/>
              <w:rPr>
                <w:sz w:val="24"/>
              </w:rPr>
            </w:pPr>
            <w:r>
              <w:rPr>
                <w:rFonts w:ascii="宋体" w:hAnsi="宋体" w:eastAsia="宋体" w:cs="宋体"/>
                <w:color w:val="000000"/>
                <w:sz w:val="21"/>
              </w:rPr>
              <w:t>提供远程液位监控设备和配套数据管理系统（程序），实现采购人订货自动化和</w:t>
            </w:r>
            <w:r>
              <w:rPr>
                <w:rFonts w:hint="eastAsia" w:ascii="宋体" w:hAnsi="宋体" w:eastAsia="宋体" w:cs="宋体"/>
                <w:color w:val="000000"/>
                <w:sz w:val="21"/>
                <w:lang w:val="en-US" w:eastAsia="zh-CN"/>
              </w:rPr>
              <w:t>液氧站</w:t>
            </w:r>
            <w:r>
              <w:rPr>
                <w:rFonts w:ascii="宋体" w:hAnsi="宋体" w:eastAsia="宋体" w:cs="宋体"/>
                <w:color w:val="000000"/>
                <w:sz w:val="21"/>
              </w:rPr>
              <w:t>液位-压力数据移动终端即时监控，无需人为干预。</w:t>
            </w:r>
          </w:p>
        </w:tc>
      </w:tr>
    </w:tbl>
    <w:p w14:paraId="729CB7A4">
      <w:pPr>
        <w:keepNext/>
        <w:keepLines w:val="0"/>
        <w:pageBreakBefore w:val="0"/>
        <w:widowControl w:val="0"/>
        <w:bidi w:val="0"/>
        <w:spacing w:line="360" w:lineRule="auto"/>
        <w:ind w:left="0" w:firstLine="422"/>
        <w:jc w:val="both"/>
        <w:outlineLvl w:val="0"/>
        <w:rPr>
          <w:rFonts w:hint="eastAsia" w:ascii="宋体" w:hAnsi="宋体" w:eastAsia="宋体" w:cs="宋体"/>
          <w:b/>
          <w:bCs/>
          <w:sz w:val="21"/>
          <w:szCs w:val="21"/>
          <w:lang w:val="en-US" w:eastAsia="zh-CN" w:bidi="ar-SA"/>
        </w:rPr>
      </w:pPr>
    </w:p>
    <w:p w14:paraId="371B0209">
      <w:pPr>
        <w:keepNext w:val="0"/>
        <w:keepLines w:val="0"/>
        <w:pageBreakBefore w:val="0"/>
        <w:widowControl w:val="0"/>
        <w:bidi w:val="0"/>
        <w:spacing w:line="360" w:lineRule="auto"/>
        <w:jc w:val="both"/>
        <w:rPr>
          <w:rFonts w:hint="eastAsia" w:ascii="宋体" w:hAnsi="宋体" w:eastAsia="宋体" w:cs="宋体"/>
          <w:sz w:val="21"/>
          <w:szCs w:val="21"/>
          <w:lang w:val="en-US" w:eastAsia="zh-CN"/>
        </w:rPr>
      </w:pPr>
      <w:r>
        <w:rPr>
          <w:rFonts w:hint="eastAsia" w:ascii="宋体" w:hAnsi="宋体" w:eastAsia="宋体" w:cs="宋体"/>
          <w:b/>
          <w:bCs/>
          <w:sz w:val="21"/>
          <w:szCs w:val="21"/>
          <w:highlight w:val="none"/>
          <w:lang w:val="en-US" w:eastAsia="zh-CN" w:bidi="ar-SA"/>
        </w:rPr>
        <w:t>★</w:t>
      </w:r>
      <w:r>
        <w:rPr>
          <w:rFonts w:hint="eastAsia" w:ascii="宋体" w:hAnsi="宋体" w:eastAsia="宋体" w:cs="宋体"/>
          <w:b/>
          <w:bCs/>
          <w:sz w:val="21"/>
          <w:szCs w:val="21"/>
          <w:lang w:val="en-US" w:eastAsia="zh-CN"/>
        </w:rPr>
        <w:t>注</w:t>
      </w:r>
      <w:r>
        <w:rPr>
          <w:rFonts w:hint="eastAsia" w:ascii="宋体" w:hAnsi="宋体" w:eastAsia="宋体" w:cs="宋体"/>
          <w:sz w:val="21"/>
          <w:szCs w:val="21"/>
          <w:lang w:val="en-US" w:eastAsia="zh-CN"/>
        </w:rPr>
        <w:t>：</w:t>
      </w:r>
      <w:r>
        <w:rPr>
          <w:rFonts w:hint="eastAsia" w:ascii="宋体" w:hAnsi="宋体" w:eastAsia="宋体" w:cs="宋体"/>
          <w:b/>
          <w:bCs/>
          <w:sz w:val="21"/>
          <w:szCs w:val="21"/>
          <w:lang w:val="en-US" w:eastAsia="zh-CN"/>
        </w:rPr>
        <w:t>（提供承诺书并加盖公章，格式自拟）</w:t>
      </w:r>
    </w:p>
    <w:p w14:paraId="498EC958">
      <w:pPr>
        <w:keepNext w:val="0"/>
        <w:keepLines w:val="0"/>
        <w:pageBreakBefore w:val="0"/>
        <w:widowControl w:val="0"/>
        <w:bidi w:val="0"/>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1、供应商须负责合同期限内的所有安全阀，压力表及罐体的年检校验等工作。</w:t>
      </w:r>
    </w:p>
    <w:p w14:paraId="7C0F44FF">
      <w:pPr>
        <w:keepNext w:val="0"/>
        <w:keepLines w:val="0"/>
        <w:pageBreakBefore w:val="0"/>
        <w:widowControl w:val="0"/>
        <w:bidi w:val="0"/>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2、供应商需提供远程液氧监测设备，实现主动送货功能并且承担液氧监测设备的维修和保养服务。</w:t>
      </w:r>
    </w:p>
    <w:p w14:paraId="3C1A66AF">
      <w:pPr>
        <w:keepNext w:val="0"/>
        <w:keepLines w:val="0"/>
        <w:pageBreakBefore w:val="0"/>
        <w:widowControl w:val="0"/>
        <w:bidi w:val="0"/>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3、供应商须负责办理压力容器使用许可证</w:t>
      </w:r>
    </w:p>
    <w:p w14:paraId="070C01A5">
      <w:pPr>
        <w:keepNext w:val="0"/>
        <w:keepLines w:val="0"/>
        <w:pageBreakBefore w:val="0"/>
        <w:widowControl w:val="0"/>
        <w:bidi w:val="0"/>
        <w:spacing w:line="360" w:lineRule="auto"/>
        <w:ind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bidi="ar-SA"/>
        </w:rPr>
        <w:t>4、供应商负责液氧站</w:t>
      </w:r>
      <w:r>
        <w:rPr>
          <w:rFonts w:hint="eastAsia" w:ascii="宋体" w:hAnsi="宋体" w:eastAsia="宋体" w:cs="宋体"/>
          <w:sz w:val="21"/>
          <w:szCs w:val="21"/>
          <w:lang w:val="en-US" w:eastAsia="zh-CN" w:bidi="ar-SA"/>
        </w:rPr>
        <w:t>基础、围堰及围栏、安装、吊装等所有费用。</w:t>
      </w:r>
    </w:p>
    <w:p w14:paraId="5A3DFA45">
      <w:pPr>
        <w:keepNext w:val="0"/>
        <w:keepLines w:val="0"/>
        <w:pageBreakBefore w:val="0"/>
        <w:widowControl w:val="0"/>
        <w:bidi w:val="0"/>
        <w:spacing w:line="360" w:lineRule="auto"/>
        <w:ind w:firstLine="420"/>
        <w:jc w:val="both"/>
        <w:rPr>
          <w:rFonts w:hint="eastAsia" w:ascii="宋体" w:hAnsi="宋体" w:eastAsia="宋体" w:cs="宋体"/>
          <w:iCs/>
          <w:sz w:val="21"/>
          <w:szCs w:val="21"/>
          <w:lang w:val="en-US" w:eastAsia="zh-CN" w:bidi="ar-SA"/>
        </w:rPr>
      </w:pPr>
      <w:r>
        <w:rPr>
          <w:rFonts w:hint="eastAsia" w:ascii="宋体" w:hAnsi="宋体" w:eastAsia="宋体" w:cs="宋体"/>
          <w:sz w:val="21"/>
          <w:szCs w:val="21"/>
          <w:lang w:val="en-US" w:eastAsia="zh-CN" w:bidi="ar-SA"/>
        </w:rPr>
        <w:t>5、</w:t>
      </w:r>
      <w:r>
        <w:rPr>
          <w:rFonts w:hint="eastAsia" w:ascii="宋体" w:hAnsi="宋体" w:eastAsia="宋体" w:cs="宋体"/>
          <w:iCs/>
          <w:sz w:val="21"/>
          <w:szCs w:val="21"/>
          <w:lang w:val="en-US" w:eastAsia="zh-CN" w:bidi="ar-SA"/>
        </w:rPr>
        <w:t>供应商负责铺设氧气管道，与医院现有主管道对接，医院负责基建方面开挖地沟、回埋。</w:t>
      </w:r>
    </w:p>
    <w:p w14:paraId="76449155">
      <w:pPr>
        <w:keepNext w:val="0"/>
        <w:keepLines w:val="0"/>
        <w:pageBreakBefore w:val="0"/>
        <w:widowControl w:val="0"/>
        <w:bidi w:val="0"/>
        <w:spacing w:line="360" w:lineRule="auto"/>
        <w:ind w:firstLine="420"/>
        <w:jc w:val="both"/>
        <w:rPr>
          <w:rFonts w:hint="eastAsia" w:ascii="宋体" w:hAnsi="宋体" w:eastAsia="宋体" w:cs="宋体"/>
          <w:b/>
          <w:bCs/>
          <w:iCs/>
          <w:sz w:val="21"/>
          <w:szCs w:val="21"/>
          <w:lang w:val="en-US" w:eastAsia="zh-CN" w:bidi="ar-SA"/>
        </w:rPr>
      </w:pPr>
      <w:r>
        <w:rPr>
          <w:rFonts w:hint="eastAsia" w:ascii="宋体" w:hAnsi="宋体" w:eastAsia="宋体" w:cs="宋体"/>
          <w:iCs/>
          <w:sz w:val="21"/>
          <w:szCs w:val="21"/>
          <w:lang w:val="en-US" w:eastAsia="zh-CN" w:bidi="ar-SA"/>
        </w:rPr>
        <w:t>6、供应商负责承担前期液氧站安评费用。</w:t>
      </w:r>
    </w:p>
    <w:p w14:paraId="468326DB">
      <w:pPr>
        <w:widowControl w:val="0"/>
        <w:spacing w:line="360" w:lineRule="auto"/>
        <w:jc w:val="both"/>
        <w:rPr>
          <w:rFonts w:hint="eastAsia" w:ascii="宋体" w:hAnsi="宋体" w:eastAsia="宋体" w:cs="宋体"/>
          <w:b/>
          <w:bCs w:val="0"/>
          <w:sz w:val="21"/>
          <w:szCs w:val="21"/>
          <w:lang w:val="en-US" w:eastAsia="zh-CN" w:bidi="ar-SA"/>
        </w:rPr>
      </w:pPr>
    </w:p>
    <w:p w14:paraId="6C002F7F">
      <w:pPr>
        <w:keepLines w:val="0"/>
        <w:pageBreakBefore w:val="0"/>
        <w:widowControl w:val="0"/>
        <w:bidi w:val="0"/>
        <w:spacing w:line="360" w:lineRule="auto"/>
        <w:ind w:left="0" w:firstLine="422"/>
        <w:jc w:val="both"/>
        <w:rPr>
          <w:rFonts w:hint="eastAsia" w:ascii="宋体" w:hAnsi="宋体" w:eastAsia="宋体" w:cs="宋体"/>
          <w:b/>
          <w:sz w:val="21"/>
          <w:szCs w:val="21"/>
          <w:lang w:val="en-US" w:eastAsia="zh-CN" w:bidi="ar-SA"/>
        </w:rPr>
      </w:pPr>
      <w:r>
        <w:rPr>
          <w:rFonts w:hint="eastAsia" w:ascii="宋体" w:hAnsi="宋体" w:eastAsia="宋体" w:cs="宋体"/>
          <w:sz w:val="21"/>
          <w:szCs w:val="21"/>
          <w:highlight w:val="none"/>
          <w:lang w:val="en-US" w:eastAsia="zh-CN" w:bidi="ar-SA"/>
        </w:rPr>
        <w:t>★</w:t>
      </w:r>
      <w:r>
        <w:rPr>
          <w:rFonts w:hint="eastAsia" w:ascii="宋体" w:hAnsi="宋体" w:eastAsia="宋体" w:cs="宋体"/>
          <w:b/>
          <w:bCs w:val="0"/>
          <w:sz w:val="21"/>
          <w:szCs w:val="21"/>
          <w:lang w:val="en-US" w:eastAsia="zh-CN" w:bidi="ar-SA"/>
        </w:rPr>
        <w:t>四、</w:t>
      </w:r>
      <w:r>
        <w:rPr>
          <w:rFonts w:hint="eastAsia" w:ascii="宋体" w:hAnsi="宋体" w:eastAsia="宋体" w:cs="宋体"/>
          <w:b/>
          <w:bCs w:val="0"/>
          <w:sz w:val="21"/>
          <w:szCs w:val="21"/>
          <w:lang w:val="en-US" w:eastAsia="zh-CN"/>
        </w:rPr>
        <w:t>液态氧和瓶装氧</w:t>
      </w:r>
      <w:r>
        <w:rPr>
          <w:rFonts w:hint="eastAsia" w:ascii="宋体" w:hAnsi="宋体" w:eastAsia="宋体" w:cs="宋体"/>
          <w:b/>
          <w:sz w:val="21"/>
          <w:szCs w:val="21"/>
          <w:lang w:val="en-US" w:eastAsia="zh-CN" w:bidi="ar-SA"/>
        </w:rPr>
        <w:t>要求：</w:t>
      </w:r>
    </w:p>
    <w:p w14:paraId="0EA9D0AE">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1、严格执行国家质量安全标准，产品纯度≥99.5，符合《中华人民共和国药典2025版》要求。 </w:t>
      </w:r>
    </w:p>
    <w:p w14:paraId="224D041A">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2、液体的生产、销售、充装必须满足国家现行强制标准和相关法律规定的要求，货物必须符合或优于国家（行业）标准，以及本项目的质量要求和技术指标与出厂标准的最高标准。 </w:t>
      </w:r>
    </w:p>
    <w:p w14:paraId="42203498">
      <w:pPr>
        <w:keepLines w:val="0"/>
        <w:pageBreakBefore w:val="0"/>
        <w:numPr>
          <w:ilvl w:val="0"/>
          <w:numId w:val="0"/>
        </w:numPr>
        <w:bidi w:val="0"/>
        <w:spacing w:line="360" w:lineRule="auto"/>
        <w:ind w:left="0" w:firstLine="422"/>
        <w:rPr>
          <w:rFonts w:hint="eastAsia" w:ascii="宋体" w:hAnsi="宋体" w:eastAsia="宋体" w:cs="宋体"/>
          <w:b/>
          <w:bCs/>
          <w:sz w:val="21"/>
          <w:szCs w:val="21"/>
          <w:lang w:val="en-US" w:eastAsia="zh-CN"/>
        </w:rPr>
      </w:pPr>
    </w:p>
    <w:p w14:paraId="68B7A9CA">
      <w:pPr>
        <w:keepLines w:val="0"/>
        <w:pageBreakBefore w:val="0"/>
        <w:numPr>
          <w:ilvl w:val="0"/>
          <w:numId w:val="0"/>
        </w:numPr>
        <w:bidi w:val="0"/>
        <w:spacing w:line="360" w:lineRule="auto"/>
        <w:ind w:left="0" w:firstLine="422"/>
        <w:rPr>
          <w:rFonts w:hint="eastAsia" w:ascii="宋体" w:hAnsi="宋体" w:eastAsia="宋体" w:cs="宋体"/>
          <w:b/>
          <w:bCs/>
          <w:sz w:val="21"/>
          <w:szCs w:val="21"/>
          <w:lang w:val="en-US" w:eastAsia="zh-CN"/>
        </w:rPr>
      </w:pPr>
      <w:r>
        <w:rPr>
          <w:rFonts w:hint="eastAsia" w:ascii="宋体" w:hAnsi="宋体" w:eastAsia="宋体" w:cs="宋体"/>
          <w:sz w:val="21"/>
          <w:szCs w:val="21"/>
          <w:highlight w:val="none"/>
          <w:lang w:val="en-US" w:eastAsia="zh-CN" w:bidi="ar-SA"/>
        </w:rPr>
        <w:t>★</w:t>
      </w:r>
      <w:r>
        <w:rPr>
          <w:rFonts w:hint="eastAsia" w:ascii="宋体" w:hAnsi="宋体" w:eastAsia="宋体" w:cs="宋体"/>
          <w:b/>
          <w:bCs/>
          <w:sz w:val="21"/>
          <w:szCs w:val="21"/>
          <w:lang w:val="en-US" w:eastAsia="zh-CN" w:bidi="ar-SA"/>
        </w:rPr>
        <w:t>五、</w:t>
      </w:r>
      <w:r>
        <w:rPr>
          <w:rFonts w:hint="eastAsia" w:ascii="宋体" w:hAnsi="宋体" w:eastAsia="宋体" w:cs="宋体"/>
          <w:b/>
          <w:bCs/>
          <w:sz w:val="21"/>
          <w:szCs w:val="21"/>
          <w:lang w:val="en-US" w:eastAsia="zh-CN"/>
        </w:rPr>
        <w:t>服务要求</w:t>
      </w:r>
    </w:p>
    <w:p w14:paraId="6DED2935">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供应商须承诺本项目的设备安装单位具有有效的特种设备生产许可证，具备长输管道安装GA2级及以上相关资质，如供应商委托第三方承担设备安装服务，须在合同签订后，设备进场前，将供应商与该设备安装单位的协议书，及该单位的上述证件提交采购人查验</w:t>
      </w:r>
      <w:r>
        <w:rPr>
          <w:rFonts w:hint="eastAsia" w:ascii="宋体" w:hAnsi="宋体" w:eastAsia="宋体" w:cs="宋体"/>
          <w:b/>
          <w:bCs/>
          <w:sz w:val="21"/>
          <w:szCs w:val="21"/>
          <w:highlight w:val="none"/>
          <w:lang w:val="en-US" w:eastAsia="zh-CN" w:bidi="ar-SA"/>
        </w:rPr>
        <w:t>（提供承诺书并加盖公章，格式自拟）</w:t>
      </w:r>
    </w:p>
    <w:p w14:paraId="16DCC3C5">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w:t>
      </w:r>
      <w:r>
        <w:rPr>
          <w:rFonts w:hint="eastAsia" w:ascii="宋体" w:hAnsi="宋体" w:eastAsia="宋体" w:cs="宋体"/>
          <w:sz w:val="21"/>
          <w:szCs w:val="21"/>
          <w:highlight w:val="none"/>
          <w:lang w:val="en-US" w:eastAsia="zh-CN"/>
        </w:rPr>
        <w:t>供应商需</w:t>
      </w:r>
      <w:r>
        <w:rPr>
          <w:rFonts w:hint="eastAsia" w:ascii="宋体" w:hAnsi="宋体" w:eastAsia="宋体" w:cs="宋体"/>
          <w:color w:val="auto"/>
          <w:sz w:val="21"/>
          <w:szCs w:val="21"/>
          <w:highlight w:val="none"/>
          <w:lang w:val="en-US" w:eastAsia="zh-CN" w:bidi="ar-SA"/>
        </w:rPr>
        <w:t>具备两辆及以上符合相关要求的医用液氧专用运输槽车，避免出</w:t>
      </w:r>
      <w:r>
        <w:rPr>
          <w:rFonts w:hint="eastAsia" w:ascii="宋体" w:hAnsi="宋体" w:eastAsia="宋体" w:cs="宋体"/>
          <w:sz w:val="21"/>
          <w:szCs w:val="21"/>
          <w:highlight w:val="none"/>
          <w:lang w:val="en-US" w:eastAsia="zh-CN" w:bidi="ar-SA"/>
        </w:rPr>
        <w:t>现因限行等因素而影响送货或应急响应。供应商为该项目配置的送货车辆通行证应符合南京市交通管理局相关规定，取得相关通行线路的许可，确保按院方要求送至需求地点。</w:t>
      </w:r>
    </w:p>
    <w:p w14:paraId="4E3D9214">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3、供应商需具备24小时随叫随到的应急能力。</w:t>
      </w:r>
    </w:p>
    <w:p w14:paraId="1D6CCCC9">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4、供应商应定期到客户贮罐现场进行专业性供气安全检查和供气技术指导。</w:t>
      </w:r>
    </w:p>
    <w:p w14:paraId="58584D39">
      <w:pPr>
        <w:keepNext/>
        <w:keepLines w:val="0"/>
        <w:pageBreakBefore w:val="0"/>
        <w:widowControl w:val="0"/>
        <w:bidi w:val="0"/>
        <w:spacing w:line="360" w:lineRule="auto"/>
        <w:ind w:left="0" w:firstLine="420"/>
        <w:jc w:val="both"/>
        <w:outlineLvl w:val="0"/>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bidi="ar-SA"/>
        </w:rPr>
        <w:t>5、中标供应商免费定期（每年不少于一次）对采购人进行液氧站操作、维护、应</w:t>
      </w:r>
      <w:r>
        <w:rPr>
          <w:rFonts w:hint="eastAsia" w:ascii="宋体" w:hAnsi="宋体" w:eastAsia="宋体" w:cs="宋体"/>
          <w:sz w:val="21"/>
          <w:szCs w:val="21"/>
          <w:lang w:val="en-US" w:eastAsia="zh-CN" w:bidi="ar-SA"/>
        </w:rPr>
        <w:t>急演练等方面的培训，并协助医院做好应急演练。</w:t>
      </w:r>
    </w:p>
    <w:p w14:paraId="199CB781">
      <w:pPr>
        <w:keepNext/>
        <w:keepLines w:val="0"/>
        <w:pageBreakBefore w:val="0"/>
        <w:widowControl w:val="0"/>
        <w:bidi w:val="0"/>
        <w:spacing w:line="360" w:lineRule="auto"/>
        <w:ind w:left="0" w:firstLine="420"/>
        <w:jc w:val="both"/>
        <w:outlineLvl w:val="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6、中标供应商免费定期（每年不少于一次）对采购人进行医用气体安全培训。</w:t>
      </w:r>
    </w:p>
    <w:p w14:paraId="51B40061">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7、中标供应商运输过程中杜绝跑、冒、滴、漏，对运输过程中的交通安全及环保事故负责并承担相应的法律责任。</w:t>
      </w:r>
    </w:p>
    <w:p w14:paraId="3DE019C1">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8、中标供应商液氧槽车到达采购人现场需通知接收人员，等接收人员到达充装现场确认冲前液位才可以充装，等充液完毕后需配合接收人员完成充液后的安全操作及检查工作。</w:t>
      </w:r>
    </w:p>
    <w:p w14:paraId="362A4F12">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9、供应商车辆进医院后，应遵守医院停车规章制度，如因中标供应商或中标供应商工作人员原因导致的安全责任由中标供应商全权负责。</w:t>
      </w:r>
    </w:p>
    <w:p w14:paraId="58E16B64">
      <w:pPr>
        <w:keepLines w:val="0"/>
        <w:pageBreakBefore w:val="0"/>
        <w:numPr>
          <w:ilvl w:val="0"/>
          <w:numId w:val="0"/>
        </w:numPr>
        <w:bidi w:val="0"/>
        <w:spacing w:line="360" w:lineRule="auto"/>
        <w:ind w:left="0" w:firstLine="422"/>
        <w:rPr>
          <w:rFonts w:hint="eastAsia" w:ascii="宋体" w:hAnsi="宋体" w:eastAsia="宋体" w:cs="宋体"/>
          <w:b/>
          <w:bCs/>
          <w:sz w:val="21"/>
          <w:szCs w:val="21"/>
          <w:lang w:val="en-US" w:eastAsia="zh-CN" w:bidi="ar-SA"/>
        </w:rPr>
      </w:pPr>
    </w:p>
    <w:p w14:paraId="5F1B21CD">
      <w:pPr>
        <w:keepLines w:val="0"/>
        <w:pageBreakBefore w:val="0"/>
        <w:numPr>
          <w:ilvl w:val="0"/>
          <w:numId w:val="0"/>
        </w:numPr>
        <w:bidi w:val="0"/>
        <w:spacing w:line="360" w:lineRule="auto"/>
        <w:ind w:left="0" w:firstLine="422"/>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none"/>
          <w:lang w:val="en-US" w:eastAsia="zh-CN" w:bidi="ar-SA"/>
        </w:rPr>
        <w:t>★</w:t>
      </w:r>
      <w:r>
        <w:rPr>
          <w:rFonts w:hint="eastAsia" w:ascii="宋体" w:hAnsi="宋体" w:eastAsia="宋体" w:cs="宋体"/>
          <w:b/>
          <w:bCs/>
          <w:sz w:val="21"/>
          <w:szCs w:val="21"/>
          <w:lang w:val="en-US" w:eastAsia="zh-CN" w:bidi="ar-SA"/>
        </w:rPr>
        <w:t>六、商务要求</w:t>
      </w:r>
    </w:p>
    <w:p w14:paraId="501060A7">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1、交货期：</w:t>
      </w:r>
    </w:p>
    <w:p w14:paraId="4F376C0C">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（1）采购人与供应商签订合同后3天内，供应商应做好建设液氧站的供货准备，以便随时开始供货及建站；</w:t>
      </w:r>
    </w:p>
    <w:p w14:paraId="3DA3815C">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（2）液氧储罐到货及安装工期：自中标通知书发出后，90天内完成。</w:t>
      </w:r>
    </w:p>
    <w:p w14:paraId="07F32D64">
      <w:pPr>
        <w:keepLines w:val="0"/>
        <w:pageBreakBefore w:val="0"/>
        <w:widowControl w:val="0"/>
        <w:bidi w:val="0"/>
        <w:spacing w:line="360" w:lineRule="auto"/>
        <w:ind w:left="0" w:firstLine="420"/>
        <w:jc w:val="both"/>
        <w:rPr>
          <w:rFonts w:hint="eastAsia" w:ascii="宋体" w:hAnsi="宋体" w:eastAsia="宋体" w:cs="宋体"/>
          <w:iCs/>
          <w:sz w:val="21"/>
          <w:szCs w:val="21"/>
          <w:highlight w:val="none"/>
          <w:lang w:val="en-US" w:eastAsia="zh-CN" w:bidi="ar-SA"/>
        </w:rPr>
      </w:pPr>
      <w:r>
        <w:rPr>
          <w:rFonts w:hint="eastAsia" w:ascii="宋体" w:hAnsi="宋体" w:eastAsia="宋体" w:cs="宋体"/>
          <w:sz w:val="21"/>
          <w:szCs w:val="21"/>
          <w:highlight w:val="none"/>
          <w:lang w:val="en-US" w:eastAsia="zh-CN" w:bidi="ar-SA"/>
        </w:rPr>
        <w:t>（3）液氧及瓶装氧收到供货通知后24小时内送到指定收货地点，</w:t>
      </w:r>
      <w:r>
        <w:rPr>
          <w:rFonts w:hint="eastAsia" w:ascii="宋体" w:hAnsi="宋体" w:eastAsia="宋体" w:cs="宋体"/>
          <w:iCs/>
          <w:sz w:val="21"/>
          <w:szCs w:val="21"/>
          <w:highlight w:val="none"/>
          <w:lang w:val="en-US" w:eastAsia="zh-CN" w:bidi="ar-SA"/>
        </w:rPr>
        <w:t>供货通知以采购人的书面通知或电话通知为准，在三年服务期内保证液氧及瓶装氧供应。</w:t>
      </w:r>
    </w:p>
    <w:p w14:paraId="1ED980AF">
      <w:pPr>
        <w:keepLines w:val="0"/>
        <w:pageBreakBefore w:val="0"/>
        <w:widowControl w:val="0"/>
        <w:bidi w:val="0"/>
        <w:spacing w:line="360" w:lineRule="auto"/>
        <w:ind w:left="0" w:firstLine="420"/>
        <w:jc w:val="both"/>
        <w:rPr>
          <w:rFonts w:hint="eastAsia" w:ascii="宋体" w:hAnsi="宋体" w:eastAsia="宋体" w:cs="宋体"/>
          <w:iCs/>
          <w:sz w:val="21"/>
          <w:szCs w:val="21"/>
          <w:highlight w:val="none"/>
          <w:lang w:val="en-US" w:eastAsia="zh-CN" w:bidi="ar-SA"/>
        </w:rPr>
      </w:pPr>
      <w:r>
        <w:rPr>
          <w:rFonts w:hint="eastAsia" w:ascii="宋体" w:hAnsi="宋体" w:eastAsia="宋体" w:cs="宋体"/>
          <w:iCs/>
          <w:sz w:val="21"/>
          <w:szCs w:val="21"/>
          <w:highlight w:val="none"/>
          <w:lang w:val="en-US" w:eastAsia="zh-CN" w:bidi="ar-SA"/>
        </w:rPr>
        <w:t>（4）</w:t>
      </w:r>
      <w:r>
        <w:rPr>
          <w:rFonts w:hint="eastAsia" w:ascii="宋体" w:hAnsi="宋体" w:eastAsia="宋体" w:cs="宋体"/>
          <w:sz w:val="21"/>
          <w:szCs w:val="21"/>
          <w:highlight w:val="none"/>
          <w:lang w:val="en-US" w:eastAsia="zh-CN" w:bidi="ar-SA"/>
        </w:rPr>
        <w:t>紧急情况下，需4小时内将货物送至医院。</w:t>
      </w:r>
    </w:p>
    <w:p w14:paraId="1755B25C">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2、交货地点：采购人指定地点，由供应商负责办理运输和装卸等，费用由供应商负责，采购人组织验收。</w:t>
      </w:r>
    </w:p>
    <w:p w14:paraId="29322131">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3、服务期：3年，合同每执行一个年度，医院有权对供应商进行考核，考核不合格的，医院有权终止合同；考核合格后，在医院补足下一年度的预算后，合同方可继续执行。</w:t>
      </w:r>
    </w:p>
    <w:p w14:paraId="15A65B75">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4、质保及售后要求：</w:t>
      </w:r>
    </w:p>
    <w:p w14:paraId="29ED39D0">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（1）供应商应负责服务期内液氧储罐的质保；</w:t>
      </w:r>
    </w:p>
    <w:p w14:paraId="745D8D58">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w:t>
      </w:r>
      <w:r>
        <w:rPr>
          <w:rFonts w:hint="eastAsia" w:ascii="宋体" w:hAnsi="宋体" w:eastAsia="宋体" w:cs="宋体"/>
          <w:sz w:val="21"/>
          <w:szCs w:val="21"/>
          <w:highlight w:val="none"/>
          <w:lang w:val="en-US" w:eastAsia="zh-CN"/>
        </w:rPr>
        <w:t>液态氧和瓶装氧</w:t>
      </w:r>
      <w:r>
        <w:rPr>
          <w:rFonts w:hint="eastAsia" w:ascii="宋体" w:hAnsi="宋体" w:eastAsia="宋体" w:cs="宋体"/>
          <w:sz w:val="21"/>
          <w:szCs w:val="21"/>
          <w:highlight w:val="none"/>
          <w:lang w:val="en-US" w:eastAsia="zh-CN" w:bidi="ar-SA"/>
        </w:rPr>
        <w:t>提供原厂质保1年，自采购人验收合格，验收报告确认签字日起，开始进入质保期。</w:t>
      </w:r>
    </w:p>
    <w:p w14:paraId="7DB82946">
      <w:pPr>
        <w:keepLines w:val="0"/>
        <w:pageBreakBefore w:val="0"/>
        <w:widowControl w:val="0"/>
        <w:bidi w:val="0"/>
        <w:spacing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（3）质保期内，一旦发生质量问题，中标供应商在接到通知的1小时内响应，在4小时内到达现场。</w:t>
      </w:r>
    </w:p>
    <w:p w14:paraId="7509B5F9">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bidi="ar-SA"/>
        </w:rPr>
        <w:t>（4）货物制造质量出现问题，供应商应负责三</w:t>
      </w:r>
      <w:r>
        <w:rPr>
          <w:rFonts w:hint="eastAsia" w:ascii="宋体" w:hAnsi="宋体" w:eastAsia="宋体" w:cs="宋体"/>
          <w:sz w:val="21"/>
          <w:szCs w:val="21"/>
          <w:lang w:val="en-US" w:eastAsia="zh-CN" w:bidi="ar-SA"/>
        </w:rPr>
        <w:t xml:space="preserve">包（包修、包换、包退），费用由供应商负担。 </w:t>
      </w:r>
    </w:p>
    <w:p w14:paraId="35976DA1">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5、验收要求：必须在交货时提供所交“医用液态氧”的检验单或质量保证书。</w:t>
      </w:r>
    </w:p>
    <w:p w14:paraId="0FF5D8F7">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6、付款方式：</w:t>
      </w:r>
    </w:p>
    <w:p w14:paraId="3FCC1477">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（1）医院一次性支付液氧储罐及液氧站建设等费用</w:t>
      </w:r>
    </w:p>
    <w:p w14:paraId="165EE229">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（2）液氧及瓶氧按现场实际供货数量为准，根据中标单价结算</w:t>
      </w:r>
      <w:r>
        <w:rPr>
          <w:rFonts w:hint="eastAsia" w:ascii="宋体" w:hAnsi="宋体" w:eastAsia="宋体" w:cs="宋体"/>
          <w:sz w:val="21"/>
          <w:szCs w:val="21"/>
          <w:highlight w:val="none"/>
          <w:lang w:val="en-US" w:eastAsia="zh-CN" w:bidi="ar-SA"/>
        </w:rPr>
        <w:t>，按月支付，货</w:t>
      </w:r>
      <w:r>
        <w:rPr>
          <w:rFonts w:hint="eastAsia" w:ascii="宋体" w:hAnsi="宋体" w:eastAsia="宋体" w:cs="宋体"/>
          <w:sz w:val="21"/>
          <w:szCs w:val="21"/>
          <w:lang w:val="en-US" w:eastAsia="zh-CN" w:bidi="ar-SA"/>
        </w:rPr>
        <w:t>到验收合格后，自收到发票30天支付货款总价的100%。</w:t>
      </w:r>
    </w:p>
    <w:p w14:paraId="20766606">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7、货币：采购响应文件中的货物单价和总价均采用人民币报价，含税。</w:t>
      </w:r>
    </w:p>
    <w:p w14:paraId="6F859166">
      <w:pPr>
        <w:keepLines w:val="0"/>
        <w:pageBreakBefore w:val="0"/>
        <w:widowControl w:val="0"/>
        <w:bidi w:val="0"/>
        <w:spacing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8、供应商合同执行情况考核表</w:t>
      </w:r>
    </w:p>
    <w:tbl>
      <w:tblPr>
        <w:tblStyle w:val="18"/>
        <w:tblW w:w="89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8"/>
        <w:gridCol w:w="1781"/>
        <w:gridCol w:w="1161"/>
        <w:gridCol w:w="1524"/>
        <w:gridCol w:w="2562"/>
      </w:tblGrid>
      <w:tr w14:paraId="13A46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958" w:type="dxa"/>
            <w:vAlign w:val="center"/>
          </w:tcPr>
          <w:p w14:paraId="4A1A3B0F">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供应商</w:t>
            </w:r>
          </w:p>
        </w:tc>
        <w:tc>
          <w:tcPr>
            <w:tcW w:w="7028" w:type="dxa"/>
            <w:gridSpan w:val="4"/>
            <w:vAlign w:val="center"/>
          </w:tcPr>
          <w:p w14:paraId="4580D354">
            <w:pPr>
              <w:widowControl w:val="0"/>
              <w:spacing w:line="360" w:lineRule="auto"/>
              <w:jc w:val="center"/>
              <w:rPr>
                <w:rFonts w:hint="eastAsia" w:ascii="宋体" w:hAnsi="宋体" w:eastAsia="宋体" w:cs="宋体"/>
                <w:sz w:val="21"/>
                <w:szCs w:val="21"/>
                <w:vertAlign w:val="baseline"/>
                <w:lang w:val="en-US" w:eastAsia="zh-CN"/>
              </w:rPr>
            </w:pPr>
          </w:p>
        </w:tc>
      </w:tr>
      <w:tr w14:paraId="2C651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58" w:type="dxa"/>
            <w:vAlign w:val="center"/>
          </w:tcPr>
          <w:p w14:paraId="6C076767">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供应货物</w:t>
            </w:r>
          </w:p>
        </w:tc>
        <w:tc>
          <w:tcPr>
            <w:tcW w:w="7028" w:type="dxa"/>
            <w:gridSpan w:val="4"/>
            <w:vAlign w:val="center"/>
          </w:tcPr>
          <w:p w14:paraId="6A071FD8">
            <w:pPr>
              <w:widowControl w:val="0"/>
              <w:spacing w:line="360" w:lineRule="auto"/>
              <w:jc w:val="center"/>
              <w:rPr>
                <w:rFonts w:hint="eastAsia" w:ascii="宋体" w:hAnsi="宋体" w:eastAsia="宋体" w:cs="宋体"/>
                <w:sz w:val="21"/>
                <w:szCs w:val="21"/>
                <w:vertAlign w:val="baseline"/>
                <w:lang w:val="en-US" w:eastAsia="zh-CN"/>
              </w:rPr>
            </w:pPr>
          </w:p>
        </w:tc>
      </w:tr>
      <w:tr w14:paraId="0DCDE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58" w:type="dxa"/>
            <w:vAlign w:val="center"/>
          </w:tcPr>
          <w:p w14:paraId="05631689">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合同有效期</w:t>
            </w:r>
          </w:p>
        </w:tc>
        <w:tc>
          <w:tcPr>
            <w:tcW w:w="7028" w:type="dxa"/>
            <w:gridSpan w:val="4"/>
            <w:vAlign w:val="center"/>
          </w:tcPr>
          <w:p w14:paraId="629456BC">
            <w:pPr>
              <w:widowControl w:val="0"/>
              <w:spacing w:line="360" w:lineRule="auto"/>
              <w:jc w:val="center"/>
              <w:rPr>
                <w:rFonts w:hint="eastAsia" w:ascii="宋体" w:hAnsi="宋体" w:eastAsia="宋体" w:cs="宋体"/>
                <w:sz w:val="21"/>
                <w:szCs w:val="21"/>
                <w:vertAlign w:val="baseline"/>
                <w:lang w:val="en-US" w:eastAsia="zh-CN"/>
              </w:rPr>
            </w:pPr>
          </w:p>
        </w:tc>
      </w:tr>
      <w:tr w14:paraId="0C0BA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58" w:type="dxa"/>
            <w:vAlign w:val="center"/>
          </w:tcPr>
          <w:p w14:paraId="2E2A5590">
            <w:pPr>
              <w:keepNext w:val="0"/>
              <w:keepLines w:val="0"/>
              <w:pageBreakBefore w:val="0"/>
              <w:widowControl w:val="0"/>
              <w:bidi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考核部门</w:t>
            </w:r>
          </w:p>
        </w:tc>
        <w:tc>
          <w:tcPr>
            <w:tcW w:w="2942" w:type="dxa"/>
            <w:gridSpan w:val="2"/>
            <w:vAlign w:val="center"/>
          </w:tcPr>
          <w:p w14:paraId="68514E20">
            <w:pPr>
              <w:keepNext w:val="0"/>
              <w:keepLines w:val="0"/>
              <w:pageBreakBefore w:val="0"/>
              <w:widowControl w:val="0"/>
              <w:bidi w:val="0"/>
              <w:spacing w:line="360" w:lineRule="auto"/>
              <w:ind w:firstLine="21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总务处</w:t>
            </w:r>
          </w:p>
        </w:tc>
        <w:tc>
          <w:tcPr>
            <w:tcW w:w="1524" w:type="dxa"/>
            <w:vAlign w:val="center"/>
          </w:tcPr>
          <w:p w14:paraId="109BFFC2">
            <w:pPr>
              <w:keepNext w:val="0"/>
              <w:keepLines w:val="0"/>
              <w:pageBreakBefore w:val="0"/>
              <w:widowControl w:val="0"/>
              <w:bidi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考核日期</w:t>
            </w:r>
          </w:p>
        </w:tc>
        <w:tc>
          <w:tcPr>
            <w:tcW w:w="2562" w:type="dxa"/>
            <w:vAlign w:val="center"/>
          </w:tcPr>
          <w:p w14:paraId="49F6C6B6">
            <w:pPr>
              <w:keepNext w:val="0"/>
              <w:keepLines w:val="0"/>
              <w:pageBreakBefore w:val="0"/>
              <w:widowControl w:val="0"/>
              <w:bidi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2026年  月  日</w:t>
            </w:r>
          </w:p>
        </w:tc>
      </w:tr>
      <w:tr w14:paraId="753D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958" w:type="dxa"/>
            <w:vMerge w:val="restart"/>
            <w:vAlign w:val="center"/>
          </w:tcPr>
          <w:p w14:paraId="267C8EF2">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考核内容</w:t>
            </w:r>
          </w:p>
        </w:tc>
        <w:tc>
          <w:tcPr>
            <w:tcW w:w="4466" w:type="dxa"/>
            <w:gridSpan w:val="3"/>
            <w:vAlign w:val="center"/>
          </w:tcPr>
          <w:p w14:paraId="0B5C6B28">
            <w:pPr>
              <w:keepNext w:val="0"/>
              <w:keepLines w:val="0"/>
              <w:pageBreakBefore w:val="0"/>
              <w:widowControl w:val="0"/>
              <w:numPr>
                <w:ilvl w:val="0"/>
                <w:numId w:val="0"/>
              </w:numPr>
              <w:bidi w:val="0"/>
              <w:spacing w:line="360" w:lineRule="auto"/>
              <w:ind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维度</w:t>
            </w:r>
          </w:p>
        </w:tc>
        <w:tc>
          <w:tcPr>
            <w:tcW w:w="2562" w:type="dxa"/>
            <w:vAlign w:val="center"/>
          </w:tcPr>
          <w:p w14:paraId="04502518">
            <w:pPr>
              <w:keepNext w:val="0"/>
              <w:keepLines w:val="0"/>
              <w:pageBreakBefore w:val="0"/>
              <w:widowControl w:val="0"/>
              <w:numPr>
                <w:ilvl w:val="0"/>
                <w:numId w:val="0"/>
              </w:numPr>
              <w:bidi w:val="0"/>
              <w:spacing w:line="360" w:lineRule="auto"/>
              <w:ind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评价</w:t>
            </w:r>
          </w:p>
        </w:tc>
      </w:tr>
      <w:tr w14:paraId="678D4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exact"/>
          <w:jc w:val="center"/>
        </w:trPr>
        <w:tc>
          <w:tcPr>
            <w:tcW w:w="1958" w:type="dxa"/>
            <w:vMerge w:val="continue"/>
            <w:vAlign w:val="center"/>
          </w:tcPr>
          <w:p w14:paraId="3CB7DECC">
            <w:pPr>
              <w:widowControl w:val="0"/>
              <w:spacing w:line="360" w:lineRule="auto"/>
              <w:jc w:val="center"/>
              <w:rPr>
                <w:rFonts w:hint="eastAsia" w:ascii="宋体" w:hAnsi="宋体" w:eastAsia="宋体" w:cs="宋体"/>
                <w:sz w:val="21"/>
                <w:szCs w:val="21"/>
                <w:vertAlign w:val="baseline"/>
                <w:lang w:val="en-US" w:eastAsia="zh-CN"/>
              </w:rPr>
            </w:pPr>
          </w:p>
        </w:tc>
        <w:tc>
          <w:tcPr>
            <w:tcW w:w="1781" w:type="dxa"/>
            <w:vAlign w:val="center"/>
          </w:tcPr>
          <w:p w14:paraId="0EE10EDA">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产品质量</w:t>
            </w:r>
          </w:p>
        </w:tc>
        <w:tc>
          <w:tcPr>
            <w:tcW w:w="2685" w:type="dxa"/>
            <w:gridSpan w:val="2"/>
            <w:vAlign w:val="center"/>
          </w:tcPr>
          <w:p w14:paraId="41A81D5C">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产品质量是否符合合同约定标准，不存在明显瑕疵等情况。（满分25分）</w:t>
            </w:r>
          </w:p>
        </w:tc>
        <w:tc>
          <w:tcPr>
            <w:tcW w:w="2562" w:type="dxa"/>
            <w:vAlign w:val="center"/>
          </w:tcPr>
          <w:p w14:paraId="785D8A03">
            <w:pPr>
              <w:keepNext w:val="0"/>
              <w:keepLines w:val="0"/>
              <w:pageBreakBefore w:val="0"/>
              <w:widowControl w:val="0"/>
              <w:bidi w:val="0"/>
              <w:spacing w:line="360" w:lineRule="auto"/>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达标：≥20分</w:t>
            </w:r>
          </w:p>
          <w:p w14:paraId="7DDB7E2D">
            <w:pPr>
              <w:keepNext w:val="0"/>
              <w:keepLines w:val="0"/>
              <w:pageBreakBefore w:val="0"/>
              <w:widowControl w:val="0"/>
              <w:bidi w:val="0"/>
              <w:spacing w:line="360" w:lineRule="auto"/>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不达标：＜20分</w:t>
            </w:r>
          </w:p>
        </w:tc>
      </w:tr>
      <w:tr w14:paraId="31B12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958" w:type="dxa"/>
            <w:vMerge w:val="continue"/>
            <w:vAlign w:val="center"/>
          </w:tcPr>
          <w:p w14:paraId="7590BF50">
            <w:pPr>
              <w:widowControl w:val="0"/>
              <w:spacing w:line="360" w:lineRule="auto"/>
              <w:jc w:val="center"/>
              <w:rPr>
                <w:rFonts w:hint="eastAsia" w:ascii="宋体" w:hAnsi="宋体" w:eastAsia="宋体" w:cs="宋体"/>
                <w:sz w:val="21"/>
                <w:szCs w:val="21"/>
                <w:vertAlign w:val="baseline"/>
                <w:lang w:val="en-US" w:eastAsia="zh-CN"/>
              </w:rPr>
            </w:pPr>
          </w:p>
        </w:tc>
        <w:tc>
          <w:tcPr>
            <w:tcW w:w="1781" w:type="dxa"/>
            <w:vAlign w:val="center"/>
          </w:tcPr>
          <w:p w14:paraId="2F77D8E0">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交付及时性</w:t>
            </w:r>
          </w:p>
        </w:tc>
        <w:tc>
          <w:tcPr>
            <w:tcW w:w="2685" w:type="dxa"/>
            <w:gridSpan w:val="2"/>
            <w:vAlign w:val="center"/>
          </w:tcPr>
          <w:p w14:paraId="3CF2D2D6">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是否按合同约定交付，无逾期、短缺等情况。（满分25分）</w:t>
            </w:r>
          </w:p>
        </w:tc>
        <w:tc>
          <w:tcPr>
            <w:tcW w:w="2562" w:type="dxa"/>
            <w:vAlign w:val="center"/>
          </w:tcPr>
          <w:p w14:paraId="641675AD">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及时：≥20分</w:t>
            </w:r>
          </w:p>
          <w:p w14:paraId="698BDD41">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不及时：＜20分</w:t>
            </w:r>
          </w:p>
        </w:tc>
      </w:tr>
      <w:tr w14:paraId="489C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exact"/>
          <w:jc w:val="center"/>
        </w:trPr>
        <w:tc>
          <w:tcPr>
            <w:tcW w:w="1958" w:type="dxa"/>
            <w:vMerge w:val="continue"/>
            <w:vAlign w:val="center"/>
          </w:tcPr>
          <w:p w14:paraId="75028727">
            <w:pPr>
              <w:keepNext w:val="0"/>
              <w:keepLines w:val="0"/>
              <w:pageBreakBefore w:val="0"/>
              <w:widowControl w:val="0"/>
              <w:numPr>
                <w:ilvl w:val="0"/>
                <w:numId w:val="0"/>
              </w:numPr>
              <w:bidi w:val="0"/>
              <w:spacing w:line="360" w:lineRule="auto"/>
              <w:ind w:firstLine="0"/>
              <w:jc w:val="center"/>
              <w:rPr>
                <w:rFonts w:hint="eastAsia" w:ascii="宋体" w:hAnsi="宋体" w:eastAsia="宋体" w:cs="宋体"/>
                <w:sz w:val="21"/>
                <w:szCs w:val="21"/>
                <w:vertAlign w:val="baseline"/>
                <w:lang w:val="en-US" w:eastAsia="zh-CN"/>
              </w:rPr>
            </w:pPr>
          </w:p>
        </w:tc>
        <w:tc>
          <w:tcPr>
            <w:tcW w:w="1781" w:type="dxa"/>
            <w:vAlign w:val="center"/>
          </w:tcPr>
          <w:p w14:paraId="4931BD5D">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履约合规性</w:t>
            </w:r>
          </w:p>
        </w:tc>
        <w:tc>
          <w:tcPr>
            <w:tcW w:w="2685" w:type="dxa"/>
            <w:gridSpan w:val="2"/>
            <w:vAlign w:val="center"/>
          </w:tcPr>
          <w:p w14:paraId="628144BD">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是否严格遵守合同条款，无违约、擅自变更约定等行为。（满分25分）</w:t>
            </w:r>
          </w:p>
        </w:tc>
        <w:tc>
          <w:tcPr>
            <w:tcW w:w="2562" w:type="dxa"/>
            <w:vAlign w:val="center"/>
          </w:tcPr>
          <w:p w14:paraId="1ABAE778">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合规：≥20分</w:t>
            </w:r>
          </w:p>
          <w:p w14:paraId="5DC70560">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不合规：＜20分</w:t>
            </w:r>
          </w:p>
        </w:tc>
      </w:tr>
      <w:tr w14:paraId="18293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exact"/>
          <w:jc w:val="center"/>
        </w:trPr>
        <w:tc>
          <w:tcPr>
            <w:tcW w:w="1958" w:type="dxa"/>
            <w:vMerge w:val="continue"/>
            <w:vAlign w:val="center"/>
          </w:tcPr>
          <w:p w14:paraId="23409765">
            <w:pPr>
              <w:keepNext w:val="0"/>
              <w:keepLines w:val="0"/>
              <w:pageBreakBefore w:val="0"/>
              <w:widowControl w:val="0"/>
              <w:numPr>
                <w:ilvl w:val="0"/>
                <w:numId w:val="0"/>
              </w:numPr>
              <w:bidi w:val="0"/>
              <w:spacing w:line="360" w:lineRule="auto"/>
              <w:ind w:firstLine="0"/>
              <w:jc w:val="center"/>
              <w:rPr>
                <w:rFonts w:hint="eastAsia" w:ascii="宋体" w:hAnsi="宋体" w:eastAsia="宋体" w:cs="宋体"/>
                <w:sz w:val="21"/>
                <w:szCs w:val="21"/>
                <w:vertAlign w:val="baseline"/>
                <w:lang w:val="en-US" w:eastAsia="zh-CN"/>
              </w:rPr>
            </w:pPr>
          </w:p>
        </w:tc>
        <w:tc>
          <w:tcPr>
            <w:tcW w:w="1781" w:type="dxa"/>
            <w:vAlign w:val="center"/>
          </w:tcPr>
          <w:p w14:paraId="3DB91BD6">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服务态度</w:t>
            </w:r>
          </w:p>
        </w:tc>
        <w:tc>
          <w:tcPr>
            <w:tcW w:w="2685" w:type="dxa"/>
            <w:gridSpan w:val="2"/>
            <w:vAlign w:val="center"/>
          </w:tcPr>
          <w:p w14:paraId="70543B31">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是否对接顺畅，反馈问题及时响应，售后处理高效合规。（满分25分）</w:t>
            </w:r>
          </w:p>
        </w:tc>
        <w:tc>
          <w:tcPr>
            <w:tcW w:w="2562" w:type="dxa"/>
            <w:vAlign w:val="center"/>
          </w:tcPr>
          <w:p w14:paraId="67DFFE61">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合格：≥20分</w:t>
            </w:r>
          </w:p>
          <w:p w14:paraId="0BBE3C01">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不合格：＜20分</w:t>
            </w:r>
          </w:p>
        </w:tc>
      </w:tr>
      <w:tr w14:paraId="0D8B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958" w:type="dxa"/>
            <w:vAlign w:val="center"/>
          </w:tcPr>
          <w:p w14:paraId="40B948C9">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考评标准</w:t>
            </w:r>
          </w:p>
        </w:tc>
        <w:tc>
          <w:tcPr>
            <w:tcW w:w="7028" w:type="dxa"/>
            <w:gridSpan w:val="4"/>
            <w:vAlign w:val="center"/>
          </w:tcPr>
          <w:p w14:paraId="295F4A94">
            <w:pPr>
              <w:keepNext w:val="0"/>
              <w:keepLines w:val="0"/>
              <w:pageBreakBefore w:val="0"/>
              <w:widowControl w:val="0"/>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highlight w:val="none"/>
                <w:vertAlign w:val="baseline"/>
                <w:lang w:val="en-US" w:eastAsia="zh-CN"/>
              </w:rPr>
              <w:t>以上考核项目均≥20分视为考核合格</w:t>
            </w:r>
          </w:p>
        </w:tc>
      </w:tr>
      <w:tr w14:paraId="2BA85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958" w:type="dxa"/>
            <w:vAlign w:val="center"/>
          </w:tcPr>
          <w:p w14:paraId="517E2B61">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签字确认</w:t>
            </w:r>
          </w:p>
        </w:tc>
        <w:tc>
          <w:tcPr>
            <w:tcW w:w="7028" w:type="dxa"/>
            <w:gridSpan w:val="4"/>
          </w:tcPr>
          <w:p w14:paraId="212231BE">
            <w:pPr>
              <w:widowControl w:val="0"/>
              <w:spacing w:line="360" w:lineRule="auto"/>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总务处：</w:t>
            </w:r>
          </w:p>
          <w:p w14:paraId="151909A8">
            <w:pPr>
              <w:widowControl w:val="0"/>
              <w:spacing w:line="360" w:lineRule="auto"/>
              <w:jc w:val="righ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2026年    月    日</w:t>
            </w:r>
          </w:p>
        </w:tc>
      </w:tr>
    </w:tbl>
    <w:p w14:paraId="0BE9B341">
      <w:pPr>
        <w:keepLines w:val="0"/>
        <w:pageBreakBefore w:val="0"/>
        <w:widowControl w:val="0"/>
        <w:bidi w:val="0"/>
        <w:spacing w:line="360" w:lineRule="auto"/>
        <w:ind w:left="0" w:firstLine="420"/>
        <w:jc w:val="both"/>
        <w:rPr>
          <w:rFonts w:hint="default" w:ascii="宋体" w:hAnsi="宋体" w:eastAsia="宋体" w:cs="宋体"/>
          <w:sz w:val="21"/>
          <w:szCs w:val="21"/>
          <w:lang w:val="en-US" w:eastAsia="zh-CN" w:bidi="ar-SA"/>
        </w:rPr>
      </w:pPr>
    </w:p>
    <w:p w14:paraId="51A9755D">
      <w:pPr>
        <w:keepNext w:val="0"/>
        <w:keepLines w:val="0"/>
        <w:pageBreakBefore w:val="0"/>
        <w:widowControl w:val="0"/>
        <w:bidi w:val="0"/>
        <w:spacing w:line="360" w:lineRule="auto"/>
        <w:ind w:firstLine="420"/>
        <w:jc w:val="left"/>
        <w:rPr>
          <w:rFonts w:ascii="Times New Roman" w:hAnsi="Times New Roman" w:eastAsia="Times New Roman" w:cs="Times New Roman"/>
          <w:sz w:val="21"/>
          <w:szCs w:val="21"/>
          <w:highlight w:val="none"/>
        </w:rPr>
      </w:pPr>
    </w:p>
    <w:p w14:paraId="2A0E37E2">
      <w:pPr>
        <w:widowControl w:val="0"/>
        <w:spacing w:before="0" w:after="0"/>
        <w:jc w:val="center"/>
        <w:rPr>
          <w:rFonts w:ascii="Times New Roman" w:hAnsi="Times New Roman" w:eastAsia="Times New Roman" w:cs="Times New Roman"/>
          <w:sz w:val="36"/>
          <w:szCs w:val="36"/>
          <w:highlight w:val="none"/>
        </w:rPr>
      </w:pPr>
      <w:r>
        <w:rPr>
          <w:rFonts w:ascii="黑体" w:hAnsi="黑体" w:eastAsia="黑体" w:cs="黑体"/>
          <w:sz w:val="36"/>
          <w:szCs w:val="36"/>
          <w:highlight w:val="none"/>
        </w:rPr>
        <w:br w:type="page" w:clear="all"/>
      </w:r>
      <w:r>
        <w:rPr>
          <w:rFonts w:ascii="黑体" w:hAnsi="黑体" w:eastAsia="黑体" w:cs="黑体"/>
          <w:sz w:val="36"/>
          <w:szCs w:val="36"/>
          <w:highlight w:val="none"/>
        </w:rPr>
        <w:t>第五章 合同草案条款</w:t>
      </w:r>
    </w:p>
    <w:p w14:paraId="6F563A19">
      <w:pPr>
        <w:widowControl w:val="0"/>
        <w:spacing w:before="0" w:after="0" w:line="500" w:lineRule="atLeast"/>
        <w:jc w:val="center"/>
        <w:rPr>
          <w:rFonts w:ascii="Times New Roman" w:hAnsi="Times New Roman" w:eastAsia="Times New Roman" w:cs="Times New Roman"/>
          <w:highlight w:val="none"/>
        </w:rPr>
      </w:pPr>
      <w:r>
        <w:rPr>
          <w:rFonts w:ascii="宋体" w:hAnsi="宋体" w:eastAsia="宋体" w:cs="宋体"/>
          <w:b/>
          <w:bCs/>
          <w:highlight w:val="none"/>
        </w:rPr>
        <w:t>（参考格式，本合同内容条款在正式签署前可具体补充细化，仅作参考，最终合同以采购人审查通过的版本为准）</w:t>
      </w:r>
    </w:p>
    <w:p w14:paraId="0355F52A">
      <w:pPr>
        <w:spacing w:before="290" w:after="0"/>
        <w:jc w:val="center"/>
        <w:rPr>
          <w:rFonts w:ascii="Times New Roman" w:hAnsi="Times New Roman" w:eastAsia="Times New Roman" w:cs="Times New Roman"/>
          <w:highlight w:val="none"/>
        </w:rPr>
      </w:pPr>
      <w:r>
        <w:rPr>
          <w:rFonts w:ascii="宋体" w:hAnsi="宋体" w:eastAsia="宋体" w:cs="宋体"/>
          <w:b/>
          <w:bCs/>
          <w:highlight w:val="none"/>
        </w:rPr>
        <w:t>江苏省肿瘤医院采购合同(服务)</w:t>
      </w:r>
    </w:p>
    <w:p w14:paraId="45B0F173">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甲方：江苏省肿瘤防治研究所(江苏省肿瘤医院)</w:t>
      </w:r>
      <w:r>
        <w:rPr>
          <w:rFonts w:ascii="宋体" w:hAnsi="宋体" w:eastAsia="宋体" w:cs="宋体"/>
          <w:sz w:val="21"/>
          <w:szCs w:val="21"/>
          <w:highlight w:val="none"/>
        </w:rPr>
        <w:br w:type="textWrapping"/>
      </w:r>
      <w:r>
        <w:rPr>
          <w:rFonts w:ascii="宋体" w:hAnsi="宋体" w:eastAsia="宋体" w:cs="宋体"/>
          <w:sz w:val="21"/>
          <w:szCs w:val="21"/>
          <w:highlight w:val="none"/>
        </w:rPr>
        <w:t>乙方：</w:t>
      </w:r>
      <w:r>
        <w:rPr>
          <w:rFonts w:ascii="宋体" w:hAnsi="宋体" w:eastAsia="宋体" w:cs="宋体"/>
          <w:sz w:val="21"/>
          <w:szCs w:val="21"/>
          <w:highlight w:val="none"/>
          <w:u w:val="single"/>
        </w:rPr>
        <w:t xml:space="preserve">                                 </w:t>
      </w:r>
    </w:p>
    <w:p w14:paraId="0BF5FDF8">
      <w:pPr>
        <w:spacing w:before="0" w:after="0"/>
        <w:ind w:firstLine="420"/>
        <w:rPr>
          <w:rFonts w:ascii="Times New Roman" w:hAnsi="Times New Roman" w:eastAsia="Times New Roman" w:cs="Times New Roman"/>
          <w:sz w:val="21"/>
          <w:szCs w:val="21"/>
          <w:highlight w:val="none"/>
        </w:rPr>
      </w:pPr>
    </w:p>
    <w:p w14:paraId="12D74F64">
      <w:pPr>
        <w:spacing w:before="0" w:after="0"/>
        <w:ind w:firstLine="420"/>
        <w:rPr>
          <w:rFonts w:ascii="Times New Roman" w:hAnsi="Times New Roman" w:eastAsia="Times New Roman" w:cs="Times New Roman"/>
          <w:sz w:val="21"/>
          <w:szCs w:val="21"/>
          <w:highlight w:val="none"/>
        </w:rPr>
      </w:pPr>
      <w:r>
        <w:rPr>
          <w:rFonts w:ascii="宋体" w:hAnsi="宋体" w:eastAsia="宋体" w:cs="宋体"/>
          <w:sz w:val="21"/>
          <w:szCs w:val="21"/>
          <w:highlight w:val="none"/>
        </w:rPr>
        <w:t>依据(中华人民共和国民法典》、《中华人民共和国政府采购法》等有关法律法规以及《江苏省肿瘤医院合同管理制度》，遵循平等、自愿、公平和诚实信用的原则，经</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年</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月</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日招标代理公司名称 </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公开招标(招标编号:</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)，就乙方为甲方提供以下服务，制定本合同。</w:t>
      </w:r>
    </w:p>
    <w:p w14:paraId="3C18D957">
      <w:pPr>
        <w:spacing w:before="0" w:after="0"/>
        <w:rPr>
          <w:rFonts w:ascii="Times New Roman" w:hAnsi="Times New Roman" w:eastAsia="Times New Roman" w:cs="Times New Roman"/>
          <w:sz w:val="21"/>
          <w:szCs w:val="21"/>
          <w:highlight w:val="none"/>
        </w:rPr>
      </w:pPr>
    </w:p>
    <w:p w14:paraId="2F54137B">
      <w:pPr>
        <w:spacing w:before="0" w:after="0"/>
        <w:ind w:firstLine="210"/>
        <w:rPr>
          <w:rFonts w:ascii="Times New Roman" w:hAnsi="Times New Roman" w:eastAsia="Times New Roman" w:cs="Times New Roman"/>
          <w:sz w:val="21"/>
          <w:szCs w:val="21"/>
          <w:highlight w:val="none"/>
        </w:rPr>
      </w:pPr>
      <w:r>
        <w:rPr>
          <w:rFonts w:ascii="宋体" w:hAnsi="宋体" w:eastAsia="宋体" w:cs="宋体"/>
          <w:sz w:val="21"/>
          <w:szCs w:val="21"/>
          <w:highlight w:val="none"/>
        </w:rPr>
        <w:t>一、</w:t>
      </w:r>
      <w:r>
        <w:rPr>
          <w:rFonts w:ascii="宋体" w:hAnsi="宋体" w:eastAsia="宋体" w:cs="宋体"/>
          <w:b/>
          <w:bCs/>
          <w:sz w:val="21"/>
          <w:szCs w:val="21"/>
          <w:highlight w:val="none"/>
        </w:rPr>
        <w:t>服务内容</w:t>
      </w:r>
      <w:r>
        <w:rPr>
          <w:rFonts w:ascii="宋体" w:hAnsi="宋体" w:eastAsia="宋体" w:cs="宋体"/>
          <w:b/>
          <w:bCs/>
          <w:sz w:val="21"/>
          <w:szCs w:val="21"/>
          <w:highlight w:val="none"/>
        </w:rPr>
        <w:br w:type="textWrapping"/>
      </w:r>
      <w:r>
        <w:rPr>
          <w:rFonts w:ascii="宋体" w:hAnsi="宋体" w:eastAsia="宋体" w:cs="宋体"/>
          <w:sz w:val="21"/>
          <w:szCs w:val="21"/>
          <w:highlight w:val="none"/>
        </w:rPr>
        <w:t>1.1 乙方应根据甲方的需求，提供以下服务：</w:t>
      </w:r>
      <w:r>
        <w:rPr>
          <w:rFonts w:ascii="宋体" w:hAnsi="宋体" w:eastAsia="宋体" w:cs="宋体"/>
          <w:sz w:val="21"/>
          <w:szCs w:val="21"/>
          <w:highlight w:val="none"/>
        </w:rPr>
        <w:br w:type="textWrapping"/>
      </w:r>
      <w:r>
        <w:rPr>
          <w:rFonts w:ascii="宋体" w:hAnsi="宋体" w:eastAsia="宋体" w:cs="宋体"/>
          <w:sz w:val="21"/>
          <w:szCs w:val="21"/>
          <w:highlight w:val="none"/>
          <w:u w:val="single"/>
        </w:rPr>
        <w:t xml:space="preserve">                                               </w:t>
      </w:r>
    </w:p>
    <w:p w14:paraId="34DC51FB">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具体服务内容详见附件《服务清单》或乙方投标（响应）文件。</w:t>
      </w:r>
      <w:r>
        <w:rPr>
          <w:rFonts w:ascii="宋体" w:hAnsi="宋体" w:eastAsia="宋体" w:cs="宋体"/>
          <w:sz w:val="21"/>
          <w:szCs w:val="21"/>
          <w:highlight w:val="none"/>
        </w:rPr>
        <w:br w:type="textWrapping"/>
      </w:r>
      <w:r>
        <w:rPr>
          <w:rFonts w:ascii="宋体" w:hAnsi="宋体" w:eastAsia="宋体" w:cs="宋体"/>
          <w:sz w:val="21"/>
          <w:szCs w:val="21"/>
          <w:highlight w:val="none"/>
        </w:rPr>
        <w:t>1.2 乙方所提供的服务必须与采购文件或《投标(响应)文件》一致。</w:t>
      </w:r>
    </w:p>
    <w:p w14:paraId="02D6DA04">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二、服务期限</w:t>
      </w:r>
    </w:p>
    <w:p w14:paraId="6D0C190F">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2.1 本合同服务期限：</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到</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w:t>
      </w:r>
    </w:p>
    <w:p w14:paraId="2B40416E">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2.2 乙方应在本合同约定的服务期限内完成服务。</w:t>
      </w:r>
    </w:p>
    <w:p w14:paraId="31B09174">
      <w:pPr>
        <w:spacing w:before="0" w:after="0"/>
        <w:rPr>
          <w:rFonts w:ascii="Times New Roman" w:hAnsi="Times New Roman" w:eastAsia="Times New Roman" w:cs="Times New Roman"/>
          <w:sz w:val="21"/>
          <w:szCs w:val="21"/>
          <w:highlight w:val="none"/>
        </w:rPr>
      </w:pPr>
    </w:p>
    <w:p w14:paraId="2F983C35">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三、合同金额</w:t>
      </w:r>
      <w:r>
        <w:rPr>
          <w:rFonts w:ascii="宋体" w:hAnsi="宋体" w:eastAsia="宋体" w:cs="宋体"/>
          <w:b/>
          <w:bCs/>
          <w:sz w:val="21"/>
          <w:szCs w:val="21"/>
          <w:highlight w:val="none"/>
        </w:rPr>
        <w:br w:type="textWrapping"/>
      </w:r>
      <w:r>
        <w:rPr>
          <w:rFonts w:ascii="宋体" w:hAnsi="宋体" w:eastAsia="宋体" w:cs="宋体"/>
          <w:sz w:val="21"/>
          <w:szCs w:val="21"/>
          <w:highlight w:val="none"/>
        </w:rPr>
        <w:t>3.1本合同金额为人民币(大写)：</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（小写：￥</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w:t>
      </w:r>
    </w:p>
    <w:p w14:paraId="71928739">
      <w:pPr>
        <w:spacing w:before="0" w:after="0"/>
        <w:rPr>
          <w:rFonts w:ascii="Times New Roman" w:hAnsi="Times New Roman" w:eastAsia="Times New Roman" w:cs="Times New Roman"/>
          <w:sz w:val="21"/>
          <w:szCs w:val="21"/>
          <w:highlight w:val="none"/>
        </w:rPr>
      </w:pPr>
    </w:p>
    <w:p w14:paraId="2B036A38">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四、双方权利和义务</w:t>
      </w:r>
    </w:p>
    <w:p w14:paraId="19F4BD3B">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4.1 甲方权利与义务：</w:t>
      </w:r>
    </w:p>
    <w:p w14:paraId="1768CA78">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4.1.1提供必要的服务场所和条件；</w:t>
      </w:r>
    </w:p>
    <w:p w14:paraId="7D366DFB">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4.1.2按本合同约定支付服务费用；</w:t>
      </w:r>
    </w:p>
    <w:p w14:paraId="7336A65C">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4.1.3对乙方服务进行检查、监督和评估。</w:t>
      </w:r>
    </w:p>
    <w:p w14:paraId="72F43C08">
      <w:pPr>
        <w:spacing w:before="0" w:after="0"/>
        <w:rPr>
          <w:rFonts w:ascii="Times New Roman" w:hAnsi="Times New Roman" w:eastAsia="Times New Roman" w:cs="Times New Roman"/>
          <w:sz w:val="21"/>
          <w:szCs w:val="21"/>
          <w:highlight w:val="none"/>
        </w:rPr>
      </w:pPr>
    </w:p>
    <w:p w14:paraId="3C143A77">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4.2 乙方权利与义务：</w:t>
      </w:r>
    </w:p>
    <w:p w14:paraId="39C8591C">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4.2.1 应按照本合同约定提供服务，确保服务质量符合国家规定和行业标准；</w:t>
      </w:r>
    </w:p>
    <w:p w14:paraId="765D4C9E">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4.2.2 按照甲方的要求，及时完成服务；</w:t>
      </w:r>
    </w:p>
    <w:p w14:paraId="78038504">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4.2.3 应保证其提供的服务人员具备相应的职业资格和经验；</w:t>
      </w:r>
    </w:p>
    <w:p w14:paraId="2E8BE4C3">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4.2.4 保障服务过程中的安全和质量；</w:t>
      </w:r>
    </w:p>
    <w:p w14:paraId="5590BE91">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4.2.5 对服务中的问题及时进行整改；</w:t>
      </w:r>
    </w:p>
    <w:p w14:paraId="4469BC80">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4.2.6其他按照投标文件要求执行。</w:t>
      </w:r>
    </w:p>
    <w:p w14:paraId="7E148222">
      <w:pPr>
        <w:spacing w:before="0" w:after="0"/>
        <w:rPr>
          <w:rFonts w:ascii="Times New Roman" w:hAnsi="Times New Roman" w:eastAsia="Times New Roman" w:cs="Times New Roman"/>
          <w:sz w:val="21"/>
          <w:szCs w:val="21"/>
          <w:highlight w:val="none"/>
        </w:rPr>
      </w:pPr>
    </w:p>
    <w:p w14:paraId="73EC2CEF">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五、技术资料</w:t>
      </w:r>
      <w:r>
        <w:rPr>
          <w:rFonts w:ascii="宋体" w:hAnsi="宋体" w:eastAsia="宋体" w:cs="宋体"/>
          <w:b/>
          <w:bCs/>
          <w:sz w:val="21"/>
          <w:szCs w:val="21"/>
          <w:highlight w:val="none"/>
        </w:rPr>
        <w:br w:type="textWrapping"/>
      </w:r>
      <w:r>
        <w:rPr>
          <w:rFonts w:ascii="宋体" w:hAnsi="宋体" w:eastAsia="宋体" w:cs="宋体"/>
          <w:sz w:val="21"/>
          <w:szCs w:val="21"/>
          <w:highlight w:val="none"/>
        </w:rPr>
        <w:t>5.1乙方应按投标文件规定的时间向甲方提供相关服务的有关技术资料。</w:t>
      </w:r>
    </w:p>
    <w:p w14:paraId="06E514D1">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5.2 没有甲方事先书面同意，乙方不得将由甲方提供的有关合同或任何合同条文、规格、计划、图纸、样品或资料提供给与履行本合同无关的任何其他人。即使履行本合同有关的人员提供，也应注意保密并限于履行合同的必需范围。</w:t>
      </w:r>
      <w:r>
        <w:rPr>
          <w:rFonts w:ascii="宋体" w:hAnsi="宋体" w:eastAsia="宋体" w:cs="宋体"/>
          <w:sz w:val="21"/>
          <w:szCs w:val="21"/>
          <w:highlight w:val="none"/>
        </w:rPr>
        <w:br w:type="textWrapping"/>
      </w:r>
    </w:p>
    <w:p w14:paraId="6C0B676E">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六、权利保证</w:t>
      </w:r>
      <w:r>
        <w:rPr>
          <w:rFonts w:ascii="宋体" w:hAnsi="宋体" w:eastAsia="宋体" w:cs="宋体"/>
          <w:b/>
          <w:bCs/>
          <w:sz w:val="21"/>
          <w:szCs w:val="21"/>
          <w:highlight w:val="none"/>
        </w:rPr>
        <w:br w:type="textWrapping"/>
      </w:r>
      <w:r>
        <w:rPr>
          <w:rFonts w:ascii="宋体" w:hAnsi="宋体" w:eastAsia="宋体" w:cs="宋体"/>
          <w:sz w:val="21"/>
          <w:szCs w:val="21"/>
          <w:highlight w:val="none"/>
        </w:rPr>
        <w:t>6.1乙方应保证甲方在使用本合同服务或其任何一部分时不受第三方提出侵犯其专利权、版权、商标权或其他权利的起诉。 一旦出现侵权，由乙方负全部责任。</w:t>
      </w:r>
    </w:p>
    <w:p w14:paraId="2D53D857">
      <w:pPr>
        <w:widowControl w:val="0"/>
        <w:spacing w:before="0" w:after="200"/>
        <w:rPr>
          <w:rFonts w:ascii="Times New Roman" w:hAnsi="Times New Roman" w:eastAsia="Times New Roman" w:cs="Times New Roman"/>
          <w:sz w:val="21"/>
          <w:szCs w:val="21"/>
          <w:highlight w:val="none"/>
        </w:rPr>
      </w:pPr>
      <w:r>
        <w:rPr>
          <w:rFonts w:ascii="宋体" w:hAnsi="宋体" w:eastAsia="宋体" w:cs="宋体"/>
          <w:sz w:val="21"/>
          <w:szCs w:val="21"/>
          <w:highlight w:val="none"/>
        </w:rPr>
        <w:t>6.2 乙方需为己方员工按规定缴纳法律规定的社会保险，妥善处理已达退休年龄但未享受养老保险待遇人员的人身损害问题，必要时可购买雇主责任险，避免产生纠纷影响甲方正常工作秩序。</w:t>
      </w:r>
    </w:p>
    <w:p w14:paraId="1651891B">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七、履约保证金</w:t>
      </w:r>
      <w:r>
        <w:rPr>
          <w:rFonts w:ascii="宋体" w:hAnsi="宋体" w:eastAsia="宋体" w:cs="宋体"/>
          <w:b/>
          <w:bCs/>
          <w:sz w:val="21"/>
          <w:szCs w:val="21"/>
          <w:highlight w:val="none"/>
        </w:rPr>
        <w:br w:type="textWrapping"/>
      </w:r>
      <w:r>
        <w:rPr>
          <w:rFonts w:ascii="宋体" w:hAnsi="宋体" w:eastAsia="宋体" w:cs="宋体"/>
          <w:sz w:val="21"/>
          <w:szCs w:val="21"/>
          <w:highlight w:val="none"/>
        </w:rPr>
        <w:t>7.1自合同签订之日起5个工作日内，乙方须向甲方交纳人民币</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元（大写：</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)作为本合同的履约保证金，乙方按照约定认真履行合同且未发生不退回履约保证金的事项时，甲方自合同期满之日起的30日内无息退回乙方。</w:t>
      </w:r>
    </w:p>
    <w:p w14:paraId="069654B6">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7.2因乙方原因导致甲方终止合同时，甲方不退回履约保证金给乙方。</w:t>
      </w:r>
    </w:p>
    <w:p w14:paraId="2706CF6A">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7.3乙方未经甲方同意擅自终止合同时，甲方不退回履约保证金给乙方。</w:t>
      </w:r>
    </w:p>
    <w:p w14:paraId="033597FA">
      <w:pPr>
        <w:widowControl w:val="0"/>
        <w:spacing w:before="0" w:after="200"/>
        <w:rPr>
          <w:rFonts w:ascii="Times New Roman" w:hAnsi="Times New Roman" w:eastAsia="Times New Roman" w:cs="Times New Roman"/>
          <w:sz w:val="21"/>
          <w:szCs w:val="21"/>
          <w:highlight w:val="none"/>
        </w:rPr>
      </w:pPr>
    </w:p>
    <w:p w14:paraId="40B02D14">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八、转包或分包</w:t>
      </w:r>
      <w:r>
        <w:rPr>
          <w:rFonts w:ascii="宋体" w:hAnsi="宋体" w:eastAsia="宋体" w:cs="宋体"/>
          <w:b/>
          <w:bCs/>
          <w:sz w:val="21"/>
          <w:szCs w:val="21"/>
          <w:highlight w:val="none"/>
        </w:rPr>
        <w:br w:type="textWrapping"/>
      </w:r>
      <w:r>
        <w:rPr>
          <w:rFonts w:ascii="宋体" w:hAnsi="宋体" w:eastAsia="宋体" w:cs="宋体"/>
          <w:sz w:val="21"/>
          <w:szCs w:val="21"/>
          <w:highlight w:val="none"/>
        </w:rPr>
        <w:t>8.1本合同范围的服务一般应由乙方直接供应，不得转让他人供应；除非得到甲方的书面同意，乙方不得将本合同范围的服务全部或部分分包给他人供应；如有转让和未经甲方同意的分包行为，甲方有权解除合同，并追究乙方的违约责任。</w:t>
      </w:r>
    </w:p>
    <w:p w14:paraId="3F9C8A90">
      <w:pPr>
        <w:widowControl w:val="0"/>
        <w:spacing w:before="0" w:after="0"/>
        <w:jc w:val="left"/>
        <w:rPr>
          <w:rFonts w:ascii="Times New Roman" w:hAnsi="Times New Roman" w:eastAsia="Times New Roman" w:cs="Times New Roman"/>
          <w:sz w:val="21"/>
          <w:szCs w:val="21"/>
          <w:highlight w:val="none"/>
        </w:rPr>
      </w:pPr>
    </w:p>
    <w:p w14:paraId="432DC7EE">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九、款项支付</w:t>
      </w:r>
      <w:r>
        <w:rPr>
          <w:rFonts w:ascii="宋体" w:hAnsi="宋体" w:eastAsia="宋体" w:cs="宋体"/>
          <w:b/>
          <w:bCs/>
          <w:sz w:val="21"/>
          <w:szCs w:val="21"/>
          <w:highlight w:val="none"/>
        </w:rPr>
        <w:br w:type="textWrapping"/>
      </w:r>
      <w:r>
        <w:rPr>
          <w:rFonts w:ascii="宋体" w:hAnsi="宋体" w:eastAsia="宋体" w:cs="宋体"/>
          <w:sz w:val="21"/>
          <w:szCs w:val="21"/>
          <w:highlight w:val="none"/>
        </w:rPr>
        <w:t>9.1款项支付方式、时间及条件：</w:t>
      </w:r>
    </w:p>
    <w:tbl>
      <w:tblPr>
        <w:tblStyle w:val="191"/>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20"/>
        <w:gridCol w:w="1693"/>
        <w:gridCol w:w="1712"/>
        <w:gridCol w:w="1499"/>
        <w:gridCol w:w="2550"/>
      </w:tblGrid>
      <w:tr w14:paraId="15C8ED6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358" w:type="dxa"/>
            <w:tcBorders>
              <w:bottom w:val="single" w:color="000000" w:sz="6" w:space="0"/>
              <w:right w:val="single" w:color="000000" w:sz="6" w:space="0"/>
            </w:tcBorders>
            <w:noWrap w:val="0"/>
            <w:tcMar>
              <w:top w:w="8" w:type="dxa"/>
              <w:left w:w="108" w:type="dxa"/>
              <w:bottom w:w="8" w:type="dxa"/>
              <w:right w:w="108" w:type="dxa"/>
            </w:tcMar>
            <w:vAlign w:val="top"/>
          </w:tcPr>
          <w:p w14:paraId="4CC17B43">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付款阶段</w:t>
            </w:r>
          </w:p>
        </w:tc>
        <w:tc>
          <w:tcPr>
            <w:tcW w:w="1744"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5661CAD8">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金额</w:t>
            </w:r>
            <w:r>
              <w:rPr>
                <w:rFonts w:ascii="宋体" w:hAnsi="宋体" w:eastAsia="宋体" w:cs="宋体"/>
                <w:b w:val="0"/>
                <w:bCs w:val="0"/>
                <w:i w:val="0"/>
                <w:iCs w:val="0"/>
                <w:smallCaps w:val="0"/>
                <w:color w:val="000000"/>
                <w:sz w:val="20"/>
                <w:szCs w:val="20"/>
                <w:highlight w:val="none"/>
              </w:rPr>
              <w:t>(元)</w:t>
            </w:r>
          </w:p>
        </w:tc>
        <w:tc>
          <w:tcPr>
            <w:tcW w:w="1764"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772AB471">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人民币大写</w:t>
            </w:r>
          </w:p>
        </w:tc>
        <w:tc>
          <w:tcPr>
            <w:tcW w:w="1544"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38500BC2">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付款比例</w:t>
            </w:r>
          </w:p>
        </w:tc>
        <w:tc>
          <w:tcPr>
            <w:tcW w:w="2632" w:type="dxa"/>
            <w:tcBorders>
              <w:left w:val="single" w:color="000000" w:sz="6" w:space="0"/>
              <w:bottom w:val="single" w:color="000000" w:sz="6" w:space="0"/>
            </w:tcBorders>
            <w:noWrap w:val="0"/>
            <w:tcMar>
              <w:top w:w="8" w:type="dxa"/>
              <w:left w:w="108" w:type="dxa"/>
              <w:bottom w:w="8" w:type="dxa"/>
              <w:right w:w="108" w:type="dxa"/>
            </w:tcMar>
            <w:vAlign w:val="top"/>
          </w:tcPr>
          <w:p w14:paraId="558BCF10">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付款条件</w:t>
            </w:r>
          </w:p>
        </w:tc>
      </w:tr>
      <w:tr w14:paraId="6C9D27C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358" w:type="dxa"/>
            <w:tcBorders>
              <w:top w:val="single" w:color="000000" w:sz="6" w:space="0"/>
              <w:right w:val="single" w:color="000000" w:sz="6" w:space="0"/>
            </w:tcBorders>
            <w:noWrap w:val="0"/>
            <w:tcMar>
              <w:top w:w="8" w:type="dxa"/>
              <w:left w:w="108" w:type="dxa"/>
              <w:bottom w:w="8" w:type="dxa"/>
              <w:right w:w="108" w:type="dxa"/>
            </w:tcMar>
            <w:vAlign w:val="top"/>
          </w:tcPr>
          <w:p w14:paraId="505046C0">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p>
        </w:tc>
        <w:tc>
          <w:tcPr>
            <w:tcW w:w="1744"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3DC11523">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p>
        </w:tc>
        <w:tc>
          <w:tcPr>
            <w:tcW w:w="1764"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32C11907">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p>
        </w:tc>
        <w:tc>
          <w:tcPr>
            <w:tcW w:w="1544"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2E62A015">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p>
        </w:tc>
        <w:tc>
          <w:tcPr>
            <w:tcW w:w="2632" w:type="dxa"/>
            <w:tcBorders>
              <w:top w:val="single" w:color="000000" w:sz="6" w:space="0"/>
              <w:left w:val="single" w:color="000000" w:sz="6" w:space="0"/>
            </w:tcBorders>
            <w:noWrap w:val="0"/>
            <w:tcMar>
              <w:top w:w="8" w:type="dxa"/>
              <w:left w:w="108" w:type="dxa"/>
              <w:bottom w:w="8" w:type="dxa"/>
              <w:right w:w="108" w:type="dxa"/>
            </w:tcMar>
            <w:vAlign w:val="top"/>
          </w:tcPr>
          <w:p w14:paraId="635BF8C2">
            <w:pPr>
              <w:widowControl w:val="0"/>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p>
        </w:tc>
      </w:tr>
    </w:tbl>
    <w:p w14:paraId="236A8102">
      <w:pPr>
        <w:widowControl w:val="0"/>
        <w:spacing w:before="0" w:after="0"/>
        <w:jc w:val="left"/>
        <w:rPr>
          <w:rFonts w:ascii="Times New Roman" w:hAnsi="Times New Roman" w:eastAsia="Times New Roman" w:cs="Times New Roman"/>
          <w:sz w:val="21"/>
          <w:szCs w:val="21"/>
          <w:highlight w:val="none"/>
        </w:rPr>
      </w:pPr>
    </w:p>
    <w:p w14:paraId="6117F7FA">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9.2 乙方的开户银行、账户名称、银行账号以本合同提供的为准，如有变更，乙方应在合同规定的相关付款期限十天之前以书面方式通知甲方并加盖财务专用章。如未正确依照上述规定执行而影响相关款项的支付，由此产生的责任由乙方自负。</w:t>
      </w:r>
    </w:p>
    <w:p w14:paraId="584FF605">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9.3 合同付款前，甲方按照投标文件或合同附件中服务考核评价标准，对乙方提供的服务情况进行考核评价，并根据考核评价结果进行付款。</w:t>
      </w:r>
    </w:p>
    <w:p w14:paraId="4C484BAA">
      <w:pPr>
        <w:widowControl w:val="0"/>
        <w:spacing w:before="0" w:after="0"/>
        <w:jc w:val="left"/>
        <w:rPr>
          <w:rFonts w:ascii="Times New Roman" w:hAnsi="Times New Roman" w:eastAsia="Times New Roman" w:cs="Times New Roman"/>
          <w:sz w:val="21"/>
          <w:szCs w:val="21"/>
          <w:highlight w:val="none"/>
        </w:rPr>
      </w:pPr>
    </w:p>
    <w:p w14:paraId="5D67F310">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十、税</w:t>
      </w:r>
      <w:r>
        <w:rPr>
          <w:rFonts w:ascii="宋体" w:hAnsi="宋体" w:eastAsia="宋体" w:cs="宋体"/>
          <w:b/>
          <w:bCs/>
          <w:sz w:val="21"/>
          <w:szCs w:val="21"/>
          <w:highlight w:val="none"/>
        </w:rPr>
        <w:br w:type="textWrapping"/>
      </w:r>
      <w:r>
        <w:rPr>
          <w:rFonts w:ascii="宋体" w:hAnsi="宋体" w:eastAsia="宋体" w:cs="宋体"/>
          <w:sz w:val="21"/>
          <w:szCs w:val="21"/>
          <w:highlight w:val="none"/>
        </w:rPr>
        <w:t>10.1本合同执行中相关的一切税费均由乙方负担。</w:t>
      </w:r>
    </w:p>
    <w:p w14:paraId="055427A0">
      <w:pPr>
        <w:widowControl w:val="0"/>
        <w:spacing w:before="0" w:after="0"/>
        <w:jc w:val="left"/>
        <w:rPr>
          <w:rFonts w:ascii="Times New Roman" w:hAnsi="Times New Roman" w:eastAsia="Times New Roman" w:cs="Times New Roman"/>
          <w:sz w:val="21"/>
          <w:szCs w:val="21"/>
          <w:highlight w:val="none"/>
        </w:rPr>
      </w:pPr>
    </w:p>
    <w:p w14:paraId="6F694B59">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十一、质量保证</w:t>
      </w:r>
      <w:r>
        <w:rPr>
          <w:rFonts w:ascii="宋体" w:hAnsi="宋体" w:eastAsia="宋体" w:cs="宋体"/>
          <w:b/>
          <w:bCs/>
          <w:sz w:val="21"/>
          <w:szCs w:val="21"/>
          <w:highlight w:val="none"/>
        </w:rPr>
        <w:br w:type="textWrapping"/>
      </w:r>
      <w:r>
        <w:rPr>
          <w:rFonts w:ascii="宋体" w:hAnsi="宋体" w:eastAsia="宋体" w:cs="宋体"/>
          <w:sz w:val="21"/>
          <w:szCs w:val="21"/>
          <w:highlight w:val="none"/>
        </w:rPr>
        <w:t>11.1乙方所提供服务的技术规格应与招标文件规定的技术规格及所附的“技术规格响应表”相一致；若技术性能无特殊说明，则按国家有关部门最新颁布的标准及规范为准。如采购事项未通过招投标方式进行采购的，应当在合同或者合同附件中明确相关质量、技术标准、服务内容等。</w:t>
      </w:r>
    </w:p>
    <w:p w14:paraId="63E0B83D">
      <w:pPr>
        <w:widowControl w:val="0"/>
        <w:spacing w:before="0" w:after="0"/>
        <w:jc w:val="left"/>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br w:type="textWrapping"/>
      </w:r>
      <w:r>
        <w:rPr>
          <w:rFonts w:ascii="宋体" w:hAnsi="宋体" w:eastAsia="宋体" w:cs="宋体"/>
          <w:b/>
          <w:bCs/>
          <w:sz w:val="21"/>
          <w:szCs w:val="21"/>
          <w:highlight w:val="none"/>
        </w:rPr>
        <w:t>十二、服务交付</w:t>
      </w:r>
    </w:p>
    <w:p w14:paraId="6A586CAC">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12.1服务在交付甲方前发生的风险均由乙方负责。</w:t>
      </w:r>
    </w:p>
    <w:p w14:paraId="4D7801F6">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12.2服务在规定的交付期限内由乙方送达甲方指定的地点视为交付，乙方同时需通知甲方服务已送达。</w:t>
      </w:r>
    </w:p>
    <w:p w14:paraId="3BE75E3F">
      <w:pPr>
        <w:widowControl w:val="0"/>
        <w:spacing w:before="0" w:after="0"/>
        <w:jc w:val="left"/>
        <w:rPr>
          <w:rFonts w:ascii="Times New Roman" w:hAnsi="Times New Roman" w:eastAsia="Times New Roman" w:cs="Times New Roman"/>
          <w:sz w:val="21"/>
          <w:szCs w:val="21"/>
          <w:highlight w:val="none"/>
        </w:rPr>
      </w:pPr>
    </w:p>
    <w:p w14:paraId="5A3FA546">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十三、违约责任</w:t>
      </w:r>
    </w:p>
    <w:p w14:paraId="7B213C4F">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13.1乙方因违约行为导致甲方解除合同的，乙方应向甲方支付合同总值</w:t>
      </w:r>
      <w:r>
        <w:rPr>
          <w:rFonts w:ascii="宋体" w:hAnsi="宋体" w:eastAsia="宋体" w:cs="宋体"/>
          <w:sz w:val="21"/>
          <w:szCs w:val="21"/>
          <w:highlight w:val="none"/>
          <w:u w:val="single"/>
        </w:rPr>
        <w:t>5%</w:t>
      </w:r>
      <w:r>
        <w:rPr>
          <w:rFonts w:ascii="宋体" w:hAnsi="宋体" w:eastAsia="宋体" w:cs="宋体"/>
          <w:sz w:val="21"/>
          <w:szCs w:val="21"/>
          <w:highlight w:val="none"/>
        </w:rPr>
        <w:t>的违约金，如造成甲方损失超过违约金的，超出部分由乙方继续承担赔偿责任；</w:t>
      </w:r>
      <w:r>
        <w:rPr>
          <w:rFonts w:ascii="宋体" w:hAnsi="宋体" w:eastAsia="宋体" w:cs="宋体"/>
          <w:sz w:val="21"/>
          <w:szCs w:val="21"/>
          <w:highlight w:val="none"/>
        </w:rPr>
        <w:br w:type="textWrapping"/>
      </w:r>
      <w:r>
        <w:rPr>
          <w:rFonts w:ascii="宋体" w:hAnsi="宋体" w:eastAsia="宋体" w:cs="宋体"/>
          <w:sz w:val="21"/>
          <w:szCs w:val="21"/>
          <w:highlight w:val="none"/>
        </w:rPr>
        <w:t>13.2乙方所交的服务质量不符合合同规定及招标文件规定标准的，甲方有权拒收该服务，或如甲方愿意更换服务，乙方拒绝更换的，甲方可单方面解除合同，并追究乙方的违约责任，乙方应向甲方支付合同总值5%的违约金。</w:t>
      </w:r>
      <w:r>
        <w:rPr>
          <w:rFonts w:ascii="宋体" w:hAnsi="宋体" w:eastAsia="宋体" w:cs="宋体"/>
          <w:sz w:val="21"/>
          <w:szCs w:val="21"/>
          <w:highlight w:val="none"/>
        </w:rPr>
        <w:br w:type="textWrapping"/>
      </w:r>
    </w:p>
    <w:p w14:paraId="76B15A50">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十四、不可抗力事件处理</w:t>
      </w:r>
      <w:r>
        <w:rPr>
          <w:rFonts w:ascii="宋体" w:hAnsi="宋体" w:eastAsia="宋体" w:cs="宋体"/>
          <w:b/>
          <w:bCs/>
          <w:sz w:val="21"/>
          <w:szCs w:val="21"/>
          <w:highlight w:val="none"/>
        </w:rPr>
        <w:br w:type="textWrapping"/>
      </w:r>
      <w:r>
        <w:rPr>
          <w:rFonts w:ascii="宋体" w:hAnsi="宋体" w:eastAsia="宋体" w:cs="宋体"/>
          <w:sz w:val="21"/>
          <w:szCs w:val="21"/>
          <w:highlight w:val="none"/>
        </w:rPr>
        <w:t>14.1在合同有效期内，任何一方因不可抗力事件导致不能履行合同，则合同履</w:t>
      </w:r>
      <w:r>
        <w:rPr>
          <w:rFonts w:ascii="宋体" w:hAnsi="宋体" w:eastAsia="宋体" w:cs="宋体"/>
          <w:sz w:val="21"/>
          <w:szCs w:val="21"/>
          <w:highlight w:val="none"/>
        </w:rPr>
        <w:br w:type="textWrapping"/>
      </w:r>
      <w:r>
        <w:rPr>
          <w:rFonts w:ascii="宋体" w:hAnsi="宋体" w:eastAsia="宋体" w:cs="宋体"/>
          <w:sz w:val="21"/>
          <w:szCs w:val="21"/>
          <w:highlight w:val="none"/>
        </w:rPr>
        <w:t>期可延长，其延长期与不可抗力影响期相同；</w:t>
      </w:r>
    </w:p>
    <w:p w14:paraId="43680DB6">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14.2不可抗力事件发生后，应立即通知对方，并寄送有关权威机构出具的证明；</w:t>
      </w:r>
      <w:r>
        <w:rPr>
          <w:rFonts w:ascii="宋体" w:hAnsi="宋体" w:eastAsia="宋体" w:cs="宋体"/>
          <w:sz w:val="21"/>
          <w:szCs w:val="21"/>
          <w:highlight w:val="none"/>
        </w:rPr>
        <w:br w:type="textWrapping"/>
      </w:r>
      <w:r>
        <w:rPr>
          <w:rFonts w:ascii="宋体" w:hAnsi="宋体" w:eastAsia="宋体" w:cs="宋体"/>
          <w:sz w:val="21"/>
          <w:szCs w:val="21"/>
          <w:highlight w:val="none"/>
        </w:rPr>
        <w:t>14.3不可抗力事件延续</w:t>
      </w:r>
      <w:r>
        <w:rPr>
          <w:rFonts w:ascii="宋体" w:hAnsi="宋体" w:eastAsia="宋体" w:cs="宋体"/>
          <w:sz w:val="21"/>
          <w:szCs w:val="21"/>
          <w:highlight w:val="none"/>
          <w:u w:val="single"/>
        </w:rPr>
        <w:t>120</w:t>
      </w:r>
      <w:r>
        <w:rPr>
          <w:rFonts w:ascii="宋体" w:hAnsi="宋体" w:eastAsia="宋体" w:cs="宋体"/>
          <w:sz w:val="21"/>
          <w:szCs w:val="21"/>
          <w:highlight w:val="none"/>
        </w:rPr>
        <w:t>天以上，双方应通过友好协商，确定是否继续履行</w:t>
      </w:r>
      <w:r>
        <w:rPr>
          <w:rFonts w:ascii="宋体" w:hAnsi="宋体" w:eastAsia="宋体" w:cs="宋体"/>
          <w:sz w:val="21"/>
          <w:szCs w:val="21"/>
          <w:highlight w:val="none"/>
        </w:rPr>
        <w:br w:type="textWrapping"/>
      </w:r>
      <w:r>
        <w:rPr>
          <w:rFonts w:ascii="宋体" w:hAnsi="宋体" w:eastAsia="宋体" w:cs="宋体"/>
          <w:sz w:val="21"/>
          <w:szCs w:val="21"/>
          <w:highlight w:val="none"/>
        </w:rPr>
        <w:t>合同。</w:t>
      </w:r>
      <w:r>
        <w:rPr>
          <w:rFonts w:ascii="宋体" w:hAnsi="宋体" w:eastAsia="宋体" w:cs="宋体"/>
          <w:sz w:val="21"/>
          <w:szCs w:val="21"/>
          <w:highlight w:val="none"/>
        </w:rPr>
        <w:br w:type="textWrapping"/>
      </w:r>
    </w:p>
    <w:p w14:paraId="7F98A64F">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十五、诉讼</w:t>
      </w:r>
      <w:r>
        <w:rPr>
          <w:rFonts w:ascii="宋体" w:hAnsi="宋体" w:eastAsia="宋体" w:cs="宋体"/>
          <w:b/>
          <w:bCs/>
          <w:sz w:val="21"/>
          <w:szCs w:val="21"/>
          <w:highlight w:val="none"/>
        </w:rPr>
        <w:br w:type="textWrapping"/>
      </w:r>
      <w:r>
        <w:rPr>
          <w:rFonts w:ascii="宋体" w:hAnsi="宋体" w:eastAsia="宋体" w:cs="宋体"/>
          <w:sz w:val="21"/>
          <w:szCs w:val="21"/>
          <w:highlight w:val="none"/>
        </w:rPr>
        <w:t>15.1双方在执行合同中所发生的一切争议，应通过协商解决。如协商不成，可</w:t>
      </w:r>
      <w:r>
        <w:rPr>
          <w:rFonts w:ascii="宋体" w:hAnsi="宋体" w:eastAsia="宋体" w:cs="宋体"/>
          <w:sz w:val="21"/>
          <w:szCs w:val="21"/>
          <w:highlight w:val="none"/>
        </w:rPr>
        <w:br w:type="textWrapping"/>
      </w:r>
      <w:r>
        <w:rPr>
          <w:rFonts w:ascii="宋体" w:hAnsi="宋体" w:eastAsia="宋体" w:cs="宋体"/>
          <w:sz w:val="21"/>
          <w:szCs w:val="21"/>
          <w:highlight w:val="none"/>
        </w:rPr>
        <w:t>向合同签订地法院起诉，合同签订地在此约定为南京市玄武区。</w:t>
      </w:r>
    </w:p>
    <w:p w14:paraId="5CB8C6E8">
      <w:pPr>
        <w:spacing w:before="0" w:after="0"/>
        <w:rPr>
          <w:rFonts w:ascii="Times New Roman" w:hAnsi="Times New Roman" w:eastAsia="Times New Roman" w:cs="Times New Roman"/>
          <w:sz w:val="21"/>
          <w:szCs w:val="21"/>
          <w:highlight w:val="none"/>
        </w:rPr>
      </w:pPr>
    </w:p>
    <w:p w14:paraId="2B02D8D9">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十六、合同生效及其它</w:t>
      </w:r>
      <w:r>
        <w:rPr>
          <w:rFonts w:ascii="宋体" w:hAnsi="宋体" w:eastAsia="宋体" w:cs="宋体"/>
          <w:b/>
          <w:bCs/>
          <w:sz w:val="21"/>
          <w:szCs w:val="21"/>
          <w:highlight w:val="none"/>
        </w:rPr>
        <w:br w:type="textWrapping"/>
      </w:r>
      <w:r>
        <w:rPr>
          <w:rFonts w:ascii="宋体" w:hAnsi="宋体" w:eastAsia="宋体" w:cs="宋体"/>
          <w:sz w:val="21"/>
          <w:szCs w:val="21"/>
          <w:highlight w:val="none"/>
        </w:rPr>
        <w:t>16.1 本合同是根据《中华人民共和国民法典》、《中华人民共和医政府采购法》、《江苏省肿瘤医院合同管理制度》与甲、乙双方的招标、谈判及投标等文件签订。</w:t>
      </w:r>
    </w:p>
    <w:p w14:paraId="43BE4BEC">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16.2 与本次采购活动相关的文件及有关附件是本合同不可分割的组成部分，与本合同具有同等法律效力，这些文件包括但不限于：</w:t>
      </w:r>
    </w:p>
    <w:p w14:paraId="696B14B5">
      <w:pPr>
        <w:widowControl w:val="0"/>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（1）合同变更、补充协议；        （2）服务一览表；</w:t>
      </w:r>
    </w:p>
    <w:p w14:paraId="5E21D224">
      <w:pPr>
        <w:widowControl w:val="0"/>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（3）中标（成交）通知书；        （4）投标（响应）文件；</w:t>
      </w:r>
    </w:p>
    <w:p w14:paraId="33785969">
      <w:pPr>
        <w:widowControl w:val="0"/>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（5）采购文件；                  （6）有关技术文件，图纸件；</w:t>
      </w:r>
    </w:p>
    <w:p w14:paraId="32AA4FA0">
      <w:pPr>
        <w:widowControl w:val="0"/>
        <w:spacing w:before="0" w:after="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（7）国家法律、行政法规和规章制度规定或合同约定的作为合同组成部分的其他文件。</w:t>
      </w:r>
    </w:p>
    <w:p w14:paraId="462A1CD7">
      <w:pPr>
        <w:widowControl w:val="0"/>
        <w:spacing w:before="0" w:after="0"/>
        <w:jc w:val="left"/>
        <w:rPr>
          <w:rFonts w:ascii="Times New Roman" w:hAnsi="Times New Roman" w:eastAsia="Times New Roman" w:cs="Times New Roman"/>
          <w:sz w:val="21"/>
          <w:szCs w:val="21"/>
          <w:highlight w:val="none"/>
        </w:rPr>
      </w:pPr>
    </w:p>
    <w:p w14:paraId="78DFF972">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16.3合同经双方法定代表人或授权委托代表人签字并加盖单位合同专用章或单位公章后生效。</w:t>
      </w:r>
    </w:p>
    <w:p w14:paraId="0A4A34C6">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16.4本合同未尽事宜，可由双方另行签订补充协议或遵照《民法典》有关条文执行。</w:t>
      </w:r>
      <w:r>
        <w:rPr>
          <w:rFonts w:ascii="宋体" w:hAnsi="宋体" w:eastAsia="宋体" w:cs="宋体"/>
          <w:sz w:val="21"/>
          <w:szCs w:val="21"/>
          <w:highlight w:val="none"/>
        </w:rPr>
        <w:br w:type="textWrapping"/>
      </w:r>
      <w:r>
        <w:rPr>
          <w:rFonts w:ascii="宋体" w:hAnsi="宋体" w:eastAsia="宋体" w:cs="宋体"/>
          <w:sz w:val="21"/>
          <w:szCs w:val="21"/>
          <w:highlight w:val="none"/>
        </w:rPr>
        <w:t>16.5本协议一式</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份，经买卖双方签字盖章后生效。甲方执</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份，乙方执</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份，具有同等法律效力。</w:t>
      </w:r>
    </w:p>
    <w:p w14:paraId="341B1C16">
      <w:pPr>
        <w:spacing w:before="0" w:after="0"/>
        <w:rPr>
          <w:rFonts w:ascii="Times New Roman" w:hAnsi="Times New Roman" w:eastAsia="Times New Roman" w:cs="Times New Roman"/>
          <w:sz w:val="21"/>
          <w:szCs w:val="21"/>
          <w:highlight w:val="none"/>
        </w:rPr>
      </w:pPr>
    </w:p>
    <w:tbl>
      <w:tblPr>
        <w:tblStyle w:val="191"/>
        <w:tblpPr w:leftFromText="180" w:rightFromText="180" w:vertAnchor="text" w:tblpXSpec="left" w:tblpY="1"/>
        <w:tblOverlap w:val="never"/>
        <w:tblW w:w="4750" w:type="pct"/>
        <w:tblInd w:w="0" w:type="dxa"/>
        <w:tblLayout w:type="fixed"/>
        <w:tblCellMar>
          <w:top w:w="0" w:type="dxa"/>
          <w:left w:w="0" w:type="dxa"/>
          <w:bottom w:w="0" w:type="dxa"/>
          <w:right w:w="0" w:type="dxa"/>
        </w:tblCellMar>
      </w:tblPr>
      <w:tblGrid>
        <w:gridCol w:w="1575"/>
        <w:gridCol w:w="2875"/>
        <w:gridCol w:w="1709"/>
        <w:gridCol w:w="2625"/>
      </w:tblGrid>
      <w:tr w14:paraId="5652241D">
        <w:tblPrEx>
          <w:tblCellMar>
            <w:top w:w="0" w:type="dxa"/>
            <w:left w:w="0" w:type="dxa"/>
            <w:bottom w:w="0" w:type="dxa"/>
            <w:right w:w="0" w:type="dxa"/>
          </w:tblCellMar>
        </w:tblPrEx>
        <w:trPr>
          <w:trHeight w:val="392" w:hRule="atLeast"/>
        </w:trPr>
        <w:tc>
          <w:tcPr>
            <w:tcW w:w="1628" w:type="dxa"/>
            <w:noWrap w:val="0"/>
            <w:tcMar>
              <w:top w:w="5" w:type="dxa"/>
              <w:left w:w="113" w:type="dxa"/>
              <w:bottom w:w="5" w:type="dxa"/>
              <w:right w:w="113" w:type="dxa"/>
            </w:tcMar>
            <w:vAlign w:val="top"/>
          </w:tcPr>
          <w:p w14:paraId="38F27299">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甲方：</w:t>
            </w:r>
          </w:p>
        </w:tc>
        <w:tc>
          <w:tcPr>
            <w:tcW w:w="2980" w:type="dxa"/>
            <w:noWrap w:val="0"/>
            <w:tcMar>
              <w:top w:w="5" w:type="dxa"/>
              <w:left w:w="113" w:type="dxa"/>
              <w:bottom w:w="5" w:type="dxa"/>
              <w:right w:w="113" w:type="dxa"/>
            </w:tcMar>
            <w:vAlign w:val="top"/>
          </w:tcPr>
          <w:p w14:paraId="647FA4AE">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江苏省肿瘤防治研究所</w:t>
            </w:r>
          </w:p>
          <w:p w14:paraId="54C6DA74">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(江苏省肿瘤医院)</w:t>
            </w:r>
          </w:p>
        </w:tc>
        <w:tc>
          <w:tcPr>
            <w:tcW w:w="1768" w:type="dxa"/>
            <w:noWrap w:val="0"/>
            <w:tcMar>
              <w:top w:w="5" w:type="dxa"/>
              <w:left w:w="113" w:type="dxa"/>
              <w:bottom w:w="5" w:type="dxa"/>
              <w:right w:w="113" w:type="dxa"/>
            </w:tcMar>
            <w:vAlign w:val="top"/>
          </w:tcPr>
          <w:p w14:paraId="7BFE4079">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乙方：</w:t>
            </w:r>
          </w:p>
        </w:tc>
        <w:tc>
          <w:tcPr>
            <w:tcW w:w="2720" w:type="dxa"/>
            <w:noWrap w:val="0"/>
            <w:tcMar>
              <w:top w:w="5" w:type="dxa"/>
              <w:left w:w="113" w:type="dxa"/>
              <w:bottom w:w="5" w:type="dxa"/>
              <w:right w:w="113" w:type="dxa"/>
            </w:tcMar>
            <w:vAlign w:val="top"/>
          </w:tcPr>
          <w:p w14:paraId="7ADEB6D7">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r>
      <w:tr w14:paraId="196E8130">
        <w:tblPrEx>
          <w:tblCellMar>
            <w:top w:w="0" w:type="dxa"/>
            <w:left w:w="0" w:type="dxa"/>
            <w:bottom w:w="0" w:type="dxa"/>
            <w:right w:w="0" w:type="dxa"/>
          </w:tblCellMar>
        </w:tblPrEx>
        <w:trPr>
          <w:trHeight w:val="403" w:hRule="atLeast"/>
        </w:trPr>
        <w:tc>
          <w:tcPr>
            <w:tcW w:w="1628" w:type="dxa"/>
            <w:noWrap w:val="0"/>
            <w:tcMar>
              <w:top w:w="5" w:type="dxa"/>
              <w:left w:w="113" w:type="dxa"/>
              <w:bottom w:w="5" w:type="dxa"/>
              <w:right w:w="113" w:type="dxa"/>
            </w:tcMar>
            <w:vAlign w:val="top"/>
          </w:tcPr>
          <w:p w14:paraId="7779CF15">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税号：</w:t>
            </w:r>
          </w:p>
        </w:tc>
        <w:tc>
          <w:tcPr>
            <w:tcW w:w="2980" w:type="dxa"/>
            <w:noWrap w:val="0"/>
            <w:tcMar>
              <w:top w:w="5" w:type="dxa"/>
              <w:left w:w="113" w:type="dxa"/>
              <w:bottom w:w="5" w:type="dxa"/>
              <w:right w:w="113" w:type="dxa"/>
            </w:tcMar>
            <w:vAlign w:val="top"/>
          </w:tcPr>
          <w:p w14:paraId="0D201141">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c>
          <w:tcPr>
            <w:tcW w:w="1768" w:type="dxa"/>
            <w:noWrap w:val="0"/>
            <w:tcMar>
              <w:top w:w="5" w:type="dxa"/>
              <w:left w:w="113" w:type="dxa"/>
              <w:bottom w:w="5" w:type="dxa"/>
              <w:right w:w="113" w:type="dxa"/>
            </w:tcMar>
            <w:vAlign w:val="top"/>
          </w:tcPr>
          <w:p w14:paraId="15BD455D">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税号：</w:t>
            </w:r>
          </w:p>
        </w:tc>
        <w:tc>
          <w:tcPr>
            <w:tcW w:w="2720" w:type="dxa"/>
            <w:noWrap w:val="0"/>
            <w:tcMar>
              <w:top w:w="5" w:type="dxa"/>
              <w:left w:w="113" w:type="dxa"/>
              <w:bottom w:w="5" w:type="dxa"/>
              <w:right w:w="113" w:type="dxa"/>
            </w:tcMar>
            <w:vAlign w:val="top"/>
          </w:tcPr>
          <w:p w14:paraId="66B65B28">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r>
      <w:tr w14:paraId="0E787E4E">
        <w:tblPrEx>
          <w:tblCellMar>
            <w:top w:w="0" w:type="dxa"/>
            <w:left w:w="0" w:type="dxa"/>
            <w:bottom w:w="0" w:type="dxa"/>
            <w:right w:w="0" w:type="dxa"/>
          </w:tblCellMar>
        </w:tblPrEx>
        <w:trPr>
          <w:trHeight w:val="392" w:hRule="atLeast"/>
        </w:trPr>
        <w:tc>
          <w:tcPr>
            <w:tcW w:w="1628" w:type="dxa"/>
            <w:noWrap w:val="0"/>
            <w:tcMar>
              <w:top w:w="5" w:type="dxa"/>
              <w:left w:w="113" w:type="dxa"/>
              <w:bottom w:w="5" w:type="dxa"/>
              <w:right w:w="113" w:type="dxa"/>
            </w:tcMar>
            <w:vAlign w:val="top"/>
          </w:tcPr>
          <w:p w14:paraId="396E3264">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电话：</w:t>
            </w:r>
          </w:p>
        </w:tc>
        <w:tc>
          <w:tcPr>
            <w:tcW w:w="2980" w:type="dxa"/>
            <w:noWrap w:val="0"/>
            <w:tcMar>
              <w:top w:w="5" w:type="dxa"/>
              <w:left w:w="113" w:type="dxa"/>
              <w:bottom w:w="5" w:type="dxa"/>
              <w:right w:w="113" w:type="dxa"/>
            </w:tcMar>
            <w:vAlign w:val="top"/>
          </w:tcPr>
          <w:p w14:paraId="7C8C4E83">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c>
          <w:tcPr>
            <w:tcW w:w="1768" w:type="dxa"/>
            <w:noWrap w:val="0"/>
            <w:tcMar>
              <w:top w:w="5" w:type="dxa"/>
              <w:left w:w="113" w:type="dxa"/>
              <w:bottom w:w="5" w:type="dxa"/>
              <w:right w:w="113" w:type="dxa"/>
            </w:tcMar>
            <w:vAlign w:val="top"/>
          </w:tcPr>
          <w:p w14:paraId="403CBD54">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电话：</w:t>
            </w:r>
          </w:p>
        </w:tc>
        <w:tc>
          <w:tcPr>
            <w:tcW w:w="2720" w:type="dxa"/>
            <w:noWrap w:val="0"/>
            <w:tcMar>
              <w:top w:w="5" w:type="dxa"/>
              <w:left w:w="113" w:type="dxa"/>
              <w:bottom w:w="5" w:type="dxa"/>
              <w:right w:w="113" w:type="dxa"/>
            </w:tcMar>
            <w:vAlign w:val="top"/>
          </w:tcPr>
          <w:p w14:paraId="57AE371C">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r>
      <w:tr w14:paraId="57FDD68C">
        <w:tblPrEx>
          <w:tblCellMar>
            <w:top w:w="0" w:type="dxa"/>
            <w:left w:w="0" w:type="dxa"/>
            <w:bottom w:w="0" w:type="dxa"/>
            <w:right w:w="0" w:type="dxa"/>
          </w:tblCellMar>
        </w:tblPrEx>
        <w:trPr>
          <w:trHeight w:val="392" w:hRule="atLeast"/>
        </w:trPr>
        <w:tc>
          <w:tcPr>
            <w:tcW w:w="1628" w:type="dxa"/>
            <w:noWrap w:val="0"/>
            <w:tcMar>
              <w:top w:w="5" w:type="dxa"/>
              <w:left w:w="113" w:type="dxa"/>
              <w:bottom w:w="5" w:type="dxa"/>
              <w:right w:w="113" w:type="dxa"/>
            </w:tcMar>
            <w:vAlign w:val="top"/>
          </w:tcPr>
          <w:p w14:paraId="20D7E914">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地址：</w:t>
            </w:r>
          </w:p>
        </w:tc>
        <w:tc>
          <w:tcPr>
            <w:tcW w:w="2980" w:type="dxa"/>
            <w:noWrap w:val="0"/>
            <w:tcMar>
              <w:top w:w="5" w:type="dxa"/>
              <w:left w:w="113" w:type="dxa"/>
              <w:bottom w:w="5" w:type="dxa"/>
              <w:right w:w="113" w:type="dxa"/>
            </w:tcMar>
            <w:vAlign w:val="top"/>
          </w:tcPr>
          <w:p w14:paraId="0ECE7295">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南京百子亭42号</w:t>
            </w:r>
          </w:p>
        </w:tc>
        <w:tc>
          <w:tcPr>
            <w:tcW w:w="1768" w:type="dxa"/>
            <w:noWrap w:val="0"/>
            <w:tcMar>
              <w:top w:w="5" w:type="dxa"/>
              <w:left w:w="113" w:type="dxa"/>
              <w:bottom w:w="5" w:type="dxa"/>
              <w:right w:w="113" w:type="dxa"/>
            </w:tcMar>
            <w:vAlign w:val="top"/>
          </w:tcPr>
          <w:p w14:paraId="6317468B">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地址：</w:t>
            </w:r>
          </w:p>
        </w:tc>
        <w:tc>
          <w:tcPr>
            <w:tcW w:w="2720" w:type="dxa"/>
            <w:noWrap w:val="0"/>
            <w:tcMar>
              <w:top w:w="5" w:type="dxa"/>
              <w:left w:w="113" w:type="dxa"/>
              <w:bottom w:w="5" w:type="dxa"/>
              <w:right w:w="113" w:type="dxa"/>
            </w:tcMar>
            <w:vAlign w:val="top"/>
          </w:tcPr>
          <w:p w14:paraId="5EA88197">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r>
      <w:tr w14:paraId="5FB3154D">
        <w:tblPrEx>
          <w:tblCellMar>
            <w:top w:w="0" w:type="dxa"/>
            <w:left w:w="0" w:type="dxa"/>
            <w:bottom w:w="0" w:type="dxa"/>
            <w:right w:w="0" w:type="dxa"/>
          </w:tblCellMar>
        </w:tblPrEx>
        <w:trPr>
          <w:trHeight w:val="784" w:hRule="atLeast"/>
        </w:trPr>
        <w:tc>
          <w:tcPr>
            <w:tcW w:w="1628" w:type="dxa"/>
            <w:noWrap w:val="0"/>
            <w:tcMar>
              <w:top w:w="5" w:type="dxa"/>
              <w:left w:w="113" w:type="dxa"/>
              <w:bottom w:w="5" w:type="dxa"/>
              <w:right w:w="113" w:type="dxa"/>
            </w:tcMar>
            <w:vAlign w:val="top"/>
          </w:tcPr>
          <w:p w14:paraId="4AA8A62D">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法定（授权）</w:t>
            </w:r>
          </w:p>
          <w:p w14:paraId="0F06FC1C">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代表人：</w:t>
            </w:r>
          </w:p>
        </w:tc>
        <w:tc>
          <w:tcPr>
            <w:tcW w:w="2980" w:type="dxa"/>
            <w:noWrap w:val="0"/>
            <w:tcMar>
              <w:top w:w="5" w:type="dxa"/>
              <w:left w:w="113" w:type="dxa"/>
              <w:bottom w:w="5" w:type="dxa"/>
              <w:right w:w="113" w:type="dxa"/>
            </w:tcMar>
            <w:vAlign w:val="top"/>
          </w:tcPr>
          <w:p w14:paraId="27CC7D36">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c>
          <w:tcPr>
            <w:tcW w:w="1768" w:type="dxa"/>
            <w:noWrap w:val="0"/>
            <w:tcMar>
              <w:top w:w="5" w:type="dxa"/>
              <w:left w:w="113" w:type="dxa"/>
              <w:bottom w:w="5" w:type="dxa"/>
              <w:right w:w="113" w:type="dxa"/>
            </w:tcMar>
            <w:vAlign w:val="top"/>
          </w:tcPr>
          <w:p w14:paraId="269CF31D">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法定（授权）</w:t>
            </w:r>
          </w:p>
          <w:p w14:paraId="11D44788">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代表人：</w:t>
            </w:r>
          </w:p>
        </w:tc>
        <w:tc>
          <w:tcPr>
            <w:tcW w:w="2720" w:type="dxa"/>
            <w:noWrap w:val="0"/>
            <w:tcMar>
              <w:top w:w="5" w:type="dxa"/>
              <w:left w:w="113" w:type="dxa"/>
              <w:bottom w:w="5" w:type="dxa"/>
              <w:right w:w="113" w:type="dxa"/>
            </w:tcMar>
            <w:vAlign w:val="top"/>
          </w:tcPr>
          <w:p w14:paraId="7BFF413C">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r>
      <w:tr w14:paraId="63AB96D3">
        <w:tblPrEx>
          <w:tblCellMar>
            <w:top w:w="0" w:type="dxa"/>
            <w:left w:w="0" w:type="dxa"/>
            <w:bottom w:w="0" w:type="dxa"/>
            <w:right w:w="0" w:type="dxa"/>
          </w:tblCellMar>
        </w:tblPrEx>
        <w:trPr>
          <w:trHeight w:val="392" w:hRule="atLeast"/>
        </w:trPr>
        <w:tc>
          <w:tcPr>
            <w:tcW w:w="1628" w:type="dxa"/>
            <w:noWrap w:val="0"/>
            <w:tcMar>
              <w:top w:w="5" w:type="dxa"/>
              <w:left w:w="113" w:type="dxa"/>
              <w:bottom w:w="5" w:type="dxa"/>
              <w:right w:w="113" w:type="dxa"/>
            </w:tcMar>
            <w:vAlign w:val="top"/>
          </w:tcPr>
          <w:p w14:paraId="3CF2B238">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部门负责人：</w:t>
            </w:r>
          </w:p>
        </w:tc>
        <w:tc>
          <w:tcPr>
            <w:tcW w:w="2980" w:type="dxa"/>
            <w:noWrap w:val="0"/>
            <w:tcMar>
              <w:top w:w="5" w:type="dxa"/>
              <w:left w:w="113" w:type="dxa"/>
              <w:bottom w:w="5" w:type="dxa"/>
              <w:right w:w="113" w:type="dxa"/>
            </w:tcMar>
            <w:vAlign w:val="top"/>
          </w:tcPr>
          <w:p w14:paraId="466E767C">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c>
          <w:tcPr>
            <w:tcW w:w="1768" w:type="dxa"/>
            <w:noWrap w:val="0"/>
            <w:tcMar>
              <w:top w:w="5" w:type="dxa"/>
              <w:left w:w="113" w:type="dxa"/>
              <w:bottom w:w="5" w:type="dxa"/>
              <w:right w:w="113" w:type="dxa"/>
            </w:tcMar>
            <w:vAlign w:val="top"/>
          </w:tcPr>
          <w:p w14:paraId="6C0565C7">
            <w:pPr>
              <w:widowControl w:val="0"/>
              <w:spacing w:before="0" w:after="0"/>
              <w:ind w:right="24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签订日期：</w:t>
            </w:r>
          </w:p>
        </w:tc>
        <w:tc>
          <w:tcPr>
            <w:tcW w:w="2720" w:type="dxa"/>
            <w:noWrap w:val="0"/>
            <w:tcMar>
              <w:top w:w="5" w:type="dxa"/>
              <w:left w:w="113" w:type="dxa"/>
              <w:bottom w:w="5" w:type="dxa"/>
              <w:right w:w="113" w:type="dxa"/>
            </w:tcMar>
            <w:vAlign w:val="top"/>
          </w:tcPr>
          <w:p w14:paraId="1D2742C3">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r>
      <w:tr w14:paraId="12DD0A78">
        <w:tblPrEx>
          <w:tblCellMar>
            <w:top w:w="0" w:type="dxa"/>
            <w:left w:w="0" w:type="dxa"/>
            <w:bottom w:w="0" w:type="dxa"/>
            <w:right w:w="0" w:type="dxa"/>
          </w:tblCellMar>
        </w:tblPrEx>
        <w:trPr>
          <w:trHeight w:val="518" w:hRule="atLeast"/>
        </w:trPr>
        <w:tc>
          <w:tcPr>
            <w:tcW w:w="1628" w:type="dxa"/>
            <w:noWrap w:val="0"/>
            <w:tcMar>
              <w:top w:w="5" w:type="dxa"/>
              <w:left w:w="113" w:type="dxa"/>
              <w:bottom w:w="5" w:type="dxa"/>
              <w:right w:w="113" w:type="dxa"/>
            </w:tcMar>
            <w:vAlign w:val="top"/>
          </w:tcPr>
          <w:p w14:paraId="0F58E76A">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签订日期：</w:t>
            </w:r>
          </w:p>
        </w:tc>
        <w:tc>
          <w:tcPr>
            <w:tcW w:w="2980" w:type="dxa"/>
            <w:noWrap w:val="0"/>
            <w:tcMar>
              <w:top w:w="5" w:type="dxa"/>
              <w:left w:w="113" w:type="dxa"/>
              <w:bottom w:w="5" w:type="dxa"/>
              <w:right w:w="113" w:type="dxa"/>
            </w:tcMar>
            <w:vAlign w:val="top"/>
          </w:tcPr>
          <w:p w14:paraId="2A24CC9B">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c>
          <w:tcPr>
            <w:tcW w:w="1768" w:type="dxa"/>
            <w:noWrap w:val="0"/>
            <w:tcMar>
              <w:top w:w="5" w:type="dxa"/>
              <w:left w:w="113" w:type="dxa"/>
              <w:bottom w:w="5" w:type="dxa"/>
              <w:right w:w="113" w:type="dxa"/>
            </w:tcMar>
            <w:vAlign w:val="top"/>
          </w:tcPr>
          <w:p w14:paraId="0463DA6B">
            <w:pPr>
              <w:widowControl w:val="0"/>
              <w:spacing w:before="0" w:after="0"/>
              <w:ind w:right="24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签订地点：</w:t>
            </w:r>
          </w:p>
        </w:tc>
        <w:tc>
          <w:tcPr>
            <w:tcW w:w="2720" w:type="dxa"/>
            <w:noWrap w:val="0"/>
            <w:tcMar>
              <w:top w:w="5" w:type="dxa"/>
              <w:left w:w="113" w:type="dxa"/>
              <w:bottom w:w="5" w:type="dxa"/>
              <w:right w:w="113" w:type="dxa"/>
            </w:tcMar>
            <w:vAlign w:val="top"/>
          </w:tcPr>
          <w:p w14:paraId="21E2E689">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r>
      <w:tr w14:paraId="1B705E78">
        <w:tblPrEx>
          <w:tblCellMar>
            <w:top w:w="0" w:type="dxa"/>
            <w:left w:w="0" w:type="dxa"/>
            <w:bottom w:w="0" w:type="dxa"/>
            <w:right w:w="0" w:type="dxa"/>
          </w:tblCellMar>
        </w:tblPrEx>
        <w:trPr>
          <w:trHeight w:val="392" w:hRule="atLeast"/>
        </w:trPr>
        <w:tc>
          <w:tcPr>
            <w:tcW w:w="1628" w:type="dxa"/>
            <w:noWrap w:val="0"/>
            <w:tcMar>
              <w:top w:w="5" w:type="dxa"/>
              <w:left w:w="113" w:type="dxa"/>
              <w:bottom w:w="5" w:type="dxa"/>
              <w:right w:w="113" w:type="dxa"/>
            </w:tcMar>
            <w:vAlign w:val="top"/>
          </w:tcPr>
          <w:p w14:paraId="6C2C21CC">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签订地点：</w:t>
            </w:r>
          </w:p>
        </w:tc>
        <w:tc>
          <w:tcPr>
            <w:tcW w:w="2980" w:type="dxa"/>
            <w:noWrap w:val="0"/>
            <w:tcMar>
              <w:top w:w="5" w:type="dxa"/>
              <w:left w:w="113" w:type="dxa"/>
              <w:bottom w:w="5" w:type="dxa"/>
              <w:right w:w="113" w:type="dxa"/>
            </w:tcMar>
            <w:vAlign w:val="top"/>
          </w:tcPr>
          <w:p w14:paraId="2305220E">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c>
          <w:tcPr>
            <w:tcW w:w="1768" w:type="dxa"/>
            <w:noWrap w:val="0"/>
            <w:tcMar>
              <w:top w:w="5" w:type="dxa"/>
              <w:left w:w="113" w:type="dxa"/>
              <w:bottom w:w="5" w:type="dxa"/>
              <w:right w:w="113" w:type="dxa"/>
            </w:tcMar>
            <w:vAlign w:val="top"/>
          </w:tcPr>
          <w:p w14:paraId="2488ACAD">
            <w:pPr>
              <w:widowControl w:val="0"/>
              <w:spacing w:before="0" w:after="0"/>
              <w:ind w:right="24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开户银行：</w:t>
            </w:r>
          </w:p>
        </w:tc>
        <w:tc>
          <w:tcPr>
            <w:tcW w:w="2720" w:type="dxa"/>
            <w:noWrap w:val="0"/>
            <w:tcMar>
              <w:top w:w="5" w:type="dxa"/>
              <w:left w:w="113" w:type="dxa"/>
              <w:bottom w:w="5" w:type="dxa"/>
              <w:right w:w="113" w:type="dxa"/>
            </w:tcMar>
            <w:vAlign w:val="top"/>
          </w:tcPr>
          <w:p w14:paraId="7CCDA987">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r>
      <w:tr w14:paraId="79A556CF">
        <w:tblPrEx>
          <w:tblCellMar>
            <w:top w:w="0" w:type="dxa"/>
            <w:left w:w="0" w:type="dxa"/>
            <w:bottom w:w="0" w:type="dxa"/>
            <w:right w:w="0" w:type="dxa"/>
          </w:tblCellMar>
        </w:tblPrEx>
        <w:trPr>
          <w:trHeight w:val="392" w:hRule="atLeast"/>
        </w:trPr>
        <w:tc>
          <w:tcPr>
            <w:tcW w:w="1628" w:type="dxa"/>
            <w:noWrap w:val="0"/>
            <w:tcMar>
              <w:top w:w="5" w:type="dxa"/>
              <w:left w:w="113" w:type="dxa"/>
              <w:bottom w:w="5" w:type="dxa"/>
              <w:right w:w="113" w:type="dxa"/>
            </w:tcMar>
            <w:vAlign w:val="top"/>
          </w:tcPr>
          <w:p w14:paraId="121B437A">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经办人：</w:t>
            </w:r>
          </w:p>
        </w:tc>
        <w:tc>
          <w:tcPr>
            <w:tcW w:w="2980" w:type="dxa"/>
            <w:noWrap w:val="0"/>
            <w:tcMar>
              <w:top w:w="5" w:type="dxa"/>
              <w:left w:w="113" w:type="dxa"/>
              <w:bottom w:w="5" w:type="dxa"/>
              <w:right w:w="113" w:type="dxa"/>
            </w:tcMar>
            <w:vAlign w:val="top"/>
          </w:tcPr>
          <w:p w14:paraId="1996B5A3">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c>
          <w:tcPr>
            <w:tcW w:w="1768" w:type="dxa"/>
            <w:noWrap w:val="0"/>
            <w:tcMar>
              <w:top w:w="5" w:type="dxa"/>
              <w:left w:w="113" w:type="dxa"/>
              <w:bottom w:w="5" w:type="dxa"/>
              <w:right w:w="113" w:type="dxa"/>
            </w:tcMar>
            <w:vAlign w:val="top"/>
          </w:tcPr>
          <w:p w14:paraId="0E50326E">
            <w:pPr>
              <w:widowControl w:val="0"/>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银行账号：</w:t>
            </w:r>
          </w:p>
        </w:tc>
        <w:tc>
          <w:tcPr>
            <w:tcW w:w="2720" w:type="dxa"/>
            <w:noWrap w:val="0"/>
            <w:tcMar>
              <w:top w:w="5" w:type="dxa"/>
              <w:left w:w="113" w:type="dxa"/>
              <w:bottom w:w="5" w:type="dxa"/>
              <w:right w:w="113" w:type="dxa"/>
            </w:tcMar>
            <w:vAlign w:val="top"/>
          </w:tcPr>
          <w:p w14:paraId="61ED2170">
            <w:pPr>
              <w:widowControl w:val="0"/>
              <w:spacing w:before="0" w:after="0"/>
              <w:jc w:val="left"/>
              <w:rPr>
                <w:rFonts w:ascii="Times New Roman" w:hAnsi="Times New Roman" w:eastAsia="Times New Roman" w:cs="Times New Roman"/>
                <w:b w:val="0"/>
                <w:bCs w:val="0"/>
                <w:i w:val="0"/>
                <w:iCs w:val="0"/>
                <w:smallCaps w:val="0"/>
                <w:color w:val="000000"/>
                <w:sz w:val="21"/>
                <w:szCs w:val="21"/>
                <w:highlight w:val="none"/>
              </w:rPr>
            </w:pPr>
          </w:p>
        </w:tc>
      </w:tr>
    </w:tbl>
    <w:p w14:paraId="4EBDAFDF">
      <w:pPr>
        <w:widowControl w:val="0"/>
        <w:spacing w:before="0" w:after="0"/>
        <w:jc w:val="left"/>
        <w:rPr>
          <w:rFonts w:ascii="Times New Roman" w:hAnsi="Times New Roman" w:eastAsia="Times New Roman" w:cs="Times New Roman"/>
          <w:sz w:val="16"/>
          <w:szCs w:val="16"/>
          <w:highlight w:val="none"/>
        </w:rPr>
      </w:pPr>
    </w:p>
    <w:p w14:paraId="372AFEED">
      <w:pPr>
        <w:widowControl w:val="0"/>
        <w:spacing w:before="0" w:after="0" w:line="300" w:lineRule="atLeast"/>
        <w:ind w:left="2996" w:hanging="2730"/>
        <w:jc w:val="left"/>
        <w:rPr>
          <w:rFonts w:ascii="Times New Roman" w:hAnsi="Times New Roman" w:eastAsia="Times New Roman" w:cs="Times New Roman"/>
          <w:highlight w:val="none"/>
        </w:rPr>
      </w:pPr>
    </w:p>
    <w:p w14:paraId="7DF32107">
      <w:pPr>
        <w:widowControl w:val="0"/>
        <w:spacing w:before="0" w:after="0"/>
        <w:jc w:val="left"/>
        <w:rPr>
          <w:rFonts w:ascii="Times New Roman" w:hAnsi="Times New Roman" w:eastAsia="Times New Roman" w:cs="Times New Roman"/>
          <w:sz w:val="18"/>
          <w:szCs w:val="18"/>
          <w:highlight w:val="none"/>
        </w:rPr>
      </w:pPr>
    </w:p>
    <w:p w14:paraId="1AD69243">
      <w:pPr>
        <w:widowControl w:val="0"/>
        <w:spacing w:before="0" w:after="0" w:line="360" w:lineRule="auto"/>
        <w:jc w:val="center"/>
        <w:rPr>
          <w:rFonts w:ascii="Times New Roman" w:hAnsi="Times New Roman" w:eastAsia="Times New Roman" w:cs="Times New Roman"/>
          <w:sz w:val="44"/>
          <w:szCs w:val="44"/>
          <w:highlight w:val="none"/>
        </w:rPr>
      </w:pPr>
      <w:r>
        <w:rPr>
          <w:rFonts w:ascii="Times New Roman" w:hAnsi="Times New Roman" w:eastAsia="Times New Roman" w:cs="Times New Roman"/>
          <w:sz w:val="36"/>
          <w:szCs w:val="36"/>
          <w:highlight w:val="none"/>
        </w:rPr>
        <w:br w:type="page" w:clear="all"/>
      </w:r>
      <w:r>
        <w:rPr>
          <w:rFonts w:ascii="宋体" w:hAnsi="宋体" w:eastAsia="宋体" w:cs="宋体"/>
          <w:b/>
          <w:bCs/>
          <w:sz w:val="21"/>
          <w:szCs w:val="21"/>
          <w:highlight w:val="none"/>
        </w:rPr>
        <w:t>附件1：《</w:t>
      </w:r>
      <w:r>
        <w:rPr>
          <w:rFonts w:hint="eastAsia" w:ascii="宋体" w:hAnsi="宋体" w:eastAsia="宋体" w:cs="宋体"/>
          <w:b/>
          <w:bCs/>
          <w:sz w:val="21"/>
          <w:szCs w:val="21"/>
          <w:highlight w:val="none"/>
          <w:lang w:val="en-US" w:eastAsia="zh-CN" w:bidi="ar-SA"/>
        </w:rPr>
        <w:t>供应商合同执行情况考核表</w:t>
      </w:r>
      <w:r>
        <w:rPr>
          <w:rFonts w:ascii="宋体" w:hAnsi="宋体" w:eastAsia="宋体" w:cs="宋体"/>
          <w:b/>
          <w:bCs/>
          <w:sz w:val="21"/>
          <w:szCs w:val="21"/>
          <w:highlight w:val="none"/>
        </w:rPr>
        <w:t>》</w:t>
      </w:r>
    </w:p>
    <w:tbl>
      <w:tblPr>
        <w:tblStyle w:val="18"/>
        <w:tblW w:w="89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8"/>
        <w:gridCol w:w="1781"/>
        <w:gridCol w:w="1161"/>
        <w:gridCol w:w="1524"/>
        <w:gridCol w:w="2562"/>
      </w:tblGrid>
      <w:tr w14:paraId="35AB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958" w:type="dxa"/>
            <w:vAlign w:val="center"/>
          </w:tcPr>
          <w:p w14:paraId="11C3EA36">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供应商</w:t>
            </w:r>
          </w:p>
        </w:tc>
        <w:tc>
          <w:tcPr>
            <w:tcW w:w="7028" w:type="dxa"/>
            <w:gridSpan w:val="4"/>
            <w:vAlign w:val="center"/>
          </w:tcPr>
          <w:p w14:paraId="4DEE0202">
            <w:pPr>
              <w:widowControl w:val="0"/>
              <w:spacing w:line="360" w:lineRule="auto"/>
              <w:jc w:val="center"/>
              <w:rPr>
                <w:rFonts w:hint="eastAsia" w:ascii="宋体" w:hAnsi="宋体" w:eastAsia="宋体" w:cs="宋体"/>
                <w:sz w:val="21"/>
                <w:szCs w:val="21"/>
                <w:vertAlign w:val="baseline"/>
                <w:lang w:val="en-US" w:eastAsia="zh-CN"/>
              </w:rPr>
            </w:pPr>
          </w:p>
        </w:tc>
      </w:tr>
      <w:tr w14:paraId="3C12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58" w:type="dxa"/>
            <w:vAlign w:val="center"/>
          </w:tcPr>
          <w:p w14:paraId="312CEFB7">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供应货物</w:t>
            </w:r>
          </w:p>
        </w:tc>
        <w:tc>
          <w:tcPr>
            <w:tcW w:w="7028" w:type="dxa"/>
            <w:gridSpan w:val="4"/>
            <w:vAlign w:val="center"/>
          </w:tcPr>
          <w:p w14:paraId="0DA59E32">
            <w:pPr>
              <w:widowControl w:val="0"/>
              <w:spacing w:line="360" w:lineRule="auto"/>
              <w:jc w:val="center"/>
              <w:rPr>
                <w:rFonts w:hint="eastAsia" w:ascii="宋体" w:hAnsi="宋体" w:eastAsia="宋体" w:cs="宋体"/>
                <w:sz w:val="21"/>
                <w:szCs w:val="21"/>
                <w:vertAlign w:val="baseline"/>
                <w:lang w:val="en-US" w:eastAsia="zh-CN"/>
              </w:rPr>
            </w:pPr>
          </w:p>
        </w:tc>
      </w:tr>
      <w:tr w14:paraId="1C9DC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58" w:type="dxa"/>
            <w:vAlign w:val="center"/>
          </w:tcPr>
          <w:p w14:paraId="35083632">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合同有效期</w:t>
            </w:r>
          </w:p>
        </w:tc>
        <w:tc>
          <w:tcPr>
            <w:tcW w:w="7028" w:type="dxa"/>
            <w:gridSpan w:val="4"/>
            <w:vAlign w:val="center"/>
          </w:tcPr>
          <w:p w14:paraId="154AA0FC">
            <w:pPr>
              <w:widowControl w:val="0"/>
              <w:spacing w:line="360" w:lineRule="auto"/>
              <w:jc w:val="center"/>
              <w:rPr>
                <w:rFonts w:hint="eastAsia" w:ascii="宋体" w:hAnsi="宋体" w:eastAsia="宋体" w:cs="宋体"/>
                <w:sz w:val="21"/>
                <w:szCs w:val="21"/>
                <w:vertAlign w:val="baseline"/>
                <w:lang w:val="en-US" w:eastAsia="zh-CN"/>
              </w:rPr>
            </w:pPr>
          </w:p>
        </w:tc>
      </w:tr>
      <w:tr w14:paraId="0BBA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58" w:type="dxa"/>
            <w:vAlign w:val="center"/>
          </w:tcPr>
          <w:p w14:paraId="4910AC37">
            <w:pPr>
              <w:keepNext w:val="0"/>
              <w:keepLines w:val="0"/>
              <w:pageBreakBefore w:val="0"/>
              <w:widowControl w:val="0"/>
              <w:bidi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考核部门</w:t>
            </w:r>
          </w:p>
        </w:tc>
        <w:tc>
          <w:tcPr>
            <w:tcW w:w="2942" w:type="dxa"/>
            <w:gridSpan w:val="2"/>
            <w:vAlign w:val="center"/>
          </w:tcPr>
          <w:p w14:paraId="403DE627">
            <w:pPr>
              <w:keepNext w:val="0"/>
              <w:keepLines w:val="0"/>
              <w:pageBreakBefore w:val="0"/>
              <w:widowControl w:val="0"/>
              <w:bidi w:val="0"/>
              <w:spacing w:line="360" w:lineRule="auto"/>
              <w:ind w:firstLine="21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总务处</w:t>
            </w:r>
          </w:p>
        </w:tc>
        <w:tc>
          <w:tcPr>
            <w:tcW w:w="1524" w:type="dxa"/>
            <w:vAlign w:val="center"/>
          </w:tcPr>
          <w:p w14:paraId="5832D7EF">
            <w:pPr>
              <w:keepNext w:val="0"/>
              <w:keepLines w:val="0"/>
              <w:pageBreakBefore w:val="0"/>
              <w:widowControl w:val="0"/>
              <w:bidi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考核日期</w:t>
            </w:r>
          </w:p>
        </w:tc>
        <w:tc>
          <w:tcPr>
            <w:tcW w:w="2562" w:type="dxa"/>
            <w:vAlign w:val="center"/>
          </w:tcPr>
          <w:p w14:paraId="53BDBB9B">
            <w:pPr>
              <w:keepNext w:val="0"/>
              <w:keepLines w:val="0"/>
              <w:pageBreakBefore w:val="0"/>
              <w:widowControl w:val="0"/>
              <w:bidi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2026年  月  日</w:t>
            </w:r>
          </w:p>
        </w:tc>
      </w:tr>
      <w:tr w14:paraId="03B6A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958" w:type="dxa"/>
            <w:vMerge w:val="restart"/>
            <w:vAlign w:val="center"/>
          </w:tcPr>
          <w:p w14:paraId="64250993">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考核内容</w:t>
            </w:r>
          </w:p>
        </w:tc>
        <w:tc>
          <w:tcPr>
            <w:tcW w:w="4466" w:type="dxa"/>
            <w:gridSpan w:val="3"/>
            <w:vAlign w:val="center"/>
          </w:tcPr>
          <w:p w14:paraId="3BA095D6">
            <w:pPr>
              <w:keepNext w:val="0"/>
              <w:keepLines w:val="0"/>
              <w:pageBreakBefore w:val="0"/>
              <w:widowControl w:val="0"/>
              <w:numPr>
                <w:ilvl w:val="0"/>
                <w:numId w:val="0"/>
              </w:numPr>
              <w:bidi w:val="0"/>
              <w:spacing w:line="360" w:lineRule="auto"/>
              <w:ind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维度</w:t>
            </w:r>
          </w:p>
        </w:tc>
        <w:tc>
          <w:tcPr>
            <w:tcW w:w="2562" w:type="dxa"/>
            <w:vAlign w:val="center"/>
          </w:tcPr>
          <w:p w14:paraId="797E263F">
            <w:pPr>
              <w:keepNext w:val="0"/>
              <w:keepLines w:val="0"/>
              <w:pageBreakBefore w:val="0"/>
              <w:widowControl w:val="0"/>
              <w:numPr>
                <w:ilvl w:val="0"/>
                <w:numId w:val="0"/>
              </w:numPr>
              <w:bidi w:val="0"/>
              <w:spacing w:line="360" w:lineRule="auto"/>
              <w:ind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评价</w:t>
            </w:r>
          </w:p>
        </w:tc>
      </w:tr>
      <w:tr w14:paraId="6B3F9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exact"/>
          <w:jc w:val="center"/>
        </w:trPr>
        <w:tc>
          <w:tcPr>
            <w:tcW w:w="1958" w:type="dxa"/>
            <w:vMerge w:val="continue"/>
            <w:vAlign w:val="center"/>
          </w:tcPr>
          <w:p w14:paraId="4B7AB5E7">
            <w:pPr>
              <w:widowControl w:val="0"/>
              <w:spacing w:line="360" w:lineRule="auto"/>
              <w:jc w:val="center"/>
              <w:rPr>
                <w:rFonts w:hint="eastAsia" w:ascii="宋体" w:hAnsi="宋体" w:eastAsia="宋体" w:cs="宋体"/>
                <w:sz w:val="21"/>
                <w:szCs w:val="21"/>
                <w:vertAlign w:val="baseline"/>
                <w:lang w:val="en-US" w:eastAsia="zh-CN"/>
              </w:rPr>
            </w:pPr>
          </w:p>
        </w:tc>
        <w:tc>
          <w:tcPr>
            <w:tcW w:w="1781" w:type="dxa"/>
            <w:vAlign w:val="center"/>
          </w:tcPr>
          <w:p w14:paraId="32287713">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产品质量</w:t>
            </w:r>
          </w:p>
        </w:tc>
        <w:tc>
          <w:tcPr>
            <w:tcW w:w="2685" w:type="dxa"/>
            <w:gridSpan w:val="2"/>
            <w:vAlign w:val="center"/>
          </w:tcPr>
          <w:p w14:paraId="09840277">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产品质量是否符合合同约定标准，不存在明显瑕疵等情况。（满分25分）</w:t>
            </w:r>
          </w:p>
        </w:tc>
        <w:tc>
          <w:tcPr>
            <w:tcW w:w="2562" w:type="dxa"/>
            <w:vAlign w:val="center"/>
          </w:tcPr>
          <w:p w14:paraId="6504F8C1">
            <w:pPr>
              <w:keepNext w:val="0"/>
              <w:keepLines w:val="0"/>
              <w:pageBreakBefore w:val="0"/>
              <w:widowControl w:val="0"/>
              <w:bidi w:val="0"/>
              <w:spacing w:line="360" w:lineRule="auto"/>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达标：≥20分</w:t>
            </w:r>
          </w:p>
          <w:p w14:paraId="00BFEE7B">
            <w:pPr>
              <w:keepNext w:val="0"/>
              <w:keepLines w:val="0"/>
              <w:pageBreakBefore w:val="0"/>
              <w:widowControl w:val="0"/>
              <w:bidi w:val="0"/>
              <w:spacing w:line="360" w:lineRule="auto"/>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不达标：＜20分</w:t>
            </w:r>
          </w:p>
        </w:tc>
      </w:tr>
      <w:tr w14:paraId="68BB1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958" w:type="dxa"/>
            <w:vMerge w:val="continue"/>
            <w:vAlign w:val="center"/>
          </w:tcPr>
          <w:p w14:paraId="5F4A535D">
            <w:pPr>
              <w:widowControl w:val="0"/>
              <w:spacing w:line="360" w:lineRule="auto"/>
              <w:jc w:val="center"/>
              <w:rPr>
                <w:rFonts w:hint="eastAsia" w:ascii="宋体" w:hAnsi="宋体" w:eastAsia="宋体" w:cs="宋体"/>
                <w:sz w:val="21"/>
                <w:szCs w:val="21"/>
                <w:vertAlign w:val="baseline"/>
                <w:lang w:val="en-US" w:eastAsia="zh-CN"/>
              </w:rPr>
            </w:pPr>
          </w:p>
        </w:tc>
        <w:tc>
          <w:tcPr>
            <w:tcW w:w="1781" w:type="dxa"/>
            <w:vAlign w:val="center"/>
          </w:tcPr>
          <w:p w14:paraId="6CBCFCCA">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交付及时性</w:t>
            </w:r>
          </w:p>
        </w:tc>
        <w:tc>
          <w:tcPr>
            <w:tcW w:w="2685" w:type="dxa"/>
            <w:gridSpan w:val="2"/>
            <w:vAlign w:val="center"/>
          </w:tcPr>
          <w:p w14:paraId="673A0894">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是否按合同约定交付，无逾期、短缺等情况。（满分25分）</w:t>
            </w:r>
          </w:p>
        </w:tc>
        <w:tc>
          <w:tcPr>
            <w:tcW w:w="2562" w:type="dxa"/>
            <w:vAlign w:val="center"/>
          </w:tcPr>
          <w:p w14:paraId="61869B63">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及时：≥20分</w:t>
            </w:r>
          </w:p>
          <w:p w14:paraId="6742C58A">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不及时：＜20分</w:t>
            </w:r>
          </w:p>
        </w:tc>
      </w:tr>
      <w:tr w14:paraId="61C13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exact"/>
          <w:jc w:val="center"/>
        </w:trPr>
        <w:tc>
          <w:tcPr>
            <w:tcW w:w="1958" w:type="dxa"/>
            <w:vMerge w:val="continue"/>
            <w:vAlign w:val="center"/>
          </w:tcPr>
          <w:p w14:paraId="686E91AE">
            <w:pPr>
              <w:keepNext w:val="0"/>
              <w:keepLines w:val="0"/>
              <w:pageBreakBefore w:val="0"/>
              <w:widowControl w:val="0"/>
              <w:numPr>
                <w:ilvl w:val="0"/>
                <w:numId w:val="0"/>
              </w:numPr>
              <w:bidi w:val="0"/>
              <w:spacing w:line="360" w:lineRule="auto"/>
              <w:ind w:firstLine="0"/>
              <w:jc w:val="center"/>
              <w:rPr>
                <w:rFonts w:hint="eastAsia" w:ascii="宋体" w:hAnsi="宋体" w:eastAsia="宋体" w:cs="宋体"/>
                <w:sz w:val="21"/>
                <w:szCs w:val="21"/>
                <w:vertAlign w:val="baseline"/>
                <w:lang w:val="en-US" w:eastAsia="zh-CN"/>
              </w:rPr>
            </w:pPr>
          </w:p>
        </w:tc>
        <w:tc>
          <w:tcPr>
            <w:tcW w:w="1781" w:type="dxa"/>
            <w:vAlign w:val="center"/>
          </w:tcPr>
          <w:p w14:paraId="61DF7E71">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履约合规性</w:t>
            </w:r>
          </w:p>
        </w:tc>
        <w:tc>
          <w:tcPr>
            <w:tcW w:w="2685" w:type="dxa"/>
            <w:gridSpan w:val="2"/>
            <w:vAlign w:val="center"/>
          </w:tcPr>
          <w:p w14:paraId="2927E8F8">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是否严格遵守合同条款，无违约、擅自变更约定等行为。（满分25分）</w:t>
            </w:r>
          </w:p>
        </w:tc>
        <w:tc>
          <w:tcPr>
            <w:tcW w:w="2562" w:type="dxa"/>
            <w:vAlign w:val="center"/>
          </w:tcPr>
          <w:p w14:paraId="43669EB0">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合规：≥20分</w:t>
            </w:r>
          </w:p>
          <w:p w14:paraId="67B4EA64">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不合规：＜20分</w:t>
            </w:r>
          </w:p>
        </w:tc>
      </w:tr>
      <w:tr w14:paraId="61893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exact"/>
          <w:jc w:val="center"/>
        </w:trPr>
        <w:tc>
          <w:tcPr>
            <w:tcW w:w="1958" w:type="dxa"/>
            <w:vMerge w:val="continue"/>
            <w:vAlign w:val="center"/>
          </w:tcPr>
          <w:p w14:paraId="1E81956F">
            <w:pPr>
              <w:keepNext w:val="0"/>
              <w:keepLines w:val="0"/>
              <w:pageBreakBefore w:val="0"/>
              <w:widowControl w:val="0"/>
              <w:numPr>
                <w:ilvl w:val="0"/>
                <w:numId w:val="0"/>
              </w:numPr>
              <w:bidi w:val="0"/>
              <w:spacing w:line="360" w:lineRule="auto"/>
              <w:ind w:firstLine="0"/>
              <w:jc w:val="center"/>
              <w:rPr>
                <w:rFonts w:hint="eastAsia" w:ascii="宋体" w:hAnsi="宋体" w:eastAsia="宋体" w:cs="宋体"/>
                <w:sz w:val="21"/>
                <w:szCs w:val="21"/>
                <w:vertAlign w:val="baseline"/>
                <w:lang w:val="en-US" w:eastAsia="zh-CN"/>
              </w:rPr>
            </w:pPr>
          </w:p>
        </w:tc>
        <w:tc>
          <w:tcPr>
            <w:tcW w:w="1781" w:type="dxa"/>
            <w:vAlign w:val="center"/>
          </w:tcPr>
          <w:p w14:paraId="6A80E19D">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服务态度</w:t>
            </w:r>
          </w:p>
        </w:tc>
        <w:tc>
          <w:tcPr>
            <w:tcW w:w="2685" w:type="dxa"/>
            <w:gridSpan w:val="2"/>
            <w:vAlign w:val="center"/>
          </w:tcPr>
          <w:p w14:paraId="7DC6AB5D">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是否对接顺畅，反馈问题及时响应，售后处理高效合规。（满分25分）</w:t>
            </w:r>
          </w:p>
        </w:tc>
        <w:tc>
          <w:tcPr>
            <w:tcW w:w="2562" w:type="dxa"/>
            <w:vAlign w:val="center"/>
          </w:tcPr>
          <w:p w14:paraId="2CED3DF9">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合格：≥20分</w:t>
            </w:r>
          </w:p>
          <w:p w14:paraId="53DE92D2">
            <w:pPr>
              <w:keepNext w:val="0"/>
              <w:keepLines w:val="0"/>
              <w:pageBreakBefore w:val="0"/>
              <w:widowControl w:val="0"/>
              <w:numPr>
                <w:ilvl w:val="0"/>
                <w:numId w:val="0"/>
              </w:numPr>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不合格：＜20分</w:t>
            </w:r>
          </w:p>
        </w:tc>
      </w:tr>
      <w:tr w14:paraId="1E63A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958" w:type="dxa"/>
            <w:vAlign w:val="center"/>
          </w:tcPr>
          <w:p w14:paraId="09742183">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考评标准</w:t>
            </w:r>
          </w:p>
        </w:tc>
        <w:tc>
          <w:tcPr>
            <w:tcW w:w="7028" w:type="dxa"/>
            <w:gridSpan w:val="4"/>
            <w:vAlign w:val="center"/>
          </w:tcPr>
          <w:p w14:paraId="6C59D93E">
            <w:pPr>
              <w:keepNext w:val="0"/>
              <w:keepLines w:val="0"/>
              <w:pageBreakBefore w:val="0"/>
              <w:widowControl w:val="0"/>
              <w:bidi w:val="0"/>
              <w:spacing w:line="360" w:lineRule="auto"/>
              <w:ind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highlight w:val="none"/>
                <w:vertAlign w:val="baseline"/>
                <w:lang w:val="en-US" w:eastAsia="zh-CN"/>
              </w:rPr>
              <w:t>以上考核项目均≥20分视为考核合格</w:t>
            </w:r>
          </w:p>
        </w:tc>
      </w:tr>
      <w:tr w14:paraId="78AD4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958" w:type="dxa"/>
            <w:vAlign w:val="center"/>
          </w:tcPr>
          <w:p w14:paraId="0EB73A0E">
            <w:pPr>
              <w:widowControl w:val="0"/>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签字确认</w:t>
            </w:r>
          </w:p>
        </w:tc>
        <w:tc>
          <w:tcPr>
            <w:tcW w:w="7028" w:type="dxa"/>
            <w:gridSpan w:val="4"/>
          </w:tcPr>
          <w:p w14:paraId="527E18A4">
            <w:pPr>
              <w:widowControl w:val="0"/>
              <w:spacing w:line="360" w:lineRule="auto"/>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总务处：</w:t>
            </w:r>
          </w:p>
          <w:p w14:paraId="73BE966F">
            <w:pPr>
              <w:widowControl w:val="0"/>
              <w:spacing w:line="360" w:lineRule="auto"/>
              <w:jc w:val="righ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2026年    月    日</w:t>
            </w:r>
          </w:p>
        </w:tc>
      </w:tr>
    </w:tbl>
    <w:p w14:paraId="098B1047">
      <w:pPr>
        <w:widowControl w:val="0"/>
        <w:spacing w:before="0" w:after="0"/>
        <w:rPr>
          <w:rFonts w:ascii="Times New Roman" w:hAnsi="Times New Roman" w:eastAsia="Times New Roman" w:cs="Times New Roman"/>
          <w:sz w:val="44"/>
          <w:szCs w:val="44"/>
          <w:highlight w:val="none"/>
        </w:rPr>
      </w:pPr>
    </w:p>
    <w:p w14:paraId="263922CD">
      <w:pPr>
        <w:pStyle w:val="188"/>
        <w:widowControl w:val="0"/>
        <w:spacing w:before="290" w:after="290"/>
        <w:jc w:val="center"/>
        <w:outlineLvl w:val="9"/>
        <w:rPr>
          <w:rFonts w:ascii="Times New Roman" w:hAnsi="Times New Roman" w:eastAsia="Times New Roman" w:cs="Times New Roman"/>
          <w:b/>
          <w:bCs/>
          <w:sz w:val="44"/>
          <w:szCs w:val="44"/>
          <w:highlight w:val="none"/>
        </w:rPr>
      </w:pPr>
      <w:r>
        <w:rPr>
          <w:rFonts w:ascii="黑体" w:hAnsi="黑体" w:eastAsia="黑体" w:cs="黑体"/>
          <w:sz w:val="44"/>
          <w:szCs w:val="44"/>
          <w:highlight w:val="none"/>
        </w:rPr>
        <w:br w:type="page" w:clear="all"/>
      </w:r>
      <w:r>
        <w:rPr>
          <w:rFonts w:ascii="黑体" w:hAnsi="黑体" w:eastAsia="黑体" w:cs="黑体"/>
          <w:sz w:val="44"/>
          <w:szCs w:val="44"/>
          <w:highlight w:val="none"/>
        </w:rPr>
        <w:t>第六章 投标文件格式</w:t>
      </w:r>
    </w:p>
    <w:p w14:paraId="7BFFD7D1">
      <w:pPr>
        <w:spacing w:before="0" w:after="0" w:line="360" w:lineRule="auto"/>
        <w:rPr>
          <w:rFonts w:ascii="Times New Roman" w:hAnsi="Times New Roman" w:eastAsia="Times New Roman" w:cs="Times New Roman"/>
          <w:highlight w:val="none"/>
        </w:rPr>
      </w:pPr>
      <w:r>
        <w:rPr>
          <w:rFonts w:ascii="宋体" w:hAnsi="宋体" w:eastAsia="宋体" w:cs="宋体"/>
          <w:sz w:val="21"/>
          <w:szCs w:val="21"/>
          <w:highlight w:val="none"/>
        </w:rPr>
        <w:t>注：请供应商按照以下文件的要求格式、内容，顺序制作投标文件，并请编制目录及页码，否则可能将影响对投标文件的评价。</w:t>
      </w:r>
    </w:p>
    <w:p w14:paraId="4C0F509B">
      <w:pPr>
        <w:widowControl w:val="0"/>
        <w:spacing w:before="0" w:after="0" w:line="440" w:lineRule="atLeast"/>
        <w:jc w:val="left"/>
        <w:rPr>
          <w:rFonts w:ascii="Times New Roman" w:hAnsi="Times New Roman" w:eastAsia="Times New Roman" w:cs="Times New Roman"/>
          <w:highlight w:val="none"/>
        </w:rPr>
      </w:pPr>
    </w:p>
    <w:p w14:paraId="004D0388">
      <w:pPr>
        <w:widowControl w:val="0"/>
        <w:spacing w:before="0" w:after="0"/>
        <w:rPr>
          <w:rFonts w:ascii="Times New Roman" w:hAnsi="Times New Roman" w:eastAsia="Times New Roman" w:cs="Times New Roman"/>
          <w:sz w:val="30"/>
          <w:szCs w:val="30"/>
          <w:highlight w:val="none"/>
        </w:rPr>
      </w:pPr>
      <w:r>
        <w:rPr>
          <w:rFonts w:ascii="Times New Roman" w:hAnsi="Times New Roman" w:eastAsia="Times New Roman" w:cs="Times New Roman"/>
          <w:sz w:val="30"/>
          <w:szCs w:val="30"/>
          <w:highlight w:val="none"/>
        </w:rPr>
        <w:t> </w:t>
      </w:r>
    </w:p>
    <w:p w14:paraId="4D7BDCBC">
      <w:pPr>
        <w:widowControl w:val="0"/>
        <w:spacing w:before="0" w:after="0"/>
        <w:jc w:val="center"/>
        <w:rPr>
          <w:rFonts w:ascii="Times New Roman" w:hAnsi="Times New Roman" w:eastAsia="Times New Roman" w:cs="Times New Roman"/>
          <w:sz w:val="30"/>
          <w:szCs w:val="30"/>
          <w:highlight w:val="none"/>
        </w:rPr>
      </w:pPr>
      <w:r>
        <w:rPr>
          <w:rFonts w:ascii="PMingLiU" w:hAnsi="PMingLiU" w:eastAsia="PMingLiU" w:cs="PMingLiU"/>
          <w:b/>
          <w:bCs/>
          <w:sz w:val="30"/>
          <w:szCs w:val="30"/>
          <w:highlight w:val="none"/>
        </w:rPr>
        <w:t>评分索引表</w:t>
      </w:r>
    </w:p>
    <w:tbl>
      <w:tblPr>
        <w:tblStyle w:val="191"/>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380"/>
        <w:gridCol w:w="3394"/>
      </w:tblGrid>
      <w:tr w14:paraId="192FEF5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60" w:hRule="atLeast"/>
        </w:trPr>
        <w:tc>
          <w:tcPr>
            <w:tcW w:w="5252" w:type="dxa"/>
            <w:tcBorders>
              <w:bottom w:val="single" w:color="000000" w:sz="6" w:space="0"/>
              <w:right w:val="single" w:color="000000" w:sz="6" w:space="0"/>
            </w:tcBorders>
            <w:noWrap w:val="0"/>
            <w:tcMar>
              <w:top w:w="8" w:type="dxa"/>
              <w:left w:w="108" w:type="dxa"/>
              <w:bottom w:w="8" w:type="dxa"/>
              <w:right w:w="108" w:type="dxa"/>
            </w:tcMar>
            <w:vAlign w:val="top"/>
          </w:tcPr>
          <w:p w14:paraId="44AA2CEC">
            <w:pPr>
              <w:widowControl w:val="0"/>
              <w:spacing w:before="0" w:after="0"/>
              <w:jc w:val="center"/>
              <w:rPr>
                <w:rFonts w:ascii="Times New Roman" w:hAnsi="Times New Roman" w:eastAsia="Times New Roman" w:cs="Times New Roman"/>
                <w:b w:val="0"/>
                <w:bCs w:val="0"/>
                <w:i w:val="0"/>
                <w:iCs w:val="0"/>
                <w:smallCaps w:val="0"/>
                <w:color w:val="000000"/>
                <w:sz w:val="20"/>
                <w:szCs w:val="20"/>
                <w:highlight w:val="none"/>
              </w:rPr>
            </w:pPr>
            <w:r>
              <w:rPr>
                <w:rFonts w:ascii="PMingLiU" w:hAnsi="PMingLiU" w:eastAsia="PMingLiU" w:cs="PMingLiU"/>
                <w:b/>
                <w:bCs/>
                <w:i w:val="0"/>
                <w:iCs w:val="0"/>
                <w:smallCaps w:val="0"/>
                <w:color w:val="000000"/>
                <w:sz w:val="20"/>
                <w:szCs w:val="20"/>
                <w:highlight w:val="none"/>
              </w:rPr>
              <w:t>评分项目</w:t>
            </w:r>
          </w:p>
        </w:tc>
        <w:tc>
          <w:tcPr>
            <w:tcW w:w="3314" w:type="dxa"/>
            <w:tcBorders>
              <w:left w:val="single" w:color="000000" w:sz="6" w:space="0"/>
              <w:bottom w:val="single" w:color="000000" w:sz="6" w:space="0"/>
            </w:tcBorders>
            <w:noWrap w:val="0"/>
            <w:tcMar>
              <w:top w:w="8" w:type="dxa"/>
              <w:left w:w="108" w:type="dxa"/>
              <w:bottom w:w="8" w:type="dxa"/>
              <w:right w:w="108" w:type="dxa"/>
            </w:tcMar>
            <w:vAlign w:val="top"/>
          </w:tcPr>
          <w:p w14:paraId="6083C2AF">
            <w:pPr>
              <w:widowControl w:val="0"/>
              <w:spacing w:before="0" w:after="0"/>
              <w:jc w:val="center"/>
              <w:rPr>
                <w:rFonts w:ascii="Times New Roman" w:hAnsi="Times New Roman" w:eastAsia="Times New Roman" w:cs="Times New Roman"/>
                <w:b w:val="0"/>
                <w:bCs w:val="0"/>
                <w:i w:val="0"/>
                <w:iCs w:val="0"/>
                <w:smallCaps w:val="0"/>
                <w:color w:val="000000"/>
                <w:sz w:val="20"/>
                <w:szCs w:val="20"/>
                <w:highlight w:val="none"/>
              </w:rPr>
            </w:pPr>
            <w:r>
              <w:rPr>
                <w:rFonts w:ascii="PMingLiU" w:hAnsi="PMingLiU" w:eastAsia="PMingLiU" w:cs="PMingLiU"/>
                <w:b/>
                <w:bCs/>
                <w:i w:val="0"/>
                <w:iCs w:val="0"/>
                <w:smallCaps w:val="0"/>
                <w:color w:val="000000"/>
                <w:sz w:val="20"/>
                <w:szCs w:val="20"/>
                <w:highlight w:val="none"/>
              </w:rPr>
              <w:t>在投标文件中的页码位置</w:t>
            </w:r>
          </w:p>
        </w:tc>
      </w:tr>
      <w:tr w14:paraId="5E9FBAE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46"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1C211FE6">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276BFC1C">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57FBD0E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8"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2E44C076">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759CB812">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6D4EC72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0"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1E19CA2">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50971379">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7E51B2F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60"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6B0AD573">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40F8C5CC">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655A8DC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60"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465830A4">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043B29A0">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17604D0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9"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33C387AE">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7C5BBA53">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55F0811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88"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15C43216">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56DEA66F">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225D946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3"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7B5CA4AE">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1906C4B7">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5B6995D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07"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63D1C36">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607CE7E5">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7392F2A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40"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6D090493">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23D1B08F">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105096E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44"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3AEC7876">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648BFC94">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44B7D52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85"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F9E9302">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5F1E967F">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0AECA45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02"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41EB7DC6">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30F30880">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7D2B0CF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39"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4122031C">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2E871489">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44CCA95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37" w:hRule="atLeast"/>
        </w:trPr>
        <w:tc>
          <w:tcPr>
            <w:tcW w:w="5252"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6071E0D5">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507E0C23">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r w14:paraId="0DB6D06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40" w:hRule="atLeast"/>
        </w:trPr>
        <w:tc>
          <w:tcPr>
            <w:tcW w:w="5252" w:type="dxa"/>
            <w:tcBorders>
              <w:top w:val="single" w:color="000000" w:sz="6" w:space="0"/>
              <w:right w:val="single" w:color="000000" w:sz="6" w:space="0"/>
            </w:tcBorders>
            <w:noWrap w:val="0"/>
            <w:tcMar>
              <w:top w:w="8" w:type="dxa"/>
              <w:left w:w="108" w:type="dxa"/>
              <w:bottom w:w="8" w:type="dxa"/>
              <w:right w:w="108" w:type="dxa"/>
            </w:tcMar>
            <w:vAlign w:val="top"/>
          </w:tcPr>
          <w:p w14:paraId="70E8DA65">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c>
          <w:tcPr>
            <w:tcW w:w="3314" w:type="dxa"/>
            <w:tcBorders>
              <w:top w:val="single" w:color="000000" w:sz="6" w:space="0"/>
              <w:left w:val="single" w:color="000000" w:sz="6" w:space="0"/>
            </w:tcBorders>
            <w:noWrap w:val="0"/>
            <w:tcMar>
              <w:top w:w="8" w:type="dxa"/>
              <w:left w:w="108" w:type="dxa"/>
              <w:bottom w:w="8" w:type="dxa"/>
              <w:right w:w="108" w:type="dxa"/>
            </w:tcMar>
            <w:vAlign w:val="top"/>
          </w:tcPr>
          <w:p w14:paraId="777E5394">
            <w:pPr>
              <w:widowControl w:val="0"/>
              <w:spacing w:before="0" w:after="0"/>
              <w:jc w:val="left"/>
              <w:rPr>
                <w:rFonts w:ascii="Times New Roman" w:hAnsi="Times New Roman" w:eastAsia="Times New Roman" w:cs="Times New Roman"/>
                <w:b w:val="0"/>
                <w:bCs w:val="0"/>
                <w:i w:val="0"/>
                <w:iCs w:val="0"/>
                <w:smallCaps w:val="0"/>
                <w:color w:val="000000"/>
                <w:sz w:val="20"/>
                <w:szCs w:val="20"/>
                <w:highlight w:val="none"/>
              </w:rPr>
            </w:pPr>
          </w:p>
        </w:tc>
      </w:tr>
    </w:tbl>
    <w:p w14:paraId="5BF069DF">
      <w:pPr>
        <w:widowControl w:val="0"/>
        <w:spacing w:before="0" w:after="0" w:line="288" w:lineRule="auto"/>
        <w:jc w:val="left"/>
        <w:rPr>
          <w:rFonts w:ascii="Times New Roman" w:hAnsi="Times New Roman" w:eastAsia="Times New Roman" w:cs="Times New Roman"/>
          <w:sz w:val="32"/>
          <w:szCs w:val="32"/>
          <w:highlight w:val="none"/>
        </w:rPr>
      </w:pPr>
    </w:p>
    <w:p w14:paraId="150526C1">
      <w:pPr>
        <w:widowControl w:val="0"/>
        <w:spacing w:before="0" w:after="0"/>
        <w:ind w:firstLine="420"/>
        <w:jc w:val="left"/>
        <w:rPr>
          <w:rFonts w:ascii="Times New Roman" w:hAnsi="Times New Roman" w:eastAsia="Times New Roman" w:cs="Times New Roman"/>
          <w:sz w:val="32"/>
          <w:szCs w:val="32"/>
          <w:highlight w:val="none"/>
        </w:rPr>
      </w:pPr>
    </w:p>
    <w:p w14:paraId="4527CC17">
      <w:pPr>
        <w:widowControl w:val="0"/>
        <w:spacing w:before="0" w:after="0"/>
        <w:jc w:val="left"/>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 </w:t>
      </w:r>
    </w:p>
    <w:p w14:paraId="0ABDEAFF">
      <w:pPr>
        <w:pStyle w:val="189"/>
        <w:keepNext w:val="0"/>
        <w:widowControl w:val="0"/>
        <w:spacing w:before="120" w:after="120" w:line="400" w:lineRule="atLeast"/>
        <w:outlineLvl w:val="9"/>
        <w:rPr>
          <w:rFonts w:ascii="Times New Roman" w:hAnsi="Times New Roman" w:eastAsia="Times New Roman" w:cs="Times New Roman"/>
          <w:b/>
          <w:bCs/>
          <w:sz w:val="36"/>
          <w:szCs w:val="36"/>
          <w:highlight w:val="none"/>
        </w:rPr>
      </w:pPr>
      <w:r>
        <w:rPr>
          <w:rFonts w:ascii="宋体" w:hAnsi="宋体" w:eastAsia="宋体" w:cs="宋体"/>
          <w:i w:val="0"/>
          <w:iCs w:val="0"/>
          <w:sz w:val="21"/>
          <w:szCs w:val="21"/>
          <w:highlight w:val="none"/>
        </w:rPr>
        <w:br w:type="page" w:clear="all"/>
      </w:r>
      <w:r>
        <w:rPr>
          <w:rFonts w:ascii="宋体" w:hAnsi="宋体" w:eastAsia="宋体" w:cs="宋体"/>
          <w:i w:val="0"/>
          <w:iCs w:val="0"/>
          <w:sz w:val="21"/>
          <w:szCs w:val="21"/>
          <w:highlight w:val="none"/>
        </w:rPr>
        <w:t>一、投标函、投标报价及项目相关文件</w:t>
      </w:r>
    </w:p>
    <w:p w14:paraId="5956C3A8">
      <w:pPr>
        <w:pStyle w:val="190"/>
        <w:keepNext w:val="0"/>
        <w:widowControl w:val="0"/>
        <w:shd w:val="clear" w:color="auto" w:fill="FFFFFF"/>
        <w:spacing w:before="0" w:after="0" w:line="400" w:lineRule="atLeast"/>
        <w:jc w:val="center"/>
        <w:outlineLvl w:val="9"/>
        <w:rPr>
          <w:rFonts w:ascii="Times New Roman" w:hAnsi="Times New Roman" w:eastAsia="Times New Roman" w:cs="Times New Roman"/>
          <w:b/>
          <w:bCs/>
          <w:sz w:val="28"/>
          <w:szCs w:val="28"/>
          <w:highlight w:val="none"/>
        </w:rPr>
      </w:pPr>
      <w:r>
        <w:rPr>
          <w:rFonts w:ascii="宋体" w:hAnsi="宋体" w:eastAsia="宋体" w:cs="宋体"/>
          <w:sz w:val="21"/>
          <w:szCs w:val="21"/>
          <w:highlight w:val="none"/>
        </w:rPr>
        <w:t>1.投标函</w:t>
      </w:r>
    </w:p>
    <w:p w14:paraId="4CF2F9F8">
      <w:pPr>
        <w:widowControl w:val="0"/>
        <w:spacing w:before="19" w:after="0" w:line="400" w:lineRule="atLeast"/>
        <w:jc w:val="left"/>
        <w:rPr>
          <w:rFonts w:ascii="Times New Roman" w:hAnsi="Times New Roman" w:eastAsia="Times New Roman" w:cs="Times New Roman"/>
          <w:highlight w:val="none"/>
        </w:rPr>
      </w:pPr>
      <w:r>
        <w:rPr>
          <w:rFonts w:ascii="宋体" w:hAnsi="宋体" w:eastAsia="宋体" w:cs="宋体"/>
          <w:sz w:val="21"/>
          <w:szCs w:val="21"/>
          <w:highlight w:val="none"/>
        </w:rPr>
        <w:t>苏美达国际技术贸易有限公司：</w:t>
      </w:r>
    </w:p>
    <w:p w14:paraId="706A510D">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贵单位招标文件（包括更正通知，如果有的话）收悉，我们经详细审阅和研究，现决定参加投标。</w:t>
      </w:r>
    </w:p>
    <w:p w14:paraId="788277EB">
      <w:pPr>
        <w:widowControl w:val="0"/>
        <w:spacing w:before="19"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1.我们郑重承诺：我们是符合《中华人民共和国政府采购法》第二十二条规定的供应商，并严格遵守《中华人民共和国政府采购法》的规定。</w:t>
      </w:r>
    </w:p>
    <w:p w14:paraId="32B260EF">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    2.我们接受招标文件的所有条款和规定。</w:t>
      </w:r>
    </w:p>
    <w:p w14:paraId="01C905DE">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    3.我们同意按照招标文件第二章“投标人须知”第11条的规定，本投标文件的有效期为从投标截止日期起计算的九十天，在此期间，本投标文件将始终对我们具有约束力，并可随时被接受。如果我们中标，本投标文件在此期间之后将继续保持有效。</w:t>
      </w:r>
    </w:p>
    <w:p w14:paraId="613A4686">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    4.我们同意提供采购人要求的有关本次招标的所有资料。</w:t>
      </w:r>
    </w:p>
    <w:p w14:paraId="28ED8240">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    5.我们理解，贵公司无义务必须接受投标价最低的投标，并有权拒绝所有的投标。同时也理解贵公司不承担我们本次投标的费用。</w:t>
      </w:r>
    </w:p>
    <w:p w14:paraId="53386B2A">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6.如果我们中标，我们将按照招标文件的规定向贵公司支付招标代理服务费及其他相关费用；为执行合同，我们将按投标人须知有关要求提供必要的履约保证。</w:t>
      </w:r>
    </w:p>
    <w:p w14:paraId="31614CBE">
      <w:pPr>
        <w:widowControl w:val="0"/>
        <w:spacing w:before="0" w:after="0" w:line="400" w:lineRule="atLeast"/>
        <w:ind w:firstLine="420"/>
        <w:jc w:val="left"/>
        <w:rPr>
          <w:rFonts w:ascii="Times New Roman" w:hAnsi="Times New Roman" w:eastAsia="Times New Roman" w:cs="Times New Roman"/>
          <w:highlight w:val="none"/>
        </w:rPr>
      </w:pPr>
    </w:p>
    <w:p w14:paraId="0CBA9086">
      <w:pPr>
        <w:widowControl w:val="0"/>
        <w:spacing w:before="0" w:after="0" w:line="400" w:lineRule="atLeast"/>
        <w:ind w:firstLine="420"/>
        <w:jc w:val="left"/>
        <w:rPr>
          <w:rFonts w:ascii="Times New Roman" w:hAnsi="Times New Roman" w:eastAsia="Times New Roman" w:cs="Times New Roman"/>
          <w:highlight w:val="none"/>
        </w:rPr>
      </w:pPr>
    </w:p>
    <w:p w14:paraId="7B132B62">
      <w:pPr>
        <w:widowControl w:val="0"/>
        <w:spacing w:before="0" w:after="0" w:line="400" w:lineRule="atLeast"/>
        <w:jc w:val="left"/>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供应商名称：</w:t>
      </w:r>
      <w:r>
        <w:rPr>
          <w:rFonts w:ascii="Calibri" w:hAnsi="Calibri" w:eastAsia="Calibri" w:cs="Calibri"/>
          <w:sz w:val="21"/>
          <w:szCs w:val="21"/>
          <w:highlight w:val="none"/>
        </w:rPr>
        <w:tab/>
      </w:r>
      <w:r>
        <w:rPr>
          <w:rFonts w:ascii="PMingLiU" w:hAnsi="PMingLiU" w:eastAsia="PMingLiU" w:cs="PMingLiU"/>
          <w:sz w:val="21"/>
          <w:szCs w:val="21"/>
          <w:highlight w:val="none"/>
          <w:u w:val="single"/>
        </w:rPr>
        <w:t>（公章）</w:t>
      </w:r>
    </w:p>
    <w:p w14:paraId="726EC52A">
      <w:pPr>
        <w:widowControl w:val="0"/>
        <w:spacing w:before="0" w:after="0" w:line="400" w:lineRule="atLeast"/>
        <w:jc w:val="left"/>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地址：邮编：</w:t>
      </w:r>
    </w:p>
    <w:p w14:paraId="46AB5A44">
      <w:pPr>
        <w:widowControl w:val="0"/>
        <w:spacing w:before="0" w:after="0" w:line="400" w:lineRule="atLeast"/>
        <w:jc w:val="left"/>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电话：传真：</w:t>
      </w:r>
    </w:p>
    <w:p w14:paraId="23797C00">
      <w:pPr>
        <w:widowControl w:val="0"/>
        <w:spacing w:before="0" w:after="0" w:line="400" w:lineRule="atLeast"/>
        <w:jc w:val="left"/>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授权代表签字：</w:t>
      </w:r>
    </w:p>
    <w:p w14:paraId="65E24061">
      <w:pPr>
        <w:widowControl w:val="0"/>
        <w:spacing w:before="0" w:after="0" w:line="400" w:lineRule="atLeast"/>
        <w:jc w:val="left"/>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职务：</w:t>
      </w:r>
    </w:p>
    <w:p w14:paraId="2A9E7BD4">
      <w:pPr>
        <w:widowControl w:val="0"/>
        <w:spacing w:before="0" w:after="0" w:line="400" w:lineRule="atLeast"/>
        <w:jc w:val="left"/>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日期：</w:t>
      </w:r>
    </w:p>
    <w:p w14:paraId="4AF02210">
      <w:pPr>
        <w:widowControl w:val="0"/>
        <w:spacing w:before="4" w:after="0" w:line="400" w:lineRule="atLeast"/>
        <w:jc w:val="left"/>
        <w:rPr>
          <w:rFonts w:ascii="Times New Roman" w:hAnsi="Times New Roman" w:eastAsia="Times New Roman" w:cs="Times New Roman"/>
          <w:highlight w:val="none"/>
        </w:rPr>
      </w:pPr>
      <w:r>
        <w:rPr>
          <w:rFonts w:ascii="Times New Roman" w:hAnsi="Times New Roman" w:eastAsia="Times New Roman" w:cs="Times New Roman"/>
          <w:highlight w:val="none"/>
        </w:rPr>
        <w:t> </w:t>
      </w:r>
    </w:p>
    <w:p w14:paraId="62D55188">
      <w:pPr>
        <w:pStyle w:val="190"/>
        <w:keepNext w:val="0"/>
        <w:widowControl w:val="0"/>
        <w:shd w:val="clear" w:color="auto" w:fill="FFFFFF"/>
        <w:spacing w:before="0" w:after="0" w:line="400" w:lineRule="atLeast"/>
        <w:jc w:val="center"/>
        <w:outlineLvl w:val="9"/>
        <w:rPr>
          <w:rFonts w:ascii="Times New Roman" w:hAnsi="Times New Roman" w:eastAsia="Times New Roman" w:cs="Times New Roman"/>
          <w:b/>
          <w:bCs/>
          <w:sz w:val="28"/>
          <w:szCs w:val="28"/>
          <w:highlight w:val="none"/>
        </w:rPr>
      </w:pPr>
      <w:r>
        <w:rPr>
          <w:rFonts w:ascii="宋体" w:hAnsi="宋体" w:eastAsia="宋体" w:cs="宋体"/>
          <w:sz w:val="21"/>
          <w:szCs w:val="21"/>
          <w:highlight w:val="none"/>
        </w:rPr>
        <w:br w:type="page" w:clear="all"/>
      </w:r>
      <w:r>
        <w:rPr>
          <w:rFonts w:ascii="宋体" w:hAnsi="宋体" w:eastAsia="宋体" w:cs="宋体"/>
          <w:sz w:val="21"/>
          <w:szCs w:val="21"/>
          <w:highlight w:val="none"/>
        </w:rPr>
        <w:t>2.开标一览表</w:t>
      </w:r>
    </w:p>
    <w:p w14:paraId="62FBD01D">
      <w:pPr>
        <w:widowControl w:val="0"/>
        <w:spacing w:before="0" w:after="0" w:line="400" w:lineRule="atLeast"/>
        <w:jc w:val="left"/>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p>
    <w:tbl>
      <w:tblPr>
        <w:tblStyle w:val="191"/>
        <w:tblW w:w="4750" w:type="pct"/>
        <w:tblInd w:w="123"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top w:w="0" w:type="dxa"/>
          <w:left w:w="0" w:type="dxa"/>
          <w:bottom w:w="0" w:type="dxa"/>
          <w:right w:w="0" w:type="dxa"/>
        </w:tblCellMar>
      </w:tblPr>
      <w:tblGrid>
        <w:gridCol w:w="2407"/>
        <w:gridCol w:w="6367"/>
      </w:tblGrid>
      <w:tr w14:paraId="72729B1D">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c>
          <w:tcPr>
            <w:tcW w:w="2350" w:type="dxa"/>
            <w:tcBorders>
              <w:bottom w:val="single" w:color="000000" w:sz="6" w:space="0"/>
              <w:right w:val="single" w:color="000000" w:sz="6" w:space="0"/>
            </w:tcBorders>
            <w:noWrap w:val="0"/>
            <w:tcMar>
              <w:top w:w="15" w:type="dxa"/>
              <w:left w:w="108" w:type="dxa"/>
              <w:bottom w:w="8" w:type="dxa"/>
              <w:right w:w="108" w:type="dxa"/>
            </w:tcMar>
            <w:vAlign w:val="center"/>
          </w:tcPr>
          <w:p w14:paraId="6A0FD8F0">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项目名称</w:t>
            </w:r>
          </w:p>
        </w:tc>
        <w:tc>
          <w:tcPr>
            <w:tcW w:w="6216" w:type="dxa"/>
            <w:tcBorders>
              <w:left w:val="single" w:color="000000" w:sz="6" w:space="0"/>
              <w:bottom w:val="single" w:color="000000" w:sz="6" w:space="0"/>
            </w:tcBorders>
            <w:noWrap w:val="0"/>
            <w:tcMar>
              <w:top w:w="15" w:type="dxa"/>
              <w:left w:w="108" w:type="dxa"/>
              <w:bottom w:w="8" w:type="dxa"/>
              <w:right w:w="108" w:type="dxa"/>
            </w:tcMar>
            <w:vAlign w:val="center"/>
          </w:tcPr>
          <w:p w14:paraId="5BEC992D">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p>
        </w:tc>
      </w:tr>
      <w:tr w14:paraId="13A6B236">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c>
          <w:tcPr>
            <w:tcW w:w="2350" w:type="dxa"/>
            <w:tcBorders>
              <w:top w:val="single" w:color="000000" w:sz="12" w:space="0"/>
              <w:bottom w:val="single" w:color="000000" w:sz="6" w:space="0"/>
              <w:right w:val="single" w:color="000000" w:sz="6" w:space="0"/>
            </w:tcBorders>
            <w:noWrap w:val="0"/>
            <w:tcMar>
              <w:top w:w="15" w:type="dxa"/>
              <w:left w:w="108" w:type="dxa"/>
              <w:bottom w:w="8" w:type="dxa"/>
              <w:right w:w="108" w:type="dxa"/>
            </w:tcMar>
            <w:vAlign w:val="center"/>
          </w:tcPr>
          <w:p w14:paraId="34B5292C">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项目编号</w:t>
            </w:r>
          </w:p>
        </w:tc>
        <w:tc>
          <w:tcPr>
            <w:tcW w:w="6216" w:type="dxa"/>
            <w:tcBorders>
              <w:top w:val="single" w:color="000000" w:sz="12" w:space="0"/>
              <w:left w:val="single" w:color="000000" w:sz="6" w:space="0"/>
              <w:bottom w:val="single" w:color="000000" w:sz="6" w:space="0"/>
            </w:tcBorders>
            <w:noWrap w:val="0"/>
            <w:tcMar>
              <w:top w:w="15" w:type="dxa"/>
              <w:left w:w="108" w:type="dxa"/>
              <w:bottom w:w="8" w:type="dxa"/>
              <w:right w:w="108" w:type="dxa"/>
            </w:tcMar>
            <w:vAlign w:val="center"/>
          </w:tcPr>
          <w:p w14:paraId="6F548F9A">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p>
        </w:tc>
      </w:tr>
      <w:tr w14:paraId="725EDB55">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c>
          <w:tcPr>
            <w:tcW w:w="235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6D534E10">
            <w:pPr>
              <w:widowControl w:val="0"/>
              <w:spacing w:before="0" w:after="0" w:line="360" w:lineRule="auto"/>
              <w:jc w:val="center"/>
              <w:rPr>
                <w:rFonts w:hint="eastAsia" w:ascii="宋体" w:hAnsi="宋体" w:eastAsia="宋体" w:cs="宋体"/>
                <w:b w:val="0"/>
                <w:bCs w:val="0"/>
                <w:i w:val="0"/>
                <w:iCs w:val="0"/>
                <w:smallCaps w:val="0"/>
                <w:color w:val="000000"/>
                <w:sz w:val="21"/>
                <w:szCs w:val="21"/>
                <w:highlight w:val="none"/>
                <w:lang w:val="en-US" w:eastAsia="zh-CN"/>
              </w:rPr>
            </w:pPr>
            <w:r>
              <w:rPr>
                <w:rFonts w:ascii="宋体" w:hAnsi="宋体" w:eastAsia="宋体" w:cs="宋体"/>
                <w:b w:val="0"/>
                <w:bCs w:val="0"/>
                <w:i w:val="0"/>
                <w:iCs w:val="0"/>
                <w:smallCaps w:val="0"/>
                <w:color w:val="000000"/>
                <w:sz w:val="21"/>
                <w:szCs w:val="21"/>
                <w:highlight w:val="none"/>
              </w:rPr>
              <w:t>投标</w:t>
            </w:r>
            <w:r>
              <w:rPr>
                <w:rFonts w:hint="eastAsia" w:ascii="宋体" w:hAnsi="宋体" w:eastAsia="宋体" w:cs="宋体"/>
                <w:b w:val="0"/>
                <w:bCs w:val="0"/>
                <w:i w:val="0"/>
                <w:iCs w:val="0"/>
                <w:smallCaps w:val="0"/>
                <w:color w:val="000000"/>
                <w:sz w:val="21"/>
                <w:szCs w:val="21"/>
                <w:highlight w:val="none"/>
                <w:lang w:val="en-US" w:eastAsia="zh-CN"/>
              </w:rPr>
              <w:t>总报</w:t>
            </w:r>
            <w:r>
              <w:rPr>
                <w:rFonts w:ascii="宋体" w:hAnsi="宋体" w:eastAsia="宋体" w:cs="宋体"/>
                <w:b w:val="0"/>
                <w:bCs w:val="0"/>
                <w:i w:val="0"/>
                <w:iCs w:val="0"/>
                <w:smallCaps w:val="0"/>
                <w:color w:val="000000"/>
                <w:sz w:val="21"/>
                <w:szCs w:val="21"/>
                <w:highlight w:val="none"/>
              </w:rPr>
              <w:t>价</w:t>
            </w:r>
          </w:p>
          <w:p w14:paraId="7B322603">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val="en-US" w:eastAsia="zh-CN"/>
              </w:rPr>
              <w:t>(</w:t>
            </w:r>
            <w:r>
              <w:rPr>
                <w:rFonts w:ascii="宋体" w:hAnsi="宋体" w:eastAsia="宋体" w:cs="宋体"/>
                <w:b w:val="0"/>
                <w:bCs w:val="0"/>
                <w:i w:val="0"/>
                <w:iCs w:val="0"/>
                <w:smallCaps w:val="0"/>
                <w:color w:val="000000"/>
                <w:sz w:val="21"/>
                <w:szCs w:val="21"/>
                <w:highlight w:val="none"/>
              </w:rPr>
              <w:t>人民币）</w:t>
            </w:r>
          </w:p>
        </w:tc>
        <w:tc>
          <w:tcPr>
            <w:tcW w:w="6216"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0080E202">
            <w:pPr>
              <w:widowControl w:val="0"/>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p>
        </w:tc>
      </w:tr>
      <w:tr w14:paraId="2908D7B1">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c>
          <w:tcPr>
            <w:tcW w:w="235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1FFAF1EB">
            <w:pPr>
              <w:widowControl w:val="0"/>
              <w:spacing w:before="0" w:after="0" w:line="360" w:lineRule="auto"/>
              <w:jc w:val="center"/>
              <w:rPr>
                <w:rFonts w:hint="eastAsia" w:ascii="宋体" w:hAnsi="宋体" w:eastAsia="宋体" w:cs="宋体"/>
                <w:b w:val="0"/>
                <w:bCs w:val="0"/>
                <w:i w:val="0"/>
                <w:iCs w:val="0"/>
                <w:smallCaps w:val="0"/>
                <w:color w:val="000000"/>
                <w:sz w:val="21"/>
                <w:szCs w:val="21"/>
                <w:highlight w:val="none"/>
                <w:lang w:val="en-US" w:eastAsia="zh-CN"/>
              </w:rPr>
            </w:pPr>
            <w:r>
              <w:rPr>
                <w:rFonts w:ascii="宋体" w:hAnsi="宋体" w:eastAsia="宋体" w:cs="宋体"/>
                <w:b w:val="0"/>
                <w:bCs w:val="0"/>
                <w:i w:val="0"/>
                <w:iCs w:val="0"/>
                <w:smallCaps w:val="0"/>
                <w:color w:val="000000"/>
                <w:sz w:val="21"/>
                <w:szCs w:val="21"/>
                <w:highlight w:val="none"/>
              </w:rPr>
              <w:t>合同履行期限</w:t>
            </w:r>
          </w:p>
        </w:tc>
        <w:tc>
          <w:tcPr>
            <w:tcW w:w="6216"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7B0C3E82">
            <w:pPr>
              <w:widowControl w:val="0"/>
              <w:spacing w:before="0" w:after="0" w:line="360" w:lineRule="auto"/>
              <w:jc w:val="left"/>
              <w:rPr>
                <w:rFonts w:ascii="Times New Roman" w:hAnsi="Times New Roman" w:eastAsia="Times New Roman" w:cs="Times New Roman"/>
                <w:b w:val="0"/>
                <w:bCs w:val="0"/>
                <w:i w:val="0"/>
                <w:iCs w:val="0"/>
                <w:smallCaps w:val="0"/>
                <w:color w:val="000000"/>
                <w:sz w:val="21"/>
                <w:szCs w:val="21"/>
                <w:highlight w:val="none"/>
              </w:rPr>
            </w:pPr>
          </w:p>
        </w:tc>
      </w:tr>
      <w:tr w14:paraId="0A153BA4">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c>
          <w:tcPr>
            <w:tcW w:w="235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233A9DDE">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是否属于小微企业</w:t>
            </w:r>
          </w:p>
          <w:p w14:paraId="5A887996">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（请打√）</w:t>
            </w:r>
          </w:p>
        </w:tc>
        <w:tc>
          <w:tcPr>
            <w:tcW w:w="6216"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43D583E5">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□是                       □否</w:t>
            </w:r>
          </w:p>
        </w:tc>
      </w:tr>
      <w:tr w14:paraId="584DCBE6">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c>
          <w:tcPr>
            <w:tcW w:w="2350" w:type="dxa"/>
            <w:tcBorders>
              <w:top w:val="single" w:color="000000" w:sz="6" w:space="0"/>
              <w:right w:val="single" w:color="000000" w:sz="6" w:space="0"/>
            </w:tcBorders>
            <w:noWrap w:val="0"/>
            <w:tcMar>
              <w:top w:w="8" w:type="dxa"/>
              <w:left w:w="108" w:type="dxa"/>
              <w:bottom w:w="15" w:type="dxa"/>
              <w:right w:w="108" w:type="dxa"/>
            </w:tcMar>
            <w:vAlign w:val="top"/>
          </w:tcPr>
          <w:p w14:paraId="42449CAD">
            <w:pPr>
              <w:widowControl w:val="0"/>
              <w:spacing w:before="0" w:after="0" w:line="360" w:lineRule="auto"/>
              <w:jc w:val="center"/>
              <w:rPr>
                <w:rFonts w:hint="eastAsia" w:ascii="Times New Roman" w:hAnsi="Times New Roman" w:eastAsia="宋体" w:cs="Times New Roman"/>
                <w:b w:val="0"/>
                <w:bCs w:val="0"/>
                <w:i w:val="0"/>
                <w:iCs w:val="0"/>
                <w:smallCaps w:val="0"/>
                <w:color w:val="000000"/>
                <w:sz w:val="21"/>
                <w:szCs w:val="21"/>
                <w:highlight w:val="none"/>
                <w:lang w:val="en-US" w:eastAsia="zh-CN"/>
              </w:rPr>
            </w:pPr>
            <w:r>
              <w:rPr>
                <w:rFonts w:hint="eastAsia" w:eastAsia="宋体" w:cs="Times New Roman"/>
                <w:b w:val="0"/>
                <w:bCs w:val="0"/>
                <w:i w:val="0"/>
                <w:iCs w:val="0"/>
                <w:smallCaps w:val="0"/>
                <w:color w:val="000000"/>
                <w:sz w:val="21"/>
                <w:szCs w:val="21"/>
                <w:highlight w:val="none"/>
                <w:lang w:val="en-US" w:eastAsia="zh-CN"/>
              </w:rPr>
              <w:t>备注</w:t>
            </w:r>
          </w:p>
        </w:tc>
        <w:tc>
          <w:tcPr>
            <w:tcW w:w="6216" w:type="dxa"/>
            <w:tcBorders>
              <w:top w:val="single" w:color="000000" w:sz="6" w:space="0"/>
              <w:left w:val="single" w:color="000000" w:sz="6" w:space="0"/>
            </w:tcBorders>
            <w:noWrap w:val="0"/>
            <w:tcMar>
              <w:top w:w="8" w:type="dxa"/>
              <w:left w:w="108" w:type="dxa"/>
              <w:bottom w:w="15" w:type="dxa"/>
              <w:right w:w="108" w:type="dxa"/>
            </w:tcMar>
            <w:vAlign w:val="top"/>
          </w:tcPr>
          <w:p w14:paraId="75D84508">
            <w:pPr>
              <w:widowControl w:val="0"/>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p>
        </w:tc>
      </w:tr>
    </w:tbl>
    <w:p w14:paraId="6EB5205B">
      <w:pPr>
        <w:widowControl w:val="0"/>
        <w:spacing w:before="0" w:after="0" w:line="400" w:lineRule="atLeast"/>
        <w:jc w:val="left"/>
        <w:rPr>
          <w:rFonts w:ascii="Times New Roman" w:hAnsi="Times New Roman" w:eastAsia="Times New Roman" w:cs="Times New Roman"/>
          <w:highlight w:val="none"/>
        </w:rPr>
      </w:pPr>
    </w:p>
    <w:p w14:paraId="6318965F">
      <w:pPr>
        <w:widowControl w:val="0"/>
        <w:spacing w:before="0" w:after="0" w:line="400" w:lineRule="atLeast"/>
        <w:jc w:val="left"/>
        <w:rPr>
          <w:rFonts w:ascii="Times New Roman" w:hAnsi="Times New Roman" w:eastAsia="Times New Roman" w:cs="Times New Roman"/>
          <w:highlight w:val="none"/>
        </w:rPr>
      </w:pPr>
    </w:p>
    <w:p w14:paraId="38FA579D">
      <w:pPr>
        <w:widowControl w:val="0"/>
        <w:spacing w:before="0" w:after="0" w:line="400" w:lineRule="atLeast"/>
        <w:jc w:val="left"/>
        <w:rPr>
          <w:rFonts w:ascii="Times New Roman" w:hAnsi="Times New Roman" w:eastAsia="Times New Roman" w:cs="Times New Roman"/>
          <w:highlight w:val="none"/>
        </w:rPr>
      </w:pPr>
      <w:r>
        <w:rPr>
          <w:rFonts w:ascii="PMingLiU" w:hAnsi="PMingLiU" w:eastAsia="PMingLiU" w:cs="PMingLiU"/>
          <w:sz w:val="21"/>
          <w:szCs w:val="21"/>
          <w:highlight w:val="none"/>
        </w:rPr>
        <w:t>供应商名称：</w:t>
      </w:r>
    </w:p>
    <w:p w14:paraId="323E88BE">
      <w:pPr>
        <w:widowControl w:val="0"/>
        <w:spacing w:before="0" w:after="0" w:line="400" w:lineRule="atLeast"/>
        <w:jc w:val="left"/>
        <w:rPr>
          <w:rFonts w:ascii="Times New Roman" w:hAnsi="Times New Roman" w:eastAsia="Times New Roman" w:cs="Times New Roman"/>
          <w:highlight w:val="none"/>
        </w:rPr>
      </w:pPr>
      <w:r>
        <w:rPr>
          <w:rFonts w:ascii="PMingLiU" w:hAnsi="PMingLiU" w:eastAsia="PMingLiU" w:cs="PMingLiU"/>
          <w:sz w:val="21"/>
          <w:szCs w:val="21"/>
          <w:highlight w:val="none"/>
        </w:rPr>
        <w:t>供应商公章</w:t>
      </w:r>
      <w:r>
        <w:rPr>
          <w:rFonts w:ascii="宋体" w:hAnsi="宋体" w:eastAsia="宋体" w:cs="宋体"/>
          <w:sz w:val="21"/>
          <w:szCs w:val="21"/>
          <w:highlight w:val="none"/>
        </w:rPr>
        <w:t>：</w:t>
      </w:r>
    </w:p>
    <w:p w14:paraId="319612FB">
      <w:pPr>
        <w:widowControl w:val="0"/>
        <w:spacing w:before="0" w:after="0" w:line="400" w:lineRule="atLeast"/>
        <w:jc w:val="left"/>
        <w:rPr>
          <w:rFonts w:ascii="Times New Roman" w:hAnsi="Times New Roman" w:eastAsia="Times New Roman" w:cs="Times New Roman"/>
          <w:highlight w:val="none"/>
        </w:rPr>
      </w:pPr>
      <w:r>
        <w:rPr>
          <w:rFonts w:ascii="PMingLiU" w:hAnsi="PMingLiU" w:eastAsia="PMingLiU" w:cs="PMingLiU"/>
          <w:sz w:val="21"/>
          <w:szCs w:val="21"/>
          <w:highlight w:val="none"/>
        </w:rPr>
        <w:t>授权代表</w:t>
      </w:r>
      <w:r>
        <w:rPr>
          <w:rFonts w:ascii="宋体" w:hAnsi="宋体" w:eastAsia="宋体" w:cs="宋体"/>
          <w:sz w:val="21"/>
          <w:szCs w:val="21"/>
          <w:highlight w:val="none"/>
        </w:rPr>
        <w:t>（</w:t>
      </w:r>
      <w:r>
        <w:rPr>
          <w:rFonts w:ascii="PMingLiU" w:hAnsi="PMingLiU" w:eastAsia="PMingLiU" w:cs="PMingLiU"/>
          <w:sz w:val="21"/>
          <w:szCs w:val="21"/>
          <w:highlight w:val="none"/>
        </w:rPr>
        <w:t>签字</w:t>
      </w:r>
      <w:r>
        <w:rPr>
          <w:rFonts w:ascii="宋体" w:hAnsi="宋体" w:eastAsia="宋体" w:cs="宋体"/>
          <w:sz w:val="21"/>
          <w:szCs w:val="21"/>
          <w:highlight w:val="none"/>
        </w:rPr>
        <w:t>）：</w:t>
      </w:r>
    </w:p>
    <w:p w14:paraId="7DEA8024">
      <w:pPr>
        <w:widowControl w:val="0"/>
        <w:spacing w:before="0" w:after="0" w:line="400" w:lineRule="atLeast"/>
        <w:jc w:val="left"/>
        <w:rPr>
          <w:rFonts w:ascii="Times New Roman" w:hAnsi="Times New Roman" w:eastAsia="Times New Roman" w:cs="Times New Roman"/>
          <w:highlight w:val="none"/>
        </w:rPr>
      </w:pPr>
      <w:r>
        <w:rPr>
          <w:rFonts w:ascii="PMingLiU" w:hAnsi="PMingLiU" w:eastAsia="PMingLiU" w:cs="PMingLiU"/>
          <w:sz w:val="21"/>
          <w:szCs w:val="21"/>
          <w:highlight w:val="none"/>
        </w:rPr>
        <w:t>日期：</w:t>
      </w:r>
      <w:r>
        <w:rPr>
          <w:rFonts w:ascii="宋体" w:hAnsi="宋体" w:eastAsia="宋体" w:cs="宋体"/>
          <w:sz w:val="21"/>
          <w:szCs w:val="21"/>
          <w:highlight w:val="none"/>
        </w:rPr>
        <w:br w:type="page" w:clear="all"/>
      </w:r>
      <w:r>
        <w:rPr>
          <w:rFonts w:ascii="宋体" w:hAnsi="宋体" w:eastAsia="宋体" w:cs="宋体"/>
          <w:sz w:val="21"/>
          <w:szCs w:val="21"/>
          <w:highlight w:val="none"/>
        </w:rPr>
        <w:t>3.分项报价表</w:t>
      </w:r>
    </w:p>
    <w:p w14:paraId="1B2C98F8">
      <w:pPr>
        <w:widowControl w:val="0"/>
        <w:spacing w:before="0" w:after="0"/>
        <w:jc w:val="center"/>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3.分项报价表</w:t>
      </w:r>
    </w:p>
    <w:p w14:paraId="4B40869E">
      <w:pPr>
        <w:widowControl w:val="0"/>
        <w:spacing w:before="0" w:after="0"/>
        <w:jc w:val="left"/>
        <w:rPr>
          <w:rFonts w:ascii="Times New Roman" w:hAnsi="Times New Roman" w:eastAsia="Times New Roman" w:cs="Times New Roman"/>
          <w:sz w:val="21"/>
          <w:szCs w:val="21"/>
          <w:highlight w:val="none"/>
        </w:rPr>
      </w:pPr>
    </w:p>
    <w:p w14:paraId="02DB6622">
      <w:pPr>
        <w:widowControl w:val="0"/>
        <w:spacing w:before="0" w:after="0" w:line="360" w:lineRule="auto"/>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项目编号：</w:t>
      </w:r>
    </w:p>
    <w:p w14:paraId="1E79E5F6">
      <w:pPr>
        <w:widowControl w:val="0"/>
        <w:spacing w:before="0" w:after="0" w:line="360" w:lineRule="auto"/>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项目名称：</w:t>
      </w:r>
    </w:p>
    <w:p w14:paraId="2358781B">
      <w:pPr>
        <w:widowControl w:val="0"/>
        <w:spacing w:before="0" w:after="0" w:line="360" w:lineRule="auto"/>
        <w:ind w:firstLine="420"/>
        <w:jc w:val="left"/>
        <w:rPr>
          <w:rFonts w:ascii="Times New Roman" w:hAnsi="Times New Roman" w:eastAsia="Times New Roman" w:cs="Times New Roman"/>
          <w:sz w:val="21"/>
          <w:szCs w:val="21"/>
          <w:highlight w:val="none"/>
        </w:rPr>
      </w:pPr>
    </w:p>
    <w:tbl>
      <w:tblPr>
        <w:tblStyle w:val="194"/>
        <w:tblW w:w="44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72"/>
        <w:gridCol w:w="1710"/>
        <w:gridCol w:w="1111"/>
        <w:gridCol w:w="678"/>
        <w:gridCol w:w="1492"/>
        <w:gridCol w:w="779"/>
        <w:gridCol w:w="929"/>
        <w:gridCol w:w="979"/>
      </w:tblGrid>
      <w:tr w14:paraId="3DDF2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34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6C023E">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序号</w:t>
            </w:r>
          </w:p>
        </w:tc>
        <w:tc>
          <w:tcPr>
            <w:tcW w:w="103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4C3704">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名称</w:t>
            </w:r>
          </w:p>
        </w:tc>
        <w:tc>
          <w:tcPr>
            <w:tcW w:w="67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F959AF">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规格型号</w:t>
            </w:r>
          </w:p>
        </w:tc>
        <w:tc>
          <w:tcPr>
            <w:tcW w:w="41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5F4C11">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单位</w:t>
            </w:r>
          </w:p>
        </w:tc>
        <w:tc>
          <w:tcPr>
            <w:tcW w:w="904"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55A034">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年预计采购量</w:t>
            </w:r>
          </w:p>
        </w:tc>
        <w:tc>
          <w:tcPr>
            <w:tcW w:w="4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590181">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单价</w:t>
            </w:r>
          </w:p>
        </w:tc>
        <w:tc>
          <w:tcPr>
            <w:tcW w:w="56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A91BD7">
            <w:pPr>
              <w:widowControl/>
              <w:spacing w:line="360" w:lineRule="auto"/>
              <w:jc w:val="center"/>
              <w:rPr>
                <w:rFonts w:hint="eastAsia" w:ascii="宋体" w:hAnsi="宋体" w:eastAsia="宋体" w:cs="宋体"/>
                <w:sz w:val="21"/>
                <w:szCs w:val="21"/>
                <w:highlight w:val="none"/>
                <w:lang w:val="en-US" w:eastAsia="zh-CN" w:bidi="ar-SA"/>
              </w:rPr>
            </w:pPr>
            <w:r>
              <w:rPr>
                <w:rFonts w:ascii="宋体" w:hAnsi="宋体" w:eastAsia="宋体" w:cs="宋体"/>
                <w:b w:val="0"/>
                <w:bCs w:val="0"/>
                <w:i w:val="0"/>
                <w:iCs w:val="0"/>
                <w:smallCaps w:val="0"/>
                <w:color w:val="000000"/>
                <w:sz w:val="21"/>
                <w:szCs w:val="21"/>
                <w:highlight w:val="none"/>
              </w:rPr>
              <w:t>合价</w:t>
            </w:r>
          </w:p>
        </w:tc>
        <w:tc>
          <w:tcPr>
            <w:tcW w:w="59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066277">
            <w:pPr>
              <w:widowControl/>
              <w:spacing w:line="360" w:lineRule="auto"/>
              <w:jc w:val="center"/>
              <w:rPr>
                <w:rFonts w:hint="default" w:ascii="宋体" w:hAnsi="宋体" w:eastAsia="宋体" w:cs="宋体"/>
                <w:b w:val="0"/>
                <w:bCs w:val="0"/>
                <w:i w:val="0"/>
                <w:iCs w:val="0"/>
                <w:smallCaps w:val="0"/>
                <w:color w:val="000000"/>
                <w:sz w:val="21"/>
                <w:szCs w:val="21"/>
                <w:highlight w:val="none"/>
                <w:lang w:val="en-US" w:eastAsia="zh-CN"/>
              </w:rPr>
            </w:pPr>
            <w:r>
              <w:rPr>
                <w:rFonts w:hint="eastAsia" w:ascii="宋体" w:hAnsi="宋体" w:eastAsia="宋体" w:cs="宋体"/>
                <w:b w:val="0"/>
                <w:bCs w:val="0"/>
                <w:i w:val="0"/>
                <w:iCs w:val="0"/>
                <w:smallCaps w:val="0"/>
                <w:color w:val="000000"/>
                <w:sz w:val="21"/>
                <w:szCs w:val="21"/>
                <w:highlight w:val="none"/>
                <w:lang w:val="en-US" w:eastAsia="zh-CN"/>
              </w:rPr>
              <w:t>品牌/制造商</w:t>
            </w:r>
          </w:p>
        </w:tc>
      </w:tr>
      <w:tr w14:paraId="6AC8E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jc w:val="center"/>
        </w:trPr>
        <w:tc>
          <w:tcPr>
            <w:tcW w:w="34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8425C0">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w:t>
            </w:r>
          </w:p>
        </w:tc>
        <w:tc>
          <w:tcPr>
            <w:tcW w:w="103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96B10C">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液态氧</w:t>
            </w:r>
          </w:p>
        </w:tc>
        <w:tc>
          <w:tcPr>
            <w:tcW w:w="67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5B9241">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医用</w:t>
            </w:r>
          </w:p>
        </w:tc>
        <w:tc>
          <w:tcPr>
            <w:tcW w:w="41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9DF298">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吨</w:t>
            </w:r>
          </w:p>
        </w:tc>
        <w:tc>
          <w:tcPr>
            <w:tcW w:w="904"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2CCFF9">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640</w:t>
            </w:r>
          </w:p>
        </w:tc>
        <w:tc>
          <w:tcPr>
            <w:tcW w:w="4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C9CF6C">
            <w:pPr>
              <w:widowControl/>
              <w:spacing w:line="360" w:lineRule="auto"/>
              <w:jc w:val="center"/>
              <w:rPr>
                <w:rFonts w:hint="eastAsia" w:ascii="宋体" w:hAnsi="宋体" w:eastAsia="宋体" w:cs="宋体"/>
                <w:sz w:val="21"/>
                <w:szCs w:val="21"/>
                <w:highlight w:val="none"/>
                <w:lang w:val="en-US" w:eastAsia="zh-CN" w:bidi="ar-SA"/>
              </w:rPr>
            </w:pPr>
          </w:p>
        </w:tc>
        <w:tc>
          <w:tcPr>
            <w:tcW w:w="56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D18940">
            <w:pPr>
              <w:widowControl/>
              <w:spacing w:line="360" w:lineRule="auto"/>
              <w:jc w:val="center"/>
              <w:rPr>
                <w:rFonts w:hint="eastAsia" w:ascii="宋体" w:hAnsi="宋体" w:eastAsia="宋体" w:cs="宋体"/>
                <w:sz w:val="21"/>
                <w:szCs w:val="21"/>
                <w:highlight w:val="none"/>
                <w:lang w:val="en-US" w:eastAsia="zh-CN" w:bidi="ar-SA"/>
              </w:rPr>
            </w:pPr>
          </w:p>
        </w:tc>
        <w:tc>
          <w:tcPr>
            <w:tcW w:w="59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A23E25">
            <w:pPr>
              <w:widowControl/>
              <w:spacing w:line="360" w:lineRule="auto"/>
              <w:jc w:val="center"/>
              <w:rPr>
                <w:rFonts w:hint="eastAsia" w:ascii="宋体" w:hAnsi="宋体" w:eastAsia="宋体" w:cs="宋体"/>
                <w:sz w:val="21"/>
                <w:szCs w:val="21"/>
                <w:highlight w:val="none"/>
                <w:lang w:val="en-US" w:eastAsia="zh-CN" w:bidi="ar-SA"/>
              </w:rPr>
            </w:pPr>
          </w:p>
        </w:tc>
      </w:tr>
      <w:tr w14:paraId="521CC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2" w:hRule="atLeast"/>
          <w:jc w:val="center"/>
        </w:trPr>
        <w:tc>
          <w:tcPr>
            <w:tcW w:w="34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369005">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w:t>
            </w:r>
          </w:p>
        </w:tc>
        <w:tc>
          <w:tcPr>
            <w:tcW w:w="103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4FFA87">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一体化瓶装氧气（含瓶体租金）</w:t>
            </w:r>
          </w:p>
        </w:tc>
        <w:tc>
          <w:tcPr>
            <w:tcW w:w="67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599250">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5升</w:t>
            </w:r>
          </w:p>
        </w:tc>
        <w:tc>
          <w:tcPr>
            <w:tcW w:w="41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685C27">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瓶</w:t>
            </w:r>
          </w:p>
        </w:tc>
        <w:tc>
          <w:tcPr>
            <w:tcW w:w="904"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F9D804">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15</w:t>
            </w:r>
          </w:p>
        </w:tc>
        <w:tc>
          <w:tcPr>
            <w:tcW w:w="4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7B008A">
            <w:pPr>
              <w:widowControl/>
              <w:spacing w:line="360" w:lineRule="auto"/>
              <w:jc w:val="center"/>
              <w:rPr>
                <w:rFonts w:hint="eastAsia" w:ascii="宋体" w:hAnsi="宋体" w:eastAsia="宋体" w:cs="宋体"/>
                <w:sz w:val="21"/>
                <w:szCs w:val="21"/>
                <w:highlight w:val="none"/>
                <w:lang w:val="en-US" w:eastAsia="zh-CN" w:bidi="ar-SA"/>
              </w:rPr>
            </w:pPr>
          </w:p>
        </w:tc>
        <w:tc>
          <w:tcPr>
            <w:tcW w:w="56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1ED6AA">
            <w:pPr>
              <w:widowControl/>
              <w:spacing w:line="360" w:lineRule="auto"/>
              <w:jc w:val="center"/>
              <w:rPr>
                <w:rFonts w:hint="eastAsia" w:ascii="宋体" w:hAnsi="宋体" w:eastAsia="宋体" w:cs="宋体"/>
                <w:sz w:val="21"/>
                <w:szCs w:val="21"/>
                <w:highlight w:val="none"/>
                <w:lang w:val="en-US" w:eastAsia="zh-CN" w:bidi="ar-SA"/>
              </w:rPr>
            </w:pPr>
          </w:p>
        </w:tc>
        <w:tc>
          <w:tcPr>
            <w:tcW w:w="59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BB5453">
            <w:pPr>
              <w:widowControl/>
              <w:spacing w:line="360" w:lineRule="auto"/>
              <w:jc w:val="center"/>
              <w:rPr>
                <w:rFonts w:hint="eastAsia" w:ascii="宋体" w:hAnsi="宋体" w:eastAsia="宋体" w:cs="宋体"/>
                <w:sz w:val="21"/>
                <w:szCs w:val="21"/>
                <w:highlight w:val="none"/>
                <w:lang w:val="en-US" w:eastAsia="zh-CN" w:bidi="ar-SA"/>
              </w:rPr>
            </w:pPr>
          </w:p>
        </w:tc>
      </w:tr>
      <w:tr w14:paraId="1E723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jc w:val="center"/>
        </w:trPr>
        <w:tc>
          <w:tcPr>
            <w:tcW w:w="34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9923DE">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3</w:t>
            </w:r>
          </w:p>
        </w:tc>
        <w:tc>
          <w:tcPr>
            <w:tcW w:w="103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9A9D95">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一体化瓶装氧气（含瓶体租金）</w:t>
            </w:r>
          </w:p>
        </w:tc>
        <w:tc>
          <w:tcPr>
            <w:tcW w:w="67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1C4959">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2升</w:t>
            </w:r>
          </w:p>
        </w:tc>
        <w:tc>
          <w:tcPr>
            <w:tcW w:w="41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72F753">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瓶</w:t>
            </w:r>
          </w:p>
        </w:tc>
        <w:tc>
          <w:tcPr>
            <w:tcW w:w="904"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13010A">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15</w:t>
            </w:r>
          </w:p>
        </w:tc>
        <w:tc>
          <w:tcPr>
            <w:tcW w:w="4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060BE2">
            <w:pPr>
              <w:widowControl/>
              <w:spacing w:line="360" w:lineRule="auto"/>
              <w:jc w:val="center"/>
              <w:rPr>
                <w:rFonts w:hint="eastAsia" w:ascii="宋体" w:hAnsi="宋体" w:eastAsia="宋体" w:cs="宋体"/>
                <w:sz w:val="21"/>
                <w:szCs w:val="21"/>
                <w:highlight w:val="none"/>
                <w:lang w:val="en-US" w:eastAsia="zh-CN" w:bidi="ar-SA"/>
              </w:rPr>
            </w:pPr>
          </w:p>
        </w:tc>
        <w:tc>
          <w:tcPr>
            <w:tcW w:w="56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D78263">
            <w:pPr>
              <w:widowControl/>
              <w:spacing w:line="360" w:lineRule="auto"/>
              <w:jc w:val="center"/>
              <w:rPr>
                <w:rFonts w:hint="eastAsia" w:ascii="宋体" w:hAnsi="宋体" w:eastAsia="宋体" w:cs="宋体"/>
                <w:sz w:val="21"/>
                <w:szCs w:val="21"/>
                <w:highlight w:val="none"/>
                <w:lang w:val="en-US" w:eastAsia="zh-CN" w:bidi="ar-SA"/>
              </w:rPr>
            </w:pPr>
          </w:p>
        </w:tc>
        <w:tc>
          <w:tcPr>
            <w:tcW w:w="59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751D66">
            <w:pPr>
              <w:widowControl/>
              <w:spacing w:line="360" w:lineRule="auto"/>
              <w:jc w:val="center"/>
              <w:rPr>
                <w:rFonts w:hint="eastAsia" w:ascii="宋体" w:hAnsi="宋体" w:eastAsia="宋体" w:cs="宋体"/>
                <w:sz w:val="21"/>
                <w:szCs w:val="21"/>
                <w:highlight w:val="none"/>
                <w:lang w:val="en-US" w:eastAsia="zh-CN" w:bidi="ar-SA"/>
              </w:rPr>
            </w:pPr>
          </w:p>
        </w:tc>
      </w:tr>
      <w:tr w14:paraId="6D228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jc w:val="center"/>
        </w:trPr>
        <w:tc>
          <w:tcPr>
            <w:tcW w:w="34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19B9E1">
            <w:pPr>
              <w:widowControl/>
              <w:spacing w:line="360" w:lineRule="auto"/>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w:t>
            </w:r>
          </w:p>
        </w:tc>
        <w:tc>
          <w:tcPr>
            <w:tcW w:w="103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7BFC2B">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液氧站建设（含维护）</w:t>
            </w:r>
          </w:p>
        </w:tc>
        <w:tc>
          <w:tcPr>
            <w:tcW w:w="67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5ED175">
            <w:pPr>
              <w:widowControl/>
              <w:spacing w:line="360" w:lineRule="auto"/>
              <w:jc w:val="center"/>
              <w:rPr>
                <w:rFonts w:hint="eastAsia" w:ascii="宋体" w:hAnsi="宋体" w:eastAsia="宋体" w:cs="宋体"/>
                <w:sz w:val="21"/>
                <w:szCs w:val="21"/>
                <w:highlight w:val="none"/>
                <w:lang w:val="en-US" w:eastAsia="zh-CN" w:bidi="ar-SA"/>
              </w:rPr>
            </w:pPr>
          </w:p>
        </w:tc>
        <w:tc>
          <w:tcPr>
            <w:tcW w:w="41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665D61">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项</w:t>
            </w:r>
          </w:p>
        </w:tc>
        <w:tc>
          <w:tcPr>
            <w:tcW w:w="904"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40C3D8">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w:t>
            </w:r>
          </w:p>
        </w:tc>
        <w:tc>
          <w:tcPr>
            <w:tcW w:w="4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FB079D">
            <w:pPr>
              <w:widowControl/>
              <w:spacing w:line="360" w:lineRule="auto"/>
              <w:jc w:val="center"/>
              <w:rPr>
                <w:rFonts w:hint="eastAsia" w:ascii="宋体" w:hAnsi="宋体" w:eastAsia="宋体" w:cs="宋体"/>
                <w:sz w:val="21"/>
                <w:szCs w:val="21"/>
                <w:highlight w:val="none"/>
                <w:lang w:val="en-US" w:eastAsia="zh-CN" w:bidi="ar-SA"/>
              </w:rPr>
            </w:pPr>
          </w:p>
        </w:tc>
        <w:tc>
          <w:tcPr>
            <w:tcW w:w="56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0D5B27">
            <w:pPr>
              <w:widowControl/>
              <w:spacing w:line="360" w:lineRule="auto"/>
              <w:jc w:val="center"/>
              <w:rPr>
                <w:rFonts w:hint="eastAsia" w:ascii="宋体" w:hAnsi="宋体" w:eastAsia="宋体" w:cs="宋体"/>
                <w:sz w:val="21"/>
                <w:szCs w:val="21"/>
                <w:highlight w:val="none"/>
                <w:lang w:val="en-US" w:eastAsia="zh-CN" w:bidi="ar-SA"/>
              </w:rPr>
            </w:pPr>
          </w:p>
        </w:tc>
        <w:tc>
          <w:tcPr>
            <w:tcW w:w="59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48E04C">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w:t>
            </w:r>
          </w:p>
        </w:tc>
      </w:tr>
      <w:tr w14:paraId="08C2F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jc w:val="center"/>
        </w:trPr>
        <w:tc>
          <w:tcPr>
            <w:tcW w:w="34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06D870">
            <w:pPr>
              <w:widowControl/>
              <w:spacing w:line="360" w:lineRule="auto"/>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4-1</w:t>
            </w:r>
          </w:p>
        </w:tc>
        <w:tc>
          <w:tcPr>
            <w:tcW w:w="103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FB3E47">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其中：液氧储罐</w:t>
            </w:r>
          </w:p>
        </w:tc>
        <w:tc>
          <w:tcPr>
            <w:tcW w:w="67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189897">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position w:val="-1"/>
                <w:sz w:val="21"/>
                <w:szCs w:val="21"/>
                <w:highlight w:val="none"/>
                <w:lang w:val="en-US" w:eastAsia="zh-CN" w:bidi="ar-SA"/>
              </w:rPr>
              <w:t>5m³、1.6MPa</w:t>
            </w:r>
          </w:p>
        </w:tc>
        <w:tc>
          <w:tcPr>
            <w:tcW w:w="41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FF2C54">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个</w:t>
            </w:r>
          </w:p>
        </w:tc>
        <w:tc>
          <w:tcPr>
            <w:tcW w:w="904"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ED2395">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w:t>
            </w:r>
          </w:p>
        </w:tc>
        <w:tc>
          <w:tcPr>
            <w:tcW w:w="4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E0920D">
            <w:pPr>
              <w:widowControl/>
              <w:spacing w:line="360" w:lineRule="auto"/>
              <w:jc w:val="center"/>
              <w:rPr>
                <w:rFonts w:hint="eastAsia" w:ascii="宋体" w:hAnsi="宋体" w:eastAsia="宋体" w:cs="宋体"/>
                <w:sz w:val="21"/>
                <w:szCs w:val="21"/>
                <w:highlight w:val="none"/>
                <w:lang w:val="en-US" w:eastAsia="zh-CN" w:bidi="ar-SA"/>
              </w:rPr>
            </w:pPr>
          </w:p>
        </w:tc>
        <w:tc>
          <w:tcPr>
            <w:tcW w:w="56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838539">
            <w:pPr>
              <w:widowControl/>
              <w:spacing w:line="360" w:lineRule="auto"/>
              <w:jc w:val="center"/>
              <w:rPr>
                <w:rFonts w:hint="eastAsia" w:ascii="宋体" w:hAnsi="宋体" w:eastAsia="宋体" w:cs="宋体"/>
                <w:sz w:val="21"/>
                <w:szCs w:val="21"/>
                <w:highlight w:val="none"/>
                <w:lang w:val="en-US" w:eastAsia="zh-CN" w:bidi="ar-SA"/>
              </w:rPr>
            </w:pPr>
          </w:p>
        </w:tc>
        <w:tc>
          <w:tcPr>
            <w:tcW w:w="59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F619A3">
            <w:pPr>
              <w:widowControl/>
              <w:spacing w:line="360" w:lineRule="auto"/>
              <w:jc w:val="center"/>
              <w:rPr>
                <w:rFonts w:hint="eastAsia" w:ascii="宋体" w:hAnsi="宋体" w:eastAsia="宋体" w:cs="宋体"/>
                <w:sz w:val="21"/>
                <w:szCs w:val="21"/>
                <w:highlight w:val="none"/>
                <w:lang w:val="en-US" w:eastAsia="zh-CN" w:bidi="ar-SA"/>
              </w:rPr>
            </w:pPr>
          </w:p>
        </w:tc>
      </w:tr>
      <w:tr w14:paraId="7F431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0" w:hRule="atLeast"/>
          <w:jc w:val="center"/>
        </w:trPr>
        <w:tc>
          <w:tcPr>
            <w:tcW w:w="34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752FDB">
            <w:pPr>
              <w:widowControl/>
              <w:spacing w:line="360" w:lineRule="auto"/>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4-2</w:t>
            </w:r>
          </w:p>
        </w:tc>
        <w:tc>
          <w:tcPr>
            <w:tcW w:w="103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4BA8BA">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其中：液氧站其余建设、配套、运维等（除液氧储罐外）</w:t>
            </w:r>
          </w:p>
        </w:tc>
        <w:tc>
          <w:tcPr>
            <w:tcW w:w="67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72A8BA">
            <w:pPr>
              <w:widowControl/>
              <w:spacing w:line="360" w:lineRule="auto"/>
              <w:jc w:val="center"/>
              <w:rPr>
                <w:rFonts w:hint="eastAsia" w:ascii="宋体" w:hAnsi="宋体" w:eastAsia="宋体" w:cs="宋体"/>
                <w:sz w:val="21"/>
                <w:szCs w:val="21"/>
                <w:highlight w:val="none"/>
                <w:lang w:val="en-US" w:eastAsia="zh-CN" w:bidi="ar-SA"/>
              </w:rPr>
            </w:pPr>
          </w:p>
        </w:tc>
        <w:tc>
          <w:tcPr>
            <w:tcW w:w="41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3CD0E8">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项</w:t>
            </w:r>
          </w:p>
        </w:tc>
        <w:tc>
          <w:tcPr>
            <w:tcW w:w="904"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9670C5">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w:t>
            </w:r>
          </w:p>
        </w:tc>
        <w:tc>
          <w:tcPr>
            <w:tcW w:w="4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D36CAE">
            <w:pPr>
              <w:widowControl/>
              <w:spacing w:line="360" w:lineRule="auto"/>
              <w:jc w:val="center"/>
              <w:rPr>
                <w:rFonts w:hint="eastAsia" w:ascii="宋体" w:hAnsi="宋体" w:eastAsia="宋体" w:cs="宋体"/>
                <w:sz w:val="21"/>
                <w:szCs w:val="21"/>
                <w:highlight w:val="none"/>
                <w:lang w:val="en-US" w:eastAsia="zh-CN" w:bidi="ar-SA"/>
              </w:rPr>
            </w:pPr>
          </w:p>
        </w:tc>
        <w:tc>
          <w:tcPr>
            <w:tcW w:w="56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CD8D84">
            <w:pPr>
              <w:widowControl/>
              <w:spacing w:line="360" w:lineRule="auto"/>
              <w:jc w:val="center"/>
              <w:rPr>
                <w:rFonts w:hint="eastAsia" w:ascii="宋体" w:hAnsi="宋体" w:eastAsia="宋体" w:cs="宋体"/>
                <w:sz w:val="21"/>
                <w:szCs w:val="21"/>
                <w:highlight w:val="none"/>
                <w:lang w:val="en-US" w:eastAsia="zh-CN" w:bidi="ar-SA"/>
              </w:rPr>
            </w:pPr>
          </w:p>
        </w:tc>
        <w:tc>
          <w:tcPr>
            <w:tcW w:w="59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219D73">
            <w:pPr>
              <w:widowControl/>
              <w:spacing w:line="360" w:lineRule="auto"/>
              <w:jc w:val="center"/>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w:t>
            </w:r>
          </w:p>
        </w:tc>
      </w:tr>
      <w:tr w14:paraId="67801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jc w:val="center"/>
        </w:trPr>
        <w:tc>
          <w:tcPr>
            <w:tcW w:w="4406" w:type="pct"/>
            <w:gridSpan w:val="7"/>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D24EF9">
            <w:pPr>
              <w:widowControl/>
              <w:spacing w:line="360" w:lineRule="auto"/>
              <w:jc w:val="center"/>
              <w:rPr>
                <w:rFonts w:hint="eastAsia" w:ascii="宋体" w:hAnsi="宋体" w:eastAsia="宋体" w:cs="宋体"/>
                <w:sz w:val="21"/>
                <w:szCs w:val="21"/>
                <w:highlight w:val="none"/>
                <w:lang w:val="en-US" w:eastAsia="zh-CN" w:bidi="ar-SA"/>
              </w:rPr>
            </w:pPr>
            <w:r>
              <w:rPr>
                <w:rFonts w:ascii="宋体" w:hAnsi="宋体" w:eastAsia="宋体" w:cs="宋体"/>
                <w:b w:val="0"/>
                <w:bCs w:val="0"/>
                <w:i w:val="0"/>
                <w:iCs w:val="0"/>
                <w:smallCaps w:val="0"/>
                <w:color w:val="000000"/>
                <w:sz w:val="21"/>
                <w:szCs w:val="21"/>
                <w:highlight w:val="none"/>
              </w:rPr>
              <w:t>合计</w:t>
            </w:r>
            <w:r>
              <w:rPr>
                <w:rFonts w:hint="eastAsia" w:ascii="宋体" w:hAnsi="宋体" w:eastAsia="宋体" w:cs="宋体"/>
                <w:b w:val="0"/>
                <w:bCs w:val="0"/>
                <w:i w:val="0"/>
                <w:iCs w:val="0"/>
                <w:smallCaps w:val="0"/>
                <w:color w:val="000000"/>
                <w:sz w:val="21"/>
                <w:szCs w:val="21"/>
                <w:highlight w:val="none"/>
                <w:lang w:val="en-US" w:eastAsia="zh-CN"/>
              </w:rPr>
              <w:t>(</w:t>
            </w:r>
            <w:r>
              <w:rPr>
                <w:rFonts w:ascii="宋体" w:hAnsi="宋体" w:eastAsia="宋体" w:cs="宋体"/>
                <w:b w:val="0"/>
                <w:bCs w:val="0"/>
                <w:i w:val="0"/>
                <w:iCs w:val="0"/>
                <w:smallCaps w:val="0"/>
                <w:color w:val="000000"/>
                <w:sz w:val="21"/>
                <w:szCs w:val="21"/>
                <w:highlight w:val="none"/>
              </w:rPr>
              <w:t>人民币</w:t>
            </w:r>
            <w:r>
              <w:rPr>
                <w:rFonts w:hint="eastAsia" w:ascii="宋体" w:hAnsi="宋体" w:eastAsia="宋体" w:cs="宋体"/>
                <w:b w:val="0"/>
                <w:bCs w:val="0"/>
                <w:i w:val="0"/>
                <w:iCs w:val="0"/>
                <w:smallCaps w:val="0"/>
                <w:color w:val="000000"/>
                <w:sz w:val="21"/>
                <w:szCs w:val="21"/>
                <w:highlight w:val="none"/>
                <w:lang w:val="en-US" w:eastAsia="zh-CN"/>
              </w:rPr>
              <w:t>/元</w:t>
            </w:r>
            <w:r>
              <w:rPr>
                <w:rFonts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eastAsia="zh-CN"/>
              </w:rPr>
              <w:t>：</w:t>
            </w:r>
          </w:p>
        </w:tc>
        <w:tc>
          <w:tcPr>
            <w:tcW w:w="59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36114E">
            <w:pPr>
              <w:widowControl/>
              <w:spacing w:line="360" w:lineRule="auto"/>
              <w:jc w:val="center"/>
              <w:rPr>
                <w:rFonts w:ascii="宋体" w:hAnsi="宋体" w:eastAsia="宋体" w:cs="宋体"/>
                <w:b w:val="0"/>
                <w:bCs w:val="0"/>
                <w:i w:val="0"/>
                <w:iCs w:val="0"/>
                <w:smallCaps w:val="0"/>
                <w:color w:val="000000"/>
                <w:sz w:val="21"/>
                <w:szCs w:val="21"/>
                <w:highlight w:val="none"/>
              </w:rPr>
            </w:pPr>
          </w:p>
        </w:tc>
      </w:tr>
    </w:tbl>
    <w:p w14:paraId="019E33A8">
      <w:pPr>
        <w:widowControl w:val="0"/>
        <w:spacing w:before="0" w:after="0" w:line="400" w:lineRule="atLeast"/>
        <w:jc w:val="left"/>
        <w:rPr>
          <w:rFonts w:ascii="Times New Roman" w:hAnsi="Times New Roman" w:eastAsia="Times New Roman" w:cs="Times New Roman"/>
          <w:highlight w:val="none"/>
        </w:rPr>
      </w:pPr>
    </w:p>
    <w:p w14:paraId="49BCD5BB">
      <w:pPr>
        <w:widowControl w:val="0"/>
        <w:spacing w:before="0" w:after="0" w:line="400" w:lineRule="atLeast"/>
        <w:jc w:val="left"/>
        <w:rPr>
          <w:rFonts w:ascii="Times New Roman" w:hAnsi="Times New Roman" w:eastAsia="Times New Roman" w:cs="Times New Roman"/>
          <w:highlight w:val="none"/>
        </w:rPr>
      </w:pPr>
      <w:r>
        <w:rPr>
          <w:rFonts w:ascii="PMingLiU" w:hAnsi="PMingLiU" w:eastAsia="PMingLiU" w:cs="PMingLiU"/>
          <w:b/>
          <w:bCs/>
          <w:sz w:val="21"/>
          <w:szCs w:val="21"/>
          <w:highlight w:val="none"/>
        </w:rPr>
        <w:t>供应商名称（公章）：</w:t>
      </w:r>
    </w:p>
    <w:p w14:paraId="14C2D995">
      <w:pPr>
        <w:widowControl w:val="0"/>
        <w:spacing w:before="0" w:after="0" w:line="400" w:lineRule="atLeast"/>
        <w:jc w:val="left"/>
        <w:rPr>
          <w:rFonts w:ascii="Times New Roman" w:hAnsi="Times New Roman" w:eastAsia="Times New Roman" w:cs="Times New Roman"/>
          <w:highlight w:val="none"/>
        </w:rPr>
      </w:pPr>
      <w:r>
        <w:rPr>
          <w:rFonts w:ascii="PMingLiU" w:hAnsi="PMingLiU" w:eastAsia="PMingLiU" w:cs="PMingLiU"/>
          <w:b/>
          <w:bCs/>
          <w:sz w:val="21"/>
          <w:szCs w:val="21"/>
          <w:highlight w:val="none"/>
        </w:rPr>
        <w:t>供应商代表签字：</w:t>
      </w:r>
    </w:p>
    <w:p w14:paraId="284FBF4C">
      <w:pPr>
        <w:pStyle w:val="190"/>
        <w:keepNext w:val="0"/>
        <w:widowControl w:val="0"/>
        <w:shd w:val="clear" w:color="auto" w:fill="FFFFFF"/>
        <w:spacing w:before="0" w:after="0" w:line="400" w:lineRule="atLeast"/>
        <w:jc w:val="center"/>
        <w:outlineLvl w:val="9"/>
        <w:rPr>
          <w:rFonts w:ascii="Times New Roman" w:hAnsi="Times New Roman" w:eastAsia="Times New Roman" w:cs="Times New Roman"/>
          <w:b/>
          <w:bCs/>
          <w:sz w:val="28"/>
          <w:szCs w:val="28"/>
          <w:highlight w:val="none"/>
        </w:rPr>
      </w:pPr>
      <w:r>
        <w:rPr>
          <w:rFonts w:ascii="Times New Roman" w:hAnsi="Times New Roman" w:eastAsia="Times New Roman" w:cs="Times New Roman"/>
          <w:b/>
          <w:bCs/>
          <w:sz w:val="28"/>
          <w:szCs w:val="28"/>
          <w:highlight w:val="none"/>
        </w:rPr>
        <w:br w:type="page" w:clear="all"/>
      </w:r>
      <w:r>
        <w:rPr>
          <w:rFonts w:ascii="宋体" w:hAnsi="宋体" w:eastAsia="宋体" w:cs="宋体"/>
          <w:sz w:val="21"/>
          <w:szCs w:val="21"/>
          <w:highlight w:val="none"/>
        </w:rPr>
        <w:t>4.商务条款偏离表</w:t>
      </w:r>
    </w:p>
    <w:tbl>
      <w:tblPr>
        <w:tblStyle w:val="1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60"/>
        <w:gridCol w:w="1782"/>
        <w:gridCol w:w="2227"/>
        <w:gridCol w:w="2227"/>
        <w:gridCol w:w="1018"/>
        <w:gridCol w:w="1018"/>
      </w:tblGrid>
      <w:tr w14:paraId="17173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20" w:type="pct"/>
            <w:noWrap w:val="0"/>
            <w:tcMar>
              <w:top w:w="15" w:type="dxa"/>
              <w:left w:w="108" w:type="dxa"/>
              <w:bottom w:w="8" w:type="dxa"/>
              <w:right w:w="108" w:type="dxa"/>
            </w:tcMar>
            <w:vAlign w:val="top"/>
          </w:tcPr>
          <w:p w14:paraId="427FCC80">
            <w:pPr>
              <w:widowControl w:val="0"/>
              <w:spacing w:before="240" w:after="240"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序号</w:t>
            </w:r>
          </w:p>
        </w:tc>
        <w:tc>
          <w:tcPr>
            <w:tcW w:w="965" w:type="pct"/>
            <w:noWrap w:val="0"/>
            <w:tcMar>
              <w:top w:w="15" w:type="dxa"/>
              <w:left w:w="108" w:type="dxa"/>
              <w:bottom w:w="8" w:type="dxa"/>
              <w:right w:w="108" w:type="dxa"/>
            </w:tcMar>
            <w:vAlign w:val="top"/>
          </w:tcPr>
          <w:p w14:paraId="7A55CE2D">
            <w:pPr>
              <w:widowControl w:val="0"/>
              <w:spacing w:before="240" w:after="240"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招标文件条目号</w:t>
            </w:r>
          </w:p>
        </w:tc>
        <w:tc>
          <w:tcPr>
            <w:tcW w:w="1206" w:type="pct"/>
            <w:noWrap w:val="0"/>
            <w:tcMar>
              <w:top w:w="15" w:type="dxa"/>
              <w:left w:w="108" w:type="dxa"/>
              <w:bottom w:w="8" w:type="dxa"/>
              <w:right w:w="108" w:type="dxa"/>
            </w:tcMar>
            <w:vAlign w:val="top"/>
          </w:tcPr>
          <w:p w14:paraId="436F264A">
            <w:pPr>
              <w:widowControl w:val="0"/>
              <w:spacing w:before="240" w:after="240"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招标文件的商务条款</w:t>
            </w:r>
          </w:p>
        </w:tc>
        <w:tc>
          <w:tcPr>
            <w:tcW w:w="1206" w:type="pct"/>
            <w:noWrap w:val="0"/>
            <w:tcMar>
              <w:top w:w="15" w:type="dxa"/>
              <w:left w:w="108" w:type="dxa"/>
              <w:bottom w:w="8" w:type="dxa"/>
              <w:right w:w="108" w:type="dxa"/>
            </w:tcMar>
            <w:vAlign w:val="top"/>
          </w:tcPr>
          <w:p w14:paraId="3A3FB5FD">
            <w:pPr>
              <w:widowControl w:val="0"/>
              <w:spacing w:before="240" w:after="240"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投标文件的商务条款</w:t>
            </w:r>
          </w:p>
        </w:tc>
        <w:tc>
          <w:tcPr>
            <w:tcW w:w="551" w:type="pct"/>
            <w:noWrap w:val="0"/>
            <w:tcMar>
              <w:top w:w="15" w:type="dxa"/>
              <w:left w:w="108" w:type="dxa"/>
              <w:bottom w:w="8" w:type="dxa"/>
              <w:right w:w="108" w:type="dxa"/>
            </w:tcMar>
            <w:vAlign w:val="top"/>
          </w:tcPr>
          <w:p w14:paraId="3B2137F2">
            <w:pPr>
              <w:widowControl w:val="0"/>
              <w:spacing w:before="240" w:after="240"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说明</w:t>
            </w:r>
          </w:p>
        </w:tc>
        <w:tc>
          <w:tcPr>
            <w:tcW w:w="551" w:type="pct"/>
            <w:noWrap w:val="0"/>
            <w:tcMar>
              <w:top w:w="15" w:type="dxa"/>
              <w:left w:w="108" w:type="dxa"/>
              <w:bottom w:w="8" w:type="dxa"/>
              <w:right w:w="108" w:type="dxa"/>
            </w:tcMar>
            <w:vAlign w:val="top"/>
          </w:tcPr>
          <w:p w14:paraId="2B54FAFC">
            <w:pPr>
              <w:widowControl w:val="0"/>
              <w:spacing w:before="240" w:after="240" w:line="400" w:lineRule="atLeast"/>
              <w:jc w:val="center"/>
              <w:rPr>
                <w:rFonts w:hint="eastAsia" w:ascii="PMingLiU" w:hAnsi="PMingLiU" w:eastAsia="宋体" w:cs="PMingLiU"/>
                <w:b w:val="0"/>
                <w:bCs w:val="0"/>
                <w:i w:val="0"/>
                <w:iCs w:val="0"/>
                <w:smallCaps w:val="0"/>
                <w:color w:val="000000"/>
                <w:sz w:val="21"/>
                <w:szCs w:val="21"/>
                <w:highlight w:val="none"/>
                <w:lang w:val="en-US" w:eastAsia="zh-CN"/>
              </w:rPr>
            </w:pPr>
            <w:r>
              <w:rPr>
                <w:rFonts w:hint="eastAsia" w:ascii="PMingLiU" w:hAnsi="PMingLiU" w:eastAsia="宋体" w:cs="PMingLiU"/>
                <w:b w:val="0"/>
                <w:bCs w:val="0"/>
                <w:i w:val="0"/>
                <w:iCs w:val="0"/>
                <w:smallCaps w:val="0"/>
                <w:color w:val="000000"/>
                <w:sz w:val="21"/>
                <w:szCs w:val="21"/>
                <w:highlight w:val="none"/>
                <w:lang w:val="en-US" w:eastAsia="zh-CN"/>
              </w:rPr>
              <w:t>备注</w:t>
            </w:r>
          </w:p>
        </w:tc>
      </w:tr>
      <w:tr w14:paraId="6F461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20" w:type="pct"/>
            <w:noWrap w:val="0"/>
            <w:tcMar>
              <w:top w:w="8" w:type="dxa"/>
              <w:left w:w="108" w:type="dxa"/>
              <w:bottom w:w="8" w:type="dxa"/>
              <w:right w:w="108" w:type="dxa"/>
            </w:tcMar>
            <w:vAlign w:val="top"/>
          </w:tcPr>
          <w:p w14:paraId="1934AC21">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965" w:type="pct"/>
            <w:noWrap w:val="0"/>
            <w:tcMar>
              <w:top w:w="8" w:type="dxa"/>
              <w:left w:w="108" w:type="dxa"/>
              <w:bottom w:w="8" w:type="dxa"/>
              <w:right w:w="108" w:type="dxa"/>
            </w:tcMar>
            <w:vAlign w:val="top"/>
          </w:tcPr>
          <w:p w14:paraId="2C84484A">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26F172C0">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合同履行期限</w:t>
            </w:r>
          </w:p>
        </w:tc>
        <w:tc>
          <w:tcPr>
            <w:tcW w:w="1206" w:type="pct"/>
            <w:noWrap w:val="0"/>
            <w:tcMar>
              <w:top w:w="8" w:type="dxa"/>
              <w:left w:w="108" w:type="dxa"/>
              <w:bottom w:w="8" w:type="dxa"/>
              <w:right w:w="108" w:type="dxa"/>
            </w:tcMar>
            <w:vAlign w:val="top"/>
          </w:tcPr>
          <w:p w14:paraId="1BE902BA">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652DC884">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4425767B">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r>
      <w:tr w14:paraId="0E326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20" w:type="pct"/>
            <w:noWrap w:val="0"/>
            <w:tcMar>
              <w:top w:w="8" w:type="dxa"/>
              <w:left w:w="108" w:type="dxa"/>
              <w:bottom w:w="8" w:type="dxa"/>
              <w:right w:w="108" w:type="dxa"/>
            </w:tcMar>
            <w:vAlign w:val="top"/>
          </w:tcPr>
          <w:p w14:paraId="4657E1AE">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965" w:type="pct"/>
            <w:noWrap w:val="0"/>
            <w:tcMar>
              <w:top w:w="8" w:type="dxa"/>
              <w:left w:w="108" w:type="dxa"/>
              <w:bottom w:w="8" w:type="dxa"/>
              <w:right w:w="108" w:type="dxa"/>
            </w:tcMar>
            <w:vAlign w:val="top"/>
          </w:tcPr>
          <w:p w14:paraId="1C25DD3C">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47FC619E">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付款方式</w:t>
            </w:r>
          </w:p>
        </w:tc>
        <w:tc>
          <w:tcPr>
            <w:tcW w:w="1206" w:type="pct"/>
            <w:noWrap w:val="0"/>
            <w:tcMar>
              <w:top w:w="8" w:type="dxa"/>
              <w:left w:w="108" w:type="dxa"/>
              <w:bottom w:w="8" w:type="dxa"/>
              <w:right w:w="108" w:type="dxa"/>
            </w:tcMar>
            <w:vAlign w:val="top"/>
          </w:tcPr>
          <w:p w14:paraId="4419DF43">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21F0B0AC">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6A1ADF99">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r>
      <w:tr w14:paraId="6B1F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20" w:type="pct"/>
            <w:noWrap w:val="0"/>
            <w:tcMar>
              <w:top w:w="8" w:type="dxa"/>
              <w:left w:w="108" w:type="dxa"/>
              <w:bottom w:w="8" w:type="dxa"/>
              <w:right w:w="108" w:type="dxa"/>
            </w:tcMar>
            <w:vAlign w:val="top"/>
          </w:tcPr>
          <w:p w14:paraId="7A83990C">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965" w:type="pct"/>
            <w:noWrap w:val="0"/>
            <w:tcMar>
              <w:top w:w="8" w:type="dxa"/>
              <w:left w:w="108" w:type="dxa"/>
              <w:bottom w:w="8" w:type="dxa"/>
              <w:right w:w="108" w:type="dxa"/>
            </w:tcMar>
            <w:vAlign w:val="top"/>
          </w:tcPr>
          <w:p w14:paraId="29CBEC60">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269F03BA">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w:t>
            </w:r>
          </w:p>
        </w:tc>
        <w:tc>
          <w:tcPr>
            <w:tcW w:w="1206" w:type="pct"/>
            <w:noWrap w:val="0"/>
            <w:tcMar>
              <w:top w:w="8" w:type="dxa"/>
              <w:left w:w="108" w:type="dxa"/>
              <w:bottom w:w="8" w:type="dxa"/>
              <w:right w:w="108" w:type="dxa"/>
            </w:tcMar>
            <w:vAlign w:val="top"/>
          </w:tcPr>
          <w:p w14:paraId="27EB50FF">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2ED72795">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3AB1359A">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r>
      <w:tr w14:paraId="428A1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20" w:type="pct"/>
            <w:noWrap w:val="0"/>
            <w:tcMar>
              <w:top w:w="8" w:type="dxa"/>
              <w:left w:w="108" w:type="dxa"/>
              <w:bottom w:w="8" w:type="dxa"/>
              <w:right w:w="108" w:type="dxa"/>
            </w:tcMar>
            <w:vAlign w:val="top"/>
          </w:tcPr>
          <w:p w14:paraId="567EF8FC">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965" w:type="pct"/>
            <w:noWrap w:val="0"/>
            <w:tcMar>
              <w:top w:w="8" w:type="dxa"/>
              <w:left w:w="108" w:type="dxa"/>
              <w:bottom w:w="8" w:type="dxa"/>
              <w:right w:w="108" w:type="dxa"/>
            </w:tcMar>
            <w:vAlign w:val="top"/>
          </w:tcPr>
          <w:p w14:paraId="7B16E0B8">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3CECDF37">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45B1E95A">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7A090382">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4CBE1A32">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r>
      <w:tr w14:paraId="64335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20" w:type="pct"/>
            <w:noWrap w:val="0"/>
            <w:tcMar>
              <w:top w:w="8" w:type="dxa"/>
              <w:left w:w="108" w:type="dxa"/>
              <w:bottom w:w="8" w:type="dxa"/>
              <w:right w:w="108" w:type="dxa"/>
            </w:tcMar>
            <w:vAlign w:val="top"/>
          </w:tcPr>
          <w:p w14:paraId="0B850E47">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965" w:type="pct"/>
            <w:noWrap w:val="0"/>
            <w:tcMar>
              <w:top w:w="8" w:type="dxa"/>
              <w:left w:w="108" w:type="dxa"/>
              <w:bottom w:w="8" w:type="dxa"/>
              <w:right w:w="108" w:type="dxa"/>
            </w:tcMar>
            <w:vAlign w:val="top"/>
          </w:tcPr>
          <w:p w14:paraId="2FDACE10">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6FC81666">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7098433A">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67F8FEDC">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58CA5379">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r>
      <w:tr w14:paraId="6AFF2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20" w:type="pct"/>
            <w:noWrap w:val="0"/>
            <w:tcMar>
              <w:top w:w="8" w:type="dxa"/>
              <w:left w:w="108" w:type="dxa"/>
              <w:bottom w:w="8" w:type="dxa"/>
              <w:right w:w="108" w:type="dxa"/>
            </w:tcMar>
            <w:vAlign w:val="top"/>
          </w:tcPr>
          <w:p w14:paraId="011ADAC0">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965" w:type="pct"/>
            <w:noWrap w:val="0"/>
            <w:tcMar>
              <w:top w:w="8" w:type="dxa"/>
              <w:left w:w="108" w:type="dxa"/>
              <w:bottom w:w="8" w:type="dxa"/>
              <w:right w:w="108" w:type="dxa"/>
            </w:tcMar>
            <w:vAlign w:val="top"/>
          </w:tcPr>
          <w:p w14:paraId="64D614B9">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77D73C01">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4E010225">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7FAC3A26">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691DCD52">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r>
      <w:tr w14:paraId="20CF8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20" w:type="pct"/>
            <w:noWrap w:val="0"/>
            <w:tcMar>
              <w:top w:w="8" w:type="dxa"/>
              <w:left w:w="108" w:type="dxa"/>
              <w:bottom w:w="8" w:type="dxa"/>
              <w:right w:w="108" w:type="dxa"/>
            </w:tcMar>
            <w:vAlign w:val="top"/>
          </w:tcPr>
          <w:p w14:paraId="5CF70BC7">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965" w:type="pct"/>
            <w:noWrap w:val="0"/>
            <w:tcMar>
              <w:top w:w="8" w:type="dxa"/>
              <w:left w:w="108" w:type="dxa"/>
              <w:bottom w:w="8" w:type="dxa"/>
              <w:right w:w="108" w:type="dxa"/>
            </w:tcMar>
            <w:vAlign w:val="top"/>
          </w:tcPr>
          <w:p w14:paraId="67573228">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7602A976">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7451223E">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001B6807">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4D74DECE">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r>
      <w:tr w14:paraId="164B7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20" w:type="pct"/>
            <w:noWrap w:val="0"/>
            <w:tcMar>
              <w:top w:w="8" w:type="dxa"/>
              <w:left w:w="108" w:type="dxa"/>
              <w:bottom w:w="8" w:type="dxa"/>
              <w:right w:w="108" w:type="dxa"/>
            </w:tcMar>
            <w:vAlign w:val="top"/>
          </w:tcPr>
          <w:p w14:paraId="440573BF">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965" w:type="pct"/>
            <w:noWrap w:val="0"/>
            <w:tcMar>
              <w:top w:w="8" w:type="dxa"/>
              <w:left w:w="108" w:type="dxa"/>
              <w:bottom w:w="8" w:type="dxa"/>
              <w:right w:w="108" w:type="dxa"/>
            </w:tcMar>
            <w:vAlign w:val="top"/>
          </w:tcPr>
          <w:p w14:paraId="2BBE18E8">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7FF57582">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1FCE91A3">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018350DE">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13672BA1">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r>
      <w:tr w14:paraId="4B4A6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20" w:type="pct"/>
            <w:noWrap w:val="0"/>
            <w:tcMar>
              <w:top w:w="8" w:type="dxa"/>
              <w:left w:w="108" w:type="dxa"/>
              <w:bottom w:w="8" w:type="dxa"/>
              <w:right w:w="108" w:type="dxa"/>
            </w:tcMar>
            <w:vAlign w:val="top"/>
          </w:tcPr>
          <w:p w14:paraId="767AAAA5">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965" w:type="pct"/>
            <w:noWrap w:val="0"/>
            <w:tcMar>
              <w:top w:w="8" w:type="dxa"/>
              <w:left w:w="108" w:type="dxa"/>
              <w:bottom w:w="8" w:type="dxa"/>
              <w:right w:w="108" w:type="dxa"/>
            </w:tcMar>
            <w:vAlign w:val="top"/>
          </w:tcPr>
          <w:p w14:paraId="3E761A37">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6126CCA3">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1206" w:type="pct"/>
            <w:noWrap w:val="0"/>
            <w:tcMar>
              <w:top w:w="8" w:type="dxa"/>
              <w:left w:w="108" w:type="dxa"/>
              <w:bottom w:w="8" w:type="dxa"/>
              <w:right w:w="108" w:type="dxa"/>
            </w:tcMar>
            <w:vAlign w:val="top"/>
          </w:tcPr>
          <w:p w14:paraId="276AD385">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04557504">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c>
          <w:tcPr>
            <w:tcW w:w="551" w:type="pct"/>
            <w:noWrap w:val="0"/>
            <w:tcMar>
              <w:top w:w="8" w:type="dxa"/>
              <w:left w:w="108" w:type="dxa"/>
              <w:bottom w:w="8" w:type="dxa"/>
              <w:right w:w="108" w:type="dxa"/>
            </w:tcMar>
            <w:vAlign w:val="top"/>
          </w:tcPr>
          <w:p w14:paraId="6B310ACE">
            <w:pPr>
              <w:widowControl w:val="0"/>
              <w:spacing w:before="240" w:after="240" w:line="400" w:lineRule="atLeast"/>
              <w:jc w:val="left"/>
              <w:rPr>
                <w:rFonts w:ascii="Times New Roman" w:hAnsi="Times New Roman" w:eastAsia="Times New Roman" w:cs="Times New Roman"/>
                <w:b w:val="0"/>
                <w:bCs w:val="0"/>
                <w:i w:val="0"/>
                <w:iCs w:val="0"/>
                <w:smallCaps w:val="0"/>
                <w:color w:val="000000"/>
                <w:highlight w:val="none"/>
              </w:rPr>
            </w:pPr>
          </w:p>
        </w:tc>
      </w:tr>
    </w:tbl>
    <w:p w14:paraId="59B49311">
      <w:pPr>
        <w:widowControl w:val="0"/>
        <w:spacing w:before="0" w:after="0" w:line="400" w:lineRule="atLeast"/>
        <w:jc w:val="center"/>
        <w:rPr>
          <w:rFonts w:ascii="Times New Roman" w:hAnsi="Times New Roman" w:eastAsia="Times New Roman" w:cs="Times New Roman"/>
          <w:highlight w:val="none"/>
        </w:rPr>
      </w:pPr>
      <w:r>
        <w:rPr>
          <w:rFonts w:ascii="Calibri" w:hAnsi="Calibri" w:eastAsia="Calibri" w:cs="Calibri"/>
          <w:b/>
          <w:bCs/>
          <w:sz w:val="21"/>
          <w:szCs w:val="21"/>
          <w:highlight w:val="none"/>
        </w:rPr>
        <w:t xml:space="preserve">               </w:t>
      </w:r>
      <w:r>
        <w:rPr>
          <w:rFonts w:ascii="PMingLiU" w:hAnsi="PMingLiU" w:eastAsia="PMingLiU" w:cs="PMingLiU"/>
          <w:b/>
          <w:bCs/>
          <w:sz w:val="21"/>
          <w:szCs w:val="21"/>
          <w:highlight w:val="none"/>
        </w:rPr>
        <w:t>供应商名称（公章）：</w:t>
      </w:r>
    </w:p>
    <w:p w14:paraId="4D2730D9">
      <w:pPr>
        <w:widowControl w:val="0"/>
        <w:spacing w:before="0" w:after="0" w:line="400" w:lineRule="atLeast"/>
        <w:jc w:val="center"/>
        <w:rPr>
          <w:rFonts w:ascii="Times New Roman" w:hAnsi="Times New Roman" w:eastAsia="Times New Roman" w:cs="Times New Roman"/>
          <w:highlight w:val="none"/>
        </w:rPr>
      </w:pPr>
      <w:r>
        <w:rPr>
          <w:rFonts w:ascii="Calibri" w:hAnsi="Calibri" w:eastAsia="Calibri" w:cs="Calibri"/>
          <w:b/>
          <w:bCs/>
          <w:sz w:val="21"/>
          <w:szCs w:val="21"/>
          <w:highlight w:val="none"/>
        </w:rPr>
        <w:t xml:space="preserve">           </w:t>
      </w:r>
      <w:r>
        <w:rPr>
          <w:rFonts w:ascii="PMingLiU" w:hAnsi="PMingLiU" w:eastAsia="PMingLiU" w:cs="PMingLiU"/>
          <w:b/>
          <w:bCs/>
          <w:sz w:val="21"/>
          <w:szCs w:val="21"/>
          <w:highlight w:val="none"/>
        </w:rPr>
        <w:t>供应商代表签字：</w:t>
      </w:r>
    </w:p>
    <w:p w14:paraId="7EDCFF69">
      <w:pPr>
        <w:widowControl w:val="0"/>
        <w:spacing w:before="0" w:after="0" w:line="400" w:lineRule="atLeast"/>
        <w:jc w:val="left"/>
        <w:rPr>
          <w:rFonts w:ascii="Times New Roman" w:hAnsi="Times New Roman" w:eastAsia="Times New Roman" w:cs="Times New Roman"/>
          <w:highlight w:val="none"/>
        </w:rPr>
      </w:pPr>
    </w:p>
    <w:p w14:paraId="74D89B71">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sz w:val="21"/>
          <w:szCs w:val="21"/>
          <w:highlight w:val="none"/>
        </w:rPr>
        <w:t>注：1. 如供应商无任何偏离，也需在响应表中注明并在投标文件中递交此表。</w:t>
      </w:r>
    </w:p>
    <w:p w14:paraId="2CE2ED59">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2. 偏离包括正、负偏离，正偏离指供应商的响应高于招标文件要求，负偏离指供应商的响应低于招标文件要求。</w:t>
      </w:r>
    </w:p>
    <w:p w14:paraId="0B1C7FDA">
      <w:pPr>
        <w:widowControl w:val="0"/>
        <w:spacing w:before="0" w:after="0" w:line="400" w:lineRule="atLeast"/>
        <w:jc w:val="left"/>
        <w:rPr>
          <w:rFonts w:ascii="Times New Roman" w:hAnsi="Times New Roman" w:eastAsia="Times New Roman" w:cs="Times New Roman"/>
          <w:highlight w:val="none"/>
        </w:rPr>
      </w:pPr>
    </w:p>
    <w:p w14:paraId="3872E5AF">
      <w:pPr>
        <w:widowControl w:val="0"/>
        <w:spacing w:before="0" w:after="0" w:line="400" w:lineRule="atLeast"/>
        <w:jc w:val="left"/>
        <w:rPr>
          <w:rFonts w:ascii="Times New Roman" w:hAnsi="Times New Roman" w:eastAsia="Times New Roman" w:cs="Times New Roman"/>
          <w:highlight w:val="none"/>
        </w:rPr>
      </w:pPr>
    </w:p>
    <w:p w14:paraId="228A8D8A">
      <w:pPr>
        <w:widowControl w:val="0"/>
        <w:spacing w:before="0" w:after="0" w:line="400" w:lineRule="atLeast"/>
        <w:jc w:val="left"/>
        <w:rPr>
          <w:rFonts w:ascii="Times New Roman" w:hAnsi="Times New Roman" w:eastAsia="Times New Roman" w:cs="Times New Roman"/>
          <w:highlight w:val="none"/>
        </w:rPr>
      </w:pPr>
    </w:p>
    <w:p w14:paraId="78087D4C">
      <w:pPr>
        <w:pStyle w:val="190"/>
        <w:keepNext w:val="0"/>
        <w:widowControl w:val="0"/>
        <w:shd w:val="clear" w:color="auto" w:fill="FFFFFF"/>
        <w:spacing w:before="0" w:after="0" w:line="400" w:lineRule="atLeast"/>
        <w:jc w:val="center"/>
        <w:outlineLvl w:val="9"/>
        <w:rPr>
          <w:rFonts w:ascii="Times New Roman" w:hAnsi="Times New Roman" w:eastAsia="Times New Roman" w:cs="Times New Roman"/>
          <w:b/>
          <w:bCs/>
          <w:sz w:val="28"/>
          <w:szCs w:val="28"/>
          <w:highlight w:val="none"/>
        </w:rPr>
      </w:pPr>
      <w:r>
        <w:rPr>
          <w:rFonts w:ascii="宋体" w:hAnsi="宋体" w:eastAsia="宋体" w:cs="宋体"/>
          <w:sz w:val="21"/>
          <w:szCs w:val="21"/>
          <w:highlight w:val="none"/>
        </w:rPr>
        <w:br w:type="page" w:clear="all"/>
      </w:r>
      <w:r>
        <w:rPr>
          <w:rFonts w:ascii="宋体" w:hAnsi="宋体" w:eastAsia="宋体" w:cs="宋体"/>
          <w:sz w:val="21"/>
          <w:szCs w:val="21"/>
          <w:highlight w:val="none"/>
        </w:rPr>
        <w:t>5.</w:t>
      </w:r>
      <w:r>
        <w:rPr>
          <w:rFonts w:hint="eastAsia" w:ascii="宋体" w:hAnsi="宋体" w:eastAsia="宋体" w:cs="宋体"/>
          <w:sz w:val="21"/>
          <w:szCs w:val="21"/>
          <w:highlight w:val="none"/>
          <w:lang w:val="en-US" w:eastAsia="zh-CN"/>
        </w:rPr>
        <w:t>技术</w:t>
      </w:r>
      <w:r>
        <w:rPr>
          <w:rFonts w:ascii="宋体" w:hAnsi="宋体" w:eastAsia="宋体" w:cs="宋体"/>
          <w:sz w:val="21"/>
          <w:szCs w:val="21"/>
          <w:highlight w:val="none"/>
        </w:rPr>
        <w:t>条款偏离表</w:t>
      </w:r>
    </w:p>
    <w:tbl>
      <w:tblPr>
        <w:tblStyle w:val="191"/>
        <w:tblW w:w="4998"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1804"/>
        <w:gridCol w:w="1779"/>
        <w:gridCol w:w="2265"/>
        <w:gridCol w:w="1294"/>
        <w:gridCol w:w="965"/>
        <w:gridCol w:w="965"/>
      </w:tblGrid>
      <w:tr w14:paraId="784D82F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67" w:hRule="atLeast"/>
        </w:trPr>
        <w:tc>
          <w:tcPr>
            <w:tcW w:w="994" w:type="pct"/>
            <w:tcBorders>
              <w:bottom w:val="single" w:color="000000" w:sz="6" w:space="0"/>
              <w:right w:val="single" w:color="000000" w:sz="6" w:space="0"/>
            </w:tcBorders>
            <w:noWrap w:val="0"/>
            <w:tcMar>
              <w:top w:w="8" w:type="dxa"/>
              <w:left w:w="28" w:type="dxa"/>
              <w:bottom w:w="8" w:type="dxa"/>
              <w:right w:w="28" w:type="dxa"/>
            </w:tcMar>
            <w:vAlign w:val="center"/>
          </w:tcPr>
          <w:p w14:paraId="60521938">
            <w:pPr>
              <w:widowControl w:val="0"/>
              <w:spacing w:before="120" w:after="0" w:line="560" w:lineRule="atLeast"/>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招标文件</w:t>
            </w:r>
            <w:r>
              <w:rPr>
                <w:rFonts w:hint="eastAsia" w:ascii="宋体" w:hAnsi="宋体" w:eastAsia="宋体" w:cs="宋体"/>
                <w:b w:val="0"/>
                <w:bCs w:val="0"/>
                <w:i w:val="0"/>
                <w:iCs w:val="0"/>
                <w:smallCaps w:val="0"/>
                <w:color w:val="000000"/>
                <w:sz w:val="21"/>
                <w:szCs w:val="21"/>
                <w:highlight w:val="none"/>
                <w:lang w:val="en-US" w:eastAsia="zh-CN"/>
              </w:rPr>
              <w:t>技术要求</w:t>
            </w:r>
            <w:r>
              <w:rPr>
                <w:rFonts w:ascii="宋体" w:hAnsi="宋体" w:eastAsia="宋体" w:cs="宋体"/>
                <w:b w:val="0"/>
                <w:bCs w:val="0"/>
                <w:i w:val="0"/>
                <w:iCs w:val="0"/>
                <w:smallCaps w:val="0"/>
                <w:color w:val="000000"/>
                <w:sz w:val="21"/>
                <w:szCs w:val="21"/>
                <w:highlight w:val="none"/>
              </w:rPr>
              <w:t>对应序号</w:t>
            </w:r>
          </w:p>
        </w:tc>
        <w:tc>
          <w:tcPr>
            <w:tcW w:w="980" w:type="pct"/>
            <w:tcBorders>
              <w:left w:val="single" w:color="000000" w:sz="6" w:space="0"/>
              <w:bottom w:val="single" w:color="000000" w:sz="6" w:space="0"/>
              <w:right w:val="single" w:color="000000" w:sz="6" w:space="0"/>
            </w:tcBorders>
            <w:noWrap w:val="0"/>
            <w:tcMar>
              <w:top w:w="8" w:type="dxa"/>
              <w:left w:w="28" w:type="dxa"/>
              <w:bottom w:w="8" w:type="dxa"/>
              <w:right w:w="28" w:type="dxa"/>
            </w:tcMar>
            <w:vAlign w:val="center"/>
          </w:tcPr>
          <w:p w14:paraId="3BD27D3D">
            <w:pPr>
              <w:widowControl w:val="0"/>
              <w:spacing w:before="0" w:after="0" w:line="560" w:lineRule="atLeast"/>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招标文件</w:t>
            </w:r>
          </w:p>
          <w:p w14:paraId="5B138097">
            <w:pPr>
              <w:widowControl w:val="0"/>
              <w:spacing w:before="0" w:after="0" w:line="560" w:lineRule="atLeast"/>
              <w:jc w:val="center"/>
              <w:rPr>
                <w:rFonts w:ascii="Times New Roman" w:hAnsi="Times New Roman" w:eastAsia="Times New Roman" w:cs="Times New Roman"/>
                <w:b w:val="0"/>
                <w:bCs w:val="0"/>
                <w:i w:val="0"/>
                <w:iCs w:val="0"/>
                <w:smallCaps w:val="0"/>
                <w:color w:val="000000"/>
                <w:highlight w:val="none"/>
              </w:rPr>
            </w:pPr>
            <w:r>
              <w:rPr>
                <w:rFonts w:hint="eastAsia" w:ascii="宋体" w:hAnsi="宋体" w:eastAsia="宋体" w:cs="宋体"/>
                <w:b w:val="0"/>
                <w:bCs w:val="0"/>
                <w:i w:val="0"/>
                <w:iCs w:val="0"/>
                <w:smallCaps w:val="0"/>
                <w:color w:val="000000"/>
                <w:sz w:val="21"/>
                <w:szCs w:val="21"/>
                <w:highlight w:val="none"/>
                <w:lang w:val="en-US" w:eastAsia="zh-CN"/>
              </w:rPr>
              <w:t>技术</w:t>
            </w:r>
            <w:r>
              <w:rPr>
                <w:rFonts w:ascii="宋体" w:hAnsi="宋体" w:eastAsia="宋体" w:cs="宋体"/>
                <w:b w:val="0"/>
                <w:bCs w:val="0"/>
                <w:i w:val="0"/>
                <w:iCs w:val="0"/>
                <w:smallCaps w:val="0"/>
                <w:color w:val="000000"/>
                <w:sz w:val="21"/>
                <w:szCs w:val="21"/>
                <w:highlight w:val="none"/>
              </w:rPr>
              <w:t>要求</w:t>
            </w:r>
          </w:p>
        </w:tc>
        <w:tc>
          <w:tcPr>
            <w:tcW w:w="1248" w:type="pct"/>
            <w:tcBorders>
              <w:left w:val="single" w:color="000000" w:sz="6" w:space="0"/>
              <w:bottom w:val="single" w:color="000000" w:sz="6" w:space="0"/>
              <w:right w:val="single" w:color="000000" w:sz="6" w:space="0"/>
            </w:tcBorders>
            <w:noWrap w:val="0"/>
            <w:tcMar>
              <w:top w:w="8" w:type="dxa"/>
              <w:left w:w="28" w:type="dxa"/>
              <w:bottom w:w="8" w:type="dxa"/>
              <w:right w:w="28" w:type="dxa"/>
            </w:tcMar>
            <w:vAlign w:val="center"/>
          </w:tcPr>
          <w:p w14:paraId="4AC537F1">
            <w:pPr>
              <w:widowControl w:val="0"/>
              <w:spacing w:before="0" w:after="0" w:line="560" w:lineRule="atLeast"/>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投标文件</w:t>
            </w:r>
          </w:p>
          <w:p w14:paraId="2DBD99F2">
            <w:pPr>
              <w:widowControl w:val="0"/>
              <w:spacing w:before="0" w:after="0" w:line="560" w:lineRule="atLeast"/>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对应应答</w:t>
            </w:r>
          </w:p>
        </w:tc>
        <w:tc>
          <w:tcPr>
            <w:tcW w:w="713" w:type="pct"/>
            <w:tcBorders>
              <w:left w:val="single" w:color="000000" w:sz="6" w:space="0"/>
              <w:bottom w:val="single" w:color="000000" w:sz="6" w:space="0"/>
              <w:right w:val="single" w:color="000000" w:sz="6" w:space="0"/>
            </w:tcBorders>
            <w:noWrap w:val="0"/>
            <w:tcMar>
              <w:top w:w="8" w:type="dxa"/>
              <w:left w:w="28" w:type="dxa"/>
              <w:bottom w:w="8" w:type="dxa"/>
              <w:right w:w="28" w:type="dxa"/>
            </w:tcMar>
            <w:vAlign w:val="center"/>
          </w:tcPr>
          <w:p w14:paraId="3BE21A18">
            <w:pPr>
              <w:widowControl w:val="0"/>
              <w:spacing w:before="120" w:after="0" w:line="560" w:lineRule="atLeast"/>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偏差</w:t>
            </w:r>
          </w:p>
        </w:tc>
        <w:tc>
          <w:tcPr>
            <w:tcW w:w="532" w:type="pct"/>
            <w:tcBorders>
              <w:left w:val="single" w:color="000000" w:sz="6" w:space="0"/>
              <w:bottom w:val="single" w:color="000000" w:sz="6" w:space="0"/>
            </w:tcBorders>
            <w:noWrap w:val="0"/>
            <w:tcMar>
              <w:top w:w="8" w:type="dxa"/>
              <w:left w:w="28" w:type="dxa"/>
              <w:bottom w:w="8" w:type="dxa"/>
              <w:right w:w="28" w:type="dxa"/>
            </w:tcMar>
            <w:vAlign w:val="center"/>
          </w:tcPr>
          <w:p w14:paraId="1551DED0">
            <w:pPr>
              <w:widowControl w:val="0"/>
              <w:spacing w:before="120" w:after="0" w:line="560" w:lineRule="atLeast"/>
              <w:jc w:val="center"/>
              <w:rPr>
                <w:rFonts w:hint="default" w:ascii="Times New Roman" w:hAnsi="Times New Roman" w:eastAsia="宋体" w:cs="Times New Roman"/>
                <w:b w:val="0"/>
                <w:bCs w:val="0"/>
                <w:i w:val="0"/>
                <w:iCs w:val="0"/>
                <w:smallCaps w:val="0"/>
                <w:color w:val="000000"/>
                <w:highlight w:val="none"/>
                <w:lang w:val="en-US" w:eastAsia="zh-CN"/>
              </w:rPr>
            </w:pPr>
            <w:r>
              <w:rPr>
                <w:rFonts w:hint="eastAsia" w:ascii="宋体" w:hAnsi="宋体" w:eastAsia="宋体" w:cs="宋体"/>
                <w:b w:val="0"/>
                <w:bCs w:val="0"/>
                <w:i w:val="0"/>
                <w:iCs w:val="0"/>
                <w:smallCaps w:val="0"/>
                <w:color w:val="000000"/>
                <w:sz w:val="21"/>
                <w:szCs w:val="21"/>
                <w:highlight w:val="none"/>
                <w:lang w:val="en-US" w:eastAsia="zh-CN"/>
              </w:rPr>
              <w:t>证明材料所在页码</w:t>
            </w:r>
          </w:p>
        </w:tc>
        <w:tc>
          <w:tcPr>
            <w:tcW w:w="532" w:type="pct"/>
            <w:tcBorders>
              <w:left w:val="single" w:color="000000" w:sz="6" w:space="0"/>
              <w:bottom w:val="single" w:color="000000" w:sz="6" w:space="0"/>
            </w:tcBorders>
            <w:noWrap w:val="0"/>
            <w:tcMar>
              <w:top w:w="8" w:type="dxa"/>
              <w:left w:w="28" w:type="dxa"/>
              <w:bottom w:w="8" w:type="dxa"/>
              <w:right w:w="28" w:type="dxa"/>
            </w:tcMar>
            <w:vAlign w:val="center"/>
          </w:tcPr>
          <w:p w14:paraId="50E83332">
            <w:pPr>
              <w:widowControl w:val="0"/>
              <w:spacing w:before="120" w:after="0" w:line="560" w:lineRule="atLeast"/>
              <w:jc w:val="center"/>
              <w:rPr>
                <w:rFonts w:ascii="宋体" w:hAnsi="宋体" w:eastAsia="宋体" w:cs="宋体"/>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备注</w:t>
            </w:r>
          </w:p>
        </w:tc>
      </w:tr>
      <w:tr w14:paraId="1E92368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67" w:hRule="atLeast"/>
        </w:trPr>
        <w:tc>
          <w:tcPr>
            <w:tcW w:w="994" w:type="pct"/>
            <w:tcBorders>
              <w:top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37691659">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980"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2FAB263F">
            <w:pPr>
              <w:widowControl w:val="0"/>
              <w:spacing w:before="0" w:after="0" w:line="560" w:lineRule="atLeast"/>
              <w:ind w:left="0" w:right="0"/>
              <w:jc w:val="left"/>
              <w:rPr>
                <w:rFonts w:ascii="Times New Roman" w:hAnsi="Times New Roman" w:eastAsia="Times New Roman" w:cs="Times New Roman"/>
                <w:b w:val="0"/>
                <w:bCs w:val="0"/>
                <w:i w:val="0"/>
                <w:iCs w:val="0"/>
                <w:smallCaps w:val="0"/>
                <w:color w:val="000000"/>
                <w:highlight w:val="none"/>
              </w:rPr>
            </w:pPr>
          </w:p>
        </w:tc>
        <w:tc>
          <w:tcPr>
            <w:tcW w:w="1248"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09DBC7E1">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713"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66731252">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bottom w:val="single" w:color="000000" w:sz="6" w:space="0"/>
            </w:tcBorders>
            <w:noWrap w:val="0"/>
            <w:tcMar>
              <w:top w:w="8" w:type="dxa"/>
              <w:left w:w="28" w:type="dxa"/>
              <w:bottom w:w="8" w:type="dxa"/>
              <w:right w:w="28" w:type="dxa"/>
            </w:tcMar>
            <w:vAlign w:val="top"/>
          </w:tcPr>
          <w:p w14:paraId="688E9743">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bottom w:val="single" w:color="000000" w:sz="6" w:space="0"/>
            </w:tcBorders>
            <w:noWrap w:val="0"/>
            <w:tcMar>
              <w:top w:w="8" w:type="dxa"/>
              <w:left w:w="28" w:type="dxa"/>
              <w:bottom w:w="8" w:type="dxa"/>
              <w:right w:w="28" w:type="dxa"/>
            </w:tcMar>
            <w:vAlign w:val="top"/>
          </w:tcPr>
          <w:p w14:paraId="3AF46E21">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r>
      <w:tr w14:paraId="45D1997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67" w:hRule="atLeast"/>
        </w:trPr>
        <w:tc>
          <w:tcPr>
            <w:tcW w:w="994" w:type="pct"/>
            <w:tcBorders>
              <w:top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20CD12E8">
            <w:pPr>
              <w:widowControl w:val="0"/>
              <w:spacing w:before="0" w:after="0" w:line="560" w:lineRule="atLeast"/>
              <w:ind w:firstLine="480"/>
              <w:jc w:val="left"/>
              <w:rPr>
                <w:rFonts w:ascii="Times New Roman" w:hAnsi="Times New Roman" w:eastAsia="Times New Roman" w:cs="Times New Roman"/>
                <w:b w:val="0"/>
                <w:bCs w:val="0"/>
                <w:i w:val="0"/>
                <w:iCs w:val="0"/>
                <w:smallCaps w:val="0"/>
                <w:color w:val="000000"/>
                <w:highlight w:val="none"/>
              </w:rPr>
            </w:pPr>
          </w:p>
        </w:tc>
        <w:tc>
          <w:tcPr>
            <w:tcW w:w="980"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1F893D67">
            <w:pPr>
              <w:widowControl w:val="0"/>
              <w:spacing w:before="0" w:after="0" w:line="560" w:lineRule="atLeast"/>
              <w:ind w:left="0" w:right="0"/>
              <w:jc w:val="left"/>
              <w:rPr>
                <w:rFonts w:ascii="Times New Roman" w:hAnsi="Times New Roman" w:eastAsia="Times New Roman" w:cs="Times New Roman"/>
                <w:b w:val="0"/>
                <w:bCs w:val="0"/>
                <w:i w:val="0"/>
                <w:iCs w:val="0"/>
                <w:smallCaps w:val="0"/>
                <w:color w:val="000000"/>
                <w:highlight w:val="none"/>
              </w:rPr>
            </w:pPr>
          </w:p>
        </w:tc>
        <w:tc>
          <w:tcPr>
            <w:tcW w:w="1248"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3A163F84">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713"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44B86050">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bottom w:val="single" w:color="000000" w:sz="6" w:space="0"/>
            </w:tcBorders>
            <w:noWrap w:val="0"/>
            <w:tcMar>
              <w:top w:w="8" w:type="dxa"/>
              <w:left w:w="28" w:type="dxa"/>
              <w:bottom w:w="8" w:type="dxa"/>
              <w:right w:w="28" w:type="dxa"/>
            </w:tcMar>
            <w:vAlign w:val="top"/>
          </w:tcPr>
          <w:p w14:paraId="104B590A">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bottom w:val="single" w:color="000000" w:sz="6" w:space="0"/>
            </w:tcBorders>
            <w:noWrap w:val="0"/>
            <w:tcMar>
              <w:top w:w="8" w:type="dxa"/>
              <w:left w:w="28" w:type="dxa"/>
              <w:bottom w:w="8" w:type="dxa"/>
              <w:right w:w="28" w:type="dxa"/>
            </w:tcMar>
            <w:vAlign w:val="top"/>
          </w:tcPr>
          <w:p w14:paraId="043CC6F9">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r>
      <w:tr w14:paraId="1594E14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67" w:hRule="atLeast"/>
        </w:trPr>
        <w:tc>
          <w:tcPr>
            <w:tcW w:w="994" w:type="pct"/>
            <w:tcBorders>
              <w:top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38A2BF0C">
            <w:pPr>
              <w:widowControl w:val="0"/>
              <w:spacing w:before="0" w:after="0" w:line="560" w:lineRule="atLeast"/>
              <w:ind w:firstLine="480"/>
              <w:jc w:val="left"/>
              <w:rPr>
                <w:rFonts w:ascii="Times New Roman" w:hAnsi="Times New Roman" w:eastAsia="Times New Roman" w:cs="Times New Roman"/>
                <w:b w:val="0"/>
                <w:bCs w:val="0"/>
                <w:i w:val="0"/>
                <w:iCs w:val="0"/>
                <w:smallCaps w:val="0"/>
                <w:color w:val="000000"/>
                <w:highlight w:val="none"/>
              </w:rPr>
            </w:pPr>
          </w:p>
        </w:tc>
        <w:tc>
          <w:tcPr>
            <w:tcW w:w="980"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175A6E31">
            <w:pPr>
              <w:widowControl w:val="0"/>
              <w:spacing w:before="0" w:after="0" w:line="560" w:lineRule="atLeast"/>
              <w:ind w:left="0" w:right="0"/>
              <w:jc w:val="left"/>
              <w:rPr>
                <w:rFonts w:ascii="Times New Roman" w:hAnsi="Times New Roman" w:eastAsia="Times New Roman" w:cs="Times New Roman"/>
                <w:b w:val="0"/>
                <w:bCs w:val="0"/>
                <w:i w:val="0"/>
                <w:iCs w:val="0"/>
                <w:smallCaps w:val="0"/>
                <w:color w:val="000000"/>
                <w:highlight w:val="none"/>
              </w:rPr>
            </w:pPr>
          </w:p>
        </w:tc>
        <w:tc>
          <w:tcPr>
            <w:tcW w:w="1248"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4A750DC2">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713"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35BEEC95">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bottom w:val="single" w:color="000000" w:sz="6" w:space="0"/>
            </w:tcBorders>
            <w:noWrap w:val="0"/>
            <w:tcMar>
              <w:top w:w="8" w:type="dxa"/>
              <w:left w:w="28" w:type="dxa"/>
              <w:bottom w:w="8" w:type="dxa"/>
              <w:right w:w="28" w:type="dxa"/>
            </w:tcMar>
            <w:vAlign w:val="top"/>
          </w:tcPr>
          <w:p w14:paraId="087E93DD">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bottom w:val="single" w:color="000000" w:sz="6" w:space="0"/>
            </w:tcBorders>
            <w:noWrap w:val="0"/>
            <w:tcMar>
              <w:top w:w="8" w:type="dxa"/>
              <w:left w:w="28" w:type="dxa"/>
              <w:bottom w:w="8" w:type="dxa"/>
              <w:right w:w="28" w:type="dxa"/>
            </w:tcMar>
            <w:vAlign w:val="top"/>
          </w:tcPr>
          <w:p w14:paraId="1F68D232">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r>
      <w:tr w14:paraId="662D1C4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67" w:hRule="atLeast"/>
        </w:trPr>
        <w:tc>
          <w:tcPr>
            <w:tcW w:w="994" w:type="pct"/>
            <w:tcBorders>
              <w:top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562B2DA4">
            <w:pPr>
              <w:widowControl w:val="0"/>
              <w:spacing w:before="0" w:after="0" w:line="560" w:lineRule="atLeast"/>
              <w:ind w:firstLine="480"/>
              <w:jc w:val="left"/>
              <w:rPr>
                <w:rFonts w:ascii="Times New Roman" w:hAnsi="Times New Roman" w:eastAsia="Times New Roman" w:cs="Times New Roman"/>
                <w:b w:val="0"/>
                <w:bCs w:val="0"/>
                <w:i w:val="0"/>
                <w:iCs w:val="0"/>
                <w:smallCaps w:val="0"/>
                <w:color w:val="000000"/>
                <w:highlight w:val="none"/>
              </w:rPr>
            </w:pPr>
          </w:p>
        </w:tc>
        <w:tc>
          <w:tcPr>
            <w:tcW w:w="980"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5C35C483">
            <w:pPr>
              <w:widowControl w:val="0"/>
              <w:spacing w:before="0" w:after="0" w:line="560" w:lineRule="atLeast"/>
              <w:ind w:left="0" w:right="0"/>
              <w:jc w:val="left"/>
              <w:rPr>
                <w:rFonts w:ascii="Times New Roman" w:hAnsi="Times New Roman" w:eastAsia="Times New Roman" w:cs="Times New Roman"/>
                <w:b w:val="0"/>
                <w:bCs w:val="0"/>
                <w:i w:val="0"/>
                <w:iCs w:val="0"/>
                <w:smallCaps w:val="0"/>
                <w:color w:val="000000"/>
                <w:highlight w:val="none"/>
              </w:rPr>
            </w:pPr>
          </w:p>
        </w:tc>
        <w:tc>
          <w:tcPr>
            <w:tcW w:w="1248"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59E7C502">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713"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33E7A93B">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bottom w:val="single" w:color="000000" w:sz="6" w:space="0"/>
            </w:tcBorders>
            <w:noWrap w:val="0"/>
            <w:tcMar>
              <w:top w:w="8" w:type="dxa"/>
              <w:left w:w="28" w:type="dxa"/>
              <w:bottom w:w="8" w:type="dxa"/>
              <w:right w:w="28" w:type="dxa"/>
            </w:tcMar>
            <w:vAlign w:val="top"/>
          </w:tcPr>
          <w:p w14:paraId="7A265DA0">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bottom w:val="single" w:color="000000" w:sz="6" w:space="0"/>
            </w:tcBorders>
            <w:noWrap w:val="0"/>
            <w:tcMar>
              <w:top w:w="8" w:type="dxa"/>
              <w:left w:w="28" w:type="dxa"/>
              <w:bottom w:w="8" w:type="dxa"/>
              <w:right w:w="28" w:type="dxa"/>
            </w:tcMar>
            <w:vAlign w:val="top"/>
          </w:tcPr>
          <w:p w14:paraId="3AD8EF96">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r>
      <w:tr w14:paraId="0E87EDE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67" w:hRule="atLeast"/>
        </w:trPr>
        <w:tc>
          <w:tcPr>
            <w:tcW w:w="994" w:type="pct"/>
            <w:tcBorders>
              <w:top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01C74C55">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980"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79216096">
            <w:pPr>
              <w:widowControl w:val="0"/>
              <w:spacing w:before="0" w:after="0" w:line="560" w:lineRule="atLeast"/>
              <w:ind w:left="0" w:right="0"/>
              <w:jc w:val="left"/>
              <w:rPr>
                <w:rFonts w:ascii="Times New Roman" w:hAnsi="Times New Roman" w:eastAsia="Times New Roman" w:cs="Times New Roman"/>
                <w:b w:val="0"/>
                <w:bCs w:val="0"/>
                <w:i w:val="0"/>
                <w:iCs w:val="0"/>
                <w:smallCaps w:val="0"/>
                <w:color w:val="000000"/>
                <w:highlight w:val="none"/>
              </w:rPr>
            </w:pPr>
          </w:p>
        </w:tc>
        <w:tc>
          <w:tcPr>
            <w:tcW w:w="1248"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4A581ADC">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713" w:type="pct"/>
            <w:tcBorders>
              <w:top w:val="single" w:color="000000" w:sz="6" w:space="0"/>
              <w:left w:val="single" w:color="000000" w:sz="6" w:space="0"/>
              <w:bottom w:val="single" w:color="000000" w:sz="6" w:space="0"/>
              <w:right w:val="single" w:color="000000" w:sz="6" w:space="0"/>
            </w:tcBorders>
            <w:noWrap w:val="0"/>
            <w:tcMar>
              <w:top w:w="8" w:type="dxa"/>
              <w:left w:w="28" w:type="dxa"/>
              <w:bottom w:w="8" w:type="dxa"/>
              <w:right w:w="28" w:type="dxa"/>
            </w:tcMar>
            <w:vAlign w:val="top"/>
          </w:tcPr>
          <w:p w14:paraId="2E8379C6">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bottom w:val="single" w:color="000000" w:sz="6" w:space="0"/>
            </w:tcBorders>
            <w:noWrap w:val="0"/>
            <w:tcMar>
              <w:top w:w="8" w:type="dxa"/>
              <w:left w:w="28" w:type="dxa"/>
              <w:bottom w:w="8" w:type="dxa"/>
              <w:right w:w="28" w:type="dxa"/>
            </w:tcMar>
            <w:vAlign w:val="top"/>
          </w:tcPr>
          <w:p w14:paraId="0F087DC5">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bottom w:val="single" w:color="000000" w:sz="6" w:space="0"/>
            </w:tcBorders>
            <w:noWrap w:val="0"/>
            <w:tcMar>
              <w:top w:w="8" w:type="dxa"/>
              <w:left w:w="28" w:type="dxa"/>
              <w:bottom w:w="8" w:type="dxa"/>
              <w:right w:w="28" w:type="dxa"/>
            </w:tcMar>
            <w:vAlign w:val="top"/>
          </w:tcPr>
          <w:p w14:paraId="6A770D01">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r>
      <w:tr w14:paraId="2476D7E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67" w:hRule="atLeast"/>
        </w:trPr>
        <w:tc>
          <w:tcPr>
            <w:tcW w:w="994" w:type="pct"/>
            <w:tcBorders>
              <w:top w:val="single" w:color="000000" w:sz="6" w:space="0"/>
              <w:right w:val="single" w:color="000000" w:sz="6" w:space="0"/>
            </w:tcBorders>
            <w:noWrap w:val="0"/>
            <w:tcMar>
              <w:top w:w="8" w:type="dxa"/>
              <w:left w:w="28" w:type="dxa"/>
              <w:bottom w:w="8" w:type="dxa"/>
              <w:right w:w="28" w:type="dxa"/>
            </w:tcMar>
            <w:vAlign w:val="top"/>
          </w:tcPr>
          <w:p w14:paraId="196D374D">
            <w:pPr>
              <w:widowControl w:val="0"/>
              <w:spacing w:before="0" w:after="0" w:line="560" w:lineRule="atLeast"/>
              <w:ind w:firstLine="480"/>
              <w:jc w:val="left"/>
              <w:rPr>
                <w:rFonts w:ascii="Times New Roman" w:hAnsi="Times New Roman" w:eastAsia="Times New Roman" w:cs="Times New Roman"/>
                <w:b w:val="0"/>
                <w:bCs w:val="0"/>
                <w:i w:val="0"/>
                <w:iCs w:val="0"/>
                <w:smallCaps w:val="0"/>
                <w:color w:val="000000"/>
                <w:highlight w:val="none"/>
              </w:rPr>
            </w:pPr>
          </w:p>
        </w:tc>
        <w:tc>
          <w:tcPr>
            <w:tcW w:w="980" w:type="pct"/>
            <w:tcBorders>
              <w:top w:val="single" w:color="000000" w:sz="6" w:space="0"/>
              <w:left w:val="single" w:color="000000" w:sz="6" w:space="0"/>
              <w:right w:val="single" w:color="000000" w:sz="6" w:space="0"/>
            </w:tcBorders>
            <w:noWrap w:val="0"/>
            <w:tcMar>
              <w:top w:w="8" w:type="dxa"/>
              <w:left w:w="28" w:type="dxa"/>
              <w:bottom w:w="8" w:type="dxa"/>
              <w:right w:w="28" w:type="dxa"/>
            </w:tcMar>
            <w:vAlign w:val="top"/>
          </w:tcPr>
          <w:p w14:paraId="0BDB8C5B">
            <w:pPr>
              <w:widowControl w:val="0"/>
              <w:spacing w:before="0" w:after="0" w:line="560" w:lineRule="atLeast"/>
              <w:ind w:left="0" w:right="0"/>
              <w:jc w:val="left"/>
              <w:rPr>
                <w:rFonts w:ascii="Times New Roman" w:hAnsi="Times New Roman" w:eastAsia="Times New Roman" w:cs="Times New Roman"/>
                <w:b w:val="0"/>
                <w:bCs w:val="0"/>
                <w:i w:val="0"/>
                <w:iCs w:val="0"/>
                <w:smallCaps w:val="0"/>
                <w:color w:val="000000"/>
                <w:highlight w:val="none"/>
              </w:rPr>
            </w:pPr>
          </w:p>
        </w:tc>
        <w:tc>
          <w:tcPr>
            <w:tcW w:w="1248" w:type="pct"/>
            <w:tcBorders>
              <w:top w:val="single" w:color="000000" w:sz="6" w:space="0"/>
              <w:left w:val="single" w:color="000000" w:sz="6" w:space="0"/>
              <w:right w:val="single" w:color="000000" w:sz="6" w:space="0"/>
            </w:tcBorders>
            <w:noWrap w:val="0"/>
            <w:tcMar>
              <w:top w:w="8" w:type="dxa"/>
              <w:left w:w="28" w:type="dxa"/>
              <w:bottom w:w="8" w:type="dxa"/>
              <w:right w:w="28" w:type="dxa"/>
            </w:tcMar>
            <w:vAlign w:val="top"/>
          </w:tcPr>
          <w:p w14:paraId="70BAC2B0">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713" w:type="pct"/>
            <w:tcBorders>
              <w:top w:val="single" w:color="000000" w:sz="6" w:space="0"/>
              <w:left w:val="single" w:color="000000" w:sz="6" w:space="0"/>
              <w:right w:val="single" w:color="000000" w:sz="6" w:space="0"/>
            </w:tcBorders>
            <w:noWrap w:val="0"/>
            <w:tcMar>
              <w:top w:w="8" w:type="dxa"/>
              <w:left w:w="28" w:type="dxa"/>
              <w:bottom w:w="8" w:type="dxa"/>
              <w:right w:w="28" w:type="dxa"/>
            </w:tcMar>
            <w:vAlign w:val="top"/>
          </w:tcPr>
          <w:p w14:paraId="2794A455">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tcBorders>
            <w:noWrap w:val="0"/>
            <w:tcMar>
              <w:top w:w="8" w:type="dxa"/>
              <w:left w:w="28" w:type="dxa"/>
              <w:bottom w:w="8" w:type="dxa"/>
              <w:right w:w="28" w:type="dxa"/>
            </w:tcMar>
            <w:vAlign w:val="top"/>
          </w:tcPr>
          <w:p w14:paraId="593D576D">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c>
          <w:tcPr>
            <w:tcW w:w="532" w:type="pct"/>
            <w:tcBorders>
              <w:top w:val="single" w:color="000000" w:sz="6" w:space="0"/>
              <w:left w:val="single" w:color="000000" w:sz="6" w:space="0"/>
            </w:tcBorders>
            <w:noWrap w:val="0"/>
            <w:tcMar>
              <w:top w:w="8" w:type="dxa"/>
              <w:left w:w="28" w:type="dxa"/>
              <w:bottom w:w="8" w:type="dxa"/>
              <w:right w:w="28" w:type="dxa"/>
            </w:tcMar>
            <w:vAlign w:val="top"/>
          </w:tcPr>
          <w:p w14:paraId="7221E78C">
            <w:pPr>
              <w:widowControl w:val="0"/>
              <w:spacing w:before="0" w:after="0" w:line="560" w:lineRule="atLeast"/>
              <w:jc w:val="left"/>
              <w:rPr>
                <w:rFonts w:ascii="Times New Roman" w:hAnsi="Times New Roman" w:eastAsia="Times New Roman" w:cs="Times New Roman"/>
                <w:b w:val="0"/>
                <w:bCs w:val="0"/>
                <w:i w:val="0"/>
                <w:iCs w:val="0"/>
                <w:smallCaps w:val="0"/>
                <w:color w:val="000000"/>
                <w:highlight w:val="none"/>
              </w:rPr>
            </w:pPr>
          </w:p>
        </w:tc>
      </w:tr>
    </w:tbl>
    <w:p w14:paraId="3C070FDA">
      <w:pPr>
        <w:widowControl w:val="0"/>
        <w:spacing w:before="0" w:after="0" w:line="400" w:lineRule="atLeast"/>
        <w:jc w:val="center"/>
        <w:rPr>
          <w:rFonts w:ascii="Times New Roman" w:hAnsi="Times New Roman" w:eastAsia="Times New Roman" w:cs="Times New Roman"/>
          <w:highlight w:val="none"/>
        </w:rPr>
      </w:pPr>
      <w:r>
        <w:rPr>
          <w:rFonts w:ascii="PMingLiU" w:hAnsi="PMingLiU" w:eastAsia="PMingLiU" w:cs="PMingLiU"/>
          <w:b/>
          <w:bCs/>
          <w:sz w:val="21"/>
          <w:szCs w:val="21"/>
          <w:highlight w:val="none"/>
        </w:rPr>
        <w:t>供应商名称（公章）：</w:t>
      </w:r>
    </w:p>
    <w:p w14:paraId="112550BB">
      <w:pPr>
        <w:widowControl w:val="0"/>
        <w:spacing w:before="0" w:after="0" w:line="400" w:lineRule="atLeast"/>
        <w:jc w:val="center"/>
        <w:rPr>
          <w:rFonts w:ascii="Times New Roman" w:hAnsi="Times New Roman" w:eastAsia="Times New Roman" w:cs="Times New Roman"/>
          <w:highlight w:val="none"/>
        </w:rPr>
      </w:pPr>
      <w:r>
        <w:rPr>
          <w:rFonts w:ascii="PMingLiU" w:hAnsi="PMingLiU" w:eastAsia="PMingLiU" w:cs="PMingLiU"/>
          <w:b/>
          <w:bCs/>
          <w:sz w:val="21"/>
          <w:szCs w:val="21"/>
          <w:highlight w:val="none"/>
        </w:rPr>
        <w:t>供应商代表签字：</w:t>
      </w:r>
    </w:p>
    <w:p w14:paraId="45115BEF">
      <w:pPr>
        <w:widowControl w:val="0"/>
        <w:spacing w:before="0" w:after="0" w:line="560" w:lineRule="atLeast"/>
        <w:jc w:val="left"/>
        <w:rPr>
          <w:rFonts w:ascii="Times New Roman" w:hAnsi="Times New Roman" w:eastAsia="Times New Roman" w:cs="Times New Roman"/>
          <w:highlight w:val="none"/>
        </w:rPr>
      </w:pPr>
    </w:p>
    <w:p w14:paraId="44D8B47C">
      <w:pPr>
        <w:widowControl w:val="0"/>
        <w:spacing w:before="0" w:after="0" w:line="560" w:lineRule="atLeast"/>
        <w:jc w:val="left"/>
        <w:rPr>
          <w:rFonts w:ascii="Times New Roman" w:hAnsi="Times New Roman" w:eastAsia="Times New Roman" w:cs="Times New Roman"/>
          <w:highlight w:val="none"/>
        </w:rPr>
      </w:pPr>
      <w:r>
        <w:rPr>
          <w:rFonts w:ascii="宋体" w:hAnsi="宋体" w:eastAsia="宋体" w:cs="宋体"/>
          <w:highlight w:val="none"/>
        </w:rPr>
        <w:t>注：</w:t>
      </w:r>
      <w:r>
        <w:rPr>
          <w:rFonts w:ascii="宋体" w:hAnsi="宋体" w:eastAsia="宋体" w:cs="宋体"/>
          <w:sz w:val="21"/>
          <w:szCs w:val="21"/>
          <w:highlight w:val="none"/>
        </w:rPr>
        <w:t>1.按照招标文件中列明的技术性能、功能及配置或服务要求进行如实逐条应答。</w:t>
      </w:r>
    </w:p>
    <w:p w14:paraId="20B9C12C">
      <w:pPr>
        <w:widowControl w:val="0"/>
        <w:spacing w:before="0" w:after="0" w:line="400" w:lineRule="atLeast"/>
        <w:ind w:firstLine="435"/>
        <w:jc w:val="left"/>
        <w:rPr>
          <w:rFonts w:ascii="Times New Roman" w:hAnsi="Times New Roman" w:eastAsia="Times New Roman" w:cs="Times New Roman"/>
          <w:highlight w:val="none"/>
        </w:rPr>
      </w:pPr>
      <w:r>
        <w:rPr>
          <w:rFonts w:ascii="宋体" w:hAnsi="宋体" w:eastAsia="宋体" w:cs="宋体"/>
          <w:sz w:val="21"/>
          <w:szCs w:val="21"/>
          <w:highlight w:val="none"/>
        </w:rPr>
        <w:t>2.对于那些可以用量化形式表示的条款，供应商必须明确回答，对于那些非量化的条款供应商应以功能描述回答，指出所报提供的货物和服务是否做出实质性响应。</w:t>
      </w:r>
    </w:p>
    <w:p w14:paraId="60326E3C">
      <w:pPr>
        <w:widowControl w:val="0"/>
        <w:spacing w:before="0" w:after="0"/>
        <w:jc w:val="left"/>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 </w:t>
      </w:r>
    </w:p>
    <w:p w14:paraId="791A3542">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b/>
          <w:bCs/>
          <w:sz w:val="21"/>
          <w:szCs w:val="21"/>
          <w:highlight w:val="none"/>
        </w:rPr>
        <w:br w:type="page" w:clear="all"/>
      </w:r>
      <w:r>
        <w:rPr>
          <w:rFonts w:ascii="宋体" w:hAnsi="宋体" w:eastAsia="宋体" w:cs="宋体"/>
          <w:b/>
          <w:bCs/>
          <w:sz w:val="21"/>
          <w:szCs w:val="21"/>
          <w:highlight w:val="none"/>
        </w:rPr>
        <w:t>二、资格证明文件</w:t>
      </w:r>
    </w:p>
    <w:p w14:paraId="6226EDAF">
      <w:pPr>
        <w:keepNext w:val="0"/>
        <w:keepLines w:val="0"/>
        <w:pageBreakBefore w:val="0"/>
        <w:widowControl/>
        <w:shd w:val="clear" w:color="auto" w:fill="FFFFFF"/>
        <w:bidi w:val="0"/>
        <w:spacing w:before="240" w:beforeLines="100" w:after="0" w:line="360" w:lineRule="auto"/>
        <w:ind w:firstLine="42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详见公开招标文件第一章 招标公告</w:t>
      </w:r>
    </w:p>
    <w:p w14:paraId="35A0F7F8">
      <w:pPr>
        <w:keepNext w:val="0"/>
        <w:keepLines w:val="0"/>
        <w:pageBreakBefore w:val="0"/>
        <w:widowControl/>
        <w:shd w:val="clear" w:color="auto" w:fill="FFFFFF"/>
        <w:bidi w:val="0"/>
        <w:spacing w:before="240" w:beforeLines="100" w:after="0" w:line="360" w:lineRule="auto"/>
        <w:ind w:firstLine="420"/>
        <w:rPr>
          <w:rFonts w:hint="eastAsia" w:ascii="宋体" w:hAnsi="宋体" w:eastAsia="宋体" w:cs="宋体"/>
          <w:b/>
          <w:bCs/>
          <w:sz w:val="21"/>
          <w:szCs w:val="21"/>
          <w:highlight w:val="none"/>
          <w:lang w:val="en-US" w:eastAsia="zh-CN"/>
        </w:rPr>
      </w:pPr>
    </w:p>
    <w:p w14:paraId="27A05C79">
      <w:pPr>
        <w:keepNext w:val="0"/>
        <w:keepLines w:val="0"/>
        <w:pageBreakBefore w:val="0"/>
        <w:widowControl/>
        <w:shd w:val="clear" w:color="auto" w:fill="FFFFFF"/>
        <w:bidi w:val="0"/>
        <w:spacing w:before="240" w:beforeLines="100" w:after="0" w:line="360" w:lineRule="auto"/>
        <w:rPr>
          <w:rFonts w:hint="eastAsia" w:ascii="宋体" w:hAnsi="宋体" w:eastAsia="宋体" w:cs="宋体"/>
          <w:b/>
          <w:bCs/>
          <w:sz w:val="21"/>
          <w:szCs w:val="21"/>
          <w:highlight w:val="none"/>
          <w:lang w:val="en-US" w:eastAsia="zh-CN"/>
        </w:rPr>
      </w:pPr>
    </w:p>
    <w:p w14:paraId="6D3E97CB">
      <w:pPr>
        <w:keepNext w:val="0"/>
        <w:keepLines w:val="0"/>
        <w:pageBreakBefore w:val="0"/>
        <w:widowControl/>
        <w:shd w:val="clear" w:color="auto" w:fill="FFFFFF"/>
        <w:bidi w:val="0"/>
        <w:spacing w:before="240" w:beforeLines="100" w:after="0" w:line="360" w:lineRule="auto"/>
        <w:ind w:firstLine="420"/>
        <w:rPr>
          <w:rFonts w:hint="eastAsia" w:ascii="宋体" w:hAnsi="宋体" w:eastAsia="宋体" w:cs="宋体"/>
          <w:b/>
          <w:bCs/>
          <w:sz w:val="21"/>
          <w:szCs w:val="21"/>
          <w:highlight w:val="none"/>
          <w:lang w:val="en-US" w:eastAsia="zh-CN"/>
        </w:rPr>
      </w:pPr>
    </w:p>
    <w:p w14:paraId="5F048BC5">
      <w:pPr>
        <w:keepNext w:val="0"/>
        <w:keepLines w:val="0"/>
        <w:pageBreakBefore w:val="0"/>
        <w:widowControl/>
        <w:shd w:val="clear" w:color="auto" w:fill="FFFFFF"/>
        <w:bidi w:val="0"/>
        <w:spacing w:before="240" w:beforeLines="100" w:after="0" w:line="360" w:lineRule="auto"/>
        <w:ind w:firstLine="420"/>
        <w:rPr>
          <w:rFonts w:hint="eastAsia" w:ascii="宋体" w:hAnsi="宋体" w:eastAsia="宋体" w:cs="宋体"/>
          <w:b/>
          <w:bCs/>
          <w:sz w:val="21"/>
          <w:szCs w:val="21"/>
          <w:highlight w:val="none"/>
          <w:lang w:val="en-US" w:eastAsia="zh-CN"/>
        </w:rPr>
      </w:pPr>
    </w:p>
    <w:tbl>
      <w:tblPr>
        <w:tblStyle w:val="191"/>
        <w:tblpPr w:leftFromText="180" w:rightFromText="180" w:vertAnchor="text" w:tblpXSpec="left" w:tblpY="1"/>
        <w:tblOverlap w:val="never"/>
        <w:tblW w:w="475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8774"/>
      </w:tblGrid>
      <w:tr w14:paraId="16BD670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c>
          <w:tcPr>
            <w:tcW w:w="9430" w:type="dxa"/>
            <w:noWrap w:val="0"/>
            <w:tcMar>
              <w:top w:w="8" w:type="dxa"/>
              <w:left w:w="108" w:type="dxa"/>
              <w:bottom w:w="8" w:type="dxa"/>
              <w:right w:w="108" w:type="dxa"/>
            </w:tcMar>
            <w:vAlign w:val="top"/>
          </w:tcPr>
          <w:p w14:paraId="763EF08D">
            <w:pPr>
              <w:widowControl w:val="0"/>
              <w:spacing w:before="0" w:after="0" w:line="400" w:lineRule="atLeast"/>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bCs/>
                <w:i w:val="0"/>
                <w:iCs w:val="0"/>
                <w:smallCaps w:val="0"/>
                <w:color w:val="000000"/>
                <w:sz w:val="21"/>
                <w:szCs w:val="21"/>
                <w:highlight w:val="none"/>
              </w:rPr>
              <w:t>参加政府采购活动前 3 年内在经营活动中</w:t>
            </w:r>
          </w:p>
          <w:p w14:paraId="40B580DF">
            <w:pPr>
              <w:widowControl w:val="0"/>
              <w:spacing w:before="0" w:after="0" w:line="400" w:lineRule="atLeast"/>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bCs/>
                <w:i w:val="0"/>
                <w:iCs w:val="0"/>
                <w:smallCaps w:val="0"/>
                <w:color w:val="000000"/>
                <w:sz w:val="21"/>
                <w:szCs w:val="21"/>
                <w:highlight w:val="none"/>
              </w:rPr>
              <w:t>没有重大违法记录的书面声明（参考格式）</w:t>
            </w:r>
          </w:p>
          <w:p w14:paraId="15302A97">
            <w:pPr>
              <w:widowControl w:val="0"/>
              <w:spacing w:before="0" w:after="0" w:line="400" w:lineRule="atLeast"/>
              <w:ind w:firstLine="420"/>
              <w:jc w:val="left"/>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我公司郑重声明：参加本次政府采购活动前 3 年内，我公司在经营活动中没有因违法经营受到刑事处罚或者责令停产停业、吊销许可证或者执照、较大数额罚款等行政处罚。</w:t>
            </w:r>
          </w:p>
          <w:p w14:paraId="194FD12E">
            <w:pPr>
              <w:widowControl w:val="0"/>
              <w:spacing w:before="0" w:after="0" w:line="400" w:lineRule="atLeast"/>
              <w:jc w:val="left"/>
              <w:rPr>
                <w:rFonts w:ascii="Times New Roman" w:hAnsi="Times New Roman" w:eastAsia="Times New Roman" w:cs="Times New Roman"/>
                <w:b w:val="0"/>
                <w:bCs w:val="0"/>
                <w:i w:val="0"/>
                <w:iCs w:val="0"/>
                <w:smallCaps w:val="0"/>
                <w:color w:val="000000"/>
                <w:highlight w:val="none"/>
              </w:rPr>
            </w:pPr>
          </w:p>
          <w:p w14:paraId="69B877A9">
            <w:pPr>
              <w:widowControl w:val="0"/>
              <w:spacing w:before="0" w:after="0" w:line="400" w:lineRule="atLeast"/>
              <w:ind w:firstLine="3570"/>
              <w:jc w:val="left"/>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 供应商名称（公章）：</w:t>
            </w:r>
          </w:p>
          <w:p w14:paraId="03776656">
            <w:pPr>
              <w:widowControl w:val="0"/>
              <w:spacing w:before="0" w:after="0" w:line="400" w:lineRule="atLeast"/>
              <w:jc w:val="left"/>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                                   授权代表签字： </w:t>
            </w:r>
          </w:p>
          <w:p w14:paraId="15D874D8">
            <w:pPr>
              <w:widowControl w:val="0"/>
              <w:spacing w:before="0" w:after="0" w:line="400" w:lineRule="atLeast"/>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                                   日期：     年    月    日</w:t>
            </w:r>
          </w:p>
        </w:tc>
      </w:tr>
    </w:tbl>
    <w:p w14:paraId="36428B05">
      <w:pPr>
        <w:pStyle w:val="189"/>
        <w:keepNext w:val="0"/>
        <w:widowControl w:val="0"/>
        <w:spacing w:before="0" w:after="120" w:line="400" w:lineRule="atLeast"/>
        <w:outlineLvl w:val="9"/>
        <w:rPr>
          <w:rFonts w:ascii="Times New Roman" w:hAnsi="Times New Roman" w:eastAsia="Times New Roman" w:cs="Times New Roman"/>
          <w:b/>
          <w:bCs/>
          <w:sz w:val="36"/>
          <w:szCs w:val="36"/>
          <w:highlight w:val="none"/>
        </w:rPr>
      </w:pPr>
      <w:r>
        <w:rPr>
          <w:rFonts w:ascii="Times New Roman" w:hAnsi="Times New Roman" w:eastAsia="Times New Roman" w:cs="Times New Roman"/>
          <w:b/>
          <w:bCs/>
          <w:sz w:val="36"/>
          <w:szCs w:val="36"/>
          <w:highlight w:val="none"/>
        </w:rPr>
        <w:br w:type="page" w:clear="all"/>
      </w:r>
      <w:r>
        <w:rPr>
          <w:rFonts w:ascii="宋体" w:hAnsi="宋体" w:eastAsia="宋体" w:cs="宋体"/>
          <w:i w:val="0"/>
          <w:iCs w:val="0"/>
          <w:sz w:val="21"/>
          <w:szCs w:val="21"/>
          <w:highlight w:val="none"/>
        </w:rPr>
        <w:t>三、其他相关文件</w:t>
      </w:r>
    </w:p>
    <w:p w14:paraId="6695AB89">
      <w:pPr>
        <w:pStyle w:val="190"/>
        <w:keepNext w:val="0"/>
        <w:widowControl w:val="0"/>
        <w:shd w:val="clear" w:color="auto" w:fill="FFFFFF"/>
        <w:spacing w:before="0" w:after="0" w:line="400" w:lineRule="atLeast"/>
        <w:jc w:val="left"/>
        <w:outlineLvl w:val="9"/>
        <w:rPr>
          <w:rFonts w:ascii="Times New Roman" w:hAnsi="Times New Roman" w:eastAsia="Times New Roman" w:cs="Times New Roman"/>
          <w:b/>
          <w:bCs/>
          <w:sz w:val="28"/>
          <w:szCs w:val="28"/>
          <w:highlight w:val="none"/>
        </w:rPr>
      </w:pPr>
      <w:r>
        <w:rPr>
          <w:rFonts w:ascii="宋体" w:hAnsi="宋体" w:eastAsia="宋体" w:cs="宋体"/>
          <w:sz w:val="21"/>
          <w:szCs w:val="21"/>
          <w:highlight w:val="none"/>
        </w:rPr>
        <w:t>1.授权委托书</w:t>
      </w:r>
    </w:p>
    <w:p w14:paraId="3732E190">
      <w:pPr>
        <w:widowControl w:val="0"/>
        <w:spacing w:before="0" w:after="0" w:line="400" w:lineRule="atLeast"/>
        <w:jc w:val="center"/>
        <w:rPr>
          <w:rFonts w:ascii="Times New Roman" w:hAnsi="Times New Roman" w:eastAsia="Times New Roman" w:cs="Times New Roman"/>
          <w:highlight w:val="none"/>
        </w:rPr>
      </w:pPr>
      <w:r>
        <w:rPr>
          <w:rFonts w:ascii="PMingLiU" w:hAnsi="PMingLiU" w:eastAsia="PMingLiU" w:cs="PMingLiU"/>
          <w:b/>
          <w:bCs/>
          <w:sz w:val="21"/>
          <w:szCs w:val="21"/>
          <w:highlight w:val="none"/>
        </w:rPr>
        <w:t>授权委托书</w:t>
      </w:r>
    </w:p>
    <w:p w14:paraId="016AE27E">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sz w:val="21"/>
          <w:szCs w:val="21"/>
          <w:highlight w:val="none"/>
        </w:rPr>
        <w:t>致苏美达国际技术贸易有限公司：</w:t>
      </w:r>
    </w:p>
    <w:p w14:paraId="47AD4C30">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    本授权书宣告：</w:t>
      </w:r>
    </w:p>
    <w:p w14:paraId="3D9EA56C">
      <w:pPr>
        <w:widowControl w:val="0"/>
        <w:spacing w:before="0" w:after="0" w:line="400" w:lineRule="atLeast"/>
        <w:ind w:firstLine="420"/>
        <w:jc w:val="left"/>
        <w:rPr>
          <w:rFonts w:ascii="Times New Roman" w:hAnsi="Times New Roman" w:eastAsia="Times New Roman" w:cs="Times New Roman"/>
          <w:highlight w:val="none"/>
        </w:rPr>
      </w:pPr>
    </w:p>
    <w:p w14:paraId="13D5ACD8">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委托人：</w:t>
      </w:r>
    </w:p>
    <w:p w14:paraId="6403EE4B">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地    址： </w:t>
      </w:r>
    </w:p>
    <w:p w14:paraId="0F997FB9">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法定代表人：</w:t>
      </w:r>
    </w:p>
    <w:p w14:paraId="628B75EC">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受托人： </w:t>
      </w:r>
    </w:p>
    <w:p w14:paraId="6112B72E">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性别： </w:t>
      </w:r>
    </w:p>
    <w:p w14:paraId="2D6904C8">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出生日期：</w:t>
      </w:r>
    </w:p>
    <w:p w14:paraId="2A6F87D4">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所在单位：</w:t>
      </w:r>
    </w:p>
    <w:p w14:paraId="044BA92C">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职务：</w:t>
      </w:r>
    </w:p>
    <w:p w14:paraId="5616CC8E">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身份证号：</w:t>
      </w:r>
    </w:p>
    <w:p w14:paraId="6C9FEC9C">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联系方式：</w:t>
      </w:r>
    </w:p>
    <w:p w14:paraId="082B8684">
      <w:pPr>
        <w:widowControl w:val="0"/>
        <w:spacing w:before="0" w:after="0" w:line="400" w:lineRule="atLeast"/>
        <w:ind w:firstLine="420"/>
        <w:jc w:val="left"/>
        <w:rPr>
          <w:rFonts w:ascii="Times New Roman" w:hAnsi="Times New Roman" w:eastAsia="Times New Roman" w:cs="Times New Roman"/>
          <w:highlight w:val="none"/>
        </w:rPr>
      </w:pPr>
    </w:p>
    <w:p w14:paraId="063DE49B">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5F5FDBF6">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    受托人在办理上述事宜过程中以其自己的名义所签署的所有文件我均予以承认。受托人无转委托权。</w:t>
      </w:r>
    </w:p>
    <w:p w14:paraId="28298B73">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委托期限：至上述事宜处理完毕止。</w:t>
      </w:r>
    </w:p>
    <w:p w14:paraId="780CCAC2">
      <w:pPr>
        <w:widowControl w:val="0"/>
        <w:spacing w:before="0" w:after="0" w:line="400" w:lineRule="atLeast"/>
        <w:ind w:firstLine="420"/>
        <w:jc w:val="left"/>
        <w:rPr>
          <w:rFonts w:ascii="Times New Roman" w:hAnsi="Times New Roman" w:eastAsia="Times New Roman" w:cs="Times New Roman"/>
          <w:highlight w:val="none"/>
        </w:rPr>
      </w:pPr>
    </w:p>
    <w:p w14:paraId="62875DA1">
      <w:pPr>
        <w:widowControl w:val="0"/>
        <w:spacing w:before="0" w:after="0" w:line="400" w:lineRule="atLeast"/>
        <w:ind w:firstLine="420"/>
        <w:jc w:val="left"/>
        <w:rPr>
          <w:rFonts w:ascii="Times New Roman" w:hAnsi="Times New Roman" w:eastAsia="Times New Roman" w:cs="Times New Roman"/>
          <w:highlight w:val="none"/>
        </w:rPr>
      </w:pPr>
    </w:p>
    <w:p w14:paraId="45F8C5A9">
      <w:pPr>
        <w:widowControl w:val="0"/>
        <w:spacing w:before="0" w:after="0" w:line="400" w:lineRule="atLeast"/>
        <w:ind w:firstLine="3079"/>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委托单位   </w:t>
      </w:r>
      <w:r>
        <w:rPr>
          <w:rFonts w:ascii="宋体" w:hAnsi="宋体" w:eastAsia="宋体" w:cs="宋体"/>
          <w:sz w:val="21"/>
          <w:szCs w:val="21"/>
          <w:highlight w:val="none"/>
          <w:u w:val="single"/>
        </w:rPr>
        <w:t xml:space="preserve"> （公章）          </w:t>
      </w:r>
    </w:p>
    <w:p w14:paraId="7252AE38">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                             法定代表人 </w:t>
      </w:r>
      <w:r>
        <w:rPr>
          <w:rFonts w:ascii="宋体" w:hAnsi="宋体" w:eastAsia="宋体" w:cs="宋体"/>
          <w:sz w:val="21"/>
          <w:szCs w:val="21"/>
          <w:highlight w:val="none"/>
          <w:u w:val="single"/>
        </w:rPr>
        <w:t xml:space="preserve"> （签名或盖章）          </w:t>
      </w:r>
    </w:p>
    <w:p w14:paraId="08D27BB1">
      <w:pPr>
        <w:widowControl w:val="0"/>
        <w:spacing w:before="0" w:after="0" w:line="400" w:lineRule="atLeast"/>
        <w:ind w:firstLine="3885"/>
        <w:jc w:val="left"/>
        <w:rPr>
          <w:rFonts w:ascii="Times New Roman" w:hAnsi="Times New Roman" w:eastAsia="Times New Roman" w:cs="Times New Roman"/>
          <w:highlight w:val="none"/>
        </w:rPr>
      </w:pPr>
      <w:r>
        <w:rPr>
          <w:rFonts w:ascii="宋体" w:hAnsi="宋体" w:eastAsia="宋体" w:cs="宋体"/>
          <w:sz w:val="21"/>
          <w:szCs w:val="21"/>
          <w:highlight w:val="none"/>
        </w:rPr>
        <w:t>年    月    日</w:t>
      </w:r>
    </w:p>
    <w:p w14:paraId="64C17229">
      <w:pPr>
        <w:widowControl w:val="0"/>
        <w:spacing w:before="0" w:after="0"/>
        <w:jc w:val="left"/>
        <w:rPr>
          <w:rFonts w:ascii="Times New Roman" w:hAnsi="Times New Roman" w:eastAsia="Times New Roman" w:cs="Times New Roman"/>
          <w:sz w:val="21"/>
          <w:szCs w:val="21"/>
          <w:highlight w:val="none"/>
        </w:rPr>
      </w:pPr>
    </w:p>
    <w:p w14:paraId="2B812A17">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b/>
          <w:bCs/>
          <w:sz w:val="21"/>
          <w:szCs w:val="21"/>
          <w:highlight w:val="none"/>
        </w:rPr>
        <w:t>附：法定代表人、授权代表身份证复印件及</w:t>
      </w:r>
      <w:r>
        <w:rPr>
          <w:rFonts w:hint="eastAsia" w:ascii="宋体" w:hAnsi="宋体" w:eastAsia="宋体" w:cs="宋体"/>
          <w:b/>
          <w:bCs/>
          <w:sz w:val="21"/>
          <w:szCs w:val="21"/>
          <w:highlight w:val="none"/>
          <w:lang w:eastAsia="zh-CN"/>
        </w:rPr>
        <w:t>2026年4月-2026年9月</w:t>
      </w:r>
      <w:r>
        <w:rPr>
          <w:rFonts w:ascii="宋体" w:hAnsi="宋体" w:eastAsia="宋体" w:cs="宋体"/>
          <w:b/>
          <w:bCs/>
          <w:sz w:val="21"/>
          <w:szCs w:val="21"/>
          <w:highlight w:val="none"/>
        </w:rPr>
        <w:t>内任意一月投标单位为其缴纳的社保证明（如果是法定代表人直接参与投标的可以不提供授权书）。</w:t>
      </w:r>
    </w:p>
    <w:p w14:paraId="7362F0F9">
      <w:pPr>
        <w:widowControl w:val="0"/>
        <w:spacing w:before="0" w:after="0"/>
        <w:jc w:val="left"/>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t> </w:t>
      </w:r>
    </w:p>
    <w:p w14:paraId="7CB94581">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sz w:val="21"/>
          <w:szCs w:val="21"/>
          <w:highlight w:val="none"/>
        </w:rPr>
        <w:br w:type="page" w:clear="all"/>
      </w:r>
      <w:r>
        <w:rPr>
          <w:rFonts w:ascii="宋体" w:hAnsi="宋体" w:eastAsia="宋体" w:cs="宋体"/>
          <w:sz w:val="21"/>
          <w:szCs w:val="21"/>
          <w:highlight w:val="none"/>
        </w:rPr>
        <w:t>2.相关资质、业绩证明文件</w:t>
      </w:r>
    </w:p>
    <w:p w14:paraId="3B4E2834">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2.1 </w:t>
      </w:r>
    </w:p>
    <w:p w14:paraId="7B8BE7D0">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2.2</w:t>
      </w:r>
    </w:p>
    <w:p w14:paraId="4E90FCA8">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2.3 </w:t>
      </w:r>
    </w:p>
    <w:p w14:paraId="366C0931">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sz w:val="21"/>
          <w:szCs w:val="21"/>
          <w:highlight w:val="none"/>
        </w:rPr>
        <w:t xml:space="preserve">2.4 </w:t>
      </w:r>
    </w:p>
    <w:p w14:paraId="60136B33">
      <w:pPr>
        <w:widowControl w:val="0"/>
        <w:spacing w:before="0" w:after="0" w:line="400" w:lineRule="atLeast"/>
        <w:jc w:val="left"/>
        <w:rPr>
          <w:rFonts w:ascii="Times New Roman" w:hAnsi="Times New Roman" w:eastAsia="Times New Roman" w:cs="Times New Roman"/>
          <w:highlight w:val="none"/>
        </w:rPr>
      </w:pPr>
    </w:p>
    <w:p w14:paraId="0AE6A434">
      <w:pPr>
        <w:widowControl w:val="0"/>
        <w:spacing w:before="0" w:after="0" w:line="400" w:lineRule="atLeast"/>
        <w:jc w:val="left"/>
        <w:rPr>
          <w:rFonts w:ascii="Times New Roman" w:hAnsi="Times New Roman" w:eastAsia="Times New Roman" w:cs="Times New Roman"/>
          <w:highlight w:val="none"/>
        </w:rPr>
      </w:pPr>
      <w:r>
        <w:rPr>
          <w:rFonts w:ascii="宋体" w:hAnsi="宋体" w:eastAsia="宋体" w:cs="宋体"/>
          <w:b/>
          <w:bCs/>
          <w:sz w:val="21"/>
          <w:szCs w:val="21"/>
          <w:highlight w:val="none"/>
        </w:rPr>
        <w:t>3.供应商拟承担本项目主要专业技术人员一览表格式</w:t>
      </w:r>
    </w:p>
    <w:p w14:paraId="5B442C94">
      <w:pPr>
        <w:widowControl w:val="0"/>
        <w:spacing w:before="0" w:after="0" w:line="400" w:lineRule="atLeast"/>
        <w:jc w:val="center"/>
        <w:rPr>
          <w:rFonts w:ascii="Times New Roman" w:hAnsi="Times New Roman" w:eastAsia="Times New Roman" w:cs="Times New Roman"/>
          <w:highlight w:val="none"/>
        </w:rPr>
      </w:pPr>
    </w:p>
    <w:p w14:paraId="2FA556BD">
      <w:pPr>
        <w:widowControl w:val="0"/>
        <w:spacing w:before="0" w:after="0" w:line="400" w:lineRule="atLeast"/>
        <w:jc w:val="center"/>
        <w:rPr>
          <w:rFonts w:ascii="Times New Roman" w:hAnsi="Times New Roman" w:eastAsia="Times New Roman" w:cs="Times New Roman"/>
          <w:highlight w:val="none"/>
        </w:rPr>
      </w:pPr>
      <w:r>
        <w:rPr>
          <w:rFonts w:ascii="宋体" w:hAnsi="宋体" w:eastAsia="宋体" w:cs="宋体"/>
          <w:b/>
          <w:bCs/>
          <w:sz w:val="21"/>
          <w:szCs w:val="21"/>
          <w:highlight w:val="none"/>
        </w:rPr>
        <w:t>供应商拟承担本项目主要专业技术人员一览表</w:t>
      </w:r>
    </w:p>
    <w:tbl>
      <w:tblPr>
        <w:tblStyle w:val="191"/>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727"/>
        <w:gridCol w:w="1763"/>
        <w:gridCol w:w="1763"/>
        <w:gridCol w:w="1906"/>
        <w:gridCol w:w="1615"/>
      </w:tblGrid>
      <w:tr w14:paraId="33F2C51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9" w:hRule="atLeast"/>
          <w:jc w:val="center"/>
        </w:trPr>
        <w:tc>
          <w:tcPr>
            <w:tcW w:w="1686" w:type="dxa"/>
            <w:tcBorders>
              <w:bottom w:val="single" w:color="000000" w:sz="6" w:space="0"/>
              <w:right w:val="single" w:color="000000" w:sz="6" w:space="0"/>
            </w:tcBorders>
            <w:noWrap w:val="0"/>
            <w:tcMar>
              <w:top w:w="8" w:type="dxa"/>
              <w:left w:w="108" w:type="dxa"/>
              <w:bottom w:w="8" w:type="dxa"/>
              <w:right w:w="108" w:type="dxa"/>
            </w:tcMar>
            <w:vAlign w:val="center"/>
          </w:tcPr>
          <w:p w14:paraId="1ADD3BBE">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人员姓名</w:t>
            </w:r>
          </w:p>
          <w:p w14:paraId="637B1761">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联系电话</w:t>
            </w:r>
          </w:p>
        </w:tc>
        <w:tc>
          <w:tcPr>
            <w:tcW w:w="172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68CE8A52">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专业</w:t>
            </w:r>
            <w:r>
              <w:rPr>
                <w:rFonts w:ascii="Calibri" w:hAnsi="Calibri" w:eastAsia="Calibri" w:cs="Calibri"/>
                <w:b w:val="0"/>
                <w:bCs w:val="0"/>
                <w:i w:val="0"/>
                <w:iCs w:val="0"/>
                <w:smallCaps w:val="0"/>
                <w:color w:val="000000"/>
                <w:sz w:val="21"/>
                <w:szCs w:val="21"/>
                <w:highlight w:val="none"/>
              </w:rPr>
              <w:t>/</w:t>
            </w:r>
            <w:r>
              <w:rPr>
                <w:rFonts w:ascii="PMingLiU" w:hAnsi="PMingLiU" w:eastAsia="PMingLiU" w:cs="PMingLiU"/>
                <w:b w:val="0"/>
                <w:bCs w:val="0"/>
                <w:i w:val="0"/>
                <w:iCs w:val="0"/>
                <w:smallCaps w:val="0"/>
                <w:color w:val="000000"/>
                <w:sz w:val="21"/>
                <w:szCs w:val="21"/>
                <w:highlight w:val="none"/>
              </w:rPr>
              <w:t>类别</w:t>
            </w:r>
          </w:p>
        </w:tc>
        <w:tc>
          <w:tcPr>
            <w:tcW w:w="172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CEAC60B">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工作时间</w:t>
            </w:r>
          </w:p>
        </w:tc>
        <w:tc>
          <w:tcPr>
            <w:tcW w:w="186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9CDADFB">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工作业绩</w:t>
            </w:r>
          </w:p>
        </w:tc>
        <w:tc>
          <w:tcPr>
            <w:tcW w:w="1576" w:type="dxa"/>
            <w:tcBorders>
              <w:left w:val="single" w:color="000000" w:sz="6" w:space="0"/>
              <w:bottom w:val="single" w:color="000000" w:sz="6" w:space="0"/>
            </w:tcBorders>
            <w:noWrap w:val="0"/>
            <w:tcMar>
              <w:top w:w="8" w:type="dxa"/>
              <w:left w:w="108" w:type="dxa"/>
              <w:bottom w:w="8" w:type="dxa"/>
              <w:right w:w="108" w:type="dxa"/>
            </w:tcMar>
            <w:vAlign w:val="center"/>
          </w:tcPr>
          <w:p w14:paraId="1AAEDCEB">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在本项目中</w:t>
            </w:r>
          </w:p>
          <w:p w14:paraId="3C26367F">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职责分工</w:t>
            </w:r>
          </w:p>
        </w:tc>
      </w:tr>
      <w:tr w14:paraId="289A8ED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686"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CEDAFFC">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63E4EAC">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C9F21E1">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86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DC753BE">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576"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59F2B0AC">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r>
      <w:tr w14:paraId="203A9BA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686"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6CCBA56B">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589F9F4">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30E21BE">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86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698E1D82">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576"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08E74941">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r>
      <w:tr w14:paraId="3CAE38E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686"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AE7842B">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A6DC3B7">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CA805D1">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86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4E6DC1A">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576"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288F0A8A">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r>
      <w:tr w14:paraId="6301DE4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686"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14D51A2">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18AA55D">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B89D52B">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86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E631E93">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576"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534FD291">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r>
      <w:tr w14:paraId="4938194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686"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602FF456">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1F7717E">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36E4098">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86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EB15864">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576"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16ACC542">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r>
      <w:tr w14:paraId="7B9DB94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686" w:type="dxa"/>
            <w:tcBorders>
              <w:top w:val="single" w:color="000000" w:sz="6" w:space="0"/>
              <w:right w:val="single" w:color="000000" w:sz="6" w:space="0"/>
            </w:tcBorders>
            <w:noWrap w:val="0"/>
            <w:tcMar>
              <w:top w:w="8" w:type="dxa"/>
              <w:left w:w="108" w:type="dxa"/>
              <w:bottom w:w="8" w:type="dxa"/>
              <w:right w:w="108" w:type="dxa"/>
            </w:tcMar>
            <w:vAlign w:val="center"/>
          </w:tcPr>
          <w:p w14:paraId="7CB3A9CE">
            <w:pPr>
              <w:widowControl w:val="0"/>
              <w:spacing w:before="0" w:after="145" w:line="400" w:lineRule="atLeast"/>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center"/>
          </w:tcPr>
          <w:p w14:paraId="78BE1334">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72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center"/>
          </w:tcPr>
          <w:p w14:paraId="2AEDB4F7">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86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center"/>
          </w:tcPr>
          <w:p w14:paraId="3FA86CC6">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c>
          <w:tcPr>
            <w:tcW w:w="1576" w:type="dxa"/>
            <w:tcBorders>
              <w:top w:val="single" w:color="000000" w:sz="6" w:space="0"/>
              <w:left w:val="single" w:color="000000" w:sz="6" w:space="0"/>
            </w:tcBorders>
            <w:noWrap w:val="0"/>
            <w:tcMar>
              <w:top w:w="8" w:type="dxa"/>
              <w:left w:w="108" w:type="dxa"/>
              <w:bottom w:w="8" w:type="dxa"/>
              <w:right w:w="108" w:type="dxa"/>
            </w:tcMar>
            <w:vAlign w:val="center"/>
          </w:tcPr>
          <w:p w14:paraId="33438DF9">
            <w:pPr>
              <w:widowControl w:val="0"/>
              <w:spacing w:before="290" w:after="145" w:line="400" w:lineRule="atLeast"/>
              <w:ind w:firstLine="2536"/>
              <w:jc w:val="center"/>
              <w:rPr>
                <w:rFonts w:ascii="Times New Roman" w:hAnsi="Times New Roman" w:eastAsia="Times New Roman" w:cs="Times New Roman"/>
                <w:b w:val="0"/>
                <w:bCs w:val="0"/>
                <w:i w:val="0"/>
                <w:iCs w:val="0"/>
                <w:smallCaps w:val="0"/>
                <w:color w:val="000000"/>
                <w:highlight w:val="none"/>
              </w:rPr>
            </w:pPr>
          </w:p>
        </w:tc>
      </w:tr>
    </w:tbl>
    <w:p w14:paraId="71A1FA40">
      <w:pPr>
        <w:widowControl w:val="0"/>
        <w:spacing w:before="0" w:after="145" w:line="400" w:lineRule="atLeast"/>
        <w:ind w:left="420" w:hanging="420"/>
        <w:jc w:val="left"/>
        <w:rPr>
          <w:rFonts w:ascii="Times New Roman" w:hAnsi="Times New Roman" w:eastAsia="Times New Roman" w:cs="Times New Roman"/>
          <w:highlight w:val="none"/>
        </w:rPr>
      </w:pPr>
      <w:r>
        <w:rPr>
          <w:rFonts w:ascii="PMingLiU" w:hAnsi="PMingLiU" w:eastAsia="PMingLiU" w:cs="PMingLiU"/>
          <w:sz w:val="21"/>
          <w:szCs w:val="21"/>
          <w:highlight w:val="none"/>
        </w:rPr>
        <w:t>注：附技术人员相关资格证书复印件。</w:t>
      </w:r>
    </w:p>
    <w:p w14:paraId="12FB25D4">
      <w:pPr>
        <w:widowControl w:val="0"/>
        <w:spacing w:before="0" w:after="0" w:line="400" w:lineRule="atLeast"/>
        <w:jc w:val="center"/>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供应商单位公章：</w:t>
      </w:r>
    </w:p>
    <w:p w14:paraId="78F8F9E3">
      <w:pPr>
        <w:widowControl w:val="0"/>
        <w:spacing w:before="0" w:after="0" w:line="400" w:lineRule="atLeast"/>
        <w:jc w:val="center"/>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供应商代表签字</w:t>
      </w:r>
      <w:r>
        <w:rPr>
          <w:rFonts w:ascii="宋体" w:hAnsi="宋体" w:eastAsia="宋体" w:cs="宋体"/>
          <w:sz w:val="21"/>
          <w:szCs w:val="21"/>
          <w:highlight w:val="none"/>
        </w:rPr>
        <w:t>：</w:t>
      </w:r>
      <w:r>
        <w:rPr>
          <w:rFonts w:ascii="Calibri" w:hAnsi="Calibri" w:eastAsia="Calibri" w:cs="Calibri"/>
          <w:sz w:val="21"/>
          <w:szCs w:val="21"/>
          <w:highlight w:val="none"/>
        </w:rPr>
        <w:t xml:space="preserve">  </w:t>
      </w:r>
    </w:p>
    <w:p w14:paraId="5F31EBF6">
      <w:pPr>
        <w:widowControl w:val="0"/>
        <w:spacing w:before="0" w:after="0" w:line="400" w:lineRule="atLeast"/>
        <w:jc w:val="center"/>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年</w:t>
      </w:r>
      <w:r>
        <w:rPr>
          <w:rFonts w:ascii="Calibri" w:hAnsi="Calibri" w:eastAsia="Calibri" w:cs="Calibri"/>
          <w:sz w:val="21"/>
          <w:szCs w:val="21"/>
          <w:highlight w:val="none"/>
        </w:rPr>
        <w:t xml:space="preserve">   </w:t>
      </w:r>
      <w:r>
        <w:rPr>
          <w:rFonts w:ascii="PMingLiU" w:hAnsi="PMingLiU" w:eastAsia="PMingLiU" w:cs="PMingLiU"/>
          <w:sz w:val="21"/>
          <w:szCs w:val="21"/>
          <w:highlight w:val="none"/>
        </w:rPr>
        <w:t>月</w:t>
      </w:r>
      <w:r>
        <w:rPr>
          <w:rFonts w:ascii="Calibri" w:hAnsi="Calibri" w:eastAsia="Calibri" w:cs="Calibri"/>
          <w:sz w:val="21"/>
          <w:szCs w:val="21"/>
          <w:highlight w:val="none"/>
        </w:rPr>
        <w:t xml:space="preserve">    </w:t>
      </w:r>
      <w:r>
        <w:rPr>
          <w:rFonts w:ascii="PMingLiU" w:hAnsi="PMingLiU" w:eastAsia="PMingLiU" w:cs="PMingLiU"/>
          <w:sz w:val="21"/>
          <w:szCs w:val="21"/>
          <w:highlight w:val="none"/>
        </w:rPr>
        <w:t>日</w:t>
      </w:r>
    </w:p>
    <w:p w14:paraId="573E3903">
      <w:pPr>
        <w:widowControl w:val="0"/>
        <w:spacing w:before="120" w:after="0" w:line="400" w:lineRule="atLeast"/>
        <w:jc w:val="left"/>
        <w:rPr>
          <w:rFonts w:ascii="Times New Roman" w:hAnsi="Times New Roman" w:eastAsia="Times New Roman" w:cs="Times New Roman"/>
          <w:highlight w:val="none"/>
        </w:rPr>
      </w:pPr>
    </w:p>
    <w:p w14:paraId="6FFD2123">
      <w:pPr>
        <w:pStyle w:val="190"/>
        <w:keepNext w:val="0"/>
        <w:widowControl w:val="0"/>
        <w:shd w:val="clear" w:color="auto" w:fill="FFFFFF"/>
        <w:spacing w:before="0" w:after="0" w:line="400" w:lineRule="atLeast"/>
        <w:jc w:val="left"/>
        <w:outlineLvl w:val="9"/>
        <w:rPr>
          <w:rFonts w:ascii="Times New Roman" w:hAnsi="Times New Roman" w:eastAsia="Times New Roman" w:cs="Times New Roman"/>
          <w:b/>
          <w:bCs/>
          <w:sz w:val="28"/>
          <w:szCs w:val="28"/>
          <w:highlight w:val="none"/>
        </w:rPr>
      </w:pPr>
      <w:r>
        <w:rPr>
          <w:rFonts w:ascii="宋体" w:hAnsi="宋体" w:eastAsia="宋体" w:cs="宋体"/>
          <w:sz w:val="21"/>
          <w:szCs w:val="21"/>
          <w:highlight w:val="none"/>
        </w:rPr>
        <w:t>4.服务承诺</w:t>
      </w:r>
    </w:p>
    <w:p w14:paraId="1CF4BB31">
      <w:pPr>
        <w:widowControl w:val="0"/>
        <w:spacing w:before="0" w:after="0" w:line="400" w:lineRule="atLeast"/>
        <w:jc w:val="left"/>
        <w:rPr>
          <w:rFonts w:ascii="Times New Roman" w:hAnsi="Times New Roman" w:eastAsia="Times New Roman" w:cs="Times New Roman"/>
          <w:highlight w:val="none"/>
        </w:rPr>
      </w:pPr>
      <w:r>
        <w:rPr>
          <w:rFonts w:ascii="PMingLiU" w:hAnsi="PMingLiU" w:eastAsia="PMingLiU" w:cs="PMingLiU"/>
          <w:sz w:val="21"/>
          <w:szCs w:val="21"/>
          <w:highlight w:val="none"/>
        </w:rPr>
        <w:t>（结合评标办法）</w:t>
      </w:r>
    </w:p>
    <w:p w14:paraId="25FCEED0">
      <w:pPr>
        <w:pStyle w:val="190"/>
        <w:keepNext w:val="0"/>
        <w:widowControl w:val="0"/>
        <w:shd w:val="clear" w:color="auto" w:fill="FFFFFF"/>
        <w:spacing w:before="0" w:after="0" w:line="400" w:lineRule="atLeast"/>
        <w:jc w:val="left"/>
        <w:outlineLvl w:val="9"/>
        <w:rPr>
          <w:rFonts w:ascii="Times New Roman" w:hAnsi="Times New Roman" w:eastAsia="Times New Roman" w:cs="Times New Roman"/>
          <w:b/>
          <w:bCs/>
          <w:sz w:val="28"/>
          <w:szCs w:val="28"/>
          <w:highlight w:val="none"/>
        </w:rPr>
      </w:pPr>
      <w:r>
        <w:rPr>
          <w:rFonts w:ascii="Times New Roman" w:hAnsi="Times New Roman" w:eastAsia="Times New Roman" w:cs="Times New Roman"/>
          <w:b/>
          <w:bCs/>
          <w:sz w:val="28"/>
          <w:szCs w:val="28"/>
          <w:highlight w:val="none"/>
        </w:rPr>
        <w:br w:type="textWrapping"/>
      </w:r>
      <w:r>
        <w:rPr>
          <w:rFonts w:ascii="宋体" w:hAnsi="宋体" w:eastAsia="宋体" w:cs="宋体"/>
          <w:sz w:val="21"/>
          <w:szCs w:val="21"/>
          <w:highlight w:val="none"/>
        </w:rPr>
        <w:t>5.其他可以提供的关于投标的证明材料（样本、说明书或者检测报告等）</w:t>
      </w:r>
    </w:p>
    <w:p w14:paraId="76501074">
      <w:pPr>
        <w:pStyle w:val="189"/>
        <w:keepNext w:val="0"/>
        <w:widowControl w:val="0"/>
        <w:spacing w:before="120" w:after="120" w:line="400" w:lineRule="atLeast"/>
        <w:outlineLvl w:val="9"/>
        <w:rPr>
          <w:rFonts w:ascii="Times New Roman" w:hAnsi="Times New Roman" w:eastAsia="Times New Roman" w:cs="Times New Roman"/>
          <w:b/>
          <w:bCs/>
          <w:sz w:val="36"/>
          <w:szCs w:val="36"/>
          <w:highlight w:val="none"/>
        </w:rPr>
      </w:pPr>
      <w:r>
        <w:rPr>
          <w:rFonts w:ascii="宋体" w:hAnsi="宋体" w:eastAsia="宋体" w:cs="宋体"/>
          <w:i w:val="0"/>
          <w:iCs w:val="0"/>
          <w:sz w:val="21"/>
          <w:szCs w:val="21"/>
          <w:highlight w:val="none"/>
        </w:rPr>
        <w:t>四、服务方案及建议书</w:t>
      </w:r>
    </w:p>
    <w:p w14:paraId="6C14677C">
      <w:pPr>
        <w:widowControl w:val="0"/>
        <w:spacing w:before="0" w:after="0" w:line="560" w:lineRule="atLeast"/>
        <w:ind w:firstLine="420"/>
        <w:jc w:val="left"/>
        <w:rPr>
          <w:rFonts w:ascii="Times New Roman" w:hAnsi="Times New Roman" w:eastAsia="Times New Roman" w:cs="Times New Roman"/>
          <w:highlight w:val="none"/>
        </w:rPr>
      </w:pPr>
      <w:r>
        <w:rPr>
          <w:rFonts w:ascii="PMingLiU" w:hAnsi="PMingLiU" w:eastAsia="PMingLiU" w:cs="PMingLiU"/>
          <w:sz w:val="21"/>
          <w:szCs w:val="21"/>
          <w:highlight w:val="none"/>
        </w:rPr>
        <w:t>供应商应根据招标文件中《</w:t>
      </w:r>
      <w:r>
        <w:rPr>
          <w:rFonts w:ascii="宋体" w:hAnsi="宋体" w:eastAsia="宋体" w:cs="宋体"/>
          <w:sz w:val="21"/>
          <w:szCs w:val="21"/>
          <w:highlight w:val="none"/>
        </w:rPr>
        <w:t>服务</w:t>
      </w:r>
      <w:r>
        <w:rPr>
          <w:rFonts w:ascii="PMingLiU" w:hAnsi="PMingLiU" w:eastAsia="PMingLiU" w:cs="PMingLiU"/>
          <w:sz w:val="21"/>
          <w:szCs w:val="21"/>
          <w:highlight w:val="none"/>
        </w:rPr>
        <w:t>要求》，详细叙述拟提供技术及服务方案</w:t>
      </w:r>
      <w:r>
        <w:rPr>
          <w:rFonts w:ascii="Calibri" w:hAnsi="Calibri" w:eastAsia="Calibri" w:cs="Calibri"/>
          <w:sz w:val="21"/>
          <w:szCs w:val="21"/>
          <w:highlight w:val="none"/>
        </w:rPr>
        <w:t>/</w:t>
      </w:r>
      <w:r>
        <w:rPr>
          <w:rFonts w:ascii="PMingLiU" w:hAnsi="PMingLiU" w:eastAsia="PMingLiU" w:cs="PMingLiU"/>
          <w:sz w:val="21"/>
          <w:szCs w:val="21"/>
          <w:highlight w:val="none"/>
        </w:rPr>
        <w:t>服务情况。供应商提出的本项目技术及服务方案应包括：</w:t>
      </w:r>
    </w:p>
    <w:p w14:paraId="540C596A">
      <w:pPr>
        <w:widowControl w:val="0"/>
        <w:spacing w:before="0" w:after="0" w:line="560" w:lineRule="atLeast"/>
        <w:ind w:firstLine="420"/>
        <w:jc w:val="left"/>
        <w:rPr>
          <w:rFonts w:ascii="Times New Roman" w:hAnsi="Times New Roman" w:eastAsia="Times New Roman" w:cs="Times New Roman"/>
          <w:highlight w:val="none"/>
        </w:rPr>
      </w:pPr>
      <w:r>
        <w:rPr>
          <w:rFonts w:ascii="PMingLiU" w:hAnsi="PMingLiU" w:eastAsia="PMingLiU" w:cs="PMingLiU"/>
          <w:sz w:val="21"/>
          <w:szCs w:val="21"/>
          <w:highlight w:val="none"/>
        </w:rPr>
        <w:t>（结合评标办法）</w:t>
      </w:r>
    </w:p>
    <w:p w14:paraId="7E2B9D63">
      <w:pPr>
        <w:pStyle w:val="189"/>
        <w:keepNext w:val="0"/>
        <w:widowControl w:val="0"/>
        <w:spacing w:before="120" w:after="120" w:line="400" w:lineRule="atLeast"/>
        <w:outlineLvl w:val="9"/>
        <w:rPr>
          <w:rFonts w:ascii="Times New Roman" w:hAnsi="Times New Roman" w:eastAsia="Times New Roman" w:cs="Times New Roman"/>
          <w:b/>
          <w:bCs/>
          <w:sz w:val="36"/>
          <w:szCs w:val="36"/>
          <w:highlight w:val="none"/>
        </w:rPr>
      </w:pPr>
      <w:r>
        <w:rPr>
          <w:rFonts w:ascii="宋体" w:hAnsi="宋体" w:eastAsia="宋体" w:cs="宋体"/>
          <w:i w:val="0"/>
          <w:iCs w:val="0"/>
          <w:sz w:val="21"/>
          <w:szCs w:val="21"/>
          <w:highlight w:val="none"/>
        </w:rPr>
        <w:br w:type="page" w:clear="all"/>
      </w:r>
      <w:r>
        <w:rPr>
          <w:rFonts w:ascii="宋体" w:hAnsi="宋体" w:eastAsia="宋体" w:cs="宋体"/>
          <w:i w:val="0"/>
          <w:iCs w:val="0"/>
          <w:sz w:val="21"/>
          <w:szCs w:val="21"/>
          <w:highlight w:val="none"/>
        </w:rPr>
        <w:t>五、政府采购政策</w:t>
      </w:r>
    </w:p>
    <w:p w14:paraId="61BE01D8">
      <w:pPr>
        <w:widowControl w:val="0"/>
        <w:spacing w:before="0" w:after="0" w:line="400" w:lineRule="atLeast"/>
        <w:jc w:val="left"/>
        <w:rPr>
          <w:rFonts w:ascii="Times New Roman" w:hAnsi="Times New Roman" w:eastAsia="Times New Roman" w:cs="Times New Roman"/>
          <w:highlight w:val="none"/>
        </w:rPr>
      </w:pPr>
      <w:r>
        <w:rPr>
          <w:rFonts w:ascii="PMingLiU" w:hAnsi="PMingLiU" w:eastAsia="PMingLiU" w:cs="PMingLiU"/>
          <w:sz w:val="21"/>
          <w:szCs w:val="21"/>
          <w:highlight w:val="none"/>
        </w:rPr>
        <w:t>（一）政府采购促进中小企业发展政策</w:t>
      </w:r>
    </w:p>
    <w:p w14:paraId="239D3393">
      <w:pPr>
        <w:widowControl w:val="0"/>
        <w:spacing w:before="0" w:after="0" w:line="400" w:lineRule="atLeast"/>
        <w:ind w:firstLine="420"/>
        <w:jc w:val="left"/>
        <w:rPr>
          <w:rFonts w:ascii="Times New Roman" w:hAnsi="Times New Roman" w:eastAsia="Times New Roman" w:cs="Times New Roman"/>
          <w:highlight w:val="none"/>
        </w:rPr>
      </w:pPr>
    </w:p>
    <w:p w14:paraId="7457CA25">
      <w:pPr>
        <w:widowControl w:val="0"/>
        <w:spacing w:before="0" w:after="0" w:line="400" w:lineRule="atLeast"/>
        <w:ind w:firstLine="420"/>
        <w:jc w:val="left"/>
        <w:rPr>
          <w:rFonts w:ascii="Times New Roman" w:hAnsi="Times New Roman" w:eastAsia="Times New Roman" w:cs="Times New Roman"/>
          <w:highlight w:val="none"/>
        </w:rPr>
      </w:pPr>
      <w:r>
        <w:rPr>
          <w:rFonts w:ascii="宋体" w:hAnsi="宋体" w:eastAsia="宋体" w:cs="宋体"/>
          <w:b/>
          <w:bCs/>
          <w:sz w:val="21"/>
          <w:szCs w:val="21"/>
          <w:highlight w:val="none"/>
        </w:rPr>
        <w:t>1.中小企业声明函</w:t>
      </w:r>
      <w:r>
        <w:rPr>
          <w:rFonts w:ascii="Calibri" w:hAnsi="Calibri" w:eastAsia="Calibri" w:cs="Calibri"/>
          <w:b/>
          <w:bCs/>
          <w:sz w:val="21"/>
          <w:szCs w:val="21"/>
          <w:highlight w:val="none"/>
        </w:rPr>
        <w:t xml:space="preserve"> </w:t>
      </w:r>
    </w:p>
    <w:p w14:paraId="1E6C690A">
      <w:pPr>
        <w:widowControl w:val="0"/>
        <w:spacing w:before="0" w:after="0" w:line="210" w:lineRule="atLeast"/>
        <w:jc w:val="center"/>
        <w:rPr>
          <w:rFonts w:ascii="Times New Roman" w:hAnsi="Times New Roman" w:eastAsia="Times New Roman" w:cs="Times New Roman"/>
          <w:highlight w:val="none"/>
        </w:rPr>
      </w:pPr>
      <w:r>
        <w:rPr>
          <w:rFonts w:ascii="PMingLiU" w:hAnsi="PMingLiU" w:eastAsia="PMingLiU" w:cs="PMingLiU"/>
          <w:b/>
          <w:bCs/>
          <w:sz w:val="21"/>
          <w:szCs w:val="21"/>
          <w:highlight w:val="none"/>
        </w:rPr>
        <w:t>中小企业声明函（工程、服务）</w:t>
      </w:r>
    </w:p>
    <w:p w14:paraId="016D57FA">
      <w:pPr>
        <w:widowControl w:val="0"/>
        <w:spacing w:before="0" w:after="0" w:line="210" w:lineRule="atLeast"/>
        <w:jc w:val="center"/>
        <w:rPr>
          <w:rFonts w:ascii="Times New Roman" w:hAnsi="Times New Roman" w:eastAsia="Times New Roman" w:cs="Times New Roman"/>
          <w:highlight w:val="none"/>
        </w:rPr>
      </w:pPr>
    </w:p>
    <w:p w14:paraId="68695ED5">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本公司（联合体）郑重声明，根据《政府采购促进中小企业发展管理办法》（财库〔2020〕46号）的规定，本公司（联合体）参加</w:t>
      </w:r>
      <w:r>
        <w:rPr>
          <w:rFonts w:ascii="宋体" w:hAnsi="宋体" w:eastAsia="宋体" w:cs="宋体"/>
          <w:i/>
          <w:iCs/>
          <w:sz w:val="21"/>
          <w:szCs w:val="21"/>
          <w:highlight w:val="none"/>
          <w:u w:val="single"/>
        </w:rPr>
        <w:t xml:space="preserve"> （单位名称）</w:t>
      </w:r>
      <w:r>
        <w:rPr>
          <w:rFonts w:ascii="宋体" w:hAnsi="宋体" w:eastAsia="宋体" w:cs="宋体"/>
          <w:sz w:val="21"/>
          <w:szCs w:val="21"/>
          <w:highlight w:val="none"/>
        </w:rPr>
        <w:t>的（</w:t>
      </w:r>
      <w:r>
        <w:rPr>
          <w:rFonts w:ascii="宋体" w:hAnsi="宋体" w:eastAsia="宋体" w:cs="宋体"/>
          <w:i/>
          <w:iCs/>
          <w:sz w:val="21"/>
          <w:szCs w:val="21"/>
          <w:highlight w:val="none"/>
          <w:u w:val="single"/>
        </w:rPr>
        <w:t>项目名称）</w:t>
      </w:r>
      <w:r>
        <w:rPr>
          <w:rFonts w:ascii="宋体" w:hAnsi="宋体" w:eastAsia="宋体" w:cs="宋体"/>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A37C65B">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1.</w:t>
      </w:r>
      <w:r>
        <w:rPr>
          <w:rFonts w:ascii="宋体" w:hAnsi="宋体" w:eastAsia="宋体" w:cs="宋体"/>
          <w:i/>
          <w:iCs/>
          <w:sz w:val="21"/>
          <w:szCs w:val="21"/>
          <w:highlight w:val="none"/>
          <w:u w:val="single"/>
        </w:rPr>
        <w:t>（标的名称）</w:t>
      </w:r>
      <w:r>
        <w:rPr>
          <w:rFonts w:ascii="宋体" w:hAnsi="宋体" w:eastAsia="宋体" w:cs="宋体"/>
          <w:sz w:val="21"/>
          <w:szCs w:val="21"/>
          <w:highlight w:val="none"/>
        </w:rPr>
        <w:t>，属于</w:t>
      </w:r>
      <w:r>
        <w:rPr>
          <w:rFonts w:ascii="宋体" w:hAnsi="宋体" w:eastAsia="宋体" w:cs="宋体"/>
          <w:i/>
          <w:iCs/>
          <w:sz w:val="21"/>
          <w:szCs w:val="21"/>
          <w:highlight w:val="none"/>
          <w:u w:val="single"/>
        </w:rPr>
        <w:t>（采购文件中明确的所属行业）</w:t>
      </w:r>
      <w:r>
        <w:rPr>
          <w:rFonts w:ascii="宋体" w:hAnsi="宋体" w:eastAsia="宋体" w:cs="宋体"/>
          <w:sz w:val="21"/>
          <w:szCs w:val="21"/>
          <w:highlight w:val="none"/>
        </w:rPr>
        <w:t>；承建（承接）企业为</w:t>
      </w:r>
      <w:r>
        <w:rPr>
          <w:rFonts w:ascii="宋体" w:hAnsi="宋体" w:eastAsia="宋体" w:cs="宋体"/>
          <w:i/>
          <w:iCs/>
          <w:sz w:val="21"/>
          <w:szCs w:val="21"/>
          <w:highlight w:val="none"/>
          <w:u w:val="single"/>
        </w:rPr>
        <w:t>（企业名称）</w:t>
      </w:r>
      <w:r>
        <w:rPr>
          <w:rFonts w:ascii="宋体" w:hAnsi="宋体" w:eastAsia="宋体" w:cs="宋体"/>
          <w:sz w:val="21"/>
          <w:szCs w:val="21"/>
          <w:highlight w:val="none"/>
        </w:rPr>
        <w:t>，从业人员人，营业收入为万元，资产总额为万元，属于</w:t>
      </w:r>
      <w:r>
        <w:rPr>
          <w:rFonts w:ascii="宋体" w:hAnsi="宋体" w:eastAsia="宋体" w:cs="宋体"/>
          <w:i/>
          <w:iCs/>
          <w:sz w:val="21"/>
          <w:szCs w:val="21"/>
          <w:highlight w:val="none"/>
          <w:u w:val="single"/>
        </w:rPr>
        <w:t>（中型企业、小型企业、微型企业）</w:t>
      </w:r>
      <w:r>
        <w:rPr>
          <w:rFonts w:ascii="宋体" w:hAnsi="宋体" w:eastAsia="宋体" w:cs="宋体"/>
          <w:sz w:val="21"/>
          <w:szCs w:val="21"/>
          <w:highlight w:val="none"/>
        </w:rPr>
        <w:t>；</w:t>
      </w:r>
    </w:p>
    <w:p w14:paraId="38023BE9">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2.</w:t>
      </w:r>
      <w:r>
        <w:rPr>
          <w:rFonts w:ascii="宋体" w:hAnsi="宋体" w:eastAsia="宋体" w:cs="宋体"/>
          <w:i/>
          <w:iCs/>
          <w:sz w:val="21"/>
          <w:szCs w:val="21"/>
          <w:highlight w:val="none"/>
          <w:u w:val="single"/>
        </w:rPr>
        <w:t xml:space="preserve">（标的名称） </w:t>
      </w:r>
      <w:r>
        <w:rPr>
          <w:rFonts w:ascii="宋体" w:hAnsi="宋体" w:eastAsia="宋体" w:cs="宋体"/>
          <w:sz w:val="21"/>
          <w:szCs w:val="21"/>
          <w:highlight w:val="none"/>
        </w:rPr>
        <w:t>，属于</w:t>
      </w:r>
      <w:r>
        <w:rPr>
          <w:rFonts w:ascii="宋体" w:hAnsi="宋体" w:eastAsia="宋体" w:cs="宋体"/>
          <w:i/>
          <w:iCs/>
          <w:sz w:val="21"/>
          <w:szCs w:val="21"/>
          <w:highlight w:val="none"/>
          <w:u w:val="single"/>
        </w:rPr>
        <w:t>（采购文件中明确的所属行业）</w:t>
      </w:r>
      <w:r>
        <w:rPr>
          <w:rFonts w:ascii="宋体" w:hAnsi="宋体" w:eastAsia="宋体" w:cs="宋体"/>
          <w:sz w:val="21"/>
          <w:szCs w:val="21"/>
          <w:highlight w:val="none"/>
        </w:rPr>
        <w:t>；承建（承接）企业为（</w:t>
      </w:r>
      <w:r>
        <w:rPr>
          <w:rFonts w:ascii="宋体" w:hAnsi="宋体" w:eastAsia="宋体" w:cs="宋体"/>
          <w:i/>
          <w:iCs/>
          <w:sz w:val="21"/>
          <w:szCs w:val="21"/>
          <w:highlight w:val="none"/>
          <w:u w:val="single"/>
        </w:rPr>
        <w:t>企业名称）</w:t>
      </w:r>
      <w:r>
        <w:rPr>
          <w:rFonts w:ascii="宋体" w:hAnsi="宋体" w:eastAsia="宋体" w:cs="宋体"/>
          <w:sz w:val="21"/>
          <w:szCs w:val="21"/>
          <w:highlight w:val="none"/>
        </w:rPr>
        <w:t>，从业人员人，营业收入为万元，资产总额为万元，属于</w:t>
      </w:r>
      <w:r>
        <w:rPr>
          <w:rFonts w:ascii="宋体" w:hAnsi="宋体" w:eastAsia="宋体" w:cs="宋体"/>
          <w:i/>
          <w:iCs/>
          <w:sz w:val="21"/>
          <w:szCs w:val="21"/>
          <w:highlight w:val="none"/>
          <w:u w:val="single"/>
        </w:rPr>
        <w:t>（中型企业、小型企业、微型企业）</w:t>
      </w:r>
      <w:r>
        <w:rPr>
          <w:rFonts w:ascii="宋体" w:hAnsi="宋体" w:eastAsia="宋体" w:cs="宋体"/>
          <w:sz w:val="21"/>
          <w:szCs w:val="21"/>
          <w:highlight w:val="none"/>
        </w:rPr>
        <w:t>；</w:t>
      </w:r>
    </w:p>
    <w:p w14:paraId="7F6FE9B3">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 ...</w:t>
      </w:r>
    </w:p>
    <w:p w14:paraId="537E293E">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以上企业，不属于大企业的分支机构，不存在控股股东为大企业的情形，也不存在与大企业的负责人为同一人的情形。</w:t>
      </w:r>
    </w:p>
    <w:p w14:paraId="44A696CE">
      <w:pPr>
        <w:widowControl w:val="0"/>
        <w:spacing w:before="0" w:after="0" w:line="360" w:lineRule="auto"/>
        <w:ind w:firstLine="420"/>
        <w:jc w:val="left"/>
        <w:rPr>
          <w:rFonts w:ascii="Times New Roman" w:hAnsi="Times New Roman" w:eastAsia="Times New Roman" w:cs="Times New Roman"/>
          <w:sz w:val="21"/>
          <w:szCs w:val="21"/>
          <w:highlight w:val="none"/>
        </w:rPr>
      </w:pPr>
      <w:r>
        <w:rPr>
          <w:rFonts w:ascii="宋体" w:hAnsi="宋体" w:eastAsia="宋体" w:cs="宋体"/>
          <w:sz w:val="21"/>
          <w:szCs w:val="21"/>
          <w:highlight w:val="none"/>
        </w:rPr>
        <w:t>本企业对上述声明内容的真实性负责。如有虚假，将依法承担相应责任。</w:t>
      </w:r>
    </w:p>
    <w:p w14:paraId="01136AEB">
      <w:pPr>
        <w:widowControl w:val="0"/>
        <w:spacing w:before="0" w:after="0" w:line="360" w:lineRule="auto"/>
        <w:jc w:val="center"/>
        <w:rPr>
          <w:rFonts w:ascii="Times New Roman" w:hAnsi="Times New Roman" w:eastAsia="Times New Roman" w:cs="Times New Roman"/>
          <w:sz w:val="21"/>
          <w:szCs w:val="21"/>
          <w:highlight w:val="none"/>
        </w:rPr>
      </w:pPr>
    </w:p>
    <w:p w14:paraId="5744AD66">
      <w:pPr>
        <w:widowControl w:val="0"/>
        <w:spacing w:before="0" w:after="0" w:line="360" w:lineRule="auto"/>
        <w:jc w:val="center"/>
        <w:rPr>
          <w:rFonts w:ascii="Times New Roman" w:hAnsi="Times New Roman" w:eastAsia="Times New Roman" w:cs="Times New Roman"/>
          <w:sz w:val="21"/>
          <w:szCs w:val="21"/>
          <w:highlight w:val="none"/>
        </w:rPr>
      </w:pPr>
      <w:r>
        <w:rPr>
          <w:rFonts w:ascii="宋体" w:hAnsi="宋体" w:eastAsia="宋体" w:cs="宋体"/>
          <w:sz w:val="21"/>
          <w:szCs w:val="21"/>
          <w:highlight w:val="none"/>
        </w:rPr>
        <w:t>企业名称（盖章）：</w:t>
      </w:r>
    </w:p>
    <w:p w14:paraId="5C2E7E0B">
      <w:pPr>
        <w:widowControl w:val="0"/>
        <w:spacing w:before="0" w:after="0" w:line="360" w:lineRule="auto"/>
        <w:jc w:val="center"/>
        <w:rPr>
          <w:rFonts w:ascii="Times New Roman" w:hAnsi="Times New Roman" w:eastAsia="Times New Roman" w:cs="Times New Roman"/>
          <w:sz w:val="21"/>
          <w:szCs w:val="21"/>
          <w:highlight w:val="none"/>
        </w:rPr>
      </w:pPr>
      <w:r>
        <w:rPr>
          <w:rFonts w:ascii="宋体" w:hAnsi="宋体" w:eastAsia="宋体" w:cs="宋体"/>
          <w:sz w:val="21"/>
          <w:szCs w:val="21"/>
          <w:highlight w:val="none"/>
        </w:rPr>
        <w:t>日期：</w:t>
      </w:r>
    </w:p>
    <w:p w14:paraId="110E2613">
      <w:pPr>
        <w:widowControl w:val="0"/>
        <w:spacing w:before="0" w:after="0" w:line="400" w:lineRule="atLeast"/>
        <w:ind w:firstLine="420"/>
        <w:rPr>
          <w:rFonts w:ascii="Times New Roman" w:hAnsi="Times New Roman" w:eastAsia="Times New Roman" w:cs="Times New Roman"/>
          <w:highlight w:val="none"/>
        </w:rPr>
      </w:pPr>
    </w:p>
    <w:p w14:paraId="145F95B9">
      <w:pPr>
        <w:widowControl w:val="0"/>
        <w:spacing w:before="120" w:after="0" w:line="400" w:lineRule="atLeast"/>
        <w:jc w:val="left"/>
        <w:rPr>
          <w:rFonts w:ascii="Times New Roman" w:hAnsi="Times New Roman" w:eastAsia="Times New Roman" w:cs="Times New Roman"/>
          <w:highlight w:val="none"/>
        </w:rPr>
      </w:pPr>
    </w:p>
    <w:p w14:paraId="01B3F5A5">
      <w:pPr>
        <w:pStyle w:val="189"/>
        <w:keepLines/>
        <w:widowControl w:val="0"/>
        <w:spacing w:before="120" w:after="120" w:line="400" w:lineRule="atLeast"/>
        <w:outlineLvl w:val="9"/>
        <w:rPr>
          <w:rFonts w:ascii="Times New Roman" w:hAnsi="Times New Roman" w:eastAsia="Times New Roman" w:cs="Times New Roman"/>
          <w:b/>
          <w:bCs/>
          <w:sz w:val="36"/>
          <w:szCs w:val="36"/>
          <w:highlight w:val="none"/>
        </w:rPr>
      </w:pPr>
      <w:r>
        <w:rPr>
          <w:rFonts w:ascii="宋体" w:hAnsi="宋体" w:eastAsia="宋体" w:cs="宋体"/>
          <w:i w:val="0"/>
          <w:iCs w:val="0"/>
          <w:sz w:val="21"/>
          <w:szCs w:val="21"/>
          <w:highlight w:val="none"/>
        </w:rPr>
        <w:t>六、其他针对评标办法的其他相关文件</w:t>
      </w:r>
    </w:p>
    <w:p w14:paraId="791D1D6A">
      <w:pPr>
        <w:spacing w:before="240" w:after="240"/>
        <w:rPr>
          <w:rFonts w:ascii="Times New Roman" w:hAnsi="Times New Roman" w:eastAsia="Times New Roman" w:cs="Times New Roman"/>
          <w:highlight w:val="none"/>
        </w:rPr>
      </w:pPr>
      <w:r>
        <w:rPr>
          <w:rFonts w:ascii="Times New Roman" w:hAnsi="Times New Roman" w:eastAsia="Times New Roman" w:cs="Times New Roman"/>
          <w:highlight w:val="none"/>
        </w:rPr>
        <w:t> </w:t>
      </w:r>
    </w:p>
    <w:p w14:paraId="2F9572F2">
      <w:pPr>
        <w:rPr>
          <w:highlight w:val="none"/>
        </w:rPr>
      </w:pPr>
    </w:p>
    <w:sectPr>
      <w:pgSz w:w="11900" w:h="16840"/>
      <w:pgMar w:top="1440" w:right="1440" w:bottom="1440" w:left="1440" w:header="708" w:footer="708"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PMingLiU">
    <w:altName w:val="Perpetua Titling MT"/>
    <w:panose1 w:val="020205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1D56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uiPriority="99" w:name="header"/>
    <w:lsdException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imes New Roman" w:hAnsi="Times New Roman" w:eastAsia="Times New Roman" w:cs="Times New Roman"/>
      <w:sz w:val="24"/>
      <w:szCs w:val="24"/>
      <w:lang w:val="en-US" w:eastAsia="en-US" w:bidi="ar-SA"/>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paragraph" w:styleId="2">
    <w:name w:val="toc 7"/>
    <w:basedOn w:val="1"/>
    <w:next w:val="1"/>
    <w:unhideWhenUsed/>
    <w:qFormat/>
    <w:uiPriority w:val="39"/>
    <w:pPr>
      <w:spacing w:after="100"/>
      <w:ind w:left="1320"/>
    </w:pPr>
  </w:style>
  <w:style w:type="paragraph" w:styleId="3">
    <w:name w:val="annotation text"/>
    <w:basedOn w:val="1"/>
    <w:qFormat/>
    <w:uiPriority w:val="0"/>
    <w:pPr>
      <w:jc w:val="left"/>
    </w:pPr>
  </w:style>
  <w:style w:type="paragraph" w:styleId="4">
    <w:name w:val="toc 5"/>
    <w:basedOn w:val="1"/>
    <w:next w:val="1"/>
    <w:unhideWhenUsed/>
    <w:qFormat/>
    <w:uiPriority w:val="39"/>
    <w:pPr>
      <w:spacing w:after="100"/>
      <w:ind w:left="880"/>
    </w:pPr>
  </w:style>
  <w:style w:type="paragraph" w:styleId="5">
    <w:name w:val="toc 3"/>
    <w:basedOn w:val="1"/>
    <w:next w:val="1"/>
    <w:unhideWhenUsed/>
    <w:qFormat/>
    <w:uiPriority w:val="39"/>
    <w:pPr>
      <w:spacing w:after="100"/>
      <w:ind w:left="440"/>
    </w:pPr>
  </w:style>
  <w:style w:type="paragraph" w:styleId="6">
    <w:name w:val="toc 8"/>
    <w:basedOn w:val="1"/>
    <w:next w:val="1"/>
    <w:unhideWhenUsed/>
    <w:qFormat/>
    <w:uiPriority w:val="39"/>
    <w:pPr>
      <w:spacing w:after="100"/>
      <w:ind w:left="1540"/>
    </w:pPr>
  </w:style>
  <w:style w:type="paragraph" w:styleId="7">
    <w:name w:val="endnote text"/>
    <w:basedOn w:val="1"/>
    <w:link w:val="185"/>
    <w:semiHidden/>
    <w:unhideWhenUsed/>
    <w:qFormat/>
    <w:uiPriority w:val="99"/>
    <w:pPr>
      <w:spacing w:after="0" w:line="240" w:lineRule="auto"/>
    </w:pPr>
    <w:rPr>
      <w:sz w:val="20"/>
      <w:szCs w:val="20"/>
    </w:rPr>
  </w:style>
  <w:style w:type="paragraph" w:styleId="8">
    <w:name w:val="toc 1"/>
    <w:basedOn w:val="1"/>
    <w:next w:val="1"/>
    <w:unhideWhenUsed/>
    <w:qFormat/>
    <w:uiPriority w:val="39"/>
    <w:pPr>
      <w:spacing w:after="100"/>
    </w:pPr>
  </w:style>
  <w:style w:type="paragraph" w:styleId="9">
    <w:name w:val="toc 4"/>
    <w:basedOn w:val="1"/>
    <w:next w:val="1"/>
    <w:unhideWhenUsed/>
    <w:qFormat/>
    <w:uiPriority w:val="39"/>
    <w:pPr>
      <w:spacing w:after="100"/>
      <w:ind w:left="660"/>
    </w:pPr>
  </w:style>
  <w:style w:type="paragraph" w:styleId="10">
    <w:name w:val="Subtitle"/>
    <w:basedOn w:val="1"/>
    <w:next w:val="1"/>
    <w:link w:val="167"/>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1">
    <w:name w:val="footnote text"/>
    <w:basedOn w:val="1"/>
    <w:link w:val="184"/>
    <w:semiHidden/>
    <w:unhideWhenUsed/>
    <w:qFormat/>
    <w:uiPriority w:val="99"/>
    <w:pPr>
      <w:spacing w:after="0" w:line="240" w:lineRule="auto"/>
    </w:pPr>
    <w:rPr>
      <w:sz w:val="20"/>
      <w:szCs w:val="20"/>
    </w:rPr>
  </w:style>
  <w:style w:type="paragraph" w:styleId="12">
    <w:name w:val="toc 6"/>
    <w:basedOn w:val="1"/>
    <w:next w:val="1"/>
    <w:unhideWhenUsed/>
    <w:qFormat/>
    <w:uiPriority w:val="39"/>
    <w:pPr>
      <w:spacing w:after="100"/>
      <w:ind w:left="1100"/>
    </w:pPr>
  </w:style>
  <w:style w:type="paragraph" w:styleId="13">
    <w:name w:val="table of figures"/>
    <w:basedOn w:val="1"/>
    <w:next w:val="1"/>
    <w:unhideWhenUsed/>
    <w:qFormat/>
    <w:uiPriority w:val="99"/>
    <w:pPr>
      <w:spacing w:after="0" w:afterAutospacing="0"/>
    </w:pPr>
  </w:style>
  <w:style w:type="paragraph" w:styleId="14">
    <w:name w:val="toc 2"/>
    <w:basedOn w:val="1"/>
    <w:next w:val="1"/>
    <w:unhideWhenUsed/>
    <w:qFormat/>
    <w:uiPriority w:val="39"/>
    <w:pPr>
      <w:spacing w:after="100"/>
      <w:ind w:left="220"/>
    </w:pPr>
  </w:style>
  <w:style w:type="paragraph" w:styleId="15">
    <w:name w:val="toc 9"/>
    <w:basedOn w:val="1"/>
    <w:next w:val="1"/>
    <w:unhideWhenUsed/>
    <w:qFormat/>
    <w:uiPriority w:val="39"/>
    <w:pPr>
      <w:spacing w:after="100"/>
      <w:ind w:left="1760"/>
    </w:pPr>
  </w:style>
  <w:style w:type="paragraph" w:styleId="16">
    <w:name w:val="Title"/>
    <w:basedOn w:val="1"/>
    <w:next w:val="1"/>
    <w:link w:val="166"/>
    <w:qFormat/>
    <w:uiPriority w:val="10"/>
    <w:pPr>
      <w:spacing w:after="80" w:line="240" w:lineRule="auto"/>
      <w:contextualSpacing/>
    </w:pPr>
    <w:rPr>
      <w:rFonts w:ascii="Arial" w:hAnsi="Arial" w:eastAsia="Arial" w:cs="Arial"/>
      <w:spacing w:val="-10"/>
      <w:sz w:val="56"/>
      <w:szCs w:val="56"/>
    </w:rPr>
  </w:style>
  <w:style w:type="table" w:styleId="18">
    <w:name w:val="Table Gri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styleId="20">
    <w:name w:val="Strong"/>
    <w:basedOn w:val="19"/>
    <w:qFormat/>
    <w:uiPriority w:val="0"/>
    <w:rPr>
      <w:b/>
    </w:rPr>
  </w:style>
  <w:style w:type="character" w:styleId="21">
    <w:name w:val="endnote reference"/>
    <w:basedOn w:val="19"/>
    <w:semiHidden/>
    <w:unhideWhenUsed/>
    <w:qFormat/>
    <w:uiPriority w:val="99"/>
    <w:rPr>
      <w:vertAlign w:val="superscript"/>
    </w:rPr>
  </w:style>
  <w:style w:type="character" w:styleId="22">
    <w:name w:val="FollowedHyperlink"/>
    <w:basedOn w:val="19"/>
    <w:semiHidden/>
    <w:unhideWhenUsed/>
    <w:qFormat/>
    <w:uiPriority w:val="99"/>
    <w:rPr>
      <w:color w:val="800080" w:themeColor="followedHyperlink"/>
      <w:u w:val="single"/>
      <w14:textFill>
        <w14:solidFill>
          <w14:schemeClr w14:val="folHlink"/>
        </w14:solidFill>
      </w14:textFill>
    </w:rPr>
  </w:style>
  <w:style w:type="character" w:styleId="23">
    <w:name w:val="Emphasis"/>
    <w:basedOn w:val="19"/>
    <w:qFormat/>
    <w:uiPriority w:val="20"/>
    <w:rPr>
      <w:i/>
      <w:iCs/>
    </w:rPr>
  </w:style>
  <w:style w:type="character" w:styleId="24">
    <w:name w:val="Hyperlink"/>
    <w:basedOn w:val="19"/>
    <w:unhideWhenUsed/>
    <w:qFormat/>
    <w:uiPriority w:val="99"/>
    <w:rPr>
      <w:color w:val="0000FF" w:themeColor="hyperlink"/>
      <w:u w:val="single"/>
      <w14:textFill>
        <w14:solidFill>
          <w14:schemeClr w14:val="hlink"/>
        </w14:solidFill>
      </w14:textFill>
    </w:rPr>
  </w:style>
  <w:style w:type="character" w:styleId="25">
    <w:name w:val="footnote reference"/>
    <w:basedOn w:val="19"/>
    <w:semiHidden/>
    <w:unhideWhenUsed/>
    <w:qFormat/>
    <w:uiPriority w:val="99"/>
    <w:rPr>
      <w:vertAlign w:val="superscript"/>
    </w:rPr>
  </w:style>
  <w:style w:type="table" w:customStyle="1" w:styleId="26">
    <w:name w:val="Table Grid Light"/>
    <w:basedOn w:val="1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27">
    <w:name w:val="Plain Table 1"/>
    <w:basedOn w:val="1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shd w:val="clear" w:color="F1F1F1" w:themeColor="text1" w:themeTint="0D" w:fill="F1F1F1" w:themeFill="text1" w:themeFillTint="0D"/>
      </w:tcPr>
    </w:tblStylePr>
    <w:tblStylePr w:type="band2Vert">
      <w:tblPr/>
    </w:tblStylePr>
    <w:tblStylePr w:type="band1Horz">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28">
    <w:name w:val="Plain Table 2"/>
    <w:basedOn w:val="17"/>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29">
    <w:name w:val="Plain Table 3"/>
    <w:basedOn w:val="17"/>
    <w:qFormat/>
    <w:uiPriority w:val="99"/>
    <w:pPr>
      <w:spacing w:after="0" w:line="240" w:lineRule="auto"/>
    </w:pPr>
    <w:tblPr/>
    <w:tblStylePr w:type="firstRow">
      <w:rPr>
        <w:b/>
        <w:caps/>
        <w:color w:val="404040"/>
      </w:rPr>
      <w:tblPr/>
      <w:tcPr>
        <w:tcBorders>
          <w:top w:val="nil"/>
          <w:left w:val="nil"/>
          <w:bottom w:val="single" w:color="404040" w:sz="4" w:space="0"/>
          <w:right w:val="nil"/>
        </w:tcBorders>
      </w:tcPr>
    </w:tblStylePr>
    <w:tblStylePr w:type="lastRow">
      <w:rPr>
        <w:b/>
        <w:caps/>
        <w:color w:val="404040"/>
      </w:rPr>
      <w:tblPr/>
    </w:tblStylePr>
    <w:tblStylePr w:type="firstCol">
      <w:rPr>
        <w:b/>
        <w:caps/>
        <w:color w:val="404040"/>
      </w:rPr>
      <w:tblPr/>
      <w:tcPr>
        <w:tcBorders>
          <w:top w:val="nil"/>
          <w:left w:val="nil"/>
          <w:bottom w:val="nil"/>
          <w:right w:val="single" w:color="404040" w:sz="4" w:space="0"/>
        </w:tcBorders>
      </w:tcPr>
    </w:tblStylePr>
    <w:tblStylePr w:type="lastCol">
      <w:rPr>
        <w:b/>
        <w:caps/>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0">
    <w:name w:val="Plain Table 4"/>
    <w:basedOn w:val="17"/>
    <w:qFormat/>
    <w:uiPriority w:val="99"/>
    <w:pPr>
      <w:spacing w:after="0" w:line="240" w:lineRule="auto"/>
    </w:pPr>
    <w:tblPr/>
    <w:tblStylePr w:type="firstRow">
      <w:rPr>
        <w:b/>
        <w:color w:val="404040"/>
      </w:rPr>
      <w:tbl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1">
    <w:name w:val="Plain Table 5"/>
    <w:basedOn w:val="17"/>
    <w:qFormat/>
    <w:uiPriority w:val="99"/>
    <w:pPr>
      <w:spacing w:after="0" w:line="240" w:lineRule="auto"/>
    </w:pPr>
    <w:tblPr/>
    <w:tblStylePr w:type="firstRow">
      <w:rPr>
        <w:i/>
        <w:color w:val="404040"/>
      </w:rPr>
      <w:tblPr/>
      <w:tcPr>
        <w:tcBorders>
          <w:left w:val="nil"/>
          <w:bottom w:val="single" w:color="404040" w:sz="4" w:space="0"/>
          <w:right w:val="nil"/>
        </w:tcBorders>
        <w:shd w:val="clear" w:color="FFFFFF" w:fill="auto"/>
      </w:tcPr>
    </w:tblStylePr>
    <w:tblStylePr w:type="lastRow">
      <w:rPr>
        <w:i/>
        <w:color w:val="404040"/>
      </w:rPr>
      <w:tblPr/>
      <w:tcPr>
        <w:tcBorders>
          <w:top w:val="single" w:color="404040" w:sz="4" w:space="0"/>
          <w:left w:val="nil"/>
          <w:right w:val="nil"/>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2">
    <w:name w:val="Grid Table 1 Light"/>
    <w:basedOn w:val="1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blPr/>
      <w:tcPr>
        <w:tcBorders>
          <w:bottom w:val="single" w:color="696969" w:themeColor="tex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3">
    <w:name w:val="Grid Table 1 Light - Accent 1"/>
    <w:basedOn w:val="1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blPr/>
      <w:tcPr>
        <w:tcBorders>
          <w:bottom w:val="single" w:color="98B5D8" w:themeColor="accen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4">
    <w:name w:val="Grid Table 1 Light - Accent 2"/>
    <w:basedOn w:val="1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blPr/>
      <w:tcPr>
        <w:tcBorders>
          <w:bottom w:val="single" w:color="DA9896" w:themeColor="accent2"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5">
    <w:name w:val="Grid Table 1 Light - Accent 3"/>
    <w:basedOn w:val="1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blPr/>
      <w:tcPr>
        <w:tcBorders>
          <w:bottom w:val="single" w:color="C4D79E" w:themeColor="accent3"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6">
    <w:name w:val="Grid Table 1 Light - Accent 4"/>
    <w:basedOn w:val="1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blPr/>
      <w:tcPr>
        <w:tcBorders>
          <w:bottom w:val="single" w:color="B4A4C8" w:themeColor="accent4"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7">
    <w:name w:val="Grid Table 1 Light - Accent 5"/>
    <w:basedOn w:val="1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blPr/>
      <w:tcPr>
        <w:tcBorders>
          <w:bottom w:val="single" w:color="95CEDD" w:themeColor="accent5"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8">
    <w:name w:val="Grid Table 1 Light - Accent 6"/>
    <w:basedOn w:val="1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blPr/>
      <w:tcPr>
        <w:tcBorders>
          <w:bottom w:val="single" w:color="FAC192" w:themeColor="accent6"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9">
    <w:name w:val="Grid Table 2"/>
    <w:basedOn w:val="1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blPr/>
      <w:tcPr>
        <w:tcBorders>
          <w:top w:val="nil"/>
          <w:left w:val="nil"/>
          <w:bottom w:val="single" w:color="696969" w:themeColor="text1" w:themeTint="95" w:sz="12" w:space="0"/>
          <w:right w:val="nil"/>
        </w:tcBorders>
        <w:shd w:val="clear" w:color="FFFFFF" w:fill="auto"/>
      </w:tcPr>
    </w:tblStylePr>
    <w:tblStylePr w:type="lastRow">
      <w:rPr>
        <w:b/>
        <w:color w:val="404040"/>
      </w:rPr>
      <w:tblPr/>
      <w:tcPr>
        <w:tcBorders>
          <w:top w:val="single" w:color="696969" w:themeColor="text1" w:themeTint="9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0">
    <w:name w:val="Grid Table 2 - Accent 1"/>
    <w:basedOn w:val="1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blPr/>
      <w:tcPr>
        <w:tcBorders>
          <w:top w:val="nil"/>
          <w:left w:val="nil"/>
          <w:bottom w:val="single" w:color="5D8BC2" w:themeColor="accent1" w:themeTint="EA" w:sz="12" w:space="0"/>
          <w:right w:val="nil"/>
        </w:tcBorders>
        <w:shd w:val="clear" w:color="FFFFFF" w:fill="auto"/>
      </w:tcPr>
    </w:tblStylePr>
    <w:tblStylePr w:type="lastRow">
      <w:rPr>
        <w:b/>
        <w:color w:val="404040"/>
      </w:rPr>
      <w:tblPr/>
      <w:tcPr>
        <w:tcBorders>
          <w:top w:val="single" w:color="5D8BC2" w:themeColor="accent1" w:themeTint="E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BE5F1" w:themeColor="accent1" w:themeTint="34" w:fill="DBE5F1" w:themeFill="accent1" w:themeFillTint="34"/>
      </w:tcPr>
    </w:tblStylePr>
    <w:tblStylePr w:type="band2Vert">
      <w:tblPr/>
    </w:tblStylePr>
    <w:tblStylePr w:type="band1Horz">
      <w:rPr>
        <w:rFonts w:ascii="Arial" w:hAnsi="Arial"/>
        <w:color w:val="404040"/>
        <w:sz w:val="22"/>
      </w:rPr>
      <w:tblPr/>
      <w:tcPr>
        <w:shd w:val="clear" w:color="DBE5F1" w:themeColor="accent1" w:themeTint="34" w:fill="DBE5F1"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1">
    <w:name w:val="Grid Table 2 - Accent 2"/>
    <w:basedOn w:val="1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blPr/>
      <w:tcPr>
        <w:tcBorders>
          <w:top w:val="nil"/>
          <w:left w:val="nil"/>
          <w:bottom w:val="single" w:color="D99795" w:themeColor="accent2" w:themeTint="97" w:sz="12" w:space="0"/>
          <w:right w:val="nil"/>
        </w:tcBorders>
        <w:shd w:val="clear" w:color="FFFFFF" w:fill="auto"/>
      </w:tcPr>
    </w:tblStylePr>
    <w:tblStylePr w:type="lastRow">
      <w:rPr>
        <w:b/>
        <w:color w:val="404040"/>
      </w:rPr>
      <w:tblPr/>
      <w:tcPr>
        <w:tcBorders>
          <w:top w:val="single" w:color="D99795" w:themeColor="accent2" w:themeTint="97"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2">
    <w:name w:val="Grid Table 2 - Accent 3"/>
    <w:basedOn w:val="1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blPr/>
      <w:tcPr>
        <w:tcBorders>
          <w:top w:val="nil"/>
          <w:left w:val="nil"/>
          <w:bottom w:val="single" w:color="9BBB59" w:themeColor="accent3" w:themeTint="FE" w:sz="12" w:space="0"/>
          <w:right w:val="nil"/>
        </w:tcBorders>
        <w:shd w:val="clear" w:color="FFFFFF" w:fill="auto"/>
      </w:tcPr>
    </w:tblStylePr>
    <w:tblStylePr w:type="lastRow">
      <w:rPr>
        <w:b/>
        <w:color w:val="404040"/>
      </w:rPr>
      <w:tblPr/>
      <w:tcPr>
        <w:tcBorders>
          <w:top w:val="single" w:color="9BBB59" w:themeColor="accent3" w:themeTint="FE"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3">
    <w:name w:val="Grid Table 2 - Accent 4"/>
    <w:basedOn w:val="1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il"/>
          <w:left w:val="nil"/>
          <w:bottom w:val="single" w:color="B2A1C6" w:themeColor="accent4" w:themeTint="9A" w:sz="12" w:space="0"/>
          <w:right w:val="nil"/>
        </w:tcBorders>
        <w:shd w:val="clear" w:color="FFFFFF" w:fill="auto"/>
      </w:tcPr>
    </w:tblStylePr>
    <w:tblStylePr w:type="lastRow">
      <w:rPr>
        <w:b/>
        <w:color w:val="404040"/>
      </w:rPr>
      <w:tblPr/>
      <w:tcPr>
        <w:tcBorders>
          <w:top w:val="single" w:color="B2A1C6" w:themeColor="accent4" w:themeTint="9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4">
    <w:name w:val="Grid Table 2 - Accent 5"/>
    <w:basedOn w:val="1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il"/>
          <w:left w:val="nil"/>
          <w:bottom w:val="single" w:color="4BACC6" w:themeColor="accent5" w:sz="12" w:space="0"/>
          <w:right w:val="nil"/>
        </w:tcBorders>
        <w:shd w:val="clear" w:color="FFFFFF" w:fill="auto"/>
      </w:tcPr>
    </w:tblStylePr>
    <w:tblStylePr w:type="lastRow">
      <w:rPr>
        <w:b/>
        <w:color w:val="404040"/>
      </w:rPr>
      <w:tblPr/>
      <w:tcPr>
        <w:tcBorders>
          <w:top w:val="single" w:color="4BACC6" w:themeColor="accent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5">
    <w:name w:val="Grid Table 2 - Accent 6"/>
    <w:basedOn w:val="1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il"/>
          <w:left w:val="nil"/>
          <w:bottom w:val="single" w:color="F79646" w:themeColor="accent6" w:sz="12" w:space="0"/>
          <w:right w:val="nil"/>
        </w:tcBorders>
        <w:shd w:val="clear" w:color="FFFFFF" w:fill="auto"/>
      </w:tcPr>
    </w:tblStylePr>
    <w:tblStylePr w:type="lastRow">
      <w:rPr>
        <w:b/>
        <w:color w:val="404040"/>
      </w:rPr>
      <w:tblPr/>
      <w:tcPr>
        <w:tcBorders>
          <w:top w:val="single" w:color="F79646" w:themeColor="accent6"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6">
    <w:name w:val="Grid Table 3"/>
    <w:basedOn w:val="1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7">
    <w:name w:val="Grid Table 3 - Accent 1"/>
    <w:basedOn w:val="1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themeColor="accent1" w:themeTint="34" w:fill="DBE5F1" w:themeFill="accent1" w:themeFillTint="34"/>
      </w:tcPr>
    </w:tblStylePr>
    <w:tblStylePr w:type="band2Vert">
      <w:tblPr/>
    </w:tblStylePr>
    <w:tblStylePr w:type="band1Horz">
      <w:rPr>
        <w:rFonts w:ascii="Arial" w:hAnsi="Arial"/>
        <w:color w:val="404040"/>
        <w:sz w:val="22"/>
      </w:rPr>
      <w:tblPr/>
      <w:tcPr>
        <w:shd w:val="clear" w:color="DBE5F1" w:themeColor="accent1" w:themeTint="34" w:fill="DBE5F1"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8">
    <w:name w:val="Grid Table 3 - Accent 2"/>
    <w:basedOn w:val="1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9">
    <w:name w:val="Grid Table 3 - Accent 3"/>
    <w:basedOn w:val="1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0">
    <w:name w:val="Grid Table 3 - Accent 4"/>
    <w:basedOn w:val="1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1">
    <w:name w:val="Grid Table 3 - Accent 5"/>
    <w:basedOn w:val="1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2">
    <w:name w:val="Grid Table 3 - Accent 6"/>
    <w:basedOn w:val="1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3">
    <w:name w:val="Grid Table 4"/>
    <w:basedOn w:val="1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4">
    <w:name w:val="Grid Table 4 - Accent 1"/>
    <w:basedOn w:val="17"/>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bl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blPr/>
      <w:tcPr>
        <w:tcBorders>
          <w:top w:val="single" w:color="5D8BC2" w:themeColor="accent1" w:themeTint="E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CE6F2" w:themeColor="accent1" w:themeTint="32" w:fill="DCE6F2" w:themeFill="accent1" w:themeFillTint="32"/>
      </w:tcPr>
    </w:tblStylePr>
    <w:tblStylePr w:type="band2Vert">
      <w:tblPr/>
    </w:tblStylePr>
    <w:tblStylePr w:type="band1Horz">
      <w:rPr>
        <w:rFonts w:ascii="Arial" w:hAnsi="Arial"/>
        <w:color w:val="404040"/>
        <w:sz w:val="22"/>
      </w:rPr>
      <w:tblPr/>
      <w:tcPr>
        <w:shd w:val="clear" w:color="DCE6F2" w:themeColor="accent1" w:themeTint="32" w:fill="DCE6F2" w:themeFill="accent1"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5">
    <w:name w:val="Grid Table 4 - Accent 2"/>
    <w:basedOn w:val="17"/>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bl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blPr/>
      <w:tcPr>
        <w:tcBorders>
          <w:top w:val="single" w:color="D99795" w:themeColor="accent2" w:themeTint="97"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6">
    <w:name w:val="Grid Table 4 - Accent 3"/>
    <w:basedOn w:val="17"/>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bl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blPr/>
      <w:tcPr>
        <w:tcBorders>
          <w:top w:val="single" w:color="9BBB59" w:themeColor="accent3" w:themeTint="FE"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7">
    <w:name w:val="Grid Table 4 - Accent 4"/>
    <w:basedOn w:val="17"/>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bl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blPr/>
      <w:tcPr>
        <w:tcBorders>
          <w:top w:val="single" w:color="B2A1C6" w:themeColor="accent4" w:themeTint="9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8">
    <w:name w:val="Grid Table 4 - Accent 5"/>
    <w:basedOn w:val="17"/>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blPr/>
      <w:tcPr>
        <w:tcBorders>
          <w:top w:val="single" w:color="4BACC6" w:themeColor="accent5"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9">
    <w:name w:val="Grid Table 4 - Accent 6"/>
    <w:basedOn w:val="17"/>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blPr/>
      <w:tcPr>
        <w:tcBorders>
          <w:top w:val="single" w:color="F79646" w:themeColor="accent6"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0">
    <w:name w:val="Grid Table 5 Dark"/>
    <w:basedOn w:val="1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98989" w:themeColor="text1" w:themeTint="75" w:fill="898989" w:themeFill="text1" w:themeFillTint="75"/>
      </w:tcPr>
    </w:tblStylePr>
    <w:tblStylePr w:type="band2Vert">
      <w:tblPr/>
    </w:tblStylePr>
    <w:tblStylePr w:type="band1Horz">
      <w:tblPr/>
      <w:tcPr>
        <w:shd w:val="clear" w:color="898989" w:themeColor="text1" w:themeTint="75" w:fill="898989" w:themeFill="tex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1">
    <w:name w:val="Grid Table 5 Dark- Accent 1"/>
    <w:basedOn w:val="1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5E0" w:themeColor="accent1" w:themeTint="75" w:fill="AEC5E0" w:themeFill="accent1" w:themeFillTint="75"/>
      </w:tcPr>
    </w:tblStylePr>
    <w:tblStylePr w:type="band2Vert">
      <w:tblPr/>
    </w:tblStylePr>
    <w:tblStylePr w:type="band1Horz">
      <w:tblPr/>
      <w:tcPr>
        <w:shd w:val="clear" w:color="AEC5E0" w:themeColor="accent1" w:themeTint="75" w:fill="AEC5E0" w:themeFill="accen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2">
    <w:name w:val="Grid Table 5 Dark - Accent 2"/>
    <w:basedOn w:val="1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2Vert">
      <w:tblPr/>
    </w:tblStylePr>
    <w:tblStylePr w:type="band1Horz">
      <w:tblPr/>
      <w:tcPr>
        <w:shd w:val="clear" w:color="E2AEAD" w:themeColor="accent2" w:themeTint="75" w:fill="E2AEAD" w:themeFill="accent2"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3">
    <w:name w:val="Grid Table 5 Dark - Accent 3"/>
    <w:basedOn w:val="1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1DFB2" w:themeColor="accent3" w:themeTint="75" w:fill="D1DFB2" w:themeFill="accent3" w:themeFillTint="75"/>
      </w:tcPr>
    </w:tblStylePr>
    <w:tblStylePr w:type="band2Vert">
      <w:tblPr/>
    </w:tblStylePr>
    <w:tblStylePr w:type="band1Horz">
      <w:tblPr/>
      <w:tcPr>
        <w:shd w:val="clear" w:color="D1DFB2" w:themeColor="accent3" w:themeTint="75" w:fill="D1DFB2" w:themeFill="accent3"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4">
    <w:name w:val="Grid Table 5 Dark- Accent 4"/>
    <w:basedOn w:val="1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2Vert">
      <w:tblPr/>
    </w:tblStylePr>
    <w:tblStylePr w:type="band1Horz">
      <w:tblPr/>
      <w:tcPr>
        <w:shd w:val="clear" w:color="C4B7D4" w:themeColor="accent4" w:themeTint="75" w:fill="C4B7D4" w:themeFill="accent4"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5">
    <w:name w:val="Grid Table 5 Dark - Accent 5"/>
    <w:basedOn w:val="1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2Vert">
      <w:tblPr/>
    </w:tblStylePr>
    <w:tblStylePr w:type="band1Horz">
      <w:tblPr/>
      <w:tcPr>
        <w:shd w:val="clear" w:color="ACD8E4" w:themeColor="accent5" w:themeTint="75" w:fill="ACD8E4" w:themeFill="accent5"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6">
    <w:name w:val="Grid Table 5 Dark - Accent 6"/>
    <w:basedOn w:val="1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2Vert">
      <w:tblPr/>
    </w:tblStylePr>
    <w:tblStylePr w:type="band1Horz">
      <w:tblPr/>
      <w:tcPr>
        <w:shd w:val="clear" w:color="FBCEAA" w:themeColor="accent6" w:themeTint="75" w:fill="FBCEAA" w:themeFill="accent6"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7">
    <w:name w:val="Grid Table 6 Colorful"/>
    <w:basedOn w:val="1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bl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Pr/>
    </w:tblStylePr>
    <w:tblStylePr w:type="firstCol">
      <w:rPr>
        <w:b/>
        <w:color w:val="808080" w:themeColor="text1" w:themeTint="80"/>
        <w14:textFill>
          <w14:solidFill>
            <w14:schemeClr w14:val="tx1">
              <w14:lumMod w14:val="50000"/>
              <w14:lumOff w14:val="50000"/>
            </w14:schemeClr>
          </w14:solidFill>
        </w14:textFill>
      </w:rPr>
      <w:tblPr/>
    </w:tblStylePr>
    <w:tblStylePr w:type="lastCol">
      <w:rPr>
        <w:b/>
        <w:color w:val="808080" w:themeColor="text1" w:themeTint="80"/>
        <w14:textFill>
          <w14:solidFill>
            <w14:schemeClr w14:val="tx1">
              <w14:lumMod w14:val="50000"/>
              <w14:lumOff w14:val="50000"/>
            </w14:schemeClr>
          </w14:solidFill>
        </w14:textFill>
      </w:rPr>
      <w:tblPr/>
    </w:tblStylePr>
    <w:tblStylePr w:type="band1Vert">
      <w:tblPr/>
      <w:tcPr>
        <w:shd w:val="clear" w:color="CACACA" w:themeColor="text1" w:themeTint="34" w:fill="CACACA" w:themeFill="text1" w:themeFillTint="34"/>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68">
    <w:name w:val="Grid Table 6 Colorful - Accent 1"/>
    <w:basedOn w:val="17"/>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bl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Pr/>
    </w:tblStylePr>
    <w:tblStylePr w:type="firstCol">
      <w:rPr>
        <w:b/>
        <w:color w:val="A7C0DE" w:themeColor="accent1" w:themeTint="80"/>
        <w14:textFill>
          <w14:solidFill>
            <w14:schemeClr w14:val="accent1">
              <w14:lumMod w14:val="50000"/>
              <w14:lumOff w14:val="50000"/>
            </w14:schemeClr>
          </w14:solidFill>
        </w14:textFill>
      </w:rPr>
      <w:tblPr/>
    </w:tblStylePr>
    <w:tblStylePr w:type="lastCol">
      <w:rPr>
        <w:b/>
        <w:color w:val="A7C0DE" w:themeColor="accent1" w:themeTint="80"/>
        <w14:textFill>
          <w14:solidFill>
            <w14:schemeClr w14:val="accent1">
              <w14:lumMod w14:val="50000"/>
              <w14:lumOff w14:val="50000"/>
            </w14:schemeClr>
          </w14:solidFill>
        </w14:textFill>
      </w:rPr>
      <w:tblPr/>
    </w:tblStylePr>
    <w:tblStylePr w:type="band1Vert">
      <w:tblPr/>
      <w:tcPr>
        <w:shd w:val="clear" w:color="DBE5F1" w:themeColor="accent1" w:themeTint="34" w:fill="DBE5F1" w:themeFill="accent1" w:themeFillTint="34"/>
      </w:tcPr>
    </w:tblStylePr>
    <w:tblStylePr w:type="band2Vert">
      <w:tbl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bl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69">
    <w:name w:val="Grid Table 6 Colorful - Accent 2"/>
    <w:basedOn w:val="1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bl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Pr/>
    </w:tblStylePr>
    <w:tblStylePr w:type="firstCol">
      <w:rPr>
        <w:b/>
        <w:color w:val="DA9896" w:themeColor="accent2" w:themeTint="96"/>
        <w14:textFill>
          <w14:solidFill>
            <w14:schemeClr w14:val="accent2">
              <w14:lumMod w14:val="59000"/>
              <w14:lumOff w14:val="41000"/>
            </w14:schemeClr>
          </w14:solidFill>
        </w14:textFill>
      </w:rPr>
      <w:tblPr/>
    </w:tblStylePr>
    <w:tblStylePr w:type="lastCol">
      <w:rPr>
        <w:b/>
        <w:color w:val="DA9896" w:themeColor="accent2" w:themeTint="96"/>
        <w14:textFill>
          <w14:solidFill>
            <w14:schemeClr w14:val="accent2">
              <w14:lumMod w14:val="59000"/>
              <w14:lumOff w14:val="41000"/>
            </w14:schemeClr>
          </w14:solidFill>
        </w14:textFill>
      </w:rPr>
      <w:tblPr/>
    </w:tblStylePr>
    <w:tblStylePr w:type="band1Vert">
      <w:tblPr/>
      <w:tcPr>
        <w:shd w:val="clear" w:color="F2DCDC" w:themeColor="accent2" w:themeTint="32" w:fill="F2DCDC" w:themeFill="accent2" w:themeFillTint="32"/>
      </w:tcPr>
    </w:tblStylePr>
    <w:tblStylePr w:type="band2Vert">
      <w:tbl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bl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70">
    <w:name w:val="Grid Table 6 Colorful - Accent 3"/>
    <w:basedOn w:val="17"/>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bl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Pr/>
    </w:tblStylePr>
    <w:tblStylePr w:type="firstCol">
      <w:rPr>
        <w:b/>
        <w:color w:val="9BBB59" w:themeColor="accent3" w:themeTint="FF"/>
        <w14:textFill>
          <w14:solidFill>
            <w14:schemeClr w14:val="accent3">
              <w14:lumMod w14:val="100000"/>
              <w14:lumOff w14:val="0"/>
            </w14:schemeClr>
          </w14:solidFill>
        </w14:textFill>
      </w:rPr>
      <w:tblPr/>
    </w:tblStylePr>
    <w:tblStylePr w:type="lastCol">
      <w:rPr>
        <w:b/>
        <w:color w:val="9BBB59" w:themeColor="accent3" w:themeTint="FF"/>
        <w14:textFill>
          <w14:solidFill>
            <w14:schemeClr w14:val="accent3">
              <w14:lumMod w14:val="100000"/>
              <w14:lumOff w14:val="0"/>
            </w14:schemeClr>
          </w14:solidFill>
        </w14:textFill>
      </w:rPr>
      <w:tblPr/>
    </w:tblStylePr>
    <w:tblStylePr w:type="band1Vert">
      <w:tblPr/>
      <w:tcPr>
        <w:shd w:val="clear" w:color="EAF1DD" w:themeColor="accent3" w:themeTint="34" w:fill="EAF1DD" w:themeFill="accent3" w:themeFillTint="34"/>
      </w:tcPr>
    </w:tblStylePr>
    <w:tblStylePr w:type="band2Vert">
      <w:tblPr/>
    </w:tblStylePr>
    <w:tblStylePr w:type="band1Horz">
      <w:rPr>
        <w:rFonts w:ascii="Arial" w:hAnsi="Arial"/>
        <w:color w:val="9BBB59" w:themeColor="accent3" w:themeTint="FF"/>
        <w:sz w:val="22"/>
        <w14:textFill>
          <w14:solidFill>
            <w14:schemeClr w14:val="accent3">
              <w14:lumMod w14:val="100000"/>
              <w14:lumOff w14:val="0"/>
            </w14:schemeClr>
          </w14:solidFill>
        </w14:textFill>
      </w:rPr>
      <w:tbl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71">
    <w:name w:val="Grid Table 6 Colorful - Accent 4"/>
    <w:basedOn w:val="1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bl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Pr/>
    </w:tblStylePr>
    <w:tblStylePr w:type="firstCol">
      <w:rPr>
        <w:b/>
        <w:color w:val="B3A2C7" w:themeColor="accent4" w:themeTint="99"/>
        <w14:textFill>
          <w14:solidFill>
            <w14:schemeClr w14:val="accent4">
              <w14:lumMod w14:val="60000"/>
              <w14:lumOff w14:val="40000"/>
            </w14:schemeClr>
          </w14:solidFill>
        </w14:textFill>
      </w:rPr>
      <w:tblPr/>
    </w:tblStylePr>
    <w:tblStylePr w:type="lastCol">
      <w:rPr>
        <w:b/>
        <w:color w:val="B3A2C7" w:themeColor="accent4" w:themeTint="99"/>
        <w14:textFill>
          <w14:solidFill>
            <w14:schemeClr w14:val="accent4">
              <w14:lumMod w14:val="60000"/>
              <w14:lumOff w14:val="40000"/>
            </w14:schemeClr>
          </w14:solidFill>
        </w14:textFill>
      </w:rPr>
      <w:tblPr/>
    </w:tblStylePr>
    <w:tblStylePr w:type="band1Vert">
      <w:tblPr/>
      <w:tcPr>
        <w:shd w:val="clear" w:color="E5DFEC" w:themeColor="accent4" w:themeTint="34" w:fill="E5DFEC" w:themeFill="accent4" w:themeFillTint="34"/>
      </w:tcPr>
    </w:tblStylePr>
    <w:tblStylePr w:type="band2Vert">
      <w:tbl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bl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72">
    <w:name w:val="Grid Table 6 Colorful - Accent 5"/>
    <w:basedOn w:val="17"/>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blPr/>
      <w:tcPr>
        <w:tcBorders>
          <w:bottom w:val="single" w:color="4BACC6" w:themeColor="accent5" w:sz="12" w:space="0"/>
        </w:tcBorders>
      </w:tcPr>
    </w:tblStylePr>
    <w:tblStylePr w:type="lastRow">
      <w:rPr>
        <w:b/>
        <w:color w:val="266778" w:themeColor="accent5" w:themeShade="94"/>
      </w:rPr>
      <w:tblPr/>
    </w:tblStylePr>
    <w:tblStylePr w:type="firstCol">
      <w:rPr>
        <w:b/>
        <w:color w:val="266778" w:themeColor="accent5" w:themeShade="94"/>
      </w:rPr>
      <w:tblPr/>
    </w:tblStylePr>
    <w:tblStylePr w:type="lastCol">
      <w:rPr>
        <w:b/>
        <w:color w:val="266778" w:themeColor="accent5" w:themeShade="94"/>
      </w:rPr>
      <w:tblPr/>
    </w:tblStylePr>
    <w:tblStylePr w:type="band1Vert">
      <w:tblPr/>
      <w:tcPr>
        <w:shd w:val="clear" w:color="DAEEF3" w:themeColor="accent5" w:themeTint="34" w:fill="DAEEF3" w:themeFill="accent5" w:themeFillTint="34"/>
      </w:tcPr>
    </w:tblStylePr>
    <w:tblStylePr w:type="band2Vert">
      <w:tblPr/>
    </w:tblStylePr>
    <w:tblStylePr w:type="band1Horz">
      <w:rPr>
        <w:rFonts w:ascii="Arial" w:hAnsi="Arial"/>
        <w:color w:val="266778" w:themeColor="accent5" w:themeShade="94"/>
        <w:sz w:val="22"/>
      </w:rPr>
      <w:tblPr/>
      <w:tcPr>
        <w:shd w:val="clear" w:color="DAEEF3" w:themeColor="accent5" w:themeTint="34" w:fill="DAEEF3" w:themeFill="accent5" w:themeFillTint="34"/>
      </w:tcPr>
    </w:tblStylePr>
    <w:tblStylePr w:type="band2Horz">
      <w:rPr>
        <w:rFonts w:ascii="Arial" w:hAnsi="Arial"/>
        <w:color w:val="266778"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73">
    <w:name w:val="Grid Table 6 Colorful - Accent 6"/>
    <w:basedOn w:val="17"/>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blPr/>
      <w:tcPr>
        <w:tcBorders>
          <w:bottom w:val="single" w:color="F79646" w:themeColor="accent6" w:sz="12" w:space="0"/>
        </w:tcBorders>
      </w:tcPr>
    </w:tblStylePr>
    <w:tblStylePr w:type="lastRow">
      <w:rPr>
        <w:b/>
        <w:color w:val="266778" w:themeColor="accent5" w:themeShade="94"/>
      </w:rPr>
      <w:tblPr/>
    </w:tblStylePr>
    <w:tblStylePr w:type="firstCol">
      <w:rPr>
        <w:b/>
        <w:color w:val="266778" w:themeColor="accent5" w:themeShade="94"/>
      </w:rPr>
      <w:tblPr/>
    </w:tblStylePr>
    <w:tblStylePr w:type="lastCol">
      <w:rPr>
        <w:b/>
        <w:color w:val="266778" w:themeColor="accent5" w:themeShade="94"/>
      </w:rPr>
      <w:tblPr/>
    </w:tblStylePr>
    <w:tblStylePr w:type="band1Vert">
      <w:tblPr/>
      <w:tcPr>
        <w:shd w:val="clear" w:color="FDE9D9" w:themeColor="accent6" w:themeTint="34" w:fill="FDE9D9" w:themeFill="accent6" w:themeFillTint="34"/>
      </w:tcPr>
    </w:tblStylePr>
    <w:tblStylePr w:type="band2Vert">
      <w:tblPr/>
    </w:tblStylePr>
    <w:tblStylePr w:type="band1Horz">
      <w:rPr>
        <w:rFonts w:ascii="Arial" w:hAnsi="Arial"/>
        <w:color w:val="266778" w:themeColor="accent5" w:themeShade="94"/>
        <w:sz w:val="22"/>
      </w:rPr>
      <w:tblPr/>
      <w:tcPr>
        <w:shd w:val="clear" w:color="FDE9D9" w:themeColor="accent6" w:themeTint="34" w:fill="FDE9D9" w:themeFill="accent6" w:themeFillTint="34"/>
      </w:tcPr>
    </w:tblStylePr>
    <w:tblStylePr w:type="band2Horz">
      <w:rPr>
        <w:rFonts w:ascii="Arial" w:hAnsi="Arial"/>
        <w:color w:val="266778"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74">
    <w:name w:val="Grid Table 7 Colorful"/>
    <w:basedOn w:val="1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single" w:color="7E7E7E" w:themeColor="text1" w:themeTint="80" w:sz="4" w:space="0"/>
          <w:bottom w:val="nil"/>
          <w:right w:val="nil"/>
        </w:tcBorders>
        <w:shd w:val="clear" w:color="FFFFFF" w:fill="auto"/>
      </w:tcPr>
    </w:tblStylePr>
    <w:tblStylePr w:type="band1Vert">
      <w:tblPr/>
      <w:tcPr>
        <w:shd w:val="clear" w:color="F1F1F1" w:themeColor="text1" w:themeTint="0D" w:fill="F1F1F1" w:themeFill="text1" w:themeFillTint="0D"/>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75">
    <w:name w:val="Grid Table 7 Colorful - Accent 1"/>
    <w:basedOn w:val="17"/>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bl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bl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bl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blPr/>
      <w:tcPr>
        <w:tcBorders>
          <w:top w:val="nil"/>
          <w:left w:val="single" w:color="A6BFDD" w:themeColor="accent1" w:themeTint="80" w:sz="4" w:space="0"/>
          <w:bottom w:val="nil"/>
          <w:right w:val="nil"/>
        </w:tcBorders>
        <w:shd w:val="clear" w:color="FFFFFF" w:fill="auto"/>
      </w:tcPr>
    </w:tblStylePr>
    <w:tblStylePr w:type="band1Vert">
      <w:tblPr/>
      <w:tcPr>
        <w:shd w:val="clear" w:color="DBE5F1" w:themeColor="accent1" w:themeTint="34" w:fill="DBE5F1" w:themeFill="accent1" w:themeFillTint="34"/>
      </w:tcPr>
    </w:tblStylePr>
    <w:tblStylePr w:type="band2Vert">
      <w:tbl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bl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76">
    <w:name w:val="Grid Table 7 Colorful - Accent 2"/>
    <w:basedOn w:val="17"/>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bl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bl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bl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blPr/>
      <w:tcPr>
        <w:tcBorders>
          <w:top w:val="nil"/>
          <w:left w:val="single" w:color="D99795" w:themeColor="accent2" w:themeTint="97" w:sz="4" w:space="0"/>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2Vert">
      <w:tbl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bl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77">
    <w:name w:val="Grid Table 7 Colorful - Accent 3"/>
    <w:basedOn w:val="17"/>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bl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bl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bl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blPr/>
      <w:tcPr>
        <w:tcBorders>
          <w:top w:val="nil"/>
          <w:left w:val="single" w:color="9BBB59" w:themeColor="accent3" w:themeTint="FE" w:sz="4" w:space="0"/>
          <w:bottom w:val="nil"/>
          <w:right w:val="nil"/>
        </w:tcBorders>
        <w:shd w:val="clear" w:color="FFFFFF" w:fill="auto"/>
      </w:tcPr>
    </w:tblStylePr>
    <w:tblStylePr w:type="band1Vert">
      <w:tblPr/>
      <w:tcPr>
        <w:shd w:val="clear" w:color="EAF1DD" w:themeColor="accent3" w:themeTint="34" w:fill="EAF1DD" w:themeFill="accent3" w:themeFillTint="34"/>
      </w:tcPr>
    </w:tblStylePr>
    <w:tblStylePr w:type="band2Vert">
      <w:tblPr/>
    </w:tblStylePr>
    <w:tblStylePr w:type="band1Horz">
      <w:rPr>
        <w:rFonts w:ascii="Arial" w:hAnsi="Arial"/>
        <w:color w:val="9BBB59" w:themeColor="accent3" w:themeTint="FF"/>
        <w:sz w:val="22"/>
        <w14:textFill>
          <w14:solidFill>
            <w14:schemeClr w14:val="accent3">
              <w14:lumMod w14:val="100000"/>
              <w14:lumOff w14:val="0"/>
            </w14:schemeClr>
          </w14:solidFill>
        </w14:textFill>
      </w:rPr>
      <w:tbl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78">
    <w:name w:val="Grid Table 7 Colorful - Accent 4"/>
    <w:basedOn w:val="17"/>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bl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bl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bl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blPr/>
      <w:tcPr>
        <w:tcBorders>
          <w:top w:val="nil"/>
          <w:left w:val="single" w:color="B2A1C6" w:themeColor="accent4" w:themeTint="9A" w:sz="4" w:space="0"/>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2Vert">
      <w:tbl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bl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79">
    <w:name w:val="Grid Table 7 Colorful - Accent 5"/>
    <w:basedOn w:val="17"/>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bl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bl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bl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blPr/>
      <w:tcPr>
        <w:tcBorders>
          <w:top w:val="nil"/>
          <w:left w:val="single" w:color="99D0DE" w:themeColor="accent5" w:themeTint="90" w:sz="4" w:space="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2Vert">
      <w:tblPr/>
    </w:tblStylePr>
    <w:tblStylePr w:type="band1Horz">
      <w:rPr>
        <w:rFonts w:ascii="Arial" w:hAnsi="Arial"/>
        <w:color w:val="266778" w:themeColor="accent5" w:themeShade="94"/>
        <w:sz w:val="22"/>
      </w:rPr>
      <w:tblPr/>
      <w:tcPr>
        <w:shd w:val="clear" w:color="DAEEF3" w:themeColor="accent5" w:themeTint="34" w:fill="DAEEF3" w:themeFill="accent5" w:themeFillTint="34"/>
      </w:tcPr>
    </w:tblStylePr>
    <w:tblStylePr w:type="band2Horz">
      <w:rPr>
        <w:rFonts w:ascii="Arial" w:hAnsi="Arial"/>
        <w:color w:val="266778"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80">
    <w:name w:val="Grid Table 7 Colorful - Accent 6"/>
    <w:basedOn w:val="17"/>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bl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bl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bl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blPr/>
      <w:tcPr>
        <w:tcBorders>
          <w:top w:val="nil"/>
          <w:left w:val="single" w:color="FAC396" w:themeColor="accent6" w:themeTint="90" w:sz="4" w:space="0"/>
          <w:bottom w:val="nil"/>
          <w:right w:val="nil"/>
        </w:tcBorders>
        <w:shd w:val="clear" w:color="FFFFFF" w:fill="auto"/>
      </w:tcPr>
    </w:tblStylePr>
    <w:tblStylePr w:type="band1Vert">
      <w:tblPr/>
      <w:tcPr>
        <w:shd w:val="clear" w:color="FDE9D9" w:themeColor="accent6" w:themeTint="34" w:fill="FDE9D9" w:themeFill="accent6" w:themeFillTint="34"/>
      </w:tcPr>
    </w:tblStylePr>
    <w:tblStylePr w:type="band2Vert">
      <w:tblPr/>
    </w:tblStylePr>
    <w:tblStylePr w:type="band1Horz">
      <w:rPr>
        <w:rFonts w:ascii="Arial" w:hAnsi="Arial"/>
        <w:color w:val="B05408" w:themeColor="accent6" w:themeShade="94"/>
        <w:sz w:val="22"/>
      </w:rPr>
      <w:tblPr/>
      <w:tcPr>
        <w:shd w:val="clear" w:color="FDE9D9" w:themeColor="accent6" w:themeTint="34" w:fill="FDE9D9" w:themeFill="accent6" w:themeFillTint="34"/>
      </w:tcPr>
    </w:tblStylePr>
    <w:tblStylePr w:type="band2Horz">
      <w:rPr>
        <w:rFonts w:ascii="Arial" w:hAnsi="Arial"/>
        <w:color w:val="B05408" w:themeColor="accent6" w:themeShade="94"/>
        <w:sz w:val="22"/>
      </w:rPr>
      <w:tblPr/>
    </w:tblStylePr>
    <w:tblStylePr w:type="neCell">
      <w:tblPr/>
    </w:tblStylePr>
    <w:tblStylePr w:type="nwCell">
      <w:tblPr/>
    </w:tblStylePr>
    <w:tblStylePr w:type="seCell">
      <w:tblPr/>
    </w:tblStylePr>
    <w:tblStylePr w:type="swCell">
      <w:tblPr/>
    </w:tblStylePr>
  </w:style>
  <w:style w:type="table" w:customStyle="1" w:styleId="81">
    <w:name w:val="List Table 1 Light"/>
    <w:basedOn w:val="17"/>
    <w:qFormat/>
    <w:uiPriority w:val="99"/>
    <w:pPr>
      <w:spacing w:after="0" w:line="240" w:lineRule="auto"/>
    </w:pPr>
    <w:tblPr/>
    <w:tblStylePr w:type="firstRow">
      <w:rPr>
        <w:b/>
        <w:color w:val="404040"/>
      </w:rPr>
      <w:tblPr/>
      <w:tcPr>
        <w:tcBorders>
          <w:top w:val="nil"/>
          <w:left w:val="nil"/>
          <w:bottom w:val="single" w:color="000000" w:themeColor="text1" w:sz="4" w:space="0"/>
          <w:right w:val="nil"/>
        </w:tcBorders>
      </w:tcPr>
    </w:tblStylePr>
    <w:tblStylePr w:type="lastRow">
      <w:rPr>
        <w:b/>
        <w:color w:val="404040"/>
      </w:rPr>
      <w:tblPr/>
      <w:tcPr>
        <w:tcBorders>
          <w:top w:val="single" w:color="000000" w:themeColor="tex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BEBEBE" w:themeColor="text1" w:themeTint="40" w:fill="BEBEBE" w:themeFill="text1" w:themeFillTint="40"/>
      </w:tcPr>
    </w:tblStylePr>
    <w:tblStylePr w:type="band2Vert">
      <w:tblPr/>
    </w:tblStylePr>
    <w:tblStylePr w:type="band1Horz">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2">
    <w:name w:val="List Table 1 Light - Accent 1"/>
    <w:basedOn w:val="17"/>
    <w:qFormat/>
    <w:uiPriority w:val="99"/>
    <w:pPr>
      <w:spacing w:after="0" w:line="240" w:lineRule="auto"/>
    </w:pPr>
    <w:tblPr/>
    <w:tblStylePr w:type="firstRow">
      <w:rPr>
        <w:b/>
        <w:color w:val="404040"/>
      </w:rPr>
      <w:tblPr/>
      <w:tcPr>
        <w:tcBorders>
          <w:top w:val="nil"/>
          <w:left w:val="nil"/>
          <w:bottom w:val="single" w:color="4F81BD" w:themeColor="accent1" w:sz="4" w:space="0"/>
          <w:right w:val="nil"/>
        </w:tcBorders>
      </w:tcPr>
    </w:tblStylePr>
    <w:tblStylePr w:type="lastRow">
      <w:rPr>
        <w:b/>
        <w:color w:val="404040"/>
      </w:rPr>
      <w:tblPr/>
      <w:tcPr>
        <w:tcBorders>
          <w:top w:val="single" w:color="4F81BD" w:themeColor="accen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2DFEE" w:themeColor="accent1" w:themeTint="40" w:fill="D2DFEE" w:themeFill="accent1" w:themeFillTint="40"/>
      </w:tcPr>
    </w:tblStylePr>
    <w:tblStylePr w:type="band2Vert">
      <w:tblPr/>
    </w:tblStylePr>
    <w:tblStylePr w:type="band1Horz">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3">
    <w:name w:val="List Table 1 Light - Accent 2"/>
    <w:basedOn w:val="17"/>
    <w:qFormat/>
    <w:uiPriority w:val="99"/>
    <w:pPr>
      <w:spacing w:after="0" w:line="240" w:lineRule="auto"/>
    </w:pPr>
    <w:tblPr/>
    <w:tblStylePr w:type="firstRow">
      <w:rPr>
        <w:b/>
        <w:color w:val="404040"/>
      </w:rPr>
      <w:tblPr/>
      <w:tcPr>
        <w:tcBorders>
          <w:top w:val="nil"/>
          <w:left w:val="nil"/>
          <w:bottom w:val="single" w:color="C0504D" w:themeColor="accent2" w:sz="4" w:space="0"/>
          <w:right w:val="nil"/>
        </w:tcBorders>
      </w:tcPr>
    </w:tblStylePr>
    <w:tblStylePr w:type="lastRow">
      <w:rPr>
        <w:b/>
        <w:color w:val="404040"/>
      </w:rPr>
      <w:tblPr/>
      <w:tcPr>
        <w:tcBorders>
          <w:top w:val="single" w:color="C0504D" w:themeColor="accent2"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EFD3D2" w:themeColor="accent2" w:themeTint="40" w:fill="EFD3D2" w:themeFill="accent2" w:themeFillTint="40"/>
      </w:tcPr>
    </w:tblStylePr>
    <w:tblStylePr w:type="band2Vert">
      <w:tblPr/>
    </w:tblStylePr>
    <w:tblStylePr w:type="band1Horz">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4">
    <w:name w:val="List Table 1 Light - Accent 3"/>
    <w:basedOn w:val="17"/>
    <w:qFormat/>
    <w:uiPriority w:val="99"/>
    <w:pPr>
      <w:spacing w:after="0" w:line="240" w:lineRule="auto"/>
    </w:pPr>
    <w:tblPr/>
    <w:tblStylePr w:type="firstRow">
      <w:rPr>
        <w:b/>
        <w:color w:val="404040"/>
      </w:rPr>
      <w:tblPr/>
      <w:tcPr>
        <w:tcBorders>
          <w:top w:val="nil"/>
          <w:left w:val="nil"/>
          <w:bottom w:val="single" w:color="9BBB59" w:themeColor="accent3" w:sz="4" w:space="0"/>
          <w:right w:val="nil"/>
        </w:tcBorders>
      </w:tcPr>
    </w:tblStylePr>
    <w:tblStylePr w:type="lastRow">
      <w:rPr>
        <w:b/>
        <w:color w:val="404040"/>
      </w:rPr>
      <w:tblPr/>
      <w:tcPr>
        <w:tcBorders>
          <w:top w:val="single" w:color="9BBB59" w:themeColor="accent3"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E5EDD5" w:themeColor="accent3" w:themeTint="40" w:fill="E5EDD5" w:themeFill="accent3" w:themeFillTint="40"/>
      </w:tcPr>
    </w:tblStylePr>
    <w:tblStylePr w:type="band2Vert">
      <w:tblPr/>
    </w:tblStylePr>
    <w:tblStylePr w:type="band1Horz">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5">
    <w:name w:val="List Table 1 Light - Accent 4"/>
    <w:basedOn w:val="17"/>
    <w:qFormat/>
    <w:uiPriority w:val="99"/>
    <w:pPr>
      <w:spacing w:after="0" w:line="240" w:lineRule="auto"/>
    </w:pPr>
    <w:tblPr/>
    <w:tblStylePr w:type="firstRow">
      <w:rPr>
        <w:b/>
        <w:color w:val="404040"/>
      </w:rPr>
      <w:tblPr/>
      <w:tcPr>
        <w:tcBorders>
          <w:top w:val="nil"/>
          <w:left w:val="nil"/>
          <w:bottom w:val="single" w:color="8064A2" w:themeColor="accent4" w:sz="4" w:space="0"/>
          <w:right w:val="nil"/>
        </w:tcBorders>
      </w:tcPr>
    </w:tblStylePr>
    <w:tblStylePr w:type="lastRow">
      <w:rPr>
        <w:b/>
        <w:color w:val="404040"/>
      </w:rPr>
      <w:tblPr/>
      <w:tcPr>
        <w:tcBorders>
          <w:top w:val="single" w:color="8064A2" w:themeColor="accent4"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FD8E7" w:themeColor="accent4" w:themeTint="40" w:fill="DFD8E7" w:themeFill="accent4" w:themeFillTint="40"/>
      </w:tcPr>
    </w:tblStylePr>
    <w:tblStylePr w:type="band2Vert">
      <w:tblPr/>
    </w:tblStylePr>
    <w:tblStylePr w:type="band1Horz">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6">
    <w:name w:val="List Table 1 Light - Accent 5"/>
    <w:basedOn w:val="17"/>
    <w:qFormat/>
    <w:uiPriority w:val="99"/>
    <w:pPr>
      <w:spacing w:after="0" w:line="240" w:lineRule="auto"/>
    </w:pPr>
    <w:tblPr/>
    <w:tblStylePr w:type="firstRow">
      <w:rPr>
        <w:b/>
        <w:color w:val="404040"/>
      </w:rPr>
      <w:tblPr/>
      <w:tcPr>
        <w:tcBorders>
          <w:top w:val="nil"/>
          <w:left w:val="nil"/>
          <w:bottom w:val="single" w:color="4BACC6" w:themeColor="accent5" w:sz="4" w:space="0"/>
          <w:right w:val="nil"/>
        </w:tcBorders>
      </w:tcPr>
    </w:tblStylePr>
    <w:tblStylePr w:type="lastRow">
      <w:rPr>
        <w:b/>
        <w:color w:val="404040"/>
      </w:rPr>
      <w:tblPr/>
      <w:tcPr>
        <w:tcBorders>
          <w:top w:val="single" w:color="4BACC6" w:themeColor="accent5"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1EAF0" w:themeColor="accent5" w:themeTint="40" w:fill="D1EAF0" w:themeFill="accent5" w:themeFillTint="40"/>
      </w:tcPr>
    </w:tblStylePr>
    <w:tblStylePr w:type="band2Vert">
      <w:tblPr/>
    </w:tblStylePr>
    <w:tblStylePr w:type="band1Horz">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7">
    <w:name w:val="List Table 1 Light - Accent 6"/>
    <w:basedOn w:val="17"/>
    <w:qFormat/>
    <w:uiPriority w:val="99"/>
    <w:pPr>
      <w:spacing w:after="0" w:line="240" w:lineRule="auto"/>
    </w:pPr>
    <w:tblPr/>
    <w:tblStylePr w:type="firstRow">
      <w:rPr>
        <w:b/>
        <w:color w:val="404040"/>
      </w:rPr>
      <w:tblPr/>
      <w:tcPr>
        <w:tcBorders>
          <w:top w:val="nil"/>
          <w:left w:val="nil"/>
          <w:bottom w:val="single" w:color="F79646" w:themeColor="accent6" w:sz="4" w:space="0"/>
          <w:right w:val="nil"/>
        </w:tcBorders>
      </w:tcPr>
    </w:tblStylePr>
    <w:tblStylePr w:type="lastRow">
      <w:rPr>
        <w:b/>
        <w:color w:val="404040"/>
      </w:rPr>
      <w:tblPr/>
      <w:tcPr>
        <w:tcBorders>
          <w:top w:val="single" w:color="F79646" w:themeColor="accent6"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FCE4D0" w:themeColor="accent6" w:themeTint="40" w:fill="FCE4D0" w:themeFill="accent6" w:themeFillTint="40"/>
      </w:tcPr>
    </w:tblStylePr>
    <w:tblStylePr w:type="band2Vert">
      <w:tblPr/>
    </w:tblStylePr>
    <w:tblStylePr w:type="band1Horz">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8">
    <w:name w:val="List Table 2"/>
    <w:basedOn w:val="1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9">
    <w:name w:val="List Table 2 - Accent 1"/>
    <w:basedOn w:val="17"/>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bl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bl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2DFEE" w:themeColor="accent1" w:themeTint="40" w:fill="D2DFEE" w:themeFill="accent1" w:themeFillTint="40"/>
      </w:tcPr>
    </w:tblStylePr>
    <w:tblStylePr w:type="band2Vert">
      <w:tblPr/>
    </w:tblStylePr>
    <w:tblStylePr w:type="band1Horz">
      <w:rPr>
        <w:rFonts w:ascii="Arial" w:hAnsi="Arial"/>
        <w:color w:val="404040"/>
        <w:sz w:val="22"/>
      </w:rPr>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0">
    <w:name w:val="List Table 2 - Accent 2"/>
    <w:basedOn w:val="17"/>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bl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bl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FD3D2" w:themeColor="accent2" w:themeTint="40" w:fill="EFD3D2" w:themeFill="accent2" w:themeFillTint="40"/>
      </w:tcPr>
    </w:tblStylePr>
    <w:tblStylePr w:type="band2Vert">
      <w:tblPr/>
    </w:tblStylePr>
    <w:tblStylePr w:type="band1Horz">
      <w:rPr>
        <w:rFonts w:ascii="Arial" w:hAnsi="Arial"/>
        <w:color w:val="404040"/>
        <w:sz w:val="22"/>
      </w:rPr>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1">
    <w:name w:val="List Table 2 - Accent 3"/>
    <w:basedOn w:val="17"/>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bl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bl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5EDD5" w:themeColor="accent3" w:themeTint="40" w:fill="E5EDD5" w:themeFill="accent3" w:themeFillTint="40"/>
      </w:tcPr>
    </w:tblStylePr>
    <w:tblStylePr w:type="band2Vert">
      <w:tblPr/>
    </w:tblStylePr>
    <w:tblStylePr w:type="band1Horz">
      <w:rPr>
        <w:rFonts w:ascii="Arial" w:hAnsi="Arial"/>
        <w:color w:val="404040"/>
        <w:sz w:val="22"/>
      </w:rPr>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2">
    <w:name w:val="List Table 2 - Accent 4"/>
    <w:basedOn w:val="17"/>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bl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bl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FD8E7" w:themeColor="accent4" w:themeTint="40" w:fill="DFD8E7" w:themeFill="accent4" w:themeFillTint="40"/>
      </w:tcPr>
    </w:tblStylePr>
    <w:tblStylePr w:type="band2Vert">
      <w:tblPr/>
    </w:tblStylePr>
    <w:tblStylePr w:type="band1Horz">
      <w:rPr>
        <w:rFonts w:ascii="Arial" w:hAnsi="Arial"/>
        <w:color w:val="404040"/>
        <w:sz w:val="22"/>
      </w:rPr>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3">
    <w:name w:val="List Table 2 - Accent 5"/>
    <w:basedOn w:val="17"/>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bl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bl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1EAF0" w:themeColor="accent5" w:themeTint="40" w:fill="D1EAF0" w:themeFill="accent5" w:themeFillTint="40"/>
      </w:tcPr>
    </w:tblStylePr>
    <w:tblStylePr w:type="band2Vert">
      <w:tblPr/>
    </w:tblStylePr>
    <w:tblStylePr w:type="band1Horz">
      <w:rPr>
        <w:rFonts w:ascii="Arial" w:hAnsi="Arial"/>
        <w:color w:val="404040"/>
        <w:sz w:val="22"/>
      </w:rPr>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4">
    <w:name w:val="List Table 2 - Accent 6"/>
    <w:basedOn w:val="17"/>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bl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bl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FCE4D0" w:themeColor="accent6" w:themeTint="40" w:fill="FCE4D0" w:themeFill="accent6" w:themeFillTint="40"/>
      </w:tcPr>
    </w:tblStylePr>
    <w:tblStylePr w:type="band2Vert">
      <w:tblPr/>
    </w:tblStylePr>
    <w:tblStylePr w:type="band1Horz">
      <w:rPr>
        <w:rFonts w:ascii="Arial" w:hAnsi="Arial"/>
        <w:color w:val="404040"/>
        <w:sz w:val="22"/>
      </w:rPr>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5">
    <w:name w:val="List Table 3"/>
    <w:basedOn w:val="1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2Vert">
      <w:tbl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6">
    <w:name w:val="List Table 3 - Accent 1"/>
    <w:basedOn w:val="17"/>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4F81BD" w:themeColor="accent1" w:sz="4" w:space="0"/>
          <w:right w:val="single" w:color="4F81BD" w:themeColor="accent1" w:sz="4" w:space="0"/>
        </w:tcBorders>
      </w:tcPr>
    </w:tblStylePr>
    <w:tblStylePr w:type="band2Vert">
      <w:tblPr/>
    </w:tblStylePr>
    <w:tblStylePr w:type="band1Horz">
      <w:rPr>
        <w:rFonts w:ascii="Arial" w:hAnsi="Arial"/>
        <w:color w:val="404040"/>
        <w:sz w:val="22"/>
      </w:rPr>
      <w:tblPr/>
      <w:tcPr>
        <w:tcBorders>
          <w:top w:val="single" w:color="4F81BD" w:themeColor="accent1" w:sz="4" w:space="0"/>
          <w:bottom w:val="single" w:color="4F81BD" w:themeColor="accen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7">
    <w:name w:val="List Table 3 - Accent 2"/>
    <w:basedOn w:val="1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blPr/>
      <w:tcPr>
        <w:shd w:val="clear" w:color="D99795" w:themeColor="accent2" w:themeTint="97" w:fill="D99795" w:themeFill="accent2" w:themeFillTint="97"/>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D99795" w:themeColor="accent2" w:themeTint="97" w:sz="4" w:space="0"/>
          <w:right w:val="single" w:color="D99795" w:themeColor="accent2" w:themeTint="97" w:sz="4" w:space="0"/>
        </w:tcBorders>
      </w:tcPr>
    </w:tblStylePr>
    <w:tblStylePr w:type="band2Vert">
      <w:tblPr/>
    </w:tblStylePr>
    <w:tblStylePr w:type="band1Horz">
      <w:rPr>
        <w:rFonts w:ascii="Arial" w:hAnsi="Arial"/>
        <w:color w:val="404040"/>
        <w:sz w:val="22"/>
      </w:rPr>
      <w:tblPr/>
      <w:tcPr>
        <w:tcBorders>
          <w:top w:val="single" w:color="D99795" w:themeColor="accent2" w:themeTint="97" w:sz="4" w:space="0"/>
          <w:bottom w:val="single" w:color="D99795" w:themeColor="accent2" w:themeTint="9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8">
    <w:name w:val="List Table 3 - Accent 3"/>
    <w:basedOn w:val="17"/>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blPr/>
      <w:tcPr>
        <w:shd w:val="clear" w:color="C3D69C" w:themeColor="accent3" w:themeTint="98" w:fill="C3D69C" w:themeFill="accent3"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C3D69C" w:themeColor="accent3" w:themeTint="98" w:sz="4" w:space="0"/>
          <w:right w:val="single" w:color="C3D69C" w:themeColor="accent3" w:themeTint="98" w:sz="4" w:space="0"/>
        </w:tcBorders>
      </w:tcPr>
    </w:tblStylePr>
    <w:tblStylePr w:type="band2Vert">
      <w:tblPr/>
    </w:tblStylePr>
    <w:tblStylePr w:type="band1Horz">
      <w:rPr>
        <w:rFonts w:ascii="Arial" w:hAnsi="Arial"/>
        <w:color w:val="404040"/>
        <w:sz w:val="22"/>
      </w:rPr>
      <w:tblPr/>
      <w:tcPr>
        <w:tcBorders>
          <w:top w:val="single" w:color="C3D69C" w:themeColor="accent3" w:themeTint="98" w:sz="4" w:space="0"/>
          <w:bottom w:val="single" w:color="C3D69C" w:themeColor="accent3"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9">
    <w:name w:val="List Table 3 - Accent 4"/>
    <w:basedOn w:val="1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B2A1C6" w:themeColor="accent4" w:themeTint="9A" w:sz="4" w:space="0"/>
          <w:right w:val="single" w:color="B2A1C6" w:themeColor="accent4" w:themeTint="9A" w:sz="4" w:space="0"/>
        </w:tcBorders>
      </w:tcPr>
    </w:tblStylePr>
    <w:tblStylePr w:type="band2Vert">
      <w:tblPr/>
    </w:tblStylePr>
    <w:tblStylePr w:type="band1Horz">
      <w:rPr>
        <w:rFonts w:ascii="Arial" w:hAnsi="Arial"/>
        <w:color w:val="404040"/>
        <w:sz w:val="22"/>
      </w:rPr>
      <w:tblPr/>
      <w:tcPr>
        <w:tcBorders>
          <w:top w:val="single" w:color="B2A1C6" w:themeColor="accent4" w:themeTint="9A" w:sz="4" w:space="0"/>
          <w:bottom w:val="single" w:color="B2A1C6" w:themeColor="accent4"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0">
    <w:name w:val="List Table 3 - Accent 5"/>
    <w:basedOn w:val="17"/>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92CCDC" w:themeColor="accent5" w:themeTint="9A" w:sz="4" w:space="0"/>
          <w:right w:val="single" w:color="92CCDC" w:themeColor="accent5" w:themeTint="9A" w:sz="4" w:space="0"/>
        </w:tcBorders>
      </w:tcPr>
    </w:tblStylePr>
    <w:tblStylePr w:type="band2Vert">
      <w:tblPr/>
    </w:tblStylePr>
    <w:tblStylePr w:type="band1Horz">
      <w:rPr>
        <w:rFonts w:ascii="Arial" w:hAnsi="Arial"/>
        <w:color w:val="404040"/>
        <w:sz w:val="22"/>
      </w:rPr>
      <w:tblPr/>
      <w:tcPr>
        <w:tcBorders>
          <w:top w:val="single" w:color="92CCDC" w:themeColor="accent5" w:themeTint="9A" w:sz="4" w:space="0"/>
          <w:bottom w:val="single" w:color="92CCDC" w:themeColor="accent5"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1">
    <w:name w:val="List Table 3 - Accent 6"/>
    <w:basedOn w:val="17"/>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FAC090" w:themeColor="accent6" w:themeTint="98" w:sz="4" w:space="0"/>
          <w:right w:val="single" w:color="FAC090" w:themeColor="accent6" w:themeTint="98" w:sz="4" w:space="0"/>
        </w:tcBorders>
      </w:tcPr>
    </w:tblStylePr>
    <w:tblStylePr w:type="band2Vert">
      <w:tblPr/>
    </w:tblStylePr>
    <w:tblStylePr w:type="band1Horz">
      <w:rPr>
        <w:rFonts w:ascii="Arial" w:hAnsi="Arial"/>
        <w:color w:val="404040"/>
        <w:sz w:val="22"/>
      </w:rPr>
      <w:tblPr/>
      <w:tcPr>
        <w:tcBorders>
          <w:top w:val="single" w:color="FAC090" w:themeColor="accent6" w:themeTint="98" w:sz="4" w:space="0"/>
          <w:bottom w:val="single" w:color="FAC090" w:themeColor="accent6"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2">
    <w:name w:val="List Table 4"/>
    <w:basedOn w:val="1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3">
    <w:name w:val="List Table 4 - Accent 1"/>
    <w:basedOn w:val="17"/>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2DFEE" w:themeColor="accent1" w:themeTint="40" w:fill="D2DFEE" w:themeFill="accent1" w:themeFillTint="40"/>
      </w:tcPr>
    </w:tblStylePr>
    <w:tblStylePr w:type="band2Vert">
      <w:tblPr/>
    </w:tblStylePr>
    <w:tblStylePr w:type="band1Horz">
      <w:rPr>
        <w:rFonts w:ascii="Arial" w:hAnsi="Arial"/>
        <w:color w:val="404040"/>
        <w:sz w:val="22"/>
      </w:rPr>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4">
    <w:name w:val="List Table 4 - Accent 2"/>
    <w:basedOn w:val="17"/>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FD3D2" w:themeColor="accent2" w:themeTint="40" w:fill="EFD3D2" w:themeFill="accent2" w:themeFillTint="40"/>
      </w:tcPr>
    </w:tblStylePr>
    <w:tblStylePr w:type="band2Vert">
      <w:tblPr/>
    </w:tblStylePr>
    <w:tblStylePr w:type="band1Horz">
      <w:rPr>
        <w:rFonts w:ascii="Arial" w:hAnsi="Arial"/>
        <w:color w:val="404040"/>
        <w:sz w:val="22"/>
      </w:rPr>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5">
    <w:name w:val="List Table 4 - Accent 3"/>
    <w:basedOn w:val="17"/>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EDD5" w:themeColor="accent3" w:themeTint="40" w:fill="E5EDD5" w:themeFill="accent3" w:themeFillTint="40"/>
      </w:tcPr>
    </w:tblStylePr>
    <w:tblStylePr w:type="band2Vert">
      <w:tblPr/>
    </w:tblStylePr>
    <w:tblStylePr w:type="band1Horz">
      <w:rPr>
        <w:rFonts w:ascii="Arial" w:hAnsi="Arial"/>
        <w:color w:val="404040"/>
        <w:sz w:val="22"/>
      </w:rPr>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6">
    <w:name w:val="List Table 4 - Accent 4"/>
    <w:basedOn w:val="17"/>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FD8E7" w:themeColor="accent4" w:themeTint="40" w:fill="DFD8E7" w:themeFill="accent4" w:themeFillTint="40"/>
      </w:tcPr>
    </w:tblStylePr>
    <w:tblStylePr w:type="band2Vert">
      <w:tblPr/>
    </w:tblStylePr>
    <w:tblStylePr w:type="band1Horz">
      <w:rPr>
        <w:rFonts w:ascii="Arial" w:hAnsi="Arial"/>
        <w:color w:val="404040"/>
        <w:sz w:val="22"/>
      </w:rPr>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7">
    <w:name w:val="List Table 4 - Accent 5"/>
    <w:basedOn w:val="17"/>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1EAF0" w:themeColor="accent5" w:themeTint="40" w:fill="D1EAF0" w:themeFill="accent5" w:themeFillTint="40"/>
      </w:tcPr>
    </w:tblStylePr>
    <w:tblStylePr w:type="band2Vert">
      <w:tblPr/>
    </w:tblStylePr>
    <w:tblStylePr w:type="band1Horz">
      <w:rPr>
        <w:rFonts w:ascii="Arial" w:hAnsi="Arial"/>
        <w:color w:val="404040"/>
        <w:sz w:val="22"/>
      </w:rPr>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8">
    <w:name w:val="List Table 4 - Accent 6"/>
    <w:basedOn w:val="17"/>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CE4D0" w:themeColor="accent6" w:themeTint="40" w:fill="FCE4D0" w:themeFill="accent6" w:themeFillTint="40"/>
      </w:tcPr>
    </w:tblStylePr>
    <w:tblStylePr w:type="band2Vert">
      <w:tblPr/>
    </w:tblStylePr>
    <w:tblStylePr w:type="band1Horz">
      <w:rPr>
        <w:rFonts w:ascii="Arial" w:hAnsi="Arial"/>
        <w:color w:val="404040"/>
        <w:sz w:val="22"/>
      </w:rPr>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9">
    <w:name w:val="List Table 5 Dark"/>
    <w:basedOn w:val="1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bl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7E7E7E" w:themeColor="text1" w:themeTint="80" w:sz="32" w:space="0"/>
          <w:right w:val="single" w:color="FFFFFF" w:themeColor="light1" w:sz="4" w:space="0"/>
        </w:tcBorders>
      </w:tcPr>
    </w:tblStylePr>
    <w:tblStylePr w:type="lastCol">
      <w:tblPr/>
      <w:tcPr>
        <w:tcBorders>
          <w:left w:val="single" w:color="FFFFFF" w:themeColor="light1" w:sz="4" w:space="0"/>
          <w:right w:val="single" w:color="7E7E7E"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Pr/>
    </w:tblStylePr>
    <w:tblStylePr w:type="nwCell">
      <w:tblPr/>
    </w:tblStylePr>
    <w:tblStylePr w:type="seCell">
      <w:tblPr/>
    </w:tblStylePr>
    <w:tblStylePr w:type="swCell">
      <w:tblPr/>
    </w:tblStylePr>
  </w:style>
  <w:style w:type="table" w:customStyle="1" w:styleId="110">
    <w:name w:val="List Table 5 Dark - Accent 1"/>
    <w:basedOn w:val="17"/>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bl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themeColor="accent1"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themeColor="accent1" w:fill="4F81BD" w:themeFill="accent1"/>
      </w:tcPr>
    </w:tblStylePr>
    <w:tblStylePr w:type="band2Horz">
      <w:tblPr/>
      <w:tcPr>
        <w:tcBorders>
          <w:top w:val="single" w:color="FFFFFF" w:themeColor="light1" w:sz="4" w:space="0"/>
          <w:bottom w:val="single" w:color="FFFFFF" w:themeColor="light1" w:sz="4" w:space="0"/>
        </w:tcBorders>
        <w:shd w:val="clear" w:color="4F81BD" w:themeColor="accent1" w:fill="4F81BD" w:themeFill="accent1"/>
      </w:tcPr>
    </w:tblStylePr>
    <w:tblStylePr w:type="neCell">
      <w:tblPr/>
    </w:tblStylePr>
    <w:tblStylePr w:type="nwCell">
      <w:tblPr/>
    </w:tblStylePr>
    <w:tblStylePr w:type="seCell">
      <w:tblPr/>
    </w:tblStylePr>
    <w:tblStylePr w:type="swCell">
      <w:tblPr/>
    </w:tblStylePr>
  </w:style>
  <w:style w:type="table" w:customStyle="1" w:styleId="111">
    <w:name w:val="List Table 5 Dark - Accent 2"/>
    <w:basedOn w:val="17"/>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bl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D99795" w:themeColor="accent2" w:themeTint="97" w:sz="32" w:space="0"/>
          <w:right w:val="single" w:color="FFFFFF" w:themeColor="light1" w:sz="4" w:space="0"/>
        </w:tcBorders>
      </w:tcPr>
    </w:tblStylePr>
    <w:tblStylePr w:type="lastCol">
      <w:tblPr/>
      <w:tcPr>
        <w:tcBorders>
          <w:left w:val="single" w:color="FFFFFF" w:themeColor="light1" w:sz="4" w:space="0"/>
          <w:right w:val="single" w:color="D9979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blPr/>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Pr/>
    </w:tblStylePr>
    <w:tblStylePr w:type="nwCell">
      <w:tblPr/>
    </w:tblStylePr>
    <w:tblStylePr w:type="seCell">
      <w:tblPr/>
    </w:tblStylePr>
    <w:tblStylePr w:type="swCell">
      <w:tblPr/>
    </w:tblStylePr>
  </w:style>
  <w:style w:type="table" w:customStyle="1" w:styleId="112">
    <w:name w:val="List Table 5 Dark - Accent 3"/>
    <w:basedOn w:val="17"/>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bl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C3D69C" w:themeColor="accent3" w:themeTint="98" w:sz="32" w:space="0"/>
          <w:right w:val="single" w:color="FFFFFF" w:themeColor="light1" w:sz="4" w:space="0"/>
        </w:tcBorders>
      </w:tcPr>
    </w:tblStylePr>
    <w:tblStylePr w:type="lastCol">
      <w:tblPr/>
      <w:tcPr>
        <w:tcBorders>
          <w:left w:val="single" w:color="FFFFFF" w:themeColor="light1" w:sz="4" w:space="0"/>
          <w:right w:val="single" w:color="C3D69C"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blPr/>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Pr/>
    </w:tblStylePr>
    <w:tblStylePr w:type="nwCell">
      <w:tblPr/>
    </w:tblStylePr>
    <w:tblStylePr w:type="seCell">
      <w:tblPr/>
    </w:tblStylePr>
    <w:tblStylePr w:type="swCell">
      <w:tblPr/>
    </w:tblStylePr>
  </w:style>
  <w:style w:type="table" w:customStyle="1" w:styleId="113">
    <w:name w:val="List Table 5 Dark - Accent 4"/>
    <w:basedOn w:val="17"/>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bl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B2A1C6" w:themeColor="accent4" w:themeTint="9A" w:sz="32" w:space="0"/>
          <w:right w:val="single" w:color="FFFFFF" w:themeColor="light1" w:sz="4" w:space="0"/>
        </w:tcBorders>
      </w:tcPr>
    </w:tblStylePr>
    <w:tblStylePr w:type="lastCol">
      <w:tblPr/>
      <w:tcPr>
        <w:tcBorders>
          <w:left w:val="single" w:color="FFFFFF" w:themeColor="light1" w:sz="4" w:space="0"/>
          <w:right w:val="single" w:color="B2A1C6"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Pr/>
    </w:tblStylePr>
    <w:tblStylePr w:type="nwCell">
      <w:tblPr/>
    </w:tblStylePr>
    <w:tblStylePr w:type="seCell">
      <w:tblPr/>
    </w:tblStylePr>
    <w:tblStylePr w:type="swCell">
      <w:tblPr/>
    </w:tblStylePr>
  </w:style>
  <w:style w:type="table" w:customStyle="1" w:styleId="114">
    <w:name w:val="List Table 5 Dark - Accent 5"/>
    <w:basedOn w:val="17"/>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bl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92CCDC" w:themeColor="accent5" w:themeTint="9A" w:sz="32" w:space="0"/>
          <w:right w:val="single" w:color="FFFFFF" w:themeColor="light1" w:sz="4" w:space="0"/>
        </w:tcBorders>
      </w:tcPr>
    </w:tblStylePr>
    <w:tblStylePr w:type="lastCol">
      <w:tblPr/>
      <w:tcPr>
        <w:tcBorders>
          <w:left w:val="single" w:color="FFFFFF" w:themeColor="light1" w:sz="4" w:space="0"/>
          <w:right w:val="single" w:color="92CCDC"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Pr/>
    </w:tblStylePr>
    <w:tblStylePr w:type="nwCell">
      <w:tblPr/>
    </w:tblStylePr>
    <w:tblStylePr w:type="seCell">
      <w:tblPr/>
    </w:tblStylePr>
    <w:tblStylePr w:type="swCell">
      <w:tblPr/>
    </w:tblStylePr>
  </w:style>
  <w:style w:type="table" w:customStyle="1" w:styleId="115">
    <w:name w:val="List Table 5 Dark - Accent 6"/>
    <w:basedOn w:val="17"/>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bl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FAC090" w:themeColor="accent6" w:themeTint="98" w:sz="32" w:space="0"/>
          <w:right w:val="single" w:color="FFFFFF" w:themeColor="light1" w:sz="4" w:space="0"/>
        </w:tcBorders>
      </w:tcPr>
    </w:tblStylePr>
    <w:tblStylePr w:type="lastCol">
      <w:tblPr/>
      <w:tcPr>
        <w:tcBorders>
          <w:left w:val="single" w:color="FFFFFF" w:themeColor="light1" w:sz="4" w:space="0"/>
          <w:right w:val="single" w:color="FAC090"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Pr/>
    </w:tblStylePr>
    <w:tblStylePr w:type="nwCell">
      <w:tblPr/>
    </w:tblStylePr>
    <w:tblStylePr w:type="seCell">
      <w:tblPr/>
    </w:tblStylePr>
    <w:tblStylePr w:type="swCell">
      <w:tblPr/>
    </w:tblStylePr>
  </w:style>
  <w:style w:type="table" w:customStyle="1" w:styleId="116">
    <w:name w:val="List Table 6 Colorful"/>
    <w:basedOn w:val="1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blPr/>
      <w:tcPr>
        <w:tcBorders>
          <w:bottom w:val="single" w:color="7E7E7E" w:themeColor="text1" w:themeTint="80" w:sz="4" w:space="0"/>
        </w:tcBorders>
      </w:tcPr>
    </w:tblStylePr>
    <w:tblStylePr w:type="lastRow">
      <w:rPr>
        <w:b/>
        <w:color w:val="000000" w:themeColor="text1"/>
        <w14:textFill>
          <w14:solidFill>
            <w14:schemeClr w14:val="tx1"/>
          </w14:solidFill>
        </w14:textFill>
      </w:rPr>
      <w:tblPr/>
      <w:tcPr>
        <w:tcBorders>
          <w:top w:val="single" w:color="7E7E7E" w:themeColor="text1" w:themeTint="80" w:sz="4" w:space="0"/>
        </w:tcBorders>
      </w:tcPr>
    </w:tblStylePr>
    <w:tblStylePr w:type="firstCol">
      <w:rPr>
        <w:b/>
        <w:color w:val="000000" w:themeColor="text1"/>
        <w14:textFill>
          <w14:solidFill>
            <w14:schemeClr w14:val="tx1"/>
          </w14:solidFill>
        </w14:textFill>
      </w:rPr>
      <w:tblPr/>
    </w:tblStylePr>
    <w:tblStylePr w:type="lastCol">
      <w:rPr>
        <w:b/>
        <w:color w:val="000000" w:themeColor="text1"/>
        <w14:textFill>
          <w14:solidFill>
            <w14:schemeClr w14:val="tx1"/>
          </w14:solidFill>
        </w14:textFill>
      </w:rPr>
      <w:tbl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000000" w:themeColor="text1"/>
        <w:sz w:val="22"/>
        <w14:textFill>
          <w14:solidFill>
            <w14:schemeClr w14:val="tx1"/>
          </w14:solidFill>
        </w14:textFill>
      </w:rPr>
      <w:tbl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Pr/>
    </w:tblStylePr>
    <w:tblStylePr w:type="neCell">
      <w:tblPr/>
    </w:tblStylePr>
    <w:tblStylePr w:type="nwCell">
      <w:tblPr/>
    </w:tblStylePr>
    <w:tblStylePr w:type="seCell">
      <w:tblPr/>
    </w:tblStylePr>
    <w:tblStylePr w:type="swCell">
      <w:tblPr/>
    </w:tblStylePr>
  </w:style>
  <w:style w:type="table" w:customStyle="1" w:styleId="117">
    <w:name w:val="List Table 6 Colorful - Accent 1"/>
    <w:basedOn w:val="17"/>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blPr/>
      <w:tcPr>
        <w:tcBorders>
          <w:bottom w:val="single" w:color="4F81BD" w:themeColor="accent1" w:sz="4" w:space="0"/>
        </w:tcBorders>
      </w:tcPr>
    </w:tblStylePr>
    <w:tblStylePr w:type="lastRow">
      <w:rPr>
        <w:b/>
        <w:color w:val="2A4B71" w:themeColor="accent1" w:themeShade="94"/>
      </w:rPr>
      <w:tblPr/>
      <w:tcPr>
        <w:tcBorders>
          <w:top w:val="single" w:color="4F81BD" w:themeColor="accent1" w:sz="4" w:space="0"/>
        </w:tcBorders>
      </w:tcPr>
    </w:tblStylePr>
    <w:tblStylePr w:type="firstCol">
      <w:rPr>
        <w:b/>
        <w:color w:val="2A4B71" w:themeColor="accent1" w:themeShade="94"/>
      </w:rPr>
      <w:tblPr/>
    </w:tblStylePr>
    <w:tblStylePr w:type="lastCol">
      <w:rPr>
        <w:b/>
        <w:color w:val="2A4B71" w:themeColor="accent1" w:themeShade="94"/>
      </w:rPr>
      <w:tblPr/>
    </w:tblStylePr>
    <w:tblStylePr w:type="band1Vert">
      <w:tblPr/>
      <w:tcPr>
        <w:shd w:val="clear" w:color="D2DFEE" w:themeColor="accent1" w:themeTint="40" w:fill="D2DFEE" w:themeFill="accent1" w:themeFillTint="40"/>
      </w:tcPr>
    </w:tblStylePr>
    <w:tblStylePr w:type="band2Vert">
      <w:tblPr/>
    </w:tblStylePr>
    <w:tblStylePr w:type="band1Horz">
      <w:rPr>
        <w:rFonts w:ascii="Arial" w:hAnsi="Arial"/>
        <w:color w:val="2A4B71" w:themeColor="accent1" w:themeShade="94"/>
        <w:sz w:val="22"/>
      </w:rPr>
      <w:tblPr/>
      <w:tcPr>
        <w:shd w:val="clear" w:color="D2DFEE" w:themeColor="accent1" w:themeTint="40" w:fill="D2DFEE" w:themeFill="accent1" w:themeFillTint="40"/>
      </w:tcPr>
    </w:tblStylePr>
    <w:tblStylePr w:type="band2Horz">
      <w:rPr>
        <w:rFonts w:ascii="Arial" w:hAnsi="Arial"/>
        <w:color w:val="2A4B71" w:themeColor="accent1" w:themeShade="94"/>
        <w:sz w:val="22"/>
      </w:rPr>
      <w:tblPr/>
    </w:tblStylePr>
    <w:tblStylePr w:type="neCell">
      <w:tblPr/>
    </w:tblStylePr>
    <w:tblStylePr w:type="nwCell">
      <w:tblPr/>
    </w:tblStylePr>
    <w:tblStylePr w:type="seCell">
      <w:tblPr/>
    </w:tblStylePr>
    <w:tblStylePr w:type="swCell">
      <w:tblPr/>
    </w:tblStylePr>
  </w:style>
  <w:style w:type="table" w:customStyle="1" w:styleId="118">
    <w:name w:val="List Table 6 Colorful - Accent 2"/>
    <w:basedOn w:val="17"/>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bl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bl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Pr/>
    </w:tblStylePr>
    <w:tblStylePr w:type="lastCol">
      <w:rPr>
        <w:b/>
        <w:color w:val="DA9896" w:themeColor="accent2" w:themeTint="96"/>
        <w14:textFill>
          <w14:solidFill>
            <w14:schemeClr w14:val="accent2">
              <w14:lumMod w14:val="59000"/>
              <w14:lumOff w14:val="41000"/>
            </w14:schemeClr>
          </w14:solidFill>
        </w14:textFill>
      </w:rPr>
      <w:tblPr/>
    </w:tblStylePr>
    <w:tblStylePr w:type="band1Vert">
      <w:tblPr/>
      <w:tcPr>
        <w:shd w:val="clear" w:color="EFD3D2" w:themeColor="accent2" w:themeTint="40" w:fill="EFD3D2" w:themeFill="accent2" w:themeFillTint="40"/>
      </w:tcPr>
    </w:tblStylePr>
    <w:tblStylePr w:type="band2Vert">
      <w:tbl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bl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19">
    <w:name w:val="List Table 6 Colorful - Accent 3"/>
    <w:basedOn w:val="17"/>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bl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bl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Pr/>
    </w:tblStylePr>
    <w:tblStylePr w:type="lastCol">
      <w:rPr>
        <w:b/>
        <w:color w:val="C3D69B" w:themeColor="accent3" w:themeTint="99"/>
        <w14:textFill>
          <w14:solidFill>
            <w14:schemeClr w14:val="accent3">
              <w14:lumMod w14:val="60000"/>
              <w14:lumOff w14:val="40000"/>
            </w14:schemeClr>
          </w14:solidFill>
        </w14:textFill>
      </w:rPr>
      <w:tblPr/>
    </w:tblStylePr>
    <w:tblStylePr w:type="band1Vert">
      <w:tblPr/>
      <w:tcPr>
        <w:shd w:val="clear" w:color="E5EDD5" w:themeColor="accent3" w:themeTint="40" w:fill="E5EDD5" w:themeFill="accent3" w:themeFillTint="40"/>
      </w:tcPr>
    </w:tblStylePr>
    <w:tblStylePr w:type="band2Vert">
      <w:tbl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bl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20">
    <w:name w:val="List Table 6 Colorful - Accent 4"/>
    <w:basedOn w:val="17"/>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bl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bl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Pr/>
    </w:tblStylePr>
    <w:tblStylePr w:type="lastCol">
      <w:rPr>
        <w:b/>
        <w:color w:val="B3A2C7" w:themeColor="accent4" w:themeTint="99"/>
        <w14:textFill>
          <w14:solidFill>
            <w14:schemeClr w14:val="accent4">
              <w14:lumMod w14:val="60000"/>
              <w14:lumOff w14:val="40000"/>
            </w14:schemeClr>
          </w14:solidFill>
        </w14:textFill>
      </w:rPr>
      <w:tblPr/>
    </w:tblStylePr>
    <w:tblStylePr w:type="band1Vert">
      <w:tblPr/>
      <w:tcPr>
        <w:shd w:val="clear" w:color="DFD8E7" w:themeColor="accent4" w:themeTint="40" w:fill="DFD8E7" w:themeFill="accent4" w:themeFillTint="40"/>
      </w:tcPr>
    </w:tblStylePr>
    <w:tblStylePr w:type="band2Vert">
      <w:tbl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bl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21">
    <w:name w:val="List Table 6 Colorful - Accent 5"/>
    <w:basedOn w:val="17"/>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bl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bl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Pr/>
    </w:tblStylePr>
    <w:tblStylePr w:type="lastCol">
      <w:rPr>
        <w:b/>
        <w:color w:val="93CDDD" w:themeColor="accent5" w:themeTint="99"/>
        <w14:textFill>
          <w14:solidFill>
            <w14:schemeClr w14:val="accent5">
              <w14:lumMod w14:val="60000"/>
              <w14:lumOff w14:val="40000"/>
            </w14:schemeClr>
          </w14:solidFill>
        </w14:textFill>
      </w:rPr>
      <w:tblPr/>
    </w:tblStylePr>
    <w:tblStylePr w:type="band1Vert">
      <w:tblPr/>
      <w:tcPr>
        <w:shd w:val="clear" w:color="D1EAF0" w:themeColor="accent5" w:themeTint="40" w:fill="D1EAF0" w:themeFill="accent5" w:themeFillTint="40"/>
      </w:tcPr>
    </w:tblStylePr>
    <w:tblStylePr w:type="band2Vert">
      <w:tbl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bl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22">
    <w:name w:val="List Table 6 Colorful - Accent 6"/>
    <w:basedOn w:val="17"/>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bl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bl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Pr/>
    </w:tblStylePr>
    <w:tblStylePr w:type="lastCol">
      <w:rPr>
        <w:b/>
        <w:color w:val="FAC090" w:themeColor="accent6" w:themeTint="99"/>
        <w14:textFill>
          <w14:solidFill>
            <w14:schemeClr w14:val="accent6">
              <w14:lumMod w14:val="60000"/>
              <w14:lumOff w14:val="40000"/>
            </w14:schemeClr>
          </w14:solidFill>
        </w14:textFill>
      </w:rPr>
      <w:tblPr/>
    </w:tblStylePr>
    <w:tblStylePr w:type="band1Vert">
      <w:tblPr/>
      <w:tcPr>
        <w:shd w:val="clear" w:color="FCE4D0" w:themeColor="accent6" w:themeTint="40" w:fill="FCE4D0" w:themeFill="accent6" w:themeFillTint="40"/>
      </w:tcPr>
    </w:tblStylePr>
    <w:tblStylePr w:type="band2Vert">
      <w:tbl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bl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23">
    <w:name w:val="List Table 7 Colorful"/>
    <w:basedOn w:val="1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single" w:color="7E7E7E" w:themeColor="text1" w:themeTint="80" w:sz="4" w:space="0"/>
          <w:bottom w:val="nil"/>
          <w:right w:val="nil"/>
        </w:tcBorders>
        <w:shd w:val="clear" w:color="FFFFFF" w:fill="auto"/>
      </w:tc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24">
    <w:name w:val="List Table 7 Colorful - Accent 1"/>
    <w:basedOn w:val="17"/>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bl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bl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bl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blPr/>
      <w:tcPr>
        <w:tcBorders>
          <w:top w:val="nil"/>
          <w:left w:val="single" w:color="4F81BD" w:themeColor="accent1" w:sz="4" w:space="0"/>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2Vert">
      <w:tblPr/>
    </w:tblStylePr>
    <w:tblStylePr w:type="band1Horz">
      <w:rPr>
        <w:rFonts w:ascii="Arial" w:hAnsi="Arial"/>
        <w:color w:val="2A4B71" w:themeColor="accent1" w:themeShade="94"/>
        <w:sz w:val="22"/>
      </w:rPr>
      <w:tblPr/>
      <w:tcPr>
        <w:shd w:val="clear" w:color="D2DFEE" w:themeColor="accent1" w:themeTint="40" w:fill="D2DFEE" w:themeFill="accent1" w:themeFillTint="40"/>
      </w:tcPr>
    </w:tblStylePr>
    <w:tblStylePr w:type="band2Horz">
      <w:rPr>
        <w:rFonts w:ascii="Arial" w:hAnsi="Arial"/>
        <w:color w:val="2A4B71" w:themeColor="accent1" w:themeShade="94"/>
        <w:sz w:val="22"/>
      </w:rPr>
      <w:tblPr/>
    </w:tblStylePr>
    <w:tblStylePr w:type="neCell">
      <w:tblPr/>
    </w:tblStylePr>
    <w:tblStylePr w:type="nwCell">
      <w:tblPr/>
    </w:tblStylePr>
    <w:tblStylePr w:type="seCell">
      <w:tblPr/>
    </w:tblStylePr>
    <w:tblStylePr w:type="swCell">
      <w:tblPr/>
    </w:tblStylePr>
  </w:style>
  <w:style w:type="table" w:customStyle="1" w:styleId="125">
    <w:name w:val="List Table 7 Colorful - Accent 2"/>
    <w:basedOn w:val="17"/>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bl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bl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bl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blPr/>
      <w:tcPr>
        <w:tcBorders>
          <w:top w:val="nil"/>
          <w:left w:val="single" w:color="D99795" w:themeColor="accent2" w:themeTint="97" w:sz="4" w:space="0"/>
          <w:bottom w:val="nil"/>
          <w:right w:val="nil"/>
        </w:tcBorders>
        <w:shd w:val="clear" w:color="FFFFFF" w:fill="auto"/>
      </w:tcPr>
    </w:tblStylePr>
    <w:tblStylePr w:type="band1Vert">
      <w:tblPr/>
      <w:tcPr>
        <w:shd w:val="clear" w:color="EFD3D2" w:themeColor="accent2" w:themeTint="40" w:fill="EFD3D2" w:themeFill="accent2" w:themeFillTint="40"/>
      </w:tcPr>
    </w:tblStylePr>
    <w:tblStylePr w:type="band2Vert">
      <w:tbl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bl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26">
    <w:name w:val="List Table 7 Colorful - Accent 3"/>
    <w:basedOn w:val="17"/>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bl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bl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bl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blPr/>
      <w:tcPr>
        <w:tcBorders>
          <w:top w:val="nil"/>
          <w:left w:val="single" w:color="C3D69C" w:themeColor="accent3" w:themeTint="98" w:sz="4" w:space="0"/>
          <w:bottom w:val="nil"/>
          <w:right w:val="nil"/>
        </w:tcBorders>
        <w:shd w:val="clear" w:color="FFFFFF" w:fill="auto"/>
      </w:tcPr>
    </w:tblStylePr>
    <w:tblStylePr w:type="band1Vert">
      <w:tblPr/>
      <w:tcPr>
        <w:shd w:val="clear" w:color="E5EDD5" w:themeColor="accent3" w:themeTint="40" w:fill="E5EDD5" w:themeFill="accent3" w:themeFillTint="40"/>
      </w:tcPr>
    </w:tblStylePr>
    <w:tblStylePr w:type="band2Vert">
      <w:tbl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bl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27">
    <w:name w:val="List Table 7 Colorful - Accent 4"/>
    <w:basedOn w:val="17"/>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bl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bl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bl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blPr/>
      <w:tcPr>
        <w:tcBorders>
          <w:top w:val="nil"/>
          <w:left w:val="single" w:color="B2A1C6" w:themeColor="accent4" w:themeTint="9A" w:sz="4" w:space="0"/>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2Vert">
      <w:tbl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bl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28">
    <w:name w:val="List Table 7 Colorful - Accent 5"/>
    <w:basedOn w:val="17"/>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bl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bl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bl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blPr/>
      <w:tcPr>
        <w:tcBorders>
          <w:top w:val="nil"/>
          <w:left w:val="single" w:color="92CCDC" w:themeColor="accent5" w:themeTint="9A" w:sz="4" w:space="0"/>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2Vert">
      <w:tbl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bl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29">
    <w:name w:val="List Table 7 Colorful - Accent 6"/>
    <w:basedOn w:val="17"/>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bl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bl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bl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blPr/>
      <w:tcPr>
        <w:tcBorders>
          <w:top w:val="nil"/>
          <w:left w:val="single" w:color="FAC090" w:themeColor="accent6" w:themeTint="98" w:sz="4" w:space="0"/>
          <w:bottom w:val="nil"/>
          <w:right w:val="nil"/>
        </w:tcBorders>
        <w:shd w:val="clear" w:color="FFFFFF" w:fill="auto"/>
      </w:tcPr>
    </w:tblStylePr>
    <w:tblStylePr w:type="band1Vert">
      <w:tblPr/>
      <w:tcPr>
        <w:shd w:val="clear" w:color="FCE4D0" w:themeColor="accent6" w:themeTint="40" w:fill="FCE4D0" w:themeFill="accent6" w:themeFillTint="40"/>
      </w:tcPr>
    </w:tblStylePr>
    <w:tblStylePr w:type="band2Vert">
      <w:tbl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bl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0">
    <w:name w:val="Lined - Accent"/>
    <w:basedOn w:val="17"/>
    <w:qFormat/>
    <w:uiPriority w:val="99"/>
    <w:pPr>
      <w:spacing w:after="0" w:line="240" w:lineRule="auto"/>
    </w:pPr>
    <w:rPr>
      <w:color w:val="404040"/>
    </w:rPr>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31">
    <w:name w:val="Lined - Accent 1"/>
    <w:basedOn w:val="17"/>
    <w:qFormat/>
    <w:uiPriority w:val="99"/>
    <w:pPr>
      <w:spacing w:after="0" w:line="240" w:lineRule="auto"/>
    </w:pPr>
    <w:rPr>
      <w:color w:val="404040"/>
    </w:rPr>
    <w:tblPr/>
    <w:tblStylePr w:type="firstRow">
      <w:rPr>
        <w:rFonts w:ascii="Arial" w:hAnsi="Arial"/>
        <w:color w:val="F2F2F2"/>
        <w:sz w:val="22"/>
      </w:rPr>
      <w:tblPr/>
      <w:tcPr>
        <w:shd w:val="clear" w:color="5D8BC2" w:themeColor="accent1" w:themeTint="EA" w:fill="5D8BC2" w:themeFill="accent1" w:themeFillTint="EA"/>
      </w:tcPr>
    </w:tblStylePr>
    <w:tblStylePr w:type="lastRow">
      <w:rPr>
        <w:rFonts w:ascii="Arial" w:hAnsi="Arial"/>
        <w:color w:val="F2F2F2"/>
        <w:sz w:val="22"/>
      </w:rPr>
      <w:tblPr/>
      <w:tcPr>
        <w:shd w:val="clear" w:color="5D8BC2" w:themeColor="accent1" w:themeTint="EA" w:fill="5D8BC2" w:themeFill="accent1" w:themeFillTint="EA"/>
      </w:tcPr>
    </w:tblStylePr>
    <w:tblStylePr w:type="firstCol">
      <w:rPr>
        <w:rFonts w:ascii="Arial" w:hAnsi="Arial"/>
        <w:color w:val="F2F2F2"/>
        <w:sz w:val="22"/>
      </w:rPr>
      <w:tblPr/>
      <w:tcPr>
        <w:shd w:val="clear" w:color="5D8BC2" w:themeColor="accent1" w:themeTint="EA" w:fill="5D8BC2" w:themeFill="accent1" w:themeFillTint="EA"/>
      </w:tcPr>
    </w:tblStylePr>
    <w:tblStylePr w:type="lastCol">
      <w:rPr>
        <w:rFonts w:ascii="Arial" w:hAnsi="Arial"/>
        <w:color w:val="F2F2F2"/>
        <w:sz w:val="22"/>
      </w:rPr>
      <w:tblPr/>
      <w:tcPr>
        <w:shd w:val="clear" w:color="5D8BC2" w:themeColor="accent1" w:themeTint="EA" w:fill="5D8BC2"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7D7EA" w:themeColor="accent1" w:themeTint="50" w:fill="C7D7EA" w:themeFill="accent1" w:themeFillTint="50"/>
      </w:tcPr>
    </w:tblStylePr>
    <w:tblStylePr w:type="neCell">
      <w:tblPr/>
    </w:tblStylePr>
    <w:tblStylePr w:type="nwCell">
      <w:tblPr/>
    </w:tblStylePr>
    <w:tblStylePr w:type="seCell">
      <w:tblPr/>
    </w:tblStylePr>
    <w:tblStylePr w:type="swCell">
      <w:tblPr/>
    </w:tblStylePr>
  </w:style>
  <w:style w:type="table" w:customStyle="1" w:styleId="132">
    <w:name w:val="Lined - Accent 2"/>
    <w:basedOn w:val="17"/>
    <w:qFormat/>
    <w:uiPriority w:val="99"/>
    <w:pPr>
      <w:spacing w:after="0" w:line="240" w:lineRule="auto"/>
    </w:pPr>
    <w:rPr>
      <w:color w:val="404040"/>
    </w:rPr>
    <w:tblPr/>
    <w:tblStylePr w:type="firstRow">
      <w:rPr>
        <w:rFonts w:ascii="Arial" w:hAnsi="Arial"/>
        <w:color w:val="F2F2F2"/>
        <w:sz w:val="22"/>
      </w:rPr>
      <w:tblPr/>
      <w:tcPr>
        <w:shd w:val="clear" w:color="D99795" w:themeColor="accent2" w:themeTint="97" w:fill="D99795" w:themeFill="accent2" w:themeFillTint="97"/>
      </w:tcPr>
    </w:tblStylePr>
    <w:tblStylePr w:type="lastRow">
      <w:rPr>
        <w:rFonts w:ascii="Arial" w:hAnsi="Arial"/>
        <w:color w:val="F2F2F2"/>
        <w:sz w:val="22"/>
      </w:rPr>
      <w:tblPr/>
      <w:tcPr>
        <w:shd w:val="clear" w:color="D99795" w:themeColor="accent2" w:themeTint="97" w:fill="D99795" w:themeFill="accent2" w:themeFillTint="97"/>
      </w:tcPr>
    </w:tblStylePr>
    <w:tblStylePr w:type="firstCol">
      <w:rPr>
        <w:rFonts w:ascii="Arial" w:hAnsi="Arial"/>
        <w:color w:val="F2F2F2"/>
        <w:sz w:val="22"/>
      </w:rPr>
      <w:tblPr/>
      <w:tcPr>
        <w:shd w:val="clear" w:color="D99795" w:themeColor="accent2" w:themeTint="97" w:fill="D99795" w:themeFill="accent2" w:themeFillTint="97"/>
      </w:tcPr>
    </w:tblStylePr>
    <w:tblStylePr w:type="lastCol">
      <w:rPr>
        <w:rFonts w:ascii="Arial" w:hAnsi="Arial"/>
        <w:color w:val="F2F2F2"/>
        <w:sz w:val="22"/>
      </w:rPr>
      <w:tblPr/>
      <w:tcPr>
        <w:shd w:val="clear" w:color="D99795" w:themeColor="accent2" w:themeTint="97" w:fill="D9979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2DCDC" w:themeColor="accent2" w:themeTint="32" w:fill="F2DCDC" w:themeFill="accent2" w:themeFillTint="32"/>
      </w:tcPr>
    </w:tblStylePr>
    <w:tblStylePr w:type="neCell">
      <w:tblPr/>
    </w:tblStylePr>
    <w:tblStylePr w:type="nwCell">
      <w:tblPr/>
    </w:tblStylePr>
    <w:tblStylePr w:type="seCell">
      <w:tblPr/>
    </w:tblStylePr>
    <w:tblStylePr w:type="swCell">
      <w:tblPr/>
    </w:tblStylePr>
  </w:style>
  <w:style w:type="table" w:customStyle="1" w:styleId="133">
    <w:name w:val="Lined - Accent 3"/>
    <w:basedOn w:val="17"/>
    <w:qFormat/>
    <w:uiPriority w:val="99"/>
    <w:pPr>
      <w:spacing w:after="0" w:line="240" w:lineRule="auto"/>
    </w:pPr>
    <w:rPr>
      <w:color w:val="404040"/>
    </w:rPr>
    <w:tblPr/>
    <w:tblStylePr w:type="firstRow">
      <w:rPr>
        <w:rFonts w:ascii="Arial" w:hAnsi="Arial"/>
        <w:color w:val="F2F2F2"/>
        <w:sz w:val="22"/>
      </w:rPr>
      <w:tblPr/>
      <w:tcPr>
        <w:shd w:val="clear" w:color="9BBB59" w:themeColor="accent3" w:themeTint="FE" w:fill="9BBB59" w:themeFill="accent3" w:themeFillTint="FE"/>
      </w:tcPr>
    </w:tblStylePr>
    <w:tblStylePr w:type="lastRow">
      <w:rPr>
        <w:rFonts w:ascii="Arial" w:hAnsi="Arial"/>
        <w:color w:val="F2F2F2"/>
        <w:sz w:val="22"/>
      </w:rPr>
      <w:tblPr/>
      <w:tcPr>
        <w:shd w:val="clear" w:color="9BBB59" w:themeColor="accent3" w:themeTint="FE" w:fill="9BBB59" w:themeFill="accent3" w:themeFillTint="FE"/>
      </w:tcPr>
    </w:tblStylePr>
    <w:tblStylePr w:type="firstCol">
      <w:rPr>
        <w:rFonts w:ascii="Arial" w:hAnsi="Arial"/>
        <w:color w:val="F2F2F2"/>
        <w:sz w:val="22"/>
      </w:rPr>
      <w:tblPr/>
      <w:tcPr>
        <w:shd w:val="clear" w:color="9BBB59" w:themeColor="accent3" w:themeTint="FE" w:fill="9BBB59" w:themeFill="accent3" w:themeFillTint="FE"/>
      </w:tcPr>
    </w:tblStylePr>
    <w:tblStylePr w:type="lastCol">
      <w:rPr>
        <w:rFonts w:ascii="Arial" w:hAnsi="Arial"/>
        <w:color w:val="F2F2F2"/>
        <w:sz w:val="22"/>
      </w:rPr>
      <w:tblPr/>
      <w:tcPr>
        <w:shd w:val="clear" w:color="9BBB59" w:themeColor="accent3" w:themeTint="FE" w:fill="9BBB59"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AF1DD" w:themeColor="accent3" w:themeTint="34" w:fill="EAF1DD"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AF1DD" w:themeColor="accent3" w:themeTint="34" w:fill="EAF1DD" w:themeFill="accent3" w:themeFillTint="34"/>
      </w:tcPr>
    </w:tblStylePr>
    <w:tblStylePr w:type="neCell">
      <w:tblPr/>
    </w:tblStylePr>
    <w:tblStylePr w:type="nwCell">
      <w:tblPr/>
    </w:tblStylePr>
    <w:tblStylePr w:type="seCell">
      <w:tblPr/>
    </w:tblStylePr>
    <w:tblStylePr w:type="swCell">
      <w:tblPr/>
    </w:tblStylePr>
  </w:style>
  <w:style w:type="table" w:customStyle="1" w:styleId="134">
    <w:name w:val="Lined - Accent 4"/>
    <w:basedOn w:val="17"/>
    <w:qFormat/>
    <w:uiPriority w:val="99"/>
    <w:pPr>
      <w:spacing w:after="0" w:line="240" w:lineRule="auto"/>
    </w:pPr>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5DFEC" w:themeColor="accent4" w:themeTint="34" w:fill="E5DFEC" w:themeFill="accent4" w:themeFillTint="34"/>
      </w:tcPr>
    </w:tblStylePr>
    <w:tblStylePr w:type="neCell">
      <w:tblPr/>
    </w:tblStylePr>
    <w:tblStylePr w:type="nwCell">
      <w:tblPr/>
    </w:tblStylePr>
    <w:tblStylePr w:type="seCell">
      <w:tblPr/>
    </w:tblStylePr>
    <w:tblStylePr w:type="swCell">
      <w:tblPr/>
    </w:tblStylePr>
  </w:style>
  <w:style w:type="table" w:customStyle="1" w:styleId="135">
    <w:name w:val="Lined - Accent 5"/>
    <w:basedOn w:val="17"/>
    <w:qFormat/>
    <w:uiPriority w:val="99"/>
    <w:pPr>
      <w:spacing w:after="0" w:line="240" w:lineRule="auto"/>
    </w:pPr>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AEEF3" w:themeColor="accent5" w:themeTint="34" w:fill="DAEEF3" w:themeFill="accent5" w:themeFillTint="34"/>
      </w:tcPr>
    </w:tblStylePr>
    <w:tblStylePr w:type="neCell">
      <w:tblPr/>
    </w:tblStylePr>
    <w:tblStylePr w:type="nwCell">
      <w:tblPr/>
    </w:tblStylePr>
    <w:tblStylePr w:type="seCell">
      <w:tblPr/>
    </w:tblStylePr>
    <w:tblStylePr w:type="swCell">
      <w:tblPr/>
    </w:tblStylePr>
  </w:style>
  <w:style w:type="table" w:customStyle="1" w:styleId="136">
    <w:name w:val="Lined - Accent 6"/>
    <w:basedOn w:val="17"/>
    <w:qFormat/>
    <w:uiPriority w:val="99"/>
    <w:pPr>
      <w:spacing w:after="0" w:line="240" w:lineRule="auto"/>
    </w:pPr>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FDE9D9" w:themeColor="accent6" w:themeTint="34" w:fill="FDE9D9"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DE9D9" w:themeColor="accent6" w:themeTint="34" w:fill="FDE9D9" w:themeFill="accent6" w:themeFillTint="34"/>
      </w:tcPr>
    </w:tblStylePr>
    <w:tblStylePr w:type="neCell">
      <w:tblPr/>
    </w:tblStylePr>
    <w:tblStylePr w:type="nwCell">
      <w:tblPr/>
    </w:tblStylePr>
    <w:tblStylePr w:type="seCell">
      <w:tblPr/>
    </w:tblStylePr>
    <w:tblStylePr w:type="swCell">
      <w:tblPr/>
    </w:tblStylePr>
  </w:style>
  <w:style w:type="table" w:customStyle="1" w:styleId="137">
    <w:name w:val="Bordered &amp; Lined - Accent"/>
    <w:basedOn w:val="1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38">
    <w:name w:val="Bordered &amp; Lined - Accent 1"/>
    <w:basedOn w:val="17"/>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blPr/>
      <w:tcPr>
        <w:shd w:val="clear" w:color="5D8BC2" w:themeColor="accent1" w:themeTint="EA" w:fill="5D8BC2" w:themeFill="accent1" w:themeFillTint="EA"/>
      </w:tcPr>
    </w:tblStylePr>
    <w:tblStylePr w:type="lastRow">
      <w:rPr>
        <w:rFonts w:ascii="Arial" w:hAnsi="Arial"/>
        <w:color w:val="F2F2F2"/>
        <w:sz w:val="22"/>
      </w:rPr>
      <w:tblPr/>
      <w:tcPr>
        <w:shd w:val="clear" w:color="5D8BC2" w:themeColor="accent1" w:themeTint="EA" w:fill="5D8BC2" w:themeFill="accent1" w:themeFillTint="EA"/>
      </w:tcPr>
    </w:tblStylePr>
    <w:tblStylePr w:type="firstCol">
      <w:rPr>
        <w:rFonts w:ascii="Arial" w:hAnsi="Arial"/>
        <w:color w:val="F2F2F2"/>
        <w:sz w:val="22"/>
      </w:rPr>
      <w:tblPr/>
      <w:tcPr>
        <w:shd w:val="clear" w:color="5D8BC2" w:themeColor="accent1" w:themeTint="EA" w:fill="5D8BC2" w:themeFill="accent1" w:themeFillTint="EA"/>
      </w:tcPr>
    </w:tblStylePr>
    <w:tblStylePr w:type="lastCol">
      <w:rPr>
        <w:rFonts w:ascii="Arial" w:hAnsi="Arial"/>
        <w:color w:val="F2F2F2"/>
        <w:sz w:val="22"/>
      </w:rPr>
      <w:tblPr/>
      <w:tcPr>
        <w:shd w:val="clear" w:color="5D8BC2" w:themeColor="accent1" w:themeTint="EA" w:fill="5D8BC2"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7D7EA" w:themeColor="accent1" w:themeTint="50" w:fill="C7D7EA" w:themeFill="accent1" w:themeFillTint="50"/>
      </w:tcPr>
    </w:tblStylePr>
    <w:tblStylePr w:type="neCell">
      <w:tblPr/>
    </w:tblStylePr>
    <w:tblStylePr w:type="nwCell">
      <w:tblPr/>
    </w:tblStylePr>
    <w:tblStylePr w:type="seCell">
      <w:tblPr/>
    </w:tblStylePr>
    <w:tblStylePr w:type="swCell">
      <w:tblPr/>
    </w:tblStylePr>
  </w:style>
  <w:style w:type="table" w:customStyle="1" w:styleId="139">
    <w:name w:val="Bordered &amp; Lined - Accent 2"/>
    <w:basedOn w:val="17"/>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blPr/>
      <w:tcPr>
        <w:shd w:val="clear" w:color="D99795" w:themeColor="accent2" w:themeTint="97" w:fill="D99795" w:themeFill="accent2" w:themeFillTint="97"/>
      </w:tcPr>
    </w:tblStylePr>
    <w:tblStylePr w:type="lastRow">
      <w:rPr>
        <w:rFonts w:ascii="Arial" w:hAnsi="Arial"/>
        <w:color w:val="F2F2F2"/>
        <w:sz w:val="22"/>
      </w:rPr>
      <w:tblPr/>
      <w:tcPr>
        <w:shd w:val="clear" w:color="D99795" w:themeColor="accent2" w:themeTint="97" w:fill="D99795" w:themeFill="accent2" w:themeFillTint="97"/>
      </w:tcPr>
    </w:tblStylePr>
    <w:tblStylePr w:type="firstCol">
      <w:rPr>
        <w:rFonts w:ascii="Arial" w:hAnsi="Arial"/>
        <w:color w:val="F2F2F2"/>
        <w:sz w:val="22"/>
      </w:rPr>
      <w:tblPr/>
      <w:tcPr>
        <w:shd w:val="clear" w:color="D99795" w:themeColor="accent2" w:themeTint="97" w:fill="D99795" w:themeFill="accent2" w:themeFillTint="97"/>
      </w:tcPr>
    </w:tblStylePr>
    <w:tblStylePr w:type="lastCol">
      <w:rPr>
        <w:rFonts w:ascii="Arial" w:hAnsi="Arial"/>
        <w:color w:val="F2F2F2"/>
        <w:sz w:val="22"/>
      </w:rPr>
      <w:tblPr/>
      <w:tcPr>
        <w:shd w:val="clear" w:color="D99795" w:themeColor="accent2" w:themeTint="97" w:fill="D9979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2DCDC" w:themeColor="accent2" w:themeTint="32" w:fill="F2DCDC" w:themeFill="accent2" w:themeFillTint="32"/>
      </w:tcPr>
    </w:tblStylePr>
    <w:tblStylePr w:type="neCell">
      <w:tblPr/>
    </w:tblStylePr>
    <w:tblStylePr w:type="nwCell">
      <w:tblPr/>
    </w:tblStylePr>
    <w:tblStylePr w:type="seCell">
      <w:tblPr/>
    </w:tblStylePr>
    <w:tblStylePr w:type="swCell">
      <w:tblPr/>
    </w:tblStylePr>
  </w:style>
  <w:style w:type="table" w:customStyle="1" w:styleId="140">
    <w:name w:val="Bordered &amp; Lined - Accent 3"/>
    <w:basedOn w:val="17"/>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blPr/>
      <w:tcPr>
        <w:shd w:val="clear" w:color="9BBB59" w:themeColor="accent3" w:themeTint="FE" w:fill="9BBB59" w:themeFill="accent3" w:themeFillTint="FE"/>
      </w:tcPr>
    </w:tblStylePr>
    <w:tblStylePr w:type="lastRow">
      <w:rPr>
        <w:rFonts w:ascii="Arial" w:hAnsi="Arial"/>
        <w:color w:val="F2F2F2"/>
        <w:sz w:val="22"/>
      </w:rPr>
      <w:tblPr/>
      <w:tcPr>
        <w:shd w:val="clear" w:color="9BBB59" w:themeColor="accent3" w:themeTint="FE" w:fill="9BBB59" w:themeFill="accent3" w:themeFillTint="FE"/>
      </w:tcPr>
    </w:tblStylePr>
    <w:tblStylePr w:type="firstCol">
      <w:rPr>
        <w:rFonts w:ascii="Arial" w:hAnsi="Arial"/>
        <w:color w:val="F2F2F2"/>
        <w:sz w:val="22"/>
      </w:rPr>
      <w:tblPr/>
      <w:tcPr>
        <w:shd w:val="clear" w:color="9BBB59" w:themeColor="accent3" w:themeTint="FE" w:fill="9BBB59" w:themeFill="accent3" w:themeFillTint="FE"/>
      </w:tcPr>
    </w:tblStylePr>
    <w:tblStylePr w:type="lastCol">
      <w:rPr>
        <w:rFonts w:ascii="Arial" w:hAnsi="Arial"/>
        <w:color w:val="F2F2F2"/>
        <w:sz w:val="22"/>
      </w:rPr>
      <w:tblPr/>
      <w:tcPr>
        <w:shd w:val="clear" w:color="9BBB59" w:themeColor="accent3" w:themeTint="FE" w:fill="9BBB59"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AF1DD" w:themeColor="accent3" w:themeTint="34" w:fill="EAF1DD"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AF1DD" w:themeColor="accent3" w:themeTint="34" w:fill="EAF1DD" w:themeFill="accent3" w:themeFillTint="34"/>
      </w:tcPr>
    </w:tblStylePr>
    <w:tblStylePr w:type="neCell">
      <w:tblPr/>
    </w:tblStylePr>
    <w:tblStylePr w:type="nwCell">
      <w:tblPr/>
    </w:tblStylePr>
    <w:tblStylePr w:type="seCell">
      <w:tblPr/>
    </w:tblStylePr>
    <w:tblStylePr w:type="swCell">
      <w:tblPr/>
    </w:tblStylePr>
  </w:style>
  <w:style w:type="table" w:customStyle="1" w:styleId="141">
    <w:name w:val="Bordered &amp; Lined - Accent 4"/>
    <w:basedOn w:val="17"/>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5DFEC" w:themeColor="accent4" w:themeTint="34" w:fill="E5DFEC" w:themeFill="accent4" w:themeFillTint="34"/>
      </w:tcPr>
    </w:tblStylePr>
    <w:tblStylePr w:type="neCell">
      <w:tblPr/>
    </w:tblStylePr>
    <w:tblStylePr w:type="nwCell">
      <w:tblPr/>
    </w:tblStylePr>
    <w:tblStylePr w:type="seCell">
      <w:tblPr/>
    </w:tblStylePr>
    <w:tblStylePr w:type="swCell">
      <w:tblPr/>
    </w:tblStylePr>
  </w:style>
  <w:style w:type="table" w:customStyle="1" w:styleId="142">
    <w:name w:val="Bordered &amp; Lined - Accent 5"/>
    <w:basedOn w:val="17"/>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AEEF3" w:themeColor="accent5" w:themeTint="34" w:fill="DAEEF3" w:themeFill="accent5" w:themeFillTint="34"/>
      </w:tcPr>
    </w:tblStylePr>
    <w:tblStylePr w:type="neCell">
      <w:tblPr/>
    </w:tblStylePr>
    <w:tblStylePr w:type="nwCell">
      <w:tblPr/>
    </w:tblStylePr>
    <w:tblStylePr w:type="seCell">
      <w:tblPr/>
    </w:tblStylePr>
    <w:tblStylePr w:type="swCell">
      <w:tblPr/>
    </w:tblStylePr>
  </w:style>
  <w:style w:type="table" w:customStyle="1" w:styleId="143">
    <w:name w:val="Bordered &amp; Lined - Accent 6"/>
    <w:basedOn w:val="17"/>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FDE9D9" w:themeColor="accent6" w:themeTint="34" w:fill="FDE9D9"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DE9D9" w:themeColor="accent6" w:themeTint="34" w:fill="FDE9D9" w:themeFill="accent6" w:themeFillTint="34"/>
      </w:tcPr>
    </w:tblStylePr>
    <w:tblStylePr w:type="neCell">
      <w:tblPr/>
    </w:tblStylePr>
    <w:tblStylePr w:type="nwCell">
      <w:tblPr/>
    </w:tblStylePr>
    <w:tblStylePr w:type="seCell">
      <w:tblPr/>
    </w:tblStylePr>
    <w:tblStylePr w:type="swCell">
      <w:tblPr/>
    </w:tblStylePr>
  </w:style>
  <w:style w:type="table" w:customStyle="1" w:styleId="144">
    <w:name w:val="Bordered"/>
    <w:basedOn w:val="1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blPr/>
      <w:tcPr>
        <w:tcBorders>
          <w:bottom w:val="single" w:color="7E7E7E" w:themeColor="text1" w:themeTint="80" w:sz="12" w:space="0"/>
        </w:tcBorders>
      </w:tcPr>
    </w:tblStylePr>
    <w:tblStylePr w:type="lastRow">
      <w:rPr>
        <w:rFonts w:ascii="Arial" w:hAnsi="Arial"/>
        <w:color w:val="404040"/>
        <w:sz w:val="22"/>
      </w:rPr>
      <w:tblPr/>
      <w:tcPr>
        <w:tcBorders>
          <w:top w:val="single" w:color="7E7E7E" w:themeColor="text1" w:themeTint="80"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7E7E7E" w:themeColor="text1" w:themeTint="80"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5">
    <w:name w:val="Bordered - Accent 1"/>
    <w:basedOn w:val="1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blPr/>
      <w:tcPr>
        <w:tcBorders>
          <w:bottom w:val="single" w:color="4F81BD" w:themeColor="accent1" w:sz="12" w:space="0"/>
        </w:tcBorders>
      </w:tcPr>
    </w:tblStylePr>
    <w:tblStylePr w:type="lastRow">
      <w:rPr>
        <w:rFonts w:ascii="Arial" w:hAnsi="Arial"/>
        <w:color w:val="404040"/>
        <w:sz w:val="22"/>
      </w:rPr>
      <w:tblPr/>
      <w:tcPr>
        <w:tcBorders>
          <w:top w:val="single" w:color="4F81BD" w:themeColor="accent1"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4F81BD" w:themeColor="accent1"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6">
    <w:name w:val="Bordered - Accent 2"/>
    <w:basedOn w:val="1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blPr/>
      <w:tcPr>
        <w:tcBorders>
          <w:bottom w:val="single" w:color="D99795" w:themeColor="accent2" w:themeTint="97" w:sz="12" w:space="0"/>
        </w:tcBorders>
      </w:tcPr>
    </w:tblStylePr>
    <w:tblStylePr w:type="lastRow">
      <w:rPr>
        <w:rFonts w:ascii="Arial" w:hAnsi="Arial"/>
        <w:color w:val="404040"/>
        <w:sz w:val="22"/>
      </w:rPr>
      <w:tblPr/>
      <w:tcPr>
        <w:tcBorders>
          <w:top w:val="single" w:color="D99795" w:themeColor="accent2" w:themeTint="97"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D99795" w:themeColor="accent2" w:themeTint="97"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7">
    <w:name w:val="Bordered - Accent 3"/>
    <w:basedOn w:val="1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blPr/>
      <w:tcPr>
        <w:tcBorders>
          <w:bottom w:val="single" w:color="C3D69C" w:themeColor="accent3" w:themeTint="98" w:sz="12" w:space="0"/>
        </w:tcBorders>
      </w:tcPr>
    </w:tblStylePr>
    <w:tblStylePr w:type="lastRow">
      <w:rPr>
        <w:rFonts w:ascii="Arial" w:hAnsi="Arial"/>
        <w:color w:val="404040"/>
        <w:sz w:val="22"/>
      </w:rPr>
      <w:tblPr/>
      <w:tcPr>
        <w:tcBorders>
          <w:top w:val="single" w:color="C3D69C" w:themeColor="accent3"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C3D69C" w:themeColor="accent3"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8">
    <w:name w:val="Bordered - Accent 4"/>
    <w:basedOn w:val="1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blPr/>
      <w:tcPr>
        <w:tcBorders>
          <w:bottom w:val="single" w:color="B2A1C6" w:themeColor="accent4" w:themeTint="9A" w:sz="12" w:space="0"/>
        </w:tcBorders>
      </w:tcPr>
    </w:tblStylePr>
    <w:tblStylePr w:type="lastRow">
      <w:rPr>
        <w:rFonts w:ascii="Arial" w:hAnsi="Arial"/>
        <w:color w:val="404040"/>
        <w:sz w:val="22"/>
      </w:rPr>
      <w:tblPr/>
      <w:tcPr>
        <w:tcBorders>
          <w:top w:val="single" w:color="B2A1C6" w:themeColor="accent4"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B2A1C6" w:themeColor="accent4"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9">
    <w:name w:val="Bordered - Accent 5"/>
    <w:basedOn w:val="1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blPr/>
      <w:tcPr>
        <w:tcBorders>
          <w:bottom w:val="single" w:color="92CCDC" w:themeColor="accent5" w:themeTint="9A" w:sz="12" w:space="0"/>
        </w:tcBorders>
      </w:tcPr>
    </w:tblStylePr>
    <w:tblStylePr w:type="lastRow">
      <w:rPr>
        <w:rFonts w:ascii="Arial" w:hAnsi="Arial"/>
        <w:color w:val="404040"/>
        <w:sz w:val="22"/>
      </w:rPr>
      <w:tblPr/>
      <w:tcPr>
        <w:tcBorders>
          <w:top w:val="single" w:color="92CCDC" w:themeColor="accent5"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92CCDC" w:themeColor="accent5"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50">
    <w:name w:val="Bordered - Accent 6"/>
    <w:basedOn w:val="1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blPr/>
      <w:tcPr>
        <w:tcBorders>
          <w:bottom w:val="single" w:color="FAC090" w:themeColor="accent6" w:themeTint="98" w:sz="12" w:space="0"/>
        </w:tcBorders>
      </w:tcPr>
    </w:tblStylePr>
    <w:tblStylePr w:type="lastRow">
      <w:rPr>
        <w:rFonts w:ascii="Arial" w:hAnsi="Arial"/>
        <w:color w:val="404040"/>
        <w:sz w:val="22"/>
      </w:rPr>
      <w:tblPr/>
      <w:tcPr>
        <w:tcBorders>
          <w:top w:val="single" w:color="FAC090" w:themeColor="accent6"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FAC090" w:themeColor="accent6"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paragraph" w:customStyle="1" w:styleId="151">
    <w:name w:val="Heading 4"/>
    <w:basedOn w:val="1"/>
    <w:next w:val="1"/>
    <w:link w:val="160"/>
    <w:unhideWhenUsed/>
    <w:qFormat/>
    <w:uiPriority w:val="9"/>
    <w:pPr>
      <w:keepNext/>
      <w:keepLines/>
      <w:spacing w:before="80" w:after="40"/>
      <w:outlineLvl w:val="3"/>
    </w:pPr>
    <w:rPr>
      <w:rFonts w:ascii="Arial" w:hAnsi="Arial" w:eastAsia="Arial" w:cs="Arial"/>
      <w:i/>
      <w:iCs/>
      <w:color w:val="376092" w:themeColor="accent1" w:themeShade="BF"/>
    </w:rPr>
  </w:style>
  <w:style w:type="paragraph" w:customStyle="1" w:styleId="152">
    <w:name w:val="Heading 5"/>
    <w:basedOn w:val="1"/>
    <w:next w:val="1"/>
    <w:link w:val="161"/>
    <w:unhideWhenUsed/>
    <w:qFormat/>
    <w:uiPriority w:val="9"/>
    <w:pPr>
      <w:keepNext/>
      <w:keepLines/>
      <w:spacing w:before="80" w:after="40"/>
      <w:outlineLvl w:val="4"/>
    </w:pPr>
    <w:rPr>
      <w:rFonts w:ascii="Arial" w:hAnsi="Arial" w:eastAsia="Arial" w:cs="Arial"/>
      <w:color w:val="376092" w:themeColor="accent1" w:themeShade="BF"/>
    </w:rPr>
  </w:style>
  <w:style w:type="paragraph" w:customStyle="1" w:styleId="153">
    <w:name w:val="Heading 6"/>
    <w:basedOn w:val="1"/>
    <w:next w:val="1"/>
    <w:link w:val="162"/>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customStyle="1" w:styleId="154">
    <w:name w:val="Heading 7"/>
    <w:basedOn w:val="1"/>
    <w:next w:val="1"/>
    <w:link w:val="163"/>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customStyle="1" w:styleId="155">
    <w:name w:val="Heading 8"/>
    <w:basedOn w:val="1"/>
    <w:next w:val="1"/>
    <w:link w:val="164"/>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customStyle="1" w:styleId="156">
    <w:name w:val="Heading 9"/>
    <w:basedOn w:val="1"/>
    <w:next w:val="1"/>
    <w:link w:val="165"/>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57">
    <w:name w:val="Heading 1 Char"/>
    <w:basedOn w:val="19"/>
    <w:qFormat/>
    <w:uiPriority w:val="9"/>
    <w:rPr>
      <w:rFonts w:ascii="Arial" w:hAnsi="Arial" w:eastAsia="Arial" w:cs="Arial"/>
      <w:color w:val="376092" w:themeColor="accent1" w:themeShade="BF"/>
      <w:sz w:val="40"/>
      <w:szCs w:val="40"/>
    </w:rPr>
  </w:style>
  <w:style w:type="character" w:customStyle="1" w:styleId="158">
    <w:name w:val="Heading 2 Char"/>
    <w:basedOn w:val="19"/>
    <w:qFormat/>
    <w:uiPriority w:val="9"/>
    <w:rPr>
      <w:rFonts w:ascii="Arial" w:hAnsi="Arial" w:eastAsia="Arial" w:cs="Arial"/>
      <w:color w:val="376092" w:themeColor="accent1" w:themeShade="BF"/>
      <w:sz w:val="32"/>
      <w:szCs w:val="32"/>
    </w:rPr>
  </w:style>
  <w:style w:type="character" w:customStyle="1" w:styleId="159">
    <w:name w:val="Heading 3 Char"/>
    <w:basedOn w:val="19"/>
    <w:qFormat/>
    <w:uiPriority w:val="9"/>
    <w:rPr>
      <w:rFonts w:ascii="Arial" w:hAnsi="Arial" w:eastAsia="Arial" w:cs="Arial"/>
      <w:color w:val="376092" w:themeColor="accent1" w:themeShade="BF"/>
      <w:sz w:val="28"/>
      <w:szCs w:val="28"/>
    </w:rPr>
  </w:style>
  <w:style w:type="character" w:customStyle="1" w:styleId="160">
    <w:name w:val="Heading 4 Char"/>
    <w:basedOn w:val="19"/>
    <w:link w:val="151"/>
    <w:qFormat/>
    <w:uiPriority w:val="9"/>
    <w:rPr>
      <w:rFonts w:ascii="Arial" w:hAnsi="Arial" w:eastAsia="Arial" w:cs="Arial"/>
      <w:i/>
      <w:iCs/>
      <w:color w:val="376092" w:themeColor="accent1" w:themeShade="BF"/>
    </w:rPr>
  </w:style>
  <w:style w:type="character" w:customStyle="1" w:styleId="161">
    <w:name w:val="Heading 5 Char"/>
    <w:basedOn w:val="19"/>
    <w:link w:val="152"/>
    <w:qFormat/>
    <w:uiPriority w:val="9"/>
    <w:rPr>
      <w:rFonts w:ascii="Arial" w:hAnsi="Arial" w:eastAsia="Arial" w:cs="Arial"/>
      <w:color w:val="376092" w:themeColor="accent1" w:themeShade="BF"/>
    </w:rPr>
  </w:style>
  <w:style w:type="character" w:customStyle="1" w:styleId="162">
    <w:name w:val="Heading 6 Char"/>
    <w:basedOn w:val="19"/>
    <w:link w:val="153"/>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3">
    <w:name w:val="Heading 7 Char"/>
    <w:basedOn w:val="19"/>
    <w:link w:val="154"/>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4">
    <w:name w:val="Heading 8 Char"/>
    <w:basedOn w:val="19"/>
    <w:link w:val="155"/>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5">
    <w:name w:val="Heading 9 Char"/>
    <w:basedOn w:val="19"/>
    <w:link w:val="156"/>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6">
    <w:name w:val="Title Char"/>
    <w:basedOn w:val="19"/>
    <w:link w:val="16"/>
    <w:qFormat/>
    <w:uiPriority w:val="10"/>
    <w:rPr>
      <w:rFonts w:ascii="Arial" w:hAnsi="Arial" w:eastAsia="Arial" w:cs="Arial"/>
      <w:spacing w:val="-10"/>
      <w:sz w:val="56"/>
      <w:szCs w:val="56"/>
    </w:rPr>
  </w:style>
  <w:style w:type="character" w:customStyle="1" w:styleId="167">
    <w:name w:val="Subtitle Char"/>
    <w:basedOn w:val="19"/>
    <w:link w:val="10"/>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68">
    <w:name w:val="Quote"/>
    <w:basedOn w:val="1"/>
    <w:next w:val="1"/>
    <w:link w:val="16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69">
    <w:name w:val="Quote Char"/>
    <w:basedOn w:val="19"/>
    <w:link w:val="168"/>
    <w:qFormat/>
    <w:uiPriority w:val="29"/>
    <w:rPr>
      <w:i/>
      <w:iCs/>
      <w:color w:val="404040" w:themeColor="text1" w:themeTint="BF"/>
      <w14:textFill>
        <w14:solidFill>
          <w14:schemeClr w14:val="tx1">
            <w14:lumMod w14:val="75000"/>
            <w14:lumOff w14:val="25000"/>
          </w14:schemeClr>
        </w14:solidFill>
      </w14:textFill>
    </w:rPr>
  </w:style>
  <w:style w:type="paragraph" w:styleId="170">
    <w:name w:val="List Paragraph"/>
    <w:basedOn w:val="1"/>
    <w:qFormat/>
    <w:uiPriority w:val="34"/>
    <w:pPr>
      <w:ind w:left="720"/>
      <w:contextualSpacing/>
    </w:pPr>
  </w:style>
  <w:style w:type="character" w:customStyle="1" w:styleId="171">
    <w:name w:val="Intense Emphasis"/>
    <w:basedOn w:val="19"/>
    <w:qFormat/>
    <w:uiPriority w:val="21"/>
    <w:rPr>
      <w:i/>
      <w:iCs/>
      <w:color w:val="376092" w:themeColor="accent1" w:themeShade="BF"/>
    </w:rPr>
  </w:style>
  <w:style w:type="paragraph" w:styleId="172">
    <w:name w:val="Intense Quote"/>
    <w:basedOn w:val="1"/>
    <w:next w:val="1"/>
    <w:link w:val="173"/>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73">
    <w:name w:val="Intense Quote Char"/>
    <w:basedOn w:val="19"/>
    <w:link w:val="172"/>
    <w:qFormat/>
    <w:uiPriority w:val="30"/>
    <w:rPr>
      <w:i/>
      <w:iCs/>
      <w:color w:val="376092" w:themeColor="accent1" w:themeShade="BF"/>
    </w:rPr>
  </w:style>
  <w:style w:type="character" w:customStyle="1" w:styleId="174">
    <w:name w:val="Intense Reference"/>
    <w:basedOn w:val="19"/>
    <w:qFormat/>
    <w:uiPriority w:val="32"/>
    <w:rPr>
      <w:b/>
      <w:bCs/>
      <w:smallCaps/>
      <w:color w:val="376092" w:themeColor="accent1" w:themeShade="BF"/>
      <w:spacing w:val="5"/>
    </w:rPr>
  </w:style>
  <w:style w:type="paragraph" w:styleId="175">
    <w:name w:val="No Spacing"/>
    <w:basedOn w:val="1"/>
    <w:qFormat/>
    <w:uiPriority w:val="1"/>
    <w:pPr>
      <w:spacing w:after="0" w:line="240" w:lineRule="auto"/>
    </w:pPr>
  </w:style>
  <w:style w:type="character" w:customStyle="1" w:styleId="176">
    <w:name w:val="Subtle Emphasis"/>
    <w:basedOn w:val="19"/>
    <w:qFormat/>
    <w:uiPriority w:val="19"/>
    <w:rPr>
      <w:i/>
      <w:iCs/>
      <w:color w:val="404040" w:themeColor="text1" w:themeTint="BF"/>
      <w14:textFill>
        <w14:solidFill>
          <w14:schemeClr w14:val="tx1">
            <w14:lumMod w14:val="75000"/>
            <w14:lumOff w14:val="25000"/>
          </w14:schemeClr>
        </w14:solidFill>
      </w14:textFill>
    </w:rPr>
  </w:style>
  <w:style w:type="character" w:customStyle="1" w:styleId="177">
    <w:name w:val="Subtle Reference"/>
    <w:basedOn w:val="19"/>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78">
    <w:name w:val="Book Title"/>
    <w:basedOn w:val="19"/>
    <w:qFormat/>
    <w:uiPriority w:val="33"/>
    <w:rPr>
      <w:b/>
      <w:bCs/>
      <w:i/>
      <w:iCs/>
      <w:spacing w:val="5"/>
    </w:rPr>
  </w:style>
  <w:style w:type="paragraph" w:customStyle="1" w:styleId="179">
    <w:name w:val="Header"/>
    <w:basedOn w:val="1"/>
    <w:link w:val="180"/>
    <w:unhideWhenUsed/>
    <w:qFormat/>
    <w:uiPriority w:val="99"/>
    <w:pPr>
      <w:tabs>
        <w:tab w:val="center" w:pos="4844"/>
        <w:tab w:val="right" w:pos="9689"/>
      </w:tabs>
      <w:spacing w:after="0" w:line="240" w:lineRule="auto"/>
    </w:pPr>
  </w:style>
  <w:style w:type="character" w:customStyle="1" w:styleId="180">
    <w:name w:val="Header Char"/>
    <w:basedOn w:val="19"/>
    <w:link w:val="179"/>
    <w:qFormat/>
    <w:uiPriority w:val="99"/>
  </w:style>
  <w:style w:type="paragraph" w:customStyle="1" w:styleId="181">
    <w:name w:val="Footer"/>
    <w:basedOn w:val="1"/>
    <w:link w:val="182"/>
    <w:unhideWhenUsed/>
    <w:qFormat/>
    <w:uiPriority w:val="99"/>
    <w:pPr>
      <w:tabs>
        <w:tab w:val="center" w:pos="4844"/>
        <w:tab w:val="right" w:pos="9689"/>
      </w:tabs>
      <w:spacing w:after="0" w:line="240" w:lineRule="auto"/>
    </w:pPr>
  </w:style>
  <w:style w:type="character" w:customStyle="1" w:styleId="182">
    <w:name w:val="Footer Char"/>
    <w:basedOn w:val="19"/>
    <w:link w:val="181"/>
    <w:qFormat/>
    <w:uiPriority w:val="99"/>
  </w:style>
  <w:style w:type="paragraph" w:customStyle="1" w:styleId="183">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character" w:customStyle="1" w:styleId="184">
    <w:name w:val="Footnote Text Char"/>
    <w:basedOn w:val="19"/>
    <w:link w:val="11"/>
    <w:semiHidden/>
    <w:qFormat/>
    <w:uiPriority w:val="99"/>
    <w:rPr>
      <w:sz w:val="20"/>
      <w:szCs w:val="20"/>
    </w:rPr>
  </w:style>
  <w:style w:type="character" w:customStyle="1" w:styleId="185">
    <w:name w:val="Endnote Text Char"/>
    <w:basedOn w:val="19"/>
    <w:link w:val="7"/>
    <w:semiHidden/>
    <w:qFormat/>
    <w:uiPriority w:val="99"/>
    <w:rPr>
      <w:sz w:val="20"/>
      <w:szCs w:val="20"/>
    </w:rPr>
  </w:style>
  <w:style w:type="character" w:styleId="186">
    <w:name w:val="Placeholder Text"/>
    <w:basedOn w:val="19"/>
    <w:semiHidden/>
    <w:qFormat/>
    <w:uiPriority w:val="99"/>
    <w:rPr>
      <w:color w:val="666666"/>
    </w:rPr>
  </w:style>
  <w:style w:type="paragraph" w:customStyle="1" w:styleId="187">
    <w:name w:val="TOC Heading"/>
    <w:unhideWhenUsed/>
    <w:qFormat/>
    <w:uiPriority w:val="39"/>
    <w:rPr>
      <w:rFonts w:hint="default" w:ascii="Times New Roman" w:hAnsi="Times New Roman" w:eastAsia="宋体" w:cs="Times New Roman"/>
      <w:lang w:val="en-US" w:eastAsia="en-US" w:bidi="ar-SA"/>
    </w:rPr>
  </w:style>
  <w:style w:type="paragraph" w:customStyle="1" w:styleId="188">
    <w:name w:val="Heading 1"/>
    <w:basedOn w:val="1"/>
    <w:next w:val="1"/>
    <w:qFormat/>
    <w:uiPriority w:val="0"/>
    <w:pPr>
      <w:keepNext/>
      <w:spacing w:before="240" w:after="60"/>
      <w:outlineLvl w:val="0"/>
    </w:pPr>
    <w:rPr>
      <w:rFonts w:ascii="Arial" w:hAnsi="Arial" w:cs="Arial"/>
      <w:b/>
      <w:bCs/>
      <w:sz w:val="32"/>
      <w:szCs w:val="32"/>
    </w:rPr>
  </w:style>
  <w:style w:type="paragraph" w:customStyle="1" w:styleId="189">
    <w:name w:val="Heading 2"/>
    <w:basedOn w:val="1"/>
    <w:next w:val="1"/>
    <w:qFormat/>
    <w:uiPriority w:val="0"/>
    <w:pPr>
      <w:keepNext/>
      <w:spacing w:before="240" w:after="60"/>
      <w:outlineLvl w:val="1"/>
    </w:pPr>
    <w:rPr>
      <w:rFonts w:ascii="Arial" w:hAnsi="Arial" w:cs="Arial"/>
      <w:b/>
      <w:bCs/>
      <w:i/>
      <w:iCs/>
      <w:sz w:val="28"/>
      <w:szCs w:val="28"/>
    </w:rPr>
  </w:style>
  <w:style w:type="paragraph" w:customStyle="1" w:styleId="190">
    <w:name w:val="Heading 3"/>
    <w:basedOn w:val="1"/>
    <w:next w:val="1"/>
    <w:qFormat/>
    <w:uiPriority w:val="0"/>
    <w:pPr>
      <w:keepNext/>
      <w:spacing w:before="240" w:after="60"/>
      <w:outlineLvl w:val="2"/>
    </w:pPr>
    <w:rPr>
      <w:rFonts w:ascii="Arial" w:hAnsi="Arial" w:cs="Arial"/>
      <w:b/>
      <w:bCs/>
      <w:sz w:val="26"/>
      <w:szCs w:val="26"/>
    </w:rPr>
  </w:style>
  <w:style w:type="table" w:customStyle="1" w:styleId="191">
    <w:name w:val="table"/>
    <w:basedOn w:val="17"/>
    <w:qFormat/>
    <w:uiPriority w:val="0"/>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paragraph" w:customStyle="1" w:styleId="192">
    <w:name w:val="MsoNormal"/>
    <w:basedOn w:val="1"/>
    <w:qFormat/>
    <w:uiPriority w:val="0"/>
  </w:style>
  <w:style w:type="paragraph" w:customStyle="1" w:styleId="193">
    <w:name w:val="15"/>
    <w:basedOn w:val="1"/>
    <w:qFormat/>
    <w:uiPriority w:val="0"/>
  </w:style>
  <w:style w:type="table" w:customStyle="1" w:styleId="194">
    <w:name w:val="_Style 23"/>
    <w:qFormat/>
    <w:uiPriority w:val="0"/>
    <w:rPr>
      <w:rFonts w:eastAsia="Calibri"/>
      <w:sz w:val="21"/>
      <w:szCs w:val="21"/>
    </w:rPr>
    <w:tblPr>
      <w:tblCellMar>
        <w:left w:w="108"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Pages>42</Pages>
  <Words>56</Words>
  <Characters>82</Characters>
  <TotalTime>12</TotalTime>
  <ScaleCrop>false</ScaleCrop>
  <LinksUpToDate>false</LinksUpToDate>
  <CharactersWithSpaces>84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2026-07-01T00:25:00Z</dcterms:created>
  <dc:creator>suma</dc:creator>
  <cp:lastModifiedBy>F&amp;F</cp:lastModifiedBy>
  <dcterms:modified xsi:type="dcterms:W3CDTF">2026-09-24T08:28:46Z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EA07A028D14F412EB65F1F4AC416568B_13</vt:lpwstr>
  </property>
  <property fmtid="{D5CDD505-2E9C-101B-9397-08002B2CF9AE}" pid="3" name="KSOProductBuildVer">
    <vt:lpwstr>2052-12.1.0.29161</vt:lpwstr>
  </property>
  <property fmtid="{D5CDD505-2E9C-101B-9397-08002B2CF9AE}" pid="4" name="KSOTemplateDocerSaveRecord">
    <vt:lpwstr>eyJoZGlkIjoiMDc2YjQ4MTUxNzJmZjVjYThjZTNlNGFkYWExNzljZjUiLCJ1c2VySWQiOiIzNTg2NTc4MDQifQ==</vt:lpwstr>
  </property>
</Properties>
</file>