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9C9BB2">
      <w:pPr>
        <w:spacing w:before="120" w:after="120" w:line="360" w:lineRule="auto"/>
        <w:jc w:val="center"/>
        <w:rPr>
          <w:rFonts w:hint="eastAsia" w:ascii="Arial" w:hAnsi="Arial" w:eastAsia="黑体"/>
          <w:b/>
          <w:bCs/>
          <w:color w:val="auto"/>
          <w:sz w:val="60"/>
          <w:szCs w:val="21"/>
          <w:highlight w:val="none"/>
        </w:rPr>
      </w:pPr>
    </w:p>
    <w:p w14:paraId="5C595E6A">
      <w:pPr>
        <w:spacing w:before="120" w:after="120" w:line="360" w:lineRule="auto"/>
        <w:jc w:val="center"/>
        <w:rPr>
          <w:rFonts w:hint="eastAsia" w:ascii="Arial" w:hAnsi="Arial" w:eastAsia="黑体"/>
          <w:b/>
          <w:bCs/>
          <w:color w:val="auto"/>
          <w:sz w:val="84"/>
          <w:szCs w:val="24"/>
          <w:highlight w:val="none"/>
        </w:rPr>
      </w:pPr>
      <w:r>
        <w:rPr>
          <w:rFonts w:hint="eastAsia" w:ascii="Arial" w:hAnsi="Arial" w:eastAsia="黑体"/>
          <w:b/>
          <w:bCs/>
          <w:color w:val="auto"/>
          <w:sz w:val="84"/>
          <w:szCs w:val="24"/>
          <w:highlight w:val="none"/>
        </w:rPr>
        <w:t>竞争性磋商文件</w:t>
      </w:r>
    </w:p>
    <w:p w14:paraId="4C060178">
      <w:pPr>
        <w:spacing w:before="120" w:after="120" w:line="360" w:lineRule="auto"/>
        <w:jc w:val="left"/>
        <w:rPr>
          <w:rFonts w:hint="eastAsia" w:ascii="Arial" w:hAnsi="Arial"/>
          <w:b/>
          <w:bCs/>
          <w:color w:val="auto"/>
          <w:sz w:val="30"/>
          <w:szCs w:val="30"/>
          <w:highlight w:val="none"/>
        </w:rPr>
      </w:pPr>
      <w:bookmarkStart w:id="0" w:name="_Toc120614210"/>
      <w:bookmarkStart w:id="1" w:name="_Toc16938516"/>
      <w:bookmarkStart w:id="2" w:name="_Toc20823272"/>
      <w:bookmarkStart w:id="3" w:name="_Toc513029200"/>
      <w:bookmarkStart w:id="4" w:name="_Toc523127445"/>
      <w:bookmarkStart w:id="5" w:name="_Toc479757206"/>
    </w:p>
    <w:p w14:paraId="7E35C805">
      <w:pPr>
        <w:pStyle w:val="2"/>
        <w:rPr>
          <w:rFonts w:hint="eastAsia"/>
          <w:color w:val="auto"/>
          <w:highlight w:val="none"/>
        </w:rPr>
      </w:pPr>
    </w:p>
    <w:p w14:paraId="38BCE198">
      <w:pPr>
        <w:spacing w:before="120" w:after="120" w:line="360" w:lineRule="auto"/>
        <w:jc w:val="center"/>
        <w:rPr>
          <w:rFonts w:hint="eastAsia" w:ascii="Arial" w:hAnsi="Arial" w:eastAsia="宋体" w:cs="Times New Roman"/>
          <w:b/>
          <w:bCs/>
          <w:color w:val="auto"/>
          <w:sz w:val="30"/>
          <w:szCs w:val="30"/>
          <w:highlight w:val="none"/>
        </w:rPr>
      </w:pPr>
      <w:r>
        <w:rPr>
          <w:rFonts w:hint="eastAsia" w:ascii="Arial" w:hAnsi="Arial"/>
          <w:b/>
          <w:bCs/>
          <w:color w:val="auto"/>
          <w:sz w:val="30"/>
          <w:szCs w:val="30"/>
          <w:highlight w:val="none"/>
        </w:rPr>
        <w:t>项</w:t>
      </w:r>
      <w:r>
        <w:rPr>
          <w:rFonts w:hint="eastAsia" w:ascii="Arial" w:hAnsi="Arial"/>
          <w:b/>
          <w:bCs/>
          <w:color w:val="auto"/>
          <w:sz w:val="30"/>
          <w:szCs w:val="30"/>
          <w:highlight w:val="none"/>
          <w:u w:val="none"/>
        </w:rPr>
        <w:t>目名称：</w:t>
      </w:r>
      <w:r>
        <w:rPr>
          <w:rFonts w:hint="eastAsia" w:ascii="Arial" w:hAnsi="Arial" w:cs="Times New Roman"/>
          <w:b/>
          <w:bCs/>
          <w:color w:val="auto"/>
          <w:sz w:val="30"/>
          <w:szCs w:val="30"/>
          <w:highlight w:val="none"/>
          <w:u w:val="none"/>
          <w:lang w:eastAsia="zh-CN"/>
        </w:rPr>
        <w:t>南通市通州区东社镇社北路道路工程</w:t>
      </w:r>
    </w:p>
    <w:p w14:paraId="59D3C78A">
      <w:pPr>
        <w:spacing w:before="120" w:after="120" w:line="360" w:lineRule="auto"/>
        <w:ind w:left="0" w:firstLine="0"/>
        <w:jc w:val="center"/>
        <w:rPr>
          <w:rFonts w:hint="eastAsia" w:ascii="Arial" w:hAnsi="Arial" w:eastAsia="宋体"/>
          <w:b/>
          <w:bCs/>
          <w:color w:val="auto"/>
          <w:sz w:val="32"/>
          <w:szCs w:val="24"/>
          <w:highlight w:val="none"/>
          <w:lang w:val="en-US" w:eastAsia="zh-CN"/>
        </w:rPr>
      </w:pPr>
      <w:r>
        <w:rPr>
          <w:rFonts w:hint="eastAsia" w:ascii="Arial" w:hAnsi="Arial"/>
          <w:b/>
          <w:bCs/>
          <w:color w:val="auto"/>
          <w:sz w:val="32"/>
          <w:szCs w:val="24"/>
          <w:highlight w:val="none"/>
        </w:rPr>
        <w:t>项目编号：JSZC-320612-NTJD-C2026-0030</w:t>
      </w:r>
      <w:r>
        <w:rPr>
          <w:rFonts w:hint="eastAsia" w:ascii="Arial" w:hAnsi="Arial"/>
          <w:b/>
          <w:bCs/>
          <w:color w:val="auto"/>
          <w:sz w:val="32"/>
          <w:szCs w:val="24"/>
          <w:highlight w:val="none"/>
          <w:lang w:val="en-US" w:eastAsia="zh-CN"/>
        </w:rPr>
        <w:t xml:space="preserve"> </w:t>
      </w:r>
    </w:p>
    <w:p w14:paraId="6D43BF8A">
      <w:pPr>
        <w:rPr>
          <w:rFonts w:hint="eastAsia"/>
          <w:color w:val="auto"/>
          <w:highlight w:val="none"/>
        </w:rPr>
      </w:pPr>
    </w:p>
    <w:p w14:paraId="52B17545">
      <w:pPr>
        <w:ind w:left="2100" w:hanging="2100"/>
        <w:rPr>
          <w:rFonts w:hint="eastAsia" w:ascii="Times New Roman" w:hAnsi="Times New Roman"/>
          <w:b/>
          <w:color w:val="auto"/>
          <w:sz w:val="30"/>
          <w:szCs w:val="30"/>
          <w:highlight w:val="none"/>
        </w:rPr>
      </w:pPr>
      <w:r>
        <w:rPr>
          <w:rFonts w:hint="eastAsia" w:ascii="Times New Roman" w:hAnsi="Times New Roman"/>
          <w:color w:val="auto"/>
          <w:szCs w:val="21"/>
          <w:highlight w:val="none"/>
        </w:rPr>
        <w:t xml:space="preserve">           </w:t>
      </w:r>
      <w:r>
        <w:rPr>
          <w:rFonts w:hint="eastAsia" w:ascii="Times New Roman" w:hAnsi="Times New Roman"/>
          <w:b/>
          <w:color w:val="auto"/>
          <w:sz w:val="30"/>
          <w:szCs w:val="30"/>
          <w:highlight w:val="none"/>
        </w:rPr>
        <w:t xml:space="preserve">   </w:t>
      </w:r>
    </w:p>
    <w:p w14:paraId="0424BD73">
      <w:pPr>
        <w:ind w:left="2100" w:hanging="3012"/>
        <w:rPr>
          <w:rFonts w:hint="eastAsia" w:ascii="Times New Roman" w:hAnsi="Times New Roman"/>
          <w:b/>
          <w:color w:val="auto"/>
          <w:sz w:val="30"/>
          <w:szCs w:val="30"/>
          <w:highlight w:val="none"/>
        </w:rPr>
      </w:pPr>
    </w:p>
    <w:p w14:paraId="1F9B0679">
      <w:pPr>
        <w:tabs>
          <w:tab w:val="left" w:pos="6930"/>
        </w:tabs>
        <w:ind w:left="2100" w:hanging="3012"/>
        <w:rPr>
          <w:rFonts w:hint="eastAsia" w:ascii="Times New Roman" w:hAnsi="Times New Roman"/>
          <w:b/>
          <w:color w:val="auto"/>
          <w:sz w:val="30"/>
          <w:szCs w:val="30"/>
          <w:highlight w:val="none"/>
        </w:rPr>
      </w:pPr>
    </w:p>
    <w:p w14:paraId="194882EC">
      <w:pPr>
        <w:ind w:left="2100" w:hanging="2100"/>
        <w:jc w:val="center"/>
        <w:rPr>
          <w:rFonts w:hint="eastAsia" w:ascii="Times New Roman" w:hAnsi="Times New Roman"/>
          <w:b/>
          <w:color w:val="auto"/>
          <w:sz w:val="30"/>
          <w:szCs w:val="30"/>
          <w:highlight w:val="none"/>
        </w:rPr>
      </w:pPr>
      <w:r>
        <w:rPr>
          <w:rFonts w:hint="eastAsia" w:ascii="宋体" w:hAnsi="宋体" w:eastAsia="宋体" w:cs="宋体"/>
          <w:color w:val="auto"/>
          <w:highlight w:val="none"/>
        </w:rPr>
        <w:drawing>
          <wp:inline distT="0" distB="0" distL="0" distR="0">
            <wp:extent cx="2334260" cy="1789430"/>
            <wp:effectExtent l="0" t="0" r="0" b="0"/>
            <wp:docPr id="7" name="图片 7"/>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a:blip r:embed="rId13"/>
                    <a:stretch>
                      <a:fillRect/>
                    </a:stretch>
                  </pic:blipFill>
                  <pic:spPr>
                    <a:xfrm>
                      <a:off x="0" y="0"/>
                      <a:ext cx="2334260" cy="1789430"/>
                    </a:xfrm>
                    <a:prstGeom prst="rect">
                      <a:avLst/>
                    </a:prstGeom>
                    <a:noFill/>
                    <a:ln>
                      <a:noFill/>
                    </a:ln>
                  </pic:spPr>
                </pic:pic>
              </a:graphicData>
            </a:graphic>
          </wp:inline>
        </w:drawing>
      </w:r>
    </w:p>
    <w:p w14:paraId="272EE131">
      <w:pPr>
        <w:spacing w:line="500" w:lineRule="exact"/>
        <w:jc w:val="center"/>
        <w:rPr>
          <w:rFonts w:hint="eastAsia" w:ascii="宋体" w:hAnsi="宋体" w:eastAsia="宋体" w:cs="宋体"/>
          <w:color w:val="auto"/>
          <w:sz w:val="32"/>
          <w:highlight w:val="none"/>
        </w:rPr>
      </w:pPr>
    </w:p>
    <w:p w14:paraId="0F7FC947">
      <w:pPr>
        <w:pStyle w:val="5"/>
        <w:rPr>
          <w:rFonts w:hint="eastAsia"/>
          <w:color w:val="auto"/>
          <w:highlight w:val="none"/>
        </w:rPr>
      </w:pPr>
    </w:p>
    <w:p w14:paraId="1ACCE805">
      <w:pPr>
        <w:pStyle w:val="205"/>
        <w:rPr>
          <w:rFonts w:hint="eastAsia"/>
          <w:color w:val="auto"/>
          <w:highlight w:val="none"/>
        </w:rPr>
      </w:pPr>
    </w:p>
    <w:p w14:paraId="19FC2156">
      <w:pPr>
        <w:ind w:left="-158" w:firstLine="321"/>
        <w:rPr>
          <w:rFonts w:hint="eastAsia" w:ascii="宋体" w:hAnsi="宋体" w:eastAsia="宋体" w:cs="宋体"/>
          <w:color w:val="auto"/>
          <w:sz w:val="32"/>
          <w:szCs w:val="32"/>
          <w:highlight w:val="none"/>
          <w:u w:val="none"/>
        </w:rPr>
      </w:pPr>
    </w:p>
    <w:p w14:paraId="6035D16D">
      <w:pPr>
        <w:spacing w:line="360" w:lineRule="auto"/>
        <w:ind w:firstLine="1807"/>
        <w:rPr>
          <w:rFonts w:hint="eastAsia" w:ascii="宋体" w:hAnsi="宋体" w:eastAsia="宋体" w:cs="宋体"/>
          <w:b/>
          <w:bCs/>
          <w:color w:val="auto"/>
          <w:sz w:val="30"/>
          <w:szCs w:val="30"/>
          <w:highlight w:val="none"/>
          <w:u w:val="none"/>
          <w:lang w:val="en-US" w:eastAsia="zh-CN"/>
        </w:rPr>
      </w:pPr>
      <w:r>
        <w:rPr>
          <w:rFonts w:hint="eastAsia" w:ascii="宋体" w:hAnsi="宋体" w:cs="宋体"/>
          <w:b/>
          <w:bCs/>
          <w:color w:val="auto"/>
          <w:sz w:val="30"/>
          <w:szCs w:val="30"/>
          <w:highlight w:val="none"/>
          <w:u w:val="none"/>
          <w:lang w:eastAsia="zh-CN"/>
        </w:rPr>
        <w:t>采购</w:t>
      </w:r>
      <w:r>
        <w:rPr>
          <w:rFonts w:hint="eastAsia" w:ascii="宋体" w:hAnsi="宋体" w:cs="宋体"/>
          <w:b/>
          <w:bCs/>
          <w:color w:val="auto"/>
          <w:sz w:val="30"/>
          <w:szCs w:val="30"/>
          <w:highlight w:val="none"/>
          <w:u w:val="none"/>
        </w:rPr>
        <w:t>单位</w:t>
      </w:r>
      <w:r>
        <w:rPr>
          <w:rFonts w:hint="eastAsia" w:ascii="宋体" w:hAnsi="宋体" w:cs="宋体"/>
          <w:b/>
          <w:bCs/>
          <w:color w:val="auto"/>
          <w:sz w:val="30"/>
          <w:szCs w:val="30"/>
          <w:highlight w:val="none"/>
          <w:u w:val="none"/>
          <w:lang w:val="en-US" w:eastAsia="zh-CN"/>
        </w:rPr>
        <w:t>：</w:t>
      </w:r>
      <w:r>
        <w:rPr>
          <w:rFonts w:hint="eastAsia" w:ascii="宋体" w:hAnsi="宋体" w:cs="宋体"/>
          <w:b/>
          <w:bCs/>
          <w:color w:val="auto"/>
          <w:spacing w:val="12"/>
          <w:sz w:val="30"/>
          <w:szCs w:val="30"/>
          <w:highlight w:val="none"/>
          <w:u w:val="none"/>
          <w:lang w:val="en-US" w:eastAsia="zh-CN"/>
        </w:rPr>
        <w:t>南通市通州区东社镇人民政</w:t>
      </w:r>
      <w:r>
        <w:rPr>
          <w:rFonts w:hint="eastAsia" w:ascii="宋体" w:hAnsi="宋体" w:cs="宋体"/>
          <w:b/>
          <w:bCs/>
          <w:color w:val="auto"/>
          <w:spacing w:val="6"/>
          <w:sz w:val="30"/>
          <w:szCs w:val="30"/>
          <w:highlight w:val="none"/>
          <w:u w:val="none"/>
          <w:lang w:val="en-US" w:eastAsia="zh-CN"/>
        </w:rPr>
        <w:t>府</w:t>
      </w:r>
    </w:p>
    <w:p w14:paraId="30EF2E64">
      <w:pPr>
        <w:pStyle w:val="279"/>
        <w:spacing w:before="0" w:after="0"/>
        <w:ind w:firstLine="0"/>
        <w:jc w:val="center"/>
        <w:rPr>
          <w:rFonts w:hint="eastAsia" w:ascii="宋体" w:hAnsi="宋体" w:eastAsia="宋体" w:cs="宋体"/>
          <w:b/>
          <w:bCs/>
          <w:color w:val="auto"/>
          <w:sz w:val="30"/>
          <w:szCs w:val="30"/>
          <w:highlight w:val="none"/>
          <w:u w:val="none"/>
          <w:lang w:eastAsia="zh-CN"/>
        </w:rPr>
      </w:pPr>
      <w:r>
        <w:rPr>
          <w:rFonts w:hint="eastAsia" w:ascii="宋体" w:hAnsi="宋体" w:cs="宋体"/>
          <w:b/>
          <w:bCs/>
          <w:color w:val="auto"/>
          <w:sz w:val="30"/>
          <w:szCs w:val="30"/>
          <w:highlight w:val="none"/>
          <w:u w:val="none"/>
        </w:rPr>
        <w:t xml:space="preserve"> </w:t>
      </w:r>
      <w:r>
        <w:rPr>
          <w:rFonts w:hint="eastAsia" w:ascii="宋体" w:hAnsi="宋体" w:cs="宋体"/>
          <w:b/>
          <w:bCs/>
          <w:color w:val="auto"/>
          <w:sz w:val="30"/>
          <w:szCs w:val="30"/>
          <w:highlight w:val="none"/>
          <w:u w:val="none"/>
          <w:lang w:val="en-US" w:eastAsia="zh-CN"/>
        </w:rPr>
        <w:t xml:space="preserve">  </w:t>
      </w:r>
      <w:r>
        <w:rPr>
          <w:rFonts w:hint="eastAsia" w:ascii="宋体" w:hAnsi="宋体" w:cs="宋体"/>
          <w:b/>
          <w:bCs/>
          <w:color w:val="auto"/>
          <w:sz w:val="30"/>
          <w:szCs w:val="30"/>
          <w:highlight w:val="none"/>
          <w:u w:val="none"/>
          <w:lang w:eastAsia="zh-CN"/>
        </w:rPr>
        <w:t>采购</w:t>
      </w:r>
      <w:r>
        <w:rPr>
          <w:rFonts w:hint="eastAsia" w:ascii="宋体" w:hAnsi="宋体" w:cs="宋体"/>
          <w:b/>
          <w:bCs/>
          <w:color w:val="auto"/>
          <w:sz w:val="30"/>
          <w:szCs w:val="30"/>
          <w:highlight w:val="none"/>
          <w:u w:val="none"/>
        </w:rPr>
        <w:t>代理</w:t>
      </w:r>
      <w:r>
        <w:rPr>
          <w:rFonts w:hint="eastAsia" w:ascii="宋体" w:hAnsi="宋体" w:cs="宋体"/>
          <w:b/>
          <w:bCs/>
          <w:color w:val="auto"/>
          <w:sz w:val="30"/>
          <w:szCs w:val="30"/>
          <w:highlight w:val="none"/>
          <w:u w:val="none"/>
          <w:lang w:eastAsia="zh-CN"/>
        </w:rPr>
        <w:t>：南通俊达工程造价咨询有限公司</w:t>
      </w:r>
    </w:p>
    <w:p w14:paraId="74F99011">
      <w:pPr>
        <w:spacing w:line="360" w:lineRule="auto"/>
        <w:jc w:val="center"/>
        <w:rPr>
          <w:rFonts w:hint="eastAsia" w:ascii="宋体" w:hAnsi="宋体" w:cs="宋体"/>
          <w:color w:val="auto"/>
          <w:sz w:val="44"/>
          <w:szCs w:val="44"/>
          <w:highlight w:val="none"/>
        </w:rPr>
        <w:sectPr>
          <w:headerReference r:id="rId3" w:type="default"/>
          <w:footerReference r:id="rId4" w:type="default"/>
          <w:footerReference r:id="rId5" w:type="even"/>
          <w:pgSz w:w="11906" w:h="16838"/>
          <w:pgMar w:top="1418" w:right="1588" w:bottom="1418" w:left="1365" w:header="851" w:footer="907" w:gutter="0"/>
          <w:cols w:space="1701" w:num="1"/>
          <w:titlePg/>
          <w:docGrid w:linePitch="360" w:charSpace="0"/>
        </w:sectPr>
      </w:pPr>
      <w:r>
        <w:rPr>
          <w:rFonts w:hint="eastAsia" w:ascii="宋体" w:hAnsi="宋体" w:cs="宋体"/>
          <w:b/>
          <w:bCs/>
          <w:color w:val="auto"/>
          <w:sz w:val="32"/>
          <w:highlight w:val="none"/>
        </w:rPr>
        <w:t>20</w:t>
      </w:r>
      <w:r>
        <w:rPr>
          <w:rFonts w:hint="eastAsia" w:ascii="宋体" w:hAnsi="宋体" w:cs="宋体"/>
          <w:b/>
          <w:bCs/>
          <w:color w:val="auto"/>
          <w:sz w:val="32"/>
          <w:highlight w:val="none"/>
          <w:lang w:val="en-US" w:eastAsia="zh-CN"/>
        </w:rPr>
        <w:t>26</w:t>
      </w:r>
      <w:r>
        <w:rPr>
          <w:rFonts w:hint="eastAsia" w:ascii="宋体" w:hAnsi="宋体" w:cs="宋体"/>
          <w:b/>
          <w:bCs/>
          <w:color w:val="auto"/>
          <w:sz w:val="32"/>
          <w:highlight w:val="none"/>
        </w:rPr>
        <w:t>年</w:t>
      </w:r>
      <w:r>
        <w:rPr>
          <w:rFonts w:hint="eastAsia" w:ascii="宋体" w:hAnsi="宋体" w:cs="宋体"/>
          <w:b/>
          <w:bCs/>
          <w:color w:val="auto"/>
          <w:sz w:val="32"/>
          <w:highlight w:val="none"/>
          <w:lang w:val="en-US" w:eastAsia="zh-CN"/>
        </w:rPr>
        <w:t>10</w:t>
      </w:r>
      <w:r>
        <w:rPr>
          <w:rFonts w:hint="eastAsia" w:ascii="宋体" w:hAnsi="宋体" w:cs="宋体"/>
          <w:b/>
          <w:bCs/>
          <w:color w:val="auto"/>
          <w:sz w:val="32"/>
          <w:highlight w:val="none"/>
        </w:rPr>
        <w:t>月</w:t>
      </w:r>
      <w:r>
        <w:rPr>
          <w:rFonts w:hint="eastAsia" w:ascii="宋体" w:hAnsi="宋体" w:cs="宋体"/>
          <w:b/>
          <w:bCs/>
          <w:color w:val="auto"/>
          <w:sz w:val="32"/>
          <w:highlight w:val="none"/>
          <w:lang w:val="en-US" w:eastAsia="zh-CN"/>
        </w:rPr>
        <w:t>8日</w:t>
      </w:r>
    </w:p>
    <w:p w14:paraId="730E12D0">
      <w:pPr>
        <w:spacing w:line="360" w:lineRule="auto"/>
        <w:jc w:val="center"/>
        <w:rPr>
          <w:rFonts w:hint="eastAsia" w:ascii="宋体" w:hAnsi="宋体" w:cs="宋体"/>
          <w:color w:val="auto"/>
          <w:sz w:val="44"/>
          <w:szCs w:val="44"/>
          <w:highlight w:val="none"/>
        </w:rPr>
      </w:pPr>
      <w:r>
        <w:rPr>
          <w:rFonts w:hint="eastAsia" w:ascii="宋体" w:hAnsi="宋体" w:cs="宋体"/>
          <w:color w:val="auto"/>
          <w:sz w:val="44"/>
          <w:szCs w:val="44"/>
          <w:highlight w:val="none"/>
        </w:rPr>
        <w:t>磋商文件备案表</w:t>
      </w:r>
    </w:p>
    <w:tbl>
      <w:tblPr>
        <w:tblStyle w:val="35"/>
        <w:tblW w:w="862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620"/>
      </w:tblGrid>
      <w:tr w14:paraId="62DCB1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85" w:hRule="atLeast"/>
          <w:jc w:val="center"/>
        </w:trPr>
        <w:tc>
          <w:tcPr>
            <w:tcW w:w="8620" w:type="dxa"/>
            <w:noWrap w:val="0"/>
            <w:vAlign w:val="top"/>
          </w:tcPr>
          <w:p w14:paraId="2C0E7D6B">
            <w:pPr>
              <w:tabs>
                <w:tab w:val="right" w:leader="dot" w:pos="8835"/>
              </w:tabs>
              <w:spacing w:line="360" w:lineRule="auto"/>
              <w:rPr>
                <w:rFonts w:hint="eastAsia" w:ascii="宋体" w:hAnsi="宋体" w:cs="宋体"/>
                <w:color w:val="auto"/>
                <w:sz w:val="28"/>
                <w:szCs w:val="28"/>
                <w:highlight w:val="none"/>
              </w:rPr>
            </w:pPr>
          </w:p>
          <w:p w14:paraId="52B674A7">
            <w:pPr>
              <w:tabs>
                <w:tab w:val="right" w:leader="dot" w:pos="8835"/>
              </w:tabs>
              <w:spacing w:line="360" w:lineRule="auto"/>
              <w:rPr>
                <w:rFonts w:hint="eastAsia" w:ascii="宋体" w:hAnsi="宋体" w:cs="宋体"/>
                <w:color w:val="auto"/>
                <w:sz w:val="28"/>
                <w:szCs w:val="28"/>
                <w:highlight w:val="none"/>
              </w:rPr>
            </w:pPr>
            <w:r>
              <w:rPr>
                <w:rFonts w:hint="eastAsia" w:ascii="宋体" w:hAnsi="宋体" w:cs="宋体"/>
                <w:color w:val="auto"/>
                <w:sz w:val="28"/>
                <w:szCs w:val="28"/>
                <w:highlight w:val="none"/>
              </w:rPr>
              <w:t>招标代理：(盖章)</w:t>
            </w:r>
          </w:p>
          <w:p w14:paraId="0DC536DE">
            <w:pPr>
              <w:tabs>
                <w:tab w:val="right" w:leader="dot" w:pos="8835"/>
              </w:tabs>
              <w:spacing w:line="360" w:lineRule="auto"/>
              <w:jc w:val="center"/>
              <w:rPr>
                <w:rFonts w:hint="eastAsia" w:ascii="宋体" w:hAnsi="宋体" w:cs="宋体"/>
                <w:color w:val="auto"/>
                <w:sz w:val="28"/>
                <w:szCs w:val="28"/>
                <w:highlight w:val="none"/>
              </w:rPr>
            </w:pPr>
          </w:p>
          <w:p w14:paraId="757943C9">
            <w:pPr>
              <w:tabs>
                <w:tab w:val="right" w:leader="dot" w:pos="8835"/>
              </w:tabs>
              <w:spacing w:line="360" w:lineRule="auto"/>
              <w:jc w:val="center"/>
              <w:rPr>
                <w:rFonts w:hint="eastAsia" w:ascii="宋体" w:hAnsi="宋体" w:cs="宋体"/>
                <w:color w:val="auto"/>
                <w:sz w:val="28"/>
                <w:szCs w:val="28"/>
                <w:highlight w:val="none"/>
              </w:rPr>
            </w:pPr>
          </w:p>
          <w:p w14:paraId="7A632250">
            <w:pPr>
              <w:tabs>
                <w:tab w:val="right" w:leader="dot" w:pos="8835"/>
              </w:tabs>
              <w:spacing w:line="360" w:lineRule="auto"/>
              <w:rPr>
                <w:rFonts w:hint="eastAsia" w:ascii="宋体" w:hAnsi="宋体" w:cs="宋体"/>
                <w:color w:val="auto"/>
                <w:sz w:val="28"/>
                <w:szCs w:val="28"/>
                <w:highlight w:val="none"/>
              </w:rPr>
            </w:pPr>
            <w:r>
              <w:rPr>
                <w:rFonts w:hint="eastAsia" w:ascii="宋体" w:hAnsi="宋体" w:cs="宋体"/>
                <w:color w:val="auto"/>
                <w:sz w:val="28"/>
                <w:szCs w:val="28"/>
                <w:highlight w:val="none"/>
              </w:rPr>
              <w:t>编制人：</w:t>
            </w:r>
          </w:p>
          <w:p w14:paraId="4992AAA3">
            <w:pPr>
              <w:tabs>
                <w:tab w:val="right" w:leader="dot" w:pos="8835"/>
              </w:tabs>
              <w:spacing w:line="360" w:lineRule="auto"/>
              <w:rPr>
                <w:rFonts w:hint="eastAsia" w:ascii="宋体" w:hAnsi="宋体" w:cs="宋体"/>
                <w:color w:val="auto"/>
                <w:sz w:val="28"/>
                <w:szCs w:val="28"/>
                <w:highlight w:val="none"/>
              </w:rPr>
            </w:pPr>
          </w:p>
          <w:p w14:paraId="27E93EBF">
            <w:pPr>
              <w:tabs>
                <w:tab w:val="right" w:leader="dot" w:pos="8835"/>
              </w:tabs>
              <w:spacing w:line="360" w:lineRule="auto"/>
              <w:rPr>
                <w:rFonts w:hint="eastAsia" w:ascii="宋体" w:hAnsi="宋体" w:cs="宋体"/>
                <w:color w:val="auto"/>
                <w:sz w:val="28"/>
                <w:szCs w:val="28"/>
                <w:highlight w:val="none"/>
              </w:rPr>
            </w:pPr>
          </w:p>
          <w:p w14:paraId="4B74ED57">
            <w:pPr>
              <w:tabs>
                <w:tab w:val="right" w:leader="dot" w:pos="8835"/>
              </w:tabs>
              <w:spacing w:line="360" w:lineRule="auto"/>
              <w:rPr>
                <w:rFonts w:hint="eastAsia" w:ascii="宋体" w:hAnsi="宋体" w:cs="宋体"/>
                <w:color w:val="auto"/>
                <w:sz w:val="28"/>
                <w:szCs w:val="28"/>
                <w:highlight w:val="none"/>
              </w:rPr>
            </w:pPr>
            <w:r>
              <w:rPr>
                <w:rFonts w:hint="eastAsia" w:ascii="宋体" w:hAnsi="宋体" w:cs="宋体"/>
                <w:color w:val="auto"/>
                <w:sz w:val="28"/>
                <w:szCs w:val="28"/>
                <w:highlight w:val="none"/>
              </w:rPr>
              <w:t>日  期：</w:t>
            </w:r>
          </w:p>
        </w:tc>
      </w:tr>
      <w:tr w14:paraId="3A367E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32" w:hRule="atLeast"/>
          <w:jc w:val="center"/>
        </w:trPr>
        <w:tc>
          <w:tcPr>
            <w:tcW w:w="8620" w:type="dxa"/>
            <w:noWrap w:val="0"/>
            <w:vAlign w:val="top"/>
          </w:tcPr>
          <w:p w14:paraId="6A144091">
            <w:pPr>
              <w:tabs>
                <w:tab w:val="right" w:leader="dot" w:pos="8835"/>
              </w:tabs>
              <w:spacing w:line="360" w:lineRule="auto"/>
              <w:rPr>
                <w:rFonts w:hint="eastAsia" w:ascii="宋体" w:hAnsi="宋体" w:cs="宋体"/>
                <w:color w:val="auto"/>
                <w:sz w:val="28"/>
                <w:szCs w:val="28"/>
                <w:highlight w:val="none"/>
              </w:rPr>
            </w:pPr>
          </w:p>
          <w:p w14:paraId="15E0E46E">
            <w:pPr>
              <w:tabs>
                <w:tab w:val="right" w:leader="dot" w:pos="8835"/>
              </w:tabs>
              <w:spacing w:line="360" w:lineRule="auto"/>
              <w:rPr>
                <w:rFonts w:hint="eastAsia" w:ascii="宋体" w:hAnsi="宋体" w:cs="宋体"/>
                <w:color w:val="auto"/>
                <w:sz w:val="28"/>
                <w:szCs w:val="28"/>
                <w:highlight w:val="none"/>
              </w:rPr>
            </w:pPr>
          </w:p>
          <w:p w14:paraId="2056D67E">
            <w:pPr>
              <w:tabs>
                <w:tab w:val="right" w:leader="dot" w:pos="8835"/>
              </w:tabs>
              <w:spacing w:line="360" w:lineRule="auto"/>
              <w:rPr>
                <w:rFonts w:hint="eastAsia" w:ascii="宋体" w:hAnsi="宋体" w:cs="宋体"/>
                <w:color w:val="auto"/>
                <w:sz w:val="28"/>
                <w:szCs w:val="28"/>
                <w:highlight w:val="none"/>
              </w:rPr>
            </w:pPr>
            <w:r>
              <w:rPr>
                <w:rFonts w:hint="eastAsia" w:ascii="宋体" w:hAnsi="宋体" w:cs="宋体"/>
                <w:color w:val="auto"/>
                <w:sz w:val="28"/>
                <w:szCs w:val="28"/>
                <w:highlight w:val="none"/>
              </w:rPr>
              <w:t xml:space="preserve">采购人：(盖章)                </w:t>
            </w:r>
          </w:p>
          <w:p w14:paraId="2F3A164B">
            <w:pPr>
              <w:tabs>
                <w:tab w:val="right" w:leader="dot" w:pos="8835"/>
              </w:tabs>
              <w:spacing w:line="360" w:lineRule="auto"/>
              <w:rPr>
                <w:rFonts w:hint="eastAsia" w:ascii="宋体" w:hAnsi="宋体" w:cs="宋体"/>
                <w:color w:val="auto"/>
                <w:sz w:val="28"/>
                <w:szCs w:val="28"/>
                <w:highlight w:val="none"/>
              </w:rPr>
            </w:pPr>
          </w:p>
          <w:p w14:paraId="6973A5FD">
            <w:pPr>
              <w:tabs>
                <w:tab w:val="right" w:leader="dot" w:pos="8835"/>
              </w:tabs>
              <w:spacing w:line="360" w:lineRule="auto"/>
              <w:rPr>
                <w:rFonts w:hint="eastAsia" w:ascii="宋体" w:hAnsi="宋体" w:cs="宋体"/>
                <w:color w:val="auto"/>
                <w:sz w:val="28"/>
                <w:szCs w:val="28"/>
                <w:highlight w:val="none"/>
              </w:rPr>
            </w:pPr>
          </w:p>
          <w:p w14:paraId="09D1AD1B">
            <w:pPr>
              <w:tabs>
                <w:tab w:val="right" w:leader="dot" w:pos="8835"/>
              </w:tabs>
              <w:spacing w:line="360" w:lineRule="auto"/>
              <w:rPr>
                <w:rFonts w:hint="eastAsia" w:ascii="宋体" w:hAnsi="宋体" w:cs="宋体"/>
                <w:color w:val="auto"/>
                <w:sz w:val="28"/>
                <w:szCs w:val="28"/>
                <w:highlight w:val="none"/>
              </w:rPr>
            </w:pPr>
          </w:p>
          <w:p w14:paraId="3CAE2FF9">
            <w:pPr>
              <w:tabs>
                <w:tab w:val="right" w:leader="dot" w:pos="8835"/>
              </w:tabs>
              <w:spacing w:line="360" w:lineRule="auto"/>
              <w:rPr>
                <w:rFonts w:hint="eastAsia" w:ascii="宋体" w:hAnsi="宋体" w:cs="宋体"/>
                <w:color w:val="auto"/>
                <w:sz w:val="28"/>
                <w:szCs w:val="28"/>
                <w:highlight w:val="none"/>
              </w:rPr>
            </w:pPr>
            <w:r>
              <w:rPr>
                <w:rFonts w:hint="eastAsia" w:ascii="宋体" w:hAnsi="宋体" w:cs="宋体"/>
                <w:color w:val="auto"/>
                <w:sz w:val="28"/>
                <w:szCs w:val="28"/>
                <w:highlight w:val="none"/>
              </w:rPr>
              <w:t>审阅人（签字）：</w:t>
            </w:r>
          </w:p>
          <w:p w14:paraId="442CB394">
            <w:pPr>
              <w:tabs>
                <w:tab w:val="right" w:leader="dot" w:pos="8835"/>
              </w:tabs>
              <w:spacing w:line="360" w:lineRule="auto"/>
              <w:rPr>
                <w:rFonts w:hint="eastAsia" w:ascii="宋体" w:hAnsi="宋体" w:cs="宋体"/>
                <w:color w:val="auto"/>
                <w:sz w:val="28"/>
                <w:szCs w:val="28"/>
                <w:highlight w:val="none"/>
              </w:rPr>
            </w:pPr>
          </w:p>
          <w:p w14:paraId="4CDE6109">
            <w:pPr>
              <w:tabs>
                <w:tab w:val="right" w:leader="dot" w:pos="8835"/>
              </w:tabs>
              <w:spacing w:line="360" w:lineRule="auto"/>
              <w:rPr>
                <w:rFonts w:hint="eastAsia" w:ascii="宋体" w:hAnsi="宋体" w:cs="宋体"/>
                <w:color w:val="auto"/>
                <w:sz w:val="28"/>
                <w:szCs w:val="28"/>
                <w:highlight w:val="none"/>
              </w:rPr>
            </w:pPr>
          </w:p>
          <w:p w14:paraId="26B7C464">
            <w:pPr>
              <w:tabs>
                <w:tab w:val="right" w:leader="dot" w:pos="8835"/>
              </w:tabs>
              <w:spacing w:line="360" w:lineRule="auto"/>
              <w:rPr>
                <w:rFonts w:hint="eastAsia" w:ascii="宋体" w:hAnsi="宋体" w:cs="宋体"/>
                <w:color w:val="auto"/>
                <w:sz w:val="28"/>
                <w:szCs w:val="28"/>
                <w:highlight w:val="none"/>
              </w:rPr>
            </w:pPr>
            <w:r>
              <w:rPr>
                <w:rFonts w:hint="eastAsia" w:ascii="宋体" w:hAnsi="宋体" w:cs="宋体"/>
                <w:color w:val="auto"/>
                <w:sz w:val="28"/>
                <w:szCs w:val="28"/>
                <w:highlight w:val="none"/>
              </w:rPr>
              <w:t>日 期：</w:t>
            </w:r>
          </w:p>
          <w:p w14:paraId="378DFE2E">
            <w:pPr>
              <w:tabs>
                <w:tab w:val="right" w:leader="dot" w:pos="8835"/>
              </w:tabs>
              <w:spacing w:line="360" w:lineRule="auto"/>
              <w:rPr>
                <w:rFonts w:hint="eastAsia" w:ascii="宋体" w:hAnsi="宋体" w:cs="宋体"/>
                <w:color w:val="auto"/>
                <w:sz w:val="28"/>
                <w:szCs w:val="28"/>
                <w:highlight w:val="none"/>
              </w:rPr>
            </w:pPr>
          </w:p>
          <w:p w14:paraId="1D906C83">
            <w:pPr>
              <w:tabs>
                <w:tab w:val="right" w:leader="dot" w:pos="8835"/>
              </w:tabs>
              <w:spacing w:line="360" w:lineRule="auto"/>
              <w:ind w:firstLine="4340"/>
              <w:rPr>
                <w:rFonts w:hint="eastAsia" w:ascii="宋体" w:hAnsi="宋体" w:cs="宋体"/>
                <w:color w:val="auto"/>
                <w:sz w:val="28"/>
                <w:szCs w:val="28"/>
                <w:highlight w:val="none"/>
              </w:rPr>
            </w:pPr>
          </w:p>
        </w:tc>
      </w:tr>
    </w:tbl>
    <w:p w14:paraId="57F3AC0F">
      <w:pPr>
        <w:rPr>
          <w:color w:val="auto"/>
          <w:highlight w:val="none"/>
        </w:rPr>
      </w:pPr>
    </w:p>
    <w:p w14:paraId="43BA65D7">
      <w:pPr>
        <w:spacing w:line="480" w:lineRule="auto"/>
        <w:jc w:val="center"/>
        <w:outlineLvl w:val="0"/>
        <w:rPr>
          <w:rFonts w:hint="eastAsia" w:ascii="黑体" w:hAnsi="Arial" w:eastAsia="黑体"/>
          <w:b/>
          <w:color w:val="auto"/>
          <w:sz w:val="44"/>
          <w:szCs w:val="21"/>
          <w:highlight w:val="none"/>
        </w:rPr>
      </w:pPr>
    </w:p>
    <w:p w14:paraId="5995C5D9">
      <w:pPr>
        <w:keepNext/>
        <w:keepLines w:val="0"/>
        <w:pageBreakBefore w:val="0"/>
        <w:widowControl w:val="0"/>
        <w:spacing w:line="360" w:lineRule="auto"/>
        <w:jc w:val="center"/>
        <w:outlineLvl w:val="0"/>
        <w:rPr>
          <w:rFonts w:hint="eastAsia" w:ascii="宋体" w:hAnsi="宋体" w:eastAsia="宋体" w:cs="宋体"/>
          <w:color w:val="auto"/>
          <w:sz w:val="44"/>
          <w:szCs w:val="44"/>
          <w:highlight w:val="none"/>
        </w:rPr>
        <w:sectPr>
          <w:footerReference r:id="rId7" w:type="first"/>
          <w:footerReference r:id="rId6" w:type="default"/>
          <w:pgSz w:w="11906" w:h="16838"/>
          <w:pgMar w:top="1418" w:right="1588" w:bottom="1418" w:left="1365" w:header="851" w:footer="907" w:gutter="0"/>
          <w:pgNumType w:start="2"/>
          <w:cols w:space="1701" w:num="1"/>
          <w:titlePg/>
          <w:docGrid w:linePitch="360" w:charSpace="0"/>
        </w:sectPr>
      </w:pPr>
    </w:p>
    <w:p w14:paraId="1AAC5798">
      <w:pPr>
        <w:jc w:val="center"/>
        <w:rPr>
          <w:rFonts w:hint="eastAsia" w:ascii="宋体" w:hAnsi="宋体" w:eastAsia="宋体" w:cs="宋体"/>
          <w:b/>
          <w:color w:val="auto"/>
          <w:sz w:val="44"/>
          <w:szCs w:val="21"/>
          <w:highlight w:val="none"/>
        </w:rPr>
      </w:pPr>
    </w:p>
    <w:p w14:paraId="1CEDDB25">
      <w:pPr>
        <w:jc w:val="both"/>
        <w:rPr>
          <w:rFonts w:hint="eastAsia" w:ascii="宋体" w:hAnsi="宋体" w:eastAsia="宋体" w:cs="宋体"/>
          <w:b/>
          <w:color w:val="auto"/>
          <w:sz w:val="44"/>
          <w:szCs w:val="21"/>
          <w:highlight w:val="none"/>
        </w:rPr>
      </w:pPr>
    </w:p>
    <w:p w14:paraId="5F7C77A0">
      <w:pPr>
        <w:jc w:val="center"/>
        <w:rPr>
          <w:rFonts w:hint="eastAsia" w:ascii="宋体" w:hAnsi="宋体" w:eastAsia="宋体" w:cs="宋体"/>
          <w:b/>
          <w:color w:val="auto"/>
          <w:sz w:val="44"/>
          <w:szCs w:val="21"/>
          <w:highlight w:val="none"/>
        </w:rPr>
      </w:pPr>
      <w:r>
        <w:rPr>
          <w:rFonts w:hint="eastAsia" w:ascii="宋体" w:hAnsi="宋体" w:eastAsia="宋体" w:cs="宋体"/>
          <w:b/>
          <w:color w:val="auto"/>
          <w:sz w:val="44"/>
          <w:szCs w:val="21"/>
          <w:highlight w:val="none"/>
        </w:rPr>
        <w:t>总  目  录</w:t>
      </w:r>
    </w:p>
    <w:p w14:paraId="4C93B8D3">
      <w:pPr>
        <w:numPr>
          <w:ilvl w:val="0"/>
          <w:numId w:val="0"/>
        </w:numPr>
        <w:spacing w:line="480" w:lineRule="auto"/>
        <w:outlineLvl w:val="0"/>
        <w:rPr>
          <w:rFonts w:hint="eastAsia" w:ascii="宋体" w:hAnsi="宋体" w:eastAsia="宋体" w:cs="宋体"/>
          <w:color w:val="auto"/>
          <w:sz w:val="36"/>
          <w:szCs w:val="21"/>
          <w:highlight w:val="none"/>
        </w:rPr>
      </w:pPr>
    </w:p>
    <w:p w14:paraId="6371176C">
      <w:pPr>
        <w:numPr>
          <w:ilvl w:val="0"/>
          <w:numId w:val="4"/>
        </w:numPr>
        <w:spacing w:line="480" w:lineRule="auto"/>
        <w:outlineLvl w:val="0"/>
        <w:rPr>
          <w:rFonts w:hint="eastAsia" w:ascii="宋体" w:hAnsi="宋体" w:eastAsia="宋体" w:cs="宋体"/>
          <w:color w:val="auto"/>
          <w:sz w:val="36"/>
          <w:szCs w:val="21"/>
          <w:highlight w:val="none"/>
        </w:rPr>
      </w:pPr>
      <w:r>
        <w:rPr>
          <w:rFonts w:hint="eastAsia" w:ascii="宋体" w:hAnsi="宋体" w:eastAsia="宋体" w:cs="宋体"/>
          <w:color w:val="auto"/>
          <w:sz w:val="36"/>
          <w:szCs w:val="21"/>
          <w:highlight w:val="none"/>
        </w:rPr>
        <w:t xml:space="preserve">磋商邀请 </w:t>
      </w:r>
    </w:p>
    <w:p w14:paraId="46DA9315">
      <w:pPr>
        <w:numPr>
          <w:ilvl w:val="0"/>
          <w:numId w:val="4"/>
        </w:numPr>
        <w:spacing w:line="480" w:lineRule="auto"/>
        <w:outlineLvl w:val="0"/>
        <w:rPr>
          <w:rFonts w:hint="eastAsia" w:ascii="宋体" w:hAnsi="宋体" w:eastAsia="宋体" w:cs="宋体"/>
          <w:color w:val="auto"/>
          <w:sz w:val="36"/>
          <w:szCs w:val="21"/>
          <w:highlight w:val="none"/>
        </w:rPr>
      </w:pPr>
      <w:r>
        <w:rPr>
          <w:rFonts w:hint="eastAsia" w:ascii="宋体" w:hAnsi="宋体" w:eastAsia="宋体" w:cs="宋体"/>
          <w:color w:val="auto"/>
          <w:sz w:val="36"/>
          <w:szCs w:val="21"/>
          <w:highlight w:val="none"/>
        </w:rPr>
        <w:t xml:space="preserve">供应商须知  </w:t>
      </w:r>
    </w:p>
    <w:p w14:paraId="58477FAA">
      <w:pPr>
        <w:numPr>
          <w:ilvl w:val="0"/>
          <w:numId w:val="4"/>
        </w:numPr>
        <w:spacing w:line="480" w:lineRule="auto"/>
        <w:outlineLvl w:val="0"/>
        <w:rPr>
          <w:rFonts w:hint="eastAsia" w:ascii="宋体" w:hAnsi="宋体" w:eastAsia="宋体" w:cs="宋体"/>
          <w:color w:val="auto"/>
          <w:sz w:val="36"/>
          <w:szCs w:val="21"/>
          <w:highlight w:val="none"/>
        </w:rPr>
      </w:pPr>
      <w:r>
        <w:rPr>
          <w:rFonts w:hint="eastAsia" w:ascii="宋体" w:hAnsi="宋体" w:eastAsia="宋体" w:cs="宋体"/>
          <w:color w:val="auto"/>
          <w:sz w:val="36"/>
          <w:szCs w:val="21"/>
          <w:highlight w:val="none"/>
        </w:rPr>
        <w:t>合同文本</w:t>
      </w:r>
    </w:p>
    <w:p w14:paraId="578E32DA">
      <w:pPr>
        <w:numPr>
          <w:ilvl w:val="0"/>
          <w:numId w:val="4"/>
        </w:numPr>
        <w:spacing w:line="480" w:lineRule="auto"/>
        <w:outlineLvl w:val="0"/>
        <w:rPr>
          <w:rFonts w:hint="eastAsia" w:ascii="宋体" w:hAnsi="宋体" w:eastAsia="宋体" w:cs="宋体"/>
          <w:color w:val="auto"/>
          <w:sz w:val="36"/>
          <w:szCs w:val="21"/>
          <w:highlight w:val="none"/>
        </w:rPr>
      </w:pPr>
      <w:r>
        <w:rPr>
          <w:rFonts w:hint="eastAsia" w:ascii="宋体" w:hAnsi="宋体" w:eastAsia="宋体" w:cs="宋体"/>
          <w:color w:val="auto"/>
          <w:sz w:val="36"/>
          <w:szCs w:val="21"/>
          <w:highlight w:val="none"/>
        </w:rPr>
        <w:t>采购需求</w:t>
      </w:r>
    </w:p>
    <w:p w14:paraId="7FF0064F">
      <w:pPr>
        <w:numPr>
          <w:ilvl w:val="0"/>
          <w:numId w:val="4"/>
        </w:numPr>
        <w:spacing w:line="480" w:lineRule="auto"/>
        <w:outlineLvl w:val="0"/>
        <w:rPr>
          <w:rFonts w:hint="eastAsia" w:ascii="宋体" w:hAnsi="宋体" w:eastAsia="宋体" w:cs="宋体"/>
          <w:color w:val="auto"/>
          <w:sz w:val="36"/>
          <w:szCs w:val="21"/>
          <w:highlight w:val="none"/>
        </w:rPr>
      </w:pPr>
      <w:r>
        <w:rPr>
          <w:rFonts w:hint="eastAsia" w:ascii="宋体" w:hAnsi="宋体" w:eastAsia="宋体" w:cs="宋体"/>
          <w:color w:val="auto"/>
          <w:sz w:val="36"/>
          <w:szCs w:val="21"/>
          <w:highlight w:val="none"/>
        </w:rPr>
        <w:t>评审方法与评审标准</w:t>
      </w:r>
    </w:p>
    <w:p w14:paraId="37640B03">
      <w:pPr>
        <w:numPr>
          <w:ilvl w:val="0"/>
          <w:numId w:val="4"/>
        </w:numPr>
        <w:spacing w:line="480" w:lineRule="auto"/>
        <w:outlineLvl w:val="0"/>
        <w:rPr>
          <w:rFonts w:hint="eastAsia" w:ascii="宋体" w:hAnsi="宋体" w:eastAsia="宋体" w:cs="宋体"/>
          <w:color w:val="auto"/>
          <w:sz w:val="36"/>
          <w:szCs w:val="21"/>
          <w:highlight w:val="none"/>
        </w:rPr>
      </w:pPr>
      <w:r>
        <w:rPr>
          <w:rFonts w:hint="eastAsia" w:ascii="宋体" w:hAnsi="宋体" w:eastAsia="宋体" w:cs="宋体"/>
          <w:color w:val="auto"/>
          <w:sz w:val="36"/>
          <w:szCs w:val="21"/>
          <w:highlight w:val="none"/>
        </w:rPr>
        <w:t>响应文件格式</w:t>
      </w:r>
    </w:p>
    <w:p w14:paraId="543FF42C">
      <w:pPr>
        <w:numPr>
          <w:ilvl w:val="0"/>
          <w:numId w:val="0"/>
        </w:numPr>
        <w:spacing w:line="480" w:lineRule="auto"/>
        <w:outlineLvl w:val="0"/>
        <w:rPr>
          <w:rFonts w:hint="eastAsia" w:ascii="宋体" w:hAnsi="宋体" w:eastAsia="宋体" w:cs="宋体"/>
          <w:color w:val="auto"/>
          <w:sz w:val="36"/>
          <w:szCs w:val="21"/>
          <w:highlight w:val="none"/>
        </w:rPr>
      </w:pPr>
    </w:p>
    <w:p w14:paraId="788FDECE">
      <w:pPr>
        <w:numPr>
          <w:ilvl w:val="0"/>
          <w:numId w:val="0"/>
        </w:numPr>
        <w:spacing w:line="480" w:lineRule="auto"/>
        <w:outlineLvl w:val="0"/>
        <w:rPr>
          <w:rFonts w:hint="eastAsia" w:ascii="宋体" w:hAnsi="宋体" w:eastAsia="宋体" w:cs="宋体"/>
          <w:color w:val="auto"/>
          <w:sz w:val="36"/>
          <w:szCs w:val="21"/>
          <w:highlight w:val="none"/>
        </w:rPr>
      </w:pPr>
    </w:p>
    <w:p w14:paraId="2268367C">
      <w:pPr>
        <w:numPr>
          <w:ilvl w:val="0"/>
          <w:numId w:val="0"/>
        </w:numPr>
        <w:spacing w:line="480" w:lineRule="auto"/>
        <w:outlineLvl w:val="0"/>
        <w:rPr>
          <w:rFonts w:hint="eastAsia" w:ascii="宋体" w:hAnsi="宋体" w:eastAsia="宋体" w:cs="宋体"/>
          <w:color w:val="auto"/>
          <w:sz w:val="36"/>
          <w:szCs w:val="21"/>
          <w:highlight w:val="none"/>
        </w:rPr>
      </w:pPr>
    </w:p>
    <w:p w14:paraId="40359C38">
      <w:pPr>
        <w:numPr>
          <w:ilvl w:val="0"/>
          <w:numId w:val="0"/>
        </w:numPr>
        <w:spacing w:line="480" w:lineRule="auto"/>
        <w:outlineLvl w:val="0"/>
        <w:rPr>
          <w:rFonts w:hint="eastAsia" w:ascii="宋体" w:hAnsi="宋体" w:eastAsia="宋体" w:cs="宋体"/>
          <w:color w:val="auto"/>
          <w:sz w:val="36"/>
          <w:szCs w:val="21"/>
          <w:highlight w:val="none"/>
        </w:rPr>
      </w:pPr>
    </w:p>
    <w:p w14:paraId="05ACBF01">
      <w:pPr>
        <w:numPr>
          <w:ilvl w:val="0"/>
          <w:numId w:val="0"/>
        </w:numPr>
        <w:spacing w:line="480" w:lineRule="auto"/>
        <w:outlineLvl w:val="0"/>
        <w:rPr>
          <w:rFonts w:hint="eastAsia" w:ascii="宋体" w:hAnsi="宋体" w:eastAsia="宋体" w:cs="宋体"/>
          <w:color w:val="auto"/>
          <w:sz w:val="36"/>
          <w:szCs w:val="21"/>
          <w:highlight w:val="none"/>
        </w:rPr>
      </w:pPr>
    </w:p>
    <w:p w14:paraId="3B2B6C98">
      <w:pPr>
        <w:numPr>
          <w:ilvl w:val="0"/>
          <w:numId w:val="0"/>
        </w:numPr>
        <w:spacing w:line="480" w:lineRule="auto"/>
        <w:outlineLvl w:val="0"/>
        <w:rPr>
          <w:rFonts w:hint="eastAsia" w:ascii="宋体" w:hAnsi="宋体" w:eastAsia="宋体" w:cs="宋体"/>
          <w:color w:val="auto"/>
          <w:sz w:val="36"/>
          <w:szCs w:val="21"/>
          <w:highlight w:val="none"/>
        </w:rPr>
      </w:pPr>
    </w:p>
    <w:p w14:paraId="24F28A1B">
      <w:pPr>
        <w:numPr>
          <w:ilvl w:val="0"/>
          <w:numId w:val="0"/>
        </w:numPr>
        <w:spacing w:line="480" w:lineRule="auto"/>
        <w:jc w:val="center"/>
        <w:outlineLvl w:val="0"/>
        <w:rPr>
          <w:rFonts w:hint="eastAsia" w:ascii="宋体" w:hAnsi="宋体" w:eastAsia="宋体" w:cs="宋体"/>
          <w:color w:val="auto"/>
          <w:sz w:val="36"/>
          <w:szCs w:val="21"/>
          <w:highlight w:val="none"/>
        </w:rPr>
      </w:pPr>
      <w:r>
        <w:rPr>
          <w:rFonts w:hint="eastAsia" w:ascii="宋体" w:hAnsi="宋体" w:eastAsia="宋体" w:cs="宋体"/>
          <w:color w:val="auto"/>
          <w:sz w:val="36"/>
          <w:szCs w:val="21"/>
          <w:highlight w:val="none"/>
        </w:rPr>
        <w:t xml:space="preserve">第一章  </w:t>
      </w:r>
      <w:bookmarkEnd w:id="0"/>
      <w:r>
        <w:rPr>
          <w:rFonts w:hint="eastAsia" w:ascii="宋体" w:hAnsi="宋体" w:eastAsia="宋体" w:cs="宋体"/>
          <w:color w:val="auto"/>
          <w:sz w:val="36"/>
          <w:szCs w:val="21"/>
          <w:highlight w:val="none"/>
        </w:rPr>
        <w:t>磋商邀请</w:t>
      </w:r>
    </w:p>
    <w:p w14:paraId="22E697A8">
      <w:pPr>
        <w:pageBreakBefore w:val="0"/>
        <w:spacing w:line="360" w:lineRule="auto"/>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受</w:t>
      </w:r>
      <w:r>
        <w:rPr>
          <w:rFonts w:hint="eastAsia" w:ascii="宋体" w:hAnsi="宋体" w:cs="宋体"/>
          <w:color w:val="auto"/>
          <w:sz w:val="24"/>
          <w:szCs w:val="24"/>
          <w:highlight w:val="none"/>
          <w:lang w:eastAsia="zh-CN"/>
        </w:rPr>
        <w:t>南通市通州区东社镇人民政府</w:t>
      </w:r>
      <w:r>
        <w:rPr>
          <w:rFonts w:hint="eastAsia" w:ascii="宋体" w:hAnsi="宋体" w:eastAsia="宋体" w:cs="宋体"/>
          <w:color w:val="auto"/>
          <w:sz w:val="24"/>
          <w:szCs w:val="24"/>
          <w:highlight w:val="none"/>
        </w:rPr>
        <w:t>的委托</w:t>
      </w:r>
      <w:r>
        <w:rPr>
          <w:rFonts w:hint="eastAsia" w:ascii="宋体" w:hAnsi="宋体" w:eastAsia="宋体" w:cs="宋体"/>
          <w:color w:val="auto"/>
          <w:sz w:val="24"/>
          <w:szCs w:val="24"/>
          <w:highlight w:val="none"/>
          <w:lang w:eastAsia="zh-CN"/>
        </w:rPr>
        <w:t>，</w:t>
      </w:r>
      <w:r>
        <w:rPr>
          <w:rFonts w:hint="eastAsia" w:ascii="宋体" w:hAnsi="宋体" w:cs="宋体"/>
          <w:color w:val="auto"/>
          <w:sz w:val="24"/>
          <w:szCs w:val="24"/>
          <w:highlight w:val="none"/>
          <w:lang w:eastAsia="zh-CN"/>
        </w:rPr>
        <w:t>南通俊达工程造价咨询有限公司</w:t>
      </w:r>
      <w:r>
        <w:rPr>
          <w:rFonts w:hint="eastAsia" w:ascii="宋体" w:hAnsi="宋体" w:eastAsia="宋体" w:cs="宋体"/>
          <w:color w:val="auto"/>
          <w:sz w:val="24"/>
          <w:szCs w:val="24"/>
          <w:highlight w:val="none"/>
        </w:rPr>
        <w:t>就</w:t>
      </w:r>
      <w:r>
        <w:rPr>
          <w:rFonts w:hint="eastAsia" w:ascii="宋体" w:hAnsi="宋体" w:cs="宋体"/>
          <w:color w:val="auto"/>
          <w:sz w:val="24"/>
          <w:szCs w:val="24"/>
          <w:highlight w:val="none"/>
          <w:lang w:eastAsia="zh-CN"/>
        </w:rPr>
        <w:t>南通市通州区东社镇社北路道路工程</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项目编号：JSZC-320612-NTJD-C2026-0030</w:t>
      </w:r>
      <w:r>
        <w:rPr>
          <w:rFonts w:hint="eastAsia" w:ascii="Segoe UI" w:hAnsi="Segoe UI" w:eastAsia="宋体" w:cs="Segoe UI"/>
          <w:i w:val="0"/>
          <w:iCs w:val="0"/>
          <w:caps w:val="0"/>
          <w:spacing w:val="0"/>
          <w:sz w:val="21"/>
          <w:szCs w:val="21"/>
          <w:highlight w:val="none"/>
          <w:shd w:val="clear" w:fill="FFFFFF"/>
          <w:lang w:val="en-US" w:eastAsia="zh-CN"/>
        </w:rPr>
        <w:t xml:space="preserve"> </w:t>
      </w:r>
      <w:r>
        <w:rPr>
          <w:rFonts w:hint="eastAsia" w:ascii="宋体" w:hAnsi="宋体" w:eastAsia="宋体" w:cs="宋体"/>
          <w:color w:val="auto"/>
          <w:sz w:val="24"/>
          <w:szCs w:val="24"/>
          <w:highlight w:val="none"/>
        </w:rPr>
        <w:t>)项目进行竞争性磋商采购，欢迎符合条件的供应商参加磋商。</w:t>
      </w:r>
    </w:p>
    <w:p w14:paraId="221D4962">
      <w:pPr>
        <w:pageBreakBefore w:val="0"/>
        <w:pBdr>
          <w:top w:val="single" w:color="000000" w:sz="4" w:space="1"/>
          <w:left w:val="single" w:color="000000" w:sz="4" w:space="4"/>
          <w:bottom w:val="single" w:color="000000" w:sz="4" w:space="1"/>
          <w:right w:val="single" w:color="000000" w:sz="4" w:space="4"/>
        </w:pBdr>
        <w:spacing w:line="360" w:lineRule="auto"/>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项目概况</w:t>
      </w:r>
    </w:p>
    <w:p w14:paraId="76B2C6BD">
      <w:pPr>
        <w:pageBreakBefore w:val="0"/>
        <w:pBdr>
          <w:top w:val="single" w:color="000000" w:sz="4" w:space="1"/>
          <w:left w:val="single" w:color="000000" w:sz="4" w:space="4"/>
          <w:bottom w:val="single" w:color="000000" w:sz="4" w:space="1"/>
          <w:right w:val="single" w:color="000000" w:sz="4" w:space="4"/>
        </w:pBdr>
        <w:spacing w:line="360" w:lineRule="auto"/>
        <w:ind w:left="0" w:firstLine="480"/>
        <w:rPr>
          <w:rFonts w:hint="eastAsia" w:ascii="宋体" w:hAnsi="宋体" w:eastAsia="宋体" w:cs="宋体"/>
          <w:color w:val="auto"/>
          <w:sz w:val="24"/>
          <w:szCs w:val="24"/>
          <w:highlight w:val="none"/>
        </w:rPr>
      </w:pPr>
      <w:r>
        <w:rPr>
          <w:rFonts w:hint="eastAsia" w:ascii="宋体" w:hAnsi="宋体" w:cs="宋体"/>
          <w:color w:val="auto"/>
          <w:sz w:val="24"/>
          <w:szCs w:val="24"/>
          <w:highlight w:val="none"/>
          <w:u w:val="single"/>
          <w:lang w:eastAsia="zh-CN"/>
        </w:rPr>
        <w:t>南通市通州区东社镇社北路道路工程</w:t>
      </w:r>
      <w:r>
        <w:rPr>
          <w:rFonts w:hint="eastAsia" w:ascii="宋体" w:hAnsi="宋体" w:eastAsia="宋体" w:cs="宋体"/>
          <w:color w:val="auto"/>
          <w:sz w:val="24"/>
          <w:szCs w:val="24"/>
          <w:highlight w:val="none"/>
          <w:u w:val="single"/>
        </w:rPr>
        <w:t>(项目名称)</w:t>
      </w:r>
      <w:r>
        <w:rPr>
          <w:rFonts w:hint="eastAsia" w:ascii="宋体" w:hAnsi="宋体" w:eastAsia="宋体" w:cs="宋体"/>
          <w:color w:val="auto"/>
          <w:sz w:val="24"/>
          <w:szCs w:val="24"/>
          <w:highlight w:val="none"/>
        </w:rPr>
        <w:t>竞争性磋商项目的潜在供应商可在</w:t>
      </w:r>
      <w:r>
        <w:rPr>
          <w:rFonts w:hint="eastAsia" w:ascii="宋体" w:hAnsi="宋体" w:eastAsia="宋体" w:cs="宋体"/>
          <w:color w:val="auto"/>
          <w:sz w:val="24"/>
          <w:szCs w:val="24"/>
          <w:highlight w:val="none"/>
          <w:u w:val="single"/>
        </w:rPr>
        <w:t>“江苏政府采购网”自行免费下载</w:t>
      </w:r>
      <w:r>
        <w:rPr>
          <w:rFonts w:hint="eastAsia" w:ascii="宋体" w:hAnsi="宋体" w:eastAsia="宋体" w:cs="宋体"/>
          <w:color w:val="auto"/>
          <w:sz w:val="24"/>
          <w:szCs w:val="24"/>
          <w:highlight w:val="none"/>
        </w:rPr>
        <w:t>磋商文件，并于</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202</w:t>
      </w:r>
      <w:r>
        <w:rPr>
          <w:rFonts w:hint="eastAsia" w:ascii="宋体" w:hAnsi="宋体" w:cs="宋体"/>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cs="宋体"/>
          <w:bCs/>
          <w:color w:val="auto"/>
          <w:sz w:val="24"/>
          <w:szCs w:val="24"/>
          <w:highlight w:val="none"/>
          <w:u w:val="single"/>
          <w:lang w:val="en-US" w:eastAsia="zh-CN"/>
        </w:rPr>
        <w:t>10</w:t>
      </w:r>
      <w:r>
        <w:rPr>
          <w:rFonts w:hint="eastAsia" w:ascii="宋体" w:hAnsi="宋体" w:eastAsia="宋体" w:cs="宋体"/>
          <w:bCs/>
          <w:color w:val="auto"/>
          <w:sz w:val="24"/>
          <w:szCs w:val="24"/>
          <w:highlight w:val="none"/>
          <w:u w:val="single"/>
        </w:rPr>
        <w:t>月</w:t>
      </w:r>
      <w:r>
        <w:rPr>
          <w:rFonts w:hint="eastAsia" w:ascii="宋体" w:hAnsi="宋体" w:cs="宋体"/>
          <w:bCs/>
          <w:color w:val="auto"/>
          <w:sz w:val="24"/>
          <w:szCs w:val="24"/>
          <w:highlight w:val="none"/>
          <w:u w:val="single"/>
          <w:lang w:val="en-US" w:eastAsia="zh-CN"/>
        </w:rPr>
        <w:t>30</w:t>
      </w:r>
      <w:r>
        <w:rPr>
          <w:rFonts w:hint="eastAsia" w:ascii="宋体" w:hAnsi="宋体" w:eastAsia="宋体" w:cs="宋体"/>
          <w:bCs/>
          <w:color w:val="auto"/>
          <w:sz w:val="24"/>
          <w:szCs w:val="24"/>
          <w:highlight w:val="none"/>
          <w:u w:val="single"/>
        </w:rPr>
        <w:t>日</w:t>
      </w:r>
      <w:r>
        <w:rPr>
          <w:rFonts w:hint="eastAsia" w:ascii="宋体" w:hAnsi="宋体" w:cs="宋体"/>
          <w:bCs/>
          <w:color w:val="auto"/>
          <w:sz w:val="24"/>
          <w:szCs w:val="24"/>
          <w:highlight w:val="none"/>
          <w:u w:val="single"/>
          <w:lang w:val="en-US" w:eastAsia="zh-CN"/>
        </w:rPr>
        <w:t>9时00</w:t>
      </w:r>
      <w:r>
        <w:rPr>
          <w:rFonts w:hint="eastAsia" w:ascii="宋体" w:hAnsi="宋体" w:eastAsia="宋体" w:cs="宋体"/>
          <w:bCs/>
          <w:color w:val="auto"/>
          <w:sz w:val="24"/>
          <w:szCs w:val="24"/>
          <w:highlight w:val="none"/>
          <w:u w:val="single"/>
        </w:rPr>
        <w:t>分（</w:t>
      </w:r>
      <w:r>
        <w:rPr>
          <w:rFonts w:hint="eastAsia" w:ascii="宋体" w:hAnsi="宋体" w:eastAsia="宋体" w:cs="宋体"/>
          <w:bCs/>
          <w:color w:val="auto"/>
          <w:sz w:val="24"/>
          <w:szCs w:val="24"/>
          <w:highlight w:val="none"/>
        </w:rPr>
        <w:t>北京时间）前递交响应文件</w:t>
      </w:r>
      <w:r>
        <w:rPr>
          <w:rFonts w:hint="eastAsia" w:ascii="宋体" w:hAnsi="宋体" w:eastAsia="宋体" w:cs="宋体"/>
          <w:color w:val="auto"/>
          <w:sz w:val="24"/>
          <w:szCs w:val="24"/>
          <w:highlight w:val="none"/>
        </w:rPr>
        <w:t>。</w:t>
      </w:r>
    </w:p>
    <w:p w14:paraId="5680DEBE">
      <w:pPr>
        <w:keepNext/>
        <w:keepLines/>
        <w:pageBreakBefore w:val="0"/>
        <w:spacing w:line="360" w:lineRule="auto"/>
        <w:ind w:firstLine="643"/>
        <w:outlineLvl w:val="2"/>
        <w:rPr>
          <w:rFonts w:hint="eastAsia" w:ascii="宋体" w:hAnsi="宋体" w:eastAsia="宋体" w:cs="宋体"/>
          <w:b/>
          <w:bCs/>
          <w:color w:val="auto"/>
          <w:sz w:val="32"/>
          <w:szCs w:val="32"/>
          <w:highlight w:val="none"/>
        </w:rPr>
      </w:pPr>
      <w:bookmarkStart w:id="6" w:name="_Toc35393621"/>
      <w:bookmarkStart w:id="7" w:name="_Toc38985263"/>
      <w:bookmarkStart w:id="8" w:name="_Toc35393790"/>
      <w:bookmarkStart w:id="9" w:name="_Hlk24379207"/>
      <w:bookmarkStart w:id="10" w:name="_Toc28359002"/>
      <w:bookmarkStart w:id="11" w:name="_Toc28359079"/>
      <w:r>
        <w:rPr>
          <w:rFonts w:hint="eastAsia" w:ascii="宋体" w:hAnsi="宋体" w:eastAsia="宋体" w:cs="宋体"/>
          <w:b/>
          <w:bCs/>
          <w:color w:val="auto"/>
          <w:sz w:val="32"/>
          <w:szCs w:val="32"/>
          <w:highlight w:val="none"/>
        </w:rPr>
        <w:t>一、项目基本情况</w:t>
      </w:r>
      <w:bookmarkEnd w:id="6"/>
      <w:bookmarkEnd w:id="7"/>
      <w:bookmarkEnd w:id="8"/>
      <w:bookmarkEnd w:id="9"/>
      <w:bookmarkEnd w:id="10"/>
      <w:bookmarkEnd w:id="11"/>
    </w:p>
    <w:p w14:paraId="23DF3B94">
      <w:pPr>
        <w:pageBreakBefore w:val="0"/>
        <w:spacing w:line="360" w:lineRule="auto"/>
        <w:ind w:left="0" w:firstLine="480"/>
        <w:rPr>
          <w:rFonts w:hint="default" w:ascii="宋体" w:hAnsi="宋体" w:eastAsia="宋体" w:cs="宋体"/>
          <w:color w:val="auto"/>
          <w:sz w:val="24"/>
          <w:szCs w:val="24"/>
          <w:highlight w:val="none"/>
          <w:lang w:val="en-US" w:eastAsia="zh-CN"/>
        </w:rPr>
      </w:pPr>
      <w:bookmarkStart w:id="12" w:name="_Toc35393791"/>
      <w:bookmarkStart w:id="13" w:name="_Toc38985264"/>
      <w:bookmarkStart w:id="14" w:name="_Toc28359003"/>
      <w:bookmarkStart w:id="15" w:name="_Toc35393622"/>
      <w:bookmarkStart w:id="16" w:name="_Toc28359080"/>
      <w:r>
        <w:rPr>
          <w:rFonts w:hint="eastAsia" w:ascii="宋体" w:hAnsi="宋体" w:eastAsia="宋体" w:cs="宋体"/>
          <w:color w:val="auto"/>
          <w:sz w:val="24"/>
          <w:szCs w:val="24"/>
          <w:highlight w:val="none"/>
        </w:rPr>
        <w:t>1.项目编号</w:t>
      </w:r>
      <w:r>
        <w:rPr>
          <w:rFonts w:hint="eastAsia" w:ascii="宋体" w:hAnsi="宋体" w:cs="宋体"/>
          <w:color w:val="auto"/>
          <w:sz w:val="24"/>
          <w:szCs w:val="24"/>
          <w:highlight w:val="none"/>
          <w:lang w:eastAsia="zh-CN"/>
        </w:rPr>
        <w:t>：JSZC-320612-NTJD-C2026-0030</w:t>
      </w:r>
      <w:r>
        <w:rPr>
          <w:rFonts w:hint="eastAsia" w:ascii="宋体" w:hAnsi="宋体" w:cs="宋体"/>
          <w:color w:val="auto"/>
          <w:sz w:val="24"/>
          <w:szCs w:val="24"/>
          <w:highlight w:val="none"/>
          <w:lang w:val="en-US" w:eastAsia="zh-CN"/>
        </w:rPr>
        <w:t xml:space="preserve">  </w:t>
      </w:r>
    </w:p>
    <w:p w14:paraId="0801EF39">
      <w:pPr>
        <w:pageBreakBefore w:val="0"/>
        <w:spacing w:line="360" w:lineRule="auto"/>
        <w:ind w:left="0" w:firstLine="48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2.项目名称：</w:t>
      </w:r>
      <w:r>
        <w:rPr>
          <w:rFonts w:hint="eastAsia" w:ascii="宋体" w:hAnsi="宋体" w:cs="宋体"/>
          <w:color w:val="auto"/>
          <w:sz w:val="24"/>
          <w:szCs w:val="24"/>
          <w:highlight w:val="none"/>
          <w:lang w:eastAsia="zh-CN"/>
        </w:rPr>
        <w:t>南通市通州区东社镇社北路道路工程</w:t>
      </w:r>
    </w:p>
    <w:p w14:paraId="7FD88E97">
      <w:pPr>
        <w:pageBreakBefore w:val="0"/>
        <w:spacing w:line="360" w:lineRule="auto"/>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3.采购方式：</w:t>
      </w:r>
      <w:r>
        <w:rPr>
          <w:rFonts w:hint="eastAsia" w:ascii="宋体" w:hAnsi="宋体" w:eastAsia="宋体" w:cs="宋体"/>
          <w:color w:val="auto"/>
          <w:sz w:val="24"/>
          <w:szCs w:val="24"/>
          <w:highlight w:val="none"/>
          <w:lang w:eastAsia="zh-CN"/>
        </w:rPr>
        <w:t>竞争性磋商</w:t>
      </w:r>
      <w:r>
        <w:rPr>
          <w:rFonts w:hint="eastAsia" w:ascii="宋体" w:hAnsi="宋体" w:eastAsia="宋体" w:cs="宋体"/>
          <w:color w:val="auto"/>
          <w:sz w:val="24"/>
          <w:szCs w:val="24"/>
          <w:highlight w:val="none"/>
        </w:rPr>
        <w:t xml:space="preserve"> </w:t>
      </w:r>
    </w:p>
    <w:p w14:paraId="6C778346">
      <w:pPr>
        <w:pageBreakBefore w:val="0"/>
        <w:spacing w:line="360" w:lineRule="auto"/>
        <w:ind w:left="0" w:firstLine="48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预算金额：</w:t>
      </w:r>
      <w:r>
        <w:rPr>
          <w:rFonts w:hint="eastAsia" w:ascii="宋体" w:hAnsi="宋体" w:cs="宋体"/>
          <w:color w:val="auto"/>
          <w:sz w:val="24"/>
          <w:szCs w:val="24"/>
          <w:highlight w:val="none"/>
          <w:lang w:val="en-US" w:eastAsia="zh-CN"/>
        </w:rPr>
        <w:t>220.108222万元</w:t>
      </w:r>
      <w:r>
        <w:rPr>
          <w:rFonts w:hint="eastAsia" w:ascii="宋体" w:hAnsi="宋体" w:eastAsia="宋体" w:cs="宋体"/>
          <w:color w:val="auto"/>
          <w:sz w:val="24"/>
          <w:szCs w:val="24"/>
          <w:highlight w:val="none"/>
          <w:lang w:val="en-US" w:eastAsia="zh-CN"/>
        </w:rPr>
        <w:t>。</w:t>
      </w:r>
    </w:p>
    <w:p w14:paraId="0C7A6AE9">
      <w:pPr>
        <w:pageBreakBefore w:val="0"/>
        <w:spacing w:line="360" w:lineRule="auto"/>
        <w:ind w:left="0" w:firstLine="48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lang w:val="en-US" w:eastAsia="zh-CN"/>
        </w:rPr>
        <w:t>.</w:t>
      </w:r>
      <w:r>
        <w:rPr>
          <w:rFonts w:hint="eastAsia" w:ascii="宋体" w:hAnsi="宋体" w:cs="宋体"/>
          <w:color w:val="auto"/>
          <w:sz w:val="24"/>
          <w:szCs w:val="24"/>
          <w:highlight w:val="none"/>
          <w:lang w:eastAsia="zh-CN"/>
        </w:rPr>
        <w:t>最高限价</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198.09万元</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最终报价超过</w:t>
      </w:r>
      <w:r>
        <w:rPr>
          <w:rFonts w:hint="eastAsia" w:ascii="宋体" w:hAnsi="宋体" w:eastAsia="宋体" w:cs="宋体"/>
          <w:color w:val="auto"/>
          <w:sz w:val="24"/>
          <w:szCs w:val="24"/>
          <w:highlight w:val="none"/>
          <w:lang w:eastAsia="zh-CN"/>
        </w:rPr>
        <w:t>各采购包</w:t>
      </w:r>
      <w:r>
        <w:rPr>
          <w:rFonts w:hint="eastAsia" w:ascii="宋体" w:hAnsi="宋体" w:eastAsia="宋体" w:cs="宋体"/>
          <w:color w:val="auto"/>
          <w:sz w:val="24"/>
          <w:szCs w:val="24"/>
          <w:highlight w:val="none"/>
        </w:rPr>
        <w:t>最高限价的为无效响应文件。</w:t>
      </w:r>
    </w:p>
    <w:p w14:paraId="2F773DF7">
      <w:pPr>
        <w:pageBreakBefore w:val="0"/>
        <w:spacing w:line="360" w:lineRule="auto"/>
        <w:ind w:left="0" w:firstLine="480"/>
        <w:rPr>
          <w:rFonts w:hint="eastAsia" w:ascii="宋体" w:hAnsi="宋体"/>
          <w:color w:val="auto"/>
          <w:sz w:val="24"/>
          <w:highlight w:val="none"/>
          <w:lang w:val="en-US" w:eastAsia="zh-CN"/>
        </w:rPr>
      </w:pPr>
      <w:r>
        <w:rPr>
          <w:rFonts w:hint="eastAsia" w:ascii="宋体" w:hAnsi="宋体" w:cs="宋体"/>
          <w:color w:val="auto"/>
          <w:sz w:val="24"/>
          <w:szCs w:val="24"/>
          <w:highlight w:val="none"/>
          <w:lang w:val="en-US" w:eastAsia="zh-CN"/>
        </w:rPr>
        <w:t>6.</w:t>
      </w:r>
      <w:r>
        <w:rPr>
          <w:rFonts w:hint="eastAsia" w:ascii="宋体" w:hAnsi="宋体"/>
          <w:color w:val="auto"/>
          <w:sz w:val="24"/>
          <w:highlight w:val="none"/>
          <w:lang w:val="en-US" w:eastAsia="zh-CN"/>
        </w:rPr>
        <w:t>项目类型：工程类</w:t>
      </w:r>
    </w:p>
    <w:p w14:paraId="20979D14">
      <w:pPr>
        <w:pageBreakBefore w:val="0"/>
        <w:spacing w:line="360" w:lineRule="auto"/>
        <w:ind w:left="0" w:firstLine="480"/>
        <w:rPr>
          <w:rFonts w:hint="eastAsia" w:ascii="宋体" w:hAnsi="宋体" w:eastAsia="宋体" w:cs="宋体"/>
          <w:color w:val="auto"/>
          <w:sz w:val="24"/>
          <w:szCs w:val="24"/>
          <w:highlight w:val="none"/>
        </w:rPr>
      </w:pPr>
      <w:r>
        <w:rPr>
          <w:rFonts w:hint="eastAsia" w:ascii="宋体" w:hAnsi="宋体"/>
          <w:color w:val="auto"/>
          <w:sz w:val="24"/>
          <w:highlight w:val="none"/>
          <w:lang w:val="en-US" w:eastAsia="zh-CN"/>
        </w:rPr>
        <w:t>7.</w:t>
      </w:r>
      <w:r>
        <w:rPr>
          <w:rFonts w:hint="eastAsia" w:ascii="宋体" w:hAnsi="宋体" w:cs="Arial"/>
          <w:color w:val="auto"/>
          <w:sz w:val="24"/>
          <w:highlight w:val="none"/>
          <w:lang w:val="en-US" w:eastAsia="zh-CN"/>
        </w:rPr>
        <w:t>项目</w:t>
      </w:r>
      <w:r>
        <w:rPr>
          <w:rFonts w:hint="eastAsia" w:ascii="宋体" w:hAnsi="宋体" w:cs="Arial"/>
          <w:color w:val="auto"/>
          <w:sz w:val="24"/>
          <w:highlight w:val="none"/>
        </w:rPr>
        <w:t>所属行业：建筑业</w:t>
      </w:r>
    </w:p>
    <w:p w14:paraId="4B435E19">
      <w:pPr>
        <w:pageBreakBefore w:val="0"/>
        <w:spacing w:line="360" w:lineRule="auto"/>
        <w:ind w:left="0" w:firstLine="480"/>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8</w:t>
      </w:r>
      <w:r>
        <w:rPr>
          <w:rFonts w:hint="eastAsia" w:ascii="宋体" w:hAnsi="宋体" w:cs="宋体"/>
          <w:color w:val="auto"/>
          <w:sz w:val="24"/>
          <w:szCs w:val="24"/>
          <w:highlight w:val="none"/>
          <w:lang w:eastAsia="zh-CN"/>
        </w:rPr>
        <w:t>.采购需求：由于社北路损坏严重，需要重建。项目西起新东路，东至园区路，全长约0.229km。具体详见工程量清单。</w:t>
      </w:r>
      <w:r>
        <w:rPr>
          <w:rFonts w:hint="eastAsia" w:ascii="宋体" w:hAnsi="宋体" w:cs="宋体"/>
          <w:color w:val="auto"/>
          <w:sz w:val="24"/>
          <w:szCs w:val="24"/>
          <w:highlight w:val="none"/>
          <w:lang w:val="en-US" w:eastAsia="zh-CN"/>
        </w:rPr>
        <w:t>一旦成交，不得提出额外要求。</w:t>
      </w:r>
    </w:p>
    <w:p w14:paraId="030C835D">
      <w:pPr>
        <w:pageBreakBefore w:val="0"/>
        <w:spacing w:line="360" w:lineRule="auto"/>
        <w:ind w:left="0" w:firstLine="48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9</w:t>
      </w:r>
      <w:r>
        <w:rPr>
          <w:rFonts w:hint="eastAsia" w:ascii="宋体" w:hAnsi="宋体" w:eastAsia="宋体" w:cs="宋体"/>
          <w:color w:val="auto"/>
          <w:sz w:val="24"/>
          <w:szCs w:val="24"/>
          <w:highlight w:val="none"/>
        </w:rPr>
        <w:t>.</w:t>
      </w:r>
      <w:r>
        <w:rPr>
          <w:rFonts w:hint="eastAsia" w:ascii="宋体" w:hAnsi="宋体"/>
          <w:color w:val="auto"/>
          <w:sz w:val="24"/>
          <w:szCs w:val="24"/>
          <w:highlight w:val="none"/>
        </w:rPr>
        <w:t>合同履行期限</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90日历天。</w:t>
      </w:r>
    </w:p>
    <w:p w14:paraId="653342FA">
      <w:pPr>
        <w:pageBreakBefore w:val="0"/>
        <w:spacing w:line="360" w:lineRule="auto"/>
        <w:ind w:left="0" w:firstLine="48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10.本项目不接受分包。</w:t>
      </w:r>
    </w:p>
    <w:p w14:paraId="42046297">
      <w:pPr>
        <w:keepNext/>
        <w:keepLines/>
        <w:pageBreakBefore w:val="0"/>
        <w:spacing w:line="360" w:lineRule="auto"/>
        <w:ind w:left="0" w:firstLine="643"/>
        <w:outlineLvl w:val="2"/>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二、申请人的资格要求：</w:t>
      </w:r>
      <w:bookmarkEnd w:id="12"/>
      <w:bookmarkEnd w:id="13"/>
      <w:bookmarkEnd w:id="14"/>
      <w:bookmarkEnd w:id="15"/>
      <w:bookmarkEnd w:id="16"/>
    </w:p>
    <w:p w14:paraId="4BB0F4BC">
      <w:pPr>
        <w:pageBreakBefore w:val="0"/>
        <w:spacing w:line="360" w:lineRule="auto"/>
        <w:ind w:left="0" w:firstLine="480"/>
        <w:rPr>
          <w:rFonts w:hint="eastAsia" w:ascii="宋体" w:hAnsi="宋体" w:eastAsia="宋体" w:cs="宋体"/>
          <w:b/>
          <w:bCs/>
          <w:color w:val="auto"/>
          <w:sz w:val="24"/>
          <w:szCs w:val="24"/>
          <w:highlight w:val="none"/>
        </w:rPr>
      </w:pPr>
      <w:bookmarkStart w:id="17" w:name="_Toc35393792"/>
      <w:bookmarkStart w:id="18" w:name="_Toc38985265"/>
      <w:bookmarkStart w:id="19" w:name="_Toc35393623"/>
      <w:bookmarkStart w:id="20" w:name="_Toc28359081"/>
      <w:bookmarkStart w:id="21" w:name="_Toc28359004"/>
      <w:r>
        <w:rPr>
          <w:rFonts w:hint="eastAsia" w:ascii="宋体" w:hAnsi="宋体" w:eastAsia="宋体" w:cs="宋体"/>
          <w:b/>
          <w:bCs/>
          <w:color w:val="auto"/>
          <w:sz w:val="24"/>
          <w:szCs w:val="24"/>
          <w:highlight w:val="none"/>
        </w:rPr>
        <w:t>（一）通用资格要求</w:t>
      </w:r>
    </w:p>
    <w:p w14:paraId="040EED64">
      <w:pPr>
        <w:pageBreakBefore w:val="0"/>
        <w:spacing w:line="360" w:lineRule="auto"/>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1.满足《中华人民共和国政府采购法》第二十二条规定，并提供下列材料：</w:t>
      </w:r>
    </w:p>
    <w:p w14:paraId="768204EA">
      <w:pPr>
        <w:pageBreakBefore w:val="0"/>
        <w:spacing w:line="360" w:lineRule="auto"/>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 法人或者其他组织的营业执照等证明文件，自然人的身份证明；</w:t>
      </w:r>
    </w:p>
    <w:p w14:paraId="1FE77E7D">
      <w:pPr>
        <w:pageBreakBefore w:val="0"/>
        <w:spacing w:line="360" w:lineRule="auto"/>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w:t>
      </w:r>
      <w:r>
        <w:rPr>
          <w:rFonts w:hint="eastAsia" w:ascii="宋体" w:hAnsi="宋体" w:cs="宋体"/>
          <w:color w:val="auto"/>
          <w:sz w:val="24"/>
          <w:szCs w:val="24"/>
          <w:highlight w:val="none"/>
          <w:lang w:val="en-US" w:eastAsia="zh-CN"/>
        </w:rPr>
        <w:t xml:space="preserve"> 2025年度</w:t>
      </w:r>
      <w:r>
        <w:rPr>
          <w:rFonts w:hint="eastAsia" w:ascii="宋体" w:hAnsi="宋体" w:eastAsia="宋体" w:cs="宋体"/>
          <w:b w:val="0"/>
          <w:bCs/>
          <w:color w:val="auto"/>
          <w:sz w:val="24"/>
          <w:szCs w:val="24"/>
          <w:highlight w:val="none"/>
          <w:lang w:val="en-US" w:eastAsia="zh-CN"/>
        </w:rPr>
        <w:t>由会计师事务所（或者审计机构）出具的</w:t>
      </w:r>
      <w:r>
        <w:rPr>
          <w:rFonts w:hint="eastAsia" w:ascii="宋体" w:hAnsi="宋体" w:cs="宋体"/>
          <w:b w:val="0"/>
          <w:bCs/>
          <w:color w:val="auto"/>
          <w:sz w:val="24"/>
          <w:szCs w:val="24"/>
          <w:highlight w:val="none"/>
          <w:lang w:val="en-US" w:eastAsia="zh-CN"/>
        </w:rPr>
        <w:t>完整的</w:t>
      </w:r>
      <w:r>
        <w:rPr>
          <w:rFonts w:hint="eastAsia" w:ascii="宋体" w:hAnsi="宋体" w:eastAsia="宋体" w:cs="宋体"/>
          <w:b w:val="0"/>
          <w:bCs/>
          <w:color w:val="auto"/>
          <w:sz w:val="24"/>
          <w:szCs w:val="24"/>
          <w:highlight w:val="none"/>
          <w:lang w:val="en-US" w:eastAsia="zh-CN"/>
        </w:rPr>
        <w:t>财务报告</w:t>
      </w:r>
      <w:r>
        <w:rPr>
          <w:rFonts w:hint="eastAsia" w:ascii="宋体" w:hAnsi="宋体" w:cs="宋体"/>
          <w:bCs/>
          <w:color w:val="auto"/>
          <w:sz w:val="24"/>
          <w:highlight w:val="none"/>
          <w:lang w:bidi="ar"/>
        </w:rPr>
        <w:t>或投标截止时间前三个月（不含投标截止时间当月）中至少一个月</w:t>
      </w:r>
      <w:r>
        <w:rPr>
          <w:rFonts w:hint="eastAsia" w:ascii="宋体" w:hAnsi="宋体" w:cs="宋体"/>
          <w:bCs/>
          <w:color w:val="auto"/>
          <w:sz w:val="24"/>
          <w:highlight w:val="none"/>
          <w:lang w:eastAsia="zh-CN" w:bidi="ar"/>
        </w:rPr>
        <w:t>的银行</w:t>
      </w:r>
      <w:r>
        <w:rPr>
          <w:rFonts w:hint="eastAsia" w:ascii="宋体" w:hAnsi="宋体" w:cs="宋体"/>
          <w:bCs/>
          <w:color w:val="auto"/>
          <w:sz w:val="24"/>
          <w:highlight w:val="none"/>
          <w:lang w:bidi="ar"/>
        </w:rPr>
        <w:t>资信证明</w:t>
      </w:r>
      <w:r>
        <w:rPr>
          <w:rFonts w:hint="eastAsia" w:ascii="宋体" w:hAnsi="宋体" w:eastAsia="宋体" w:cs="宋体"/>
          <w:color w:val="auto"/>
          <w:sz w:val="24"/>
          <w:szCs w:val="24"/>
          <w:highlight w:val="none"/>
        </w:rPr>
        <w:t>（成立不满一年无需提供）；</w:t>
      </w:r>
    </w:p>
    <w:p w14:paraId="20C1014D">
      <w:pPr>
        <w:pageBreakBefore w:val="0"/>
        <w:spacing w:line="360" w:lineRule="auto"/>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1.3依法缴纳税收和社会保障资金的相关材料（提供提交响应文件截止时间前一年内至少一个月依法缴纳税收及缴纳社会保障资金的证明材料。供应商依法享受缓缴、免缴税收、社会保障资金的提供证明材料。）；</w:t>
      </w:r>
    </w:p>
    <w:p w14:paraId="6E5AD85E">
      <w:pPr>
        <w:pageBreakBefore w:val="0"/>
        <w:spacing w:line="360" w:lineRule="auto"/>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1.4具备履行合同所必需的设备和专业技术能力的书面声明；</w:t>
      </w:r>
    </w:p>
    <w:p w14:paraId="2E6777C2">
      <w:pPr>
        <w:pageBreakBefore w:val="0"/>
        <w:spacing w:line="360" w:lineRule="auto"/>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1.5参加政府采购活动前3年内在经营活动中没有重大违法记录的书面声明。</w:t>
      </w:r>
    </w:p>
    <w:p w14:paraId="71B04F74">
      <w:pPr>
        <w:pageBreakBefore w:val="0"/>
        <w:spacing w:line="360" w:lineRule="auto"/>
        <w:ind w:left="0" w:firstLine="480"/>
        <w:rPr>
          <w:rFonts w:hint="eastAsia" w:ascii="宋体" w:hAnsi="宋体" w:eastAsia="宋体" w:cs="宋体"/>
          <w:color w:val="auto"/>
          <w:sz w:val="36"/>
          <w:szCs w:val="36"/>
          <w:highlight w:val="none"/>
        </w:rPr>
      </w:pPr>
      <w:r>
        <w:rPr>
          <w:rFonts w:hint="eastAsia" w:ascii="宋体" w:hAnsi="宋体" w:eastAsia="宋体" w:cs="宋体"/>
          <w:color w:val="auto"/>
          <w:sz w:val="24"/>
          <w:szCs w:val="24"/>
          <w:highlight w:val="none"/>
        </w:rPr>
        <w:t>2.在“信用中国”网站（www.creditchina.gov.cn）查询，无被列入失信被执行人、重大税收违法案件当事人名单、政府采购严重失信行为记录名单及其他不符合《中华人民共和国政府采购法》第二十二条规定条件的信用记录。（响应文件中无需提供证明材料）</w:t>
      </w:r>
    </w:p>
    <w:p w14:paraId="002212B3">
      <w:pPr>
        <w:keepNext w:val="0"/>
        <w:keepLines w:val="0"/>
        <w:pageBreakBefore w:val="0"/>
        <w:widowControl w:val="0"/>
        <w:suppressLineNumbers w:val="0"/>
        <w:spacing w:beforeAutospacing="0" w:afterAutospacing="0" w:line="360" w:lineRule="auto"/>
        <w:ind w:left="0" w:right="0" w:firstLine="480"/>
        <w:jc w:val="both"/>
        <w:outlineLvl w:val="9"/>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3.落实政府采购政策需满足的资格要求：</w:t>
      </w:r>
      <w:r>
        <w:rPr>
          <w:rFonts w:hint="eastAsia" w:ascii="宋体" w:hAnsi="宋体" w:eastAsia="宋体" w:cs="宋体"/>
          <w:b/>
          <w:bCs/>
          <w:color w:val="auto"/>
          <w:sz w:val="24"/>
          <w:szCs w:val="24"/>
          <w:highlight w:val="none"/>
          <w:lang w:val="en-US" w:eastAsia="zh-CN" w:bidi="ar"/>
        </w:rPr>
        <w:t>本项目专门面向中小企业采购。</w:t>
      </w:r>
    </w:p>
    <w:p w14:paraId="542536F1">
      <w:pPr>
        <w:keepNext w:val="0"/>
        <w:keepLines w:val="0"/>
        <w:pageBreakBefore w:val="0"/>
        <w:widowControl w:val="0"/>
        <w:suppressLineNumbers w:val="0"/>
        <w:spacing w:beforeAutospacing="0" w:afterAutospacing="0" w:line="360" w:lineRule="auto"/>
        <w:ind w:left="0" w:right="0" w:firstLine="480"/>
        <w:jc w:val="both"/>
        <w:outlineLvl w:val="9"/>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本次采购标的对应的中小企业划分标准所属行业为：</w:t>
      </w:r>
      <w:r>
        <w:rPr>
          <w:rFonts w:hint="eastAsia" w:ascii="宋体" w:hAnsi="宋体" w:eastAsia="宋体" w:cs="宋体"/>
          <w:b/>
          <w:bCs/>
          <w:color w:val="auto"/>
          <w:sz w:val="24"/>
          <w:szCs w:val="24"/>
          <w:highlight w:val="none"/>
          <w:lang w:val="en-US" w:eastAsia="zh-CN" w:bidi="ar"/>
        </w:rPr>
        <w:t>建筑业。</w:t>
      </w:r>
    </w:p>
    <w:p w14:paraId="282B794B">
      <w:pPr>
        <w:pageBreakBefore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（1）按照财政部、工业和信息化部关于印发《政府采购促进中小企业发展管理办法》的通知（财库〔2020〕46号）的规定，落实促进中小企业发展政策。</w:t>
      </w:r>
    </w:p>
    <w:p w14:paraId="4834E1F4">
      <w:pPr>
        <w:pageBreakBefore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（2）按照《财政部、司法部关于政府采购支持监狱企业发展有关问题的通知》（财库〔2014〕68号）的规定，落实支持监狱企业发展政策。</w:t>
      </w:r>
    </w:p>
    <w:p w14:paraId="0628AD91">
      <w:pPr>
        <w:pageBreakBefore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（3）按照《三部门联合发布关于促进残疾人就业政府采购政策的通知》（财库〔2017〕141号）的规定，落实支持残疾人福利性单位发展政策。  </w:t>
      </w:r>
    </w:p>
    <w:p w14:paraId="3ECC203A">
      <w:pPr>
        <w:pageBreakBefore w:val="0"/>
        <w:spacing w:line="360" w:lineRule="auto"/>
        <w:ind w:firstLine="480"/>
        <w:rPr>
          <w:rFonts w:hint="default"/>
          <w:color w:val="auto"/>
          <w:highlight w:val="none"/>
          <w:lang w:val="en-US" w:eastAsia="zh-CN"/>
        </w:rPr>
      </w:pPr>
      <w:r>
        <w:rPr>
          <w:rFonts w:hint="eastAsia" w:ascii="宋体" w:hAnsi="宋体" w:eastAsia="宋体" w:cs="宋体"/>
          <w:color w:val="auto"/>
          <w:sz w:val="24"/>
          <w:szCs w:val="24"/>
          <w:highlight w:val="none"/>
        </w:rPr>
        <w:t>4.本项目</w:t>
      </w:r>
      <w:r>
        <w:rPr>
          <w:rFonts w:hint="eastAsia" w:ascii="宋体" w:hAnsi="宋体" w:eastAsia="宋体" w:cs="宋体"/>
          <w:color w:val="auto"/>
          <w:sz w:val="24"/>
          <w:szCs w:val="24"/>
          <w:highlight w:val="none"/>
          <w:u w:val="single"/>
        </w:rPr>
        <w:t xml:space="preserve"> 不接受 </w:t>
      </w:r>
      <w:r>
        <w:rPr>
          <w:rFonts w:hint="eastAsia" w:ascii="宋体" w:hAnsi="宋体" w:eastAsia="宋体" w:cs="宋体"/>
          <w:color w:val="auto"/>
          <w:sz w:val="24"/>
          <w:szCs w:val="24"/>
          <w:highlight w:val="none"/>
        </w:rPr>
        <w:t>联合体参与磋商</w:t>
      </w:r>
      <w:r>
        <w:rPr>
          <w:rFonts w:hint="eastAsia" w:ascii="宋体" w:hAnsi="宋体" w:eastAsia="宋体" w:cs="宋体"/>
          <w:color w:val="auto"/>
          <w:sz w:val="24"/>
          <w:szCs w:val="24"/>
          <w:highlight w:val="none"/>
          <w:lang w:eastAsia="zh-CN"/>
        </w:rPr>
        <w:t>。</w:t>
      </w:r>
    </w:p>
    <w:p w14:paraId="35ADA1DD">
      <w:pPr>
        <w:pageBreakBefore w:val="0"/>
        <w:spacing w:line="360" w:lineRule="auto"/>
        <w:ind w:left="0" w:firstLine="48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（二）本项目的特定资格要求</w:t>
      </w:r>
    </w:p>
    <w:p w14:paraId="384DBD48">
      <w:pPr>
        <w:pageBreakBefore w:val="0"/>
        <w:spacing w:line="360" w:lineRule="auto"/>
        <w:ind w:left="0" w:firstLine="480"/>
        <w:rPr>
          <w:rFonts w:hint="eastAsia" w:ascii="宋体" w:hAnsi="宋体" w:eastAsia="宋体" w:cs="宋体"/>
          <w:bCs/>
          <w:color w:val="auto"/>
          <w:sz w:val="24"/>
          <w:szCs w:val="24"/>
          <w:highlight w:val="none"/>
          <w:lang w:eastAsia="zh-CN" w:bidi="ar"/>
        </w:rPr>
      </w:pPr>
      <w:r>
        <w:rPr>
          <w:rFonts w:hint="eastAsia" w:ascii="宋体" w:hAnsi="宋体" w:eastAsia="宋体" w:cs="宋体"/>
          <w:color w:val="auto"/>
          <w:sz w:val="24"/>
          <w:szCs w:val="24"/>
          <w:highlight w:val="none"/>
          <w:lang w:val="en-US" w:eastAsia="zh-CN"/>
        </w:rPr>
        <w:t>1.</w:t>
      </w:r>
      <w:r>
        <w:rPr>
          <w:rFonts w:hint="eastAsia" w:ascii="宋体" w:hAnsi="宋体" w:eastAsia="宋体" w:cs="宋体"/>
          <w:bCs/>
          <w:color w:val="auto"/>
          <w:sz w:val="24"/>
          <w:szCs w:val="24"/>
          <w:highlight w:val="none"/>
          <w:lang w:bidi="ar"/>
        </w:rPr>
        <w:t>企业资质证书（</w:t>
      </w:r>
      <w:r>
        <w:rPr>
          <w:rFonts w:hint="eastAsia" w:ascii="宋体" w:hAnsi="宋体" w:eastAsia="宋体" w:cs="宋体"/>
          <w:bCs/>
          <w:color w:val="auto"/>
          <w:sz w:val="24"/>
          <w:szCs w:val="24"/>
          <w:highlight w:val="none"/>
          <w:lang w:val="en-US" w:eastAsia="zh-CN" w:bidi="ar"/>
        </w:rPr>
        <w:t>专业：</w:t>
      </w:r>
      <w:r>
        <w:rPr>
          <w:rFonts w:hint="eastAsia" w:ascii="宋体" w:hAnsi="宋体" w:eastAsia="宋体" w:cs="宋体"/>
          <w:bCs/>
          <w:color w:val="auto"/>
          <w:sz w:val="24"/>
          <w:szCs w:val="24"/>
          <w:highlight w:val="none"/>
          <w:u w:val="single"/>
          <w:lang w:val="en-US" w:eastAsia="zh-CN" w:bidi="ar"/>
        </w:rPr>
        <w:t xml:space="preserve"> </w:t>
      </w:r>
      <w:r>
        <w:rPr>
          <w:rFonts w:hint="eastAsia" w:ascii="宋体" w:hAnsi="宋体" w:eastAsia="宋体" w:cs="宋体"/>
          <w:b/>
          <w:bCs w:val="0"/>
          <w:color w:val="auto"/>
          <w:sz w:val="24"/>
          <w:szCs w:val="24"/>
          <w:highlight w:val="none"/>
          <w:u w:val="single"/>
          <w:lang w:val="en-US" w:eastAsia="zh-CN" w:bidi="ar"/>
        </w:rPr>
        <w:t>市政公用工程</w:t>
      </w:r>
      <w:r>
        <w:rPr>
          <w:rFonts w:hint="eastAsia" w:ascii="宋体" w:hAnsi="宋体" w:eastAsia="宋体" w:cs="宋体"/>
          <w:bCs/>
          <w:color w:val="auto"/>
          <w:sz w:val="24"/>
          <w:szCs w:val="24"/>
          <w:highlight w:val="none"/>
          <w:u w:val="single"/>
          <w:lang w:val="en-US" w:eastAsia="zh-CN" w:bidi="ar"/>
        </w:rPr>
        <w:t xml:space="preserve">  </w:t>
      </w:r>
      <w:r>
        <w:rPr>
          <w:rFonts w:hint="eastAsia" w:ascii="宋体" w:hAnsi="宋体" w:eastAsia="宋体" w:cs="宋体"/>
          <w:bCs/>
          <w:color w:val="auto"/>
          <w:sz w:val="24"/>
          <w:szCs w:val="24"/>
          <w:highlight w:val="none"/>
          <w:u w:val="none"/>
          <w:lang w:val="en-US" w:eastAsia="zh-CN" w:bidi="ar"/>
        </w:rPr>
        <w:t>；等级：</w:t>
      </w:r>
      <w:r>
        <w:rPr>
          <w:rFonts w:hint="eastAsia" w:ascii="宋体" w:hAnsi="宋体" w:eastAsia="宋体" w:cs="宋体"/>
          <w:bCs/>
          <w:color w:val="auto"/>
          <w:sz w:val="24"/>
          <w:szCs w:val="24"/>
          <w:highlight w:val="none"/>
          <w:u w:val="single"/>
          <w:lang w:val="en-US" w:eastAsia="zh-CN" w:bidi="ar"/>
        </w:rPr>
        <w:t xml:space="preserve"> </w:t>
      </w:r>
      <w:r>
        <w:rPr>
          <w:rFonts w:hint="eastAsia" w:ascii="宋体" w:hAnsi="宋体" w:eastAsia="宋体" w:cs="宋体"/>
          <w:b/>
          <w:bCs w:val="0"/>
          <w:color w:val="auto"/>
          <w:sz w:val="24"/>
          <w:szCs w:val="24"/>
          <w:highlight w:val="none"/>
          <w:u w:val="single"/>
          <w:lang w:val="en-US" w:eastAsia="zh-CN" w:bidi="ar"/>
        </w:rPr>
        <w:t>施工总承包三级及以上</w:t>
      </w:r>
      <w:r>
        <w:rPr>
          <w:rFonts w:hint="eastAsia" w:ascii="宋体" w:hAnsi="宋体" w:eastAsia="宋体" w:cs="宋体"/>
          <w:bCs/>
          <w:color w:val="auto"/>
          <w:sz w:val="24"/>
          <w:szCs w:val="24"/>
          <w:highlight w:val="none"/>
          <w:u w:val="single"/>
          <w:lang w:val="en-US" w:eastAsia="zh-CN" w:bidi="ar"/>
        </w:rPr>
        <w:t xml:space="preserve">  </w:t>
      </w:r>
      <w:r>
        <w:rPr>
          <w:rFonts w:hint="eastAsia" w:ascii="宋体" w:hAnsi="宋体" w:eastAsia="宋体" w:cs="宋体"/>
          <w:bCs/>
          <w:color w:val="auto"/>
          <w:sz w:val="24"/>
          <w:szCs w:val="24"/>
          <w:highlight w:val="none"/>
          <w:lang w:bidi="ar"/>
        </w:rPr>
        <w:t>）及安全生产许可证</w:t>
      </w:r>
      <w:r>
        <w:rPr>
          <w:rFonts w:hint="eastAsia" w:ascii="宋体" w:hAnsi="宋体" w:eastAsia="宋体" w:cs="宋体"/>
          <w:bCs/>
          <w:color w:val="auto"/>
          <w:sz w:val="24"/>
          <w:szCs w:val="24"/>
          <w:highlight w:val="none"/>
          <w:lang w:eastAsia="zh-CN" w:bidi="ar"/>
        </w:rPr>
        <w:t>；</w:t>
      </w:r>
    </w:p>
    <w:p w14:paraId="4576FCB3">
      <w:pPr>
        <w:pageBreakBefore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bCs/>
          <w:color w:val="auto"/>
          <w:sz w:val="24"/>
          <w:szCs w:val="24"/>
          <w:highlight w:val="none"/>
          <w:lang w:bidi="ar"/>
        </w:rPr>
        <w:t>拟派项目负责人资格证书（</w:t>
      </w:r>
      <w:r>
        <w:rPr>
          <w:rFonts w:hint="eastAsia" w:ascii="宋体" w:hAnsi="宋体" w:eastAsia="宋体" w:cs="宋体"/>
          <w:bCs/>
          <w:color w:val="auto"/>
          <w:sz w:val="24"/>
          <w:szCs w:val="24"/>
          <w:highlight w:val="none"/>
          <w:lang w:val="en-US" w:eastAsia="zh-CN" w:bidi="ar"/>
        </w:rPr>
        <w:t>专业：</w:t>
      </w:r>
      <w:r>
        <w:rPr>
          <w:rFonts w:hint="eastAsia" w:ascii="宋体" w:hAnsi="宋体" w:eastAsia="宋体" w:cs="宋体"/>
          <w:bCs/>
          <w:color w:val="auto"/>
          <w:sz w:val="24"/>
          <w:szCs w:val="24"/>
          <w:highlight w:val="none"/>
          <w:u w:val="single"/>
          <w:lang w:val="en-US" w:eastAsia="zh-CN" w:bidi="ar"/>
        </w:rPr>
        <w:t xml:space="preserve"> </w:t>
      </w:r>
      <w:r>
        <w:rPr>
          <w:rFonts w:hint="eastAsia" w:ascii="宋体" w:hAnsi="宋体" w:eastAsia="宋体" w:cs="宋体"/>
          <w:b/>
          <w:bCs w:val="0"/>
          <w:color w:val="auto"/>
          <w:sz w:val="24"/>
          <w:szCs w:val="24"/>
          <w:highlight w:val="none"/>
          <w:u w:val="single"/>
          <w:lang w:val="en-US" w:eastAsia="zh-CN" w:bidi="ar"/>
        </w:rPr>
        <w:t>市政公用工程</w:t>
      </w:r>
      <w:r>
        <w:rPr>
          <w:rFonts w:hint="eastAsia" w:ascii="宋体" w:hAnsi="宋体" w:eastAsia="宋体" w:cs="宋体"/>
          <w:bCs/>
          <w:color w:val="auto"/>
          <w:sz w:val="24"/>
          <w:szCs w:val="24"/>
          <w:highlight w:val="none"/>
          <w:u w:val="single"/>
          <w:lang w:val="en-US" w:eastAsia="zh-CN" w:bidi="ar"/>
        </w:rPr>
        <w:t xml:space="preserve">  </w:t>
      </w:r>
      <w:r>
        <w:rPr>
          <w:rFonts w:hint="eastAsia" w:ascii="宋体" w:hAnsi="宋体" w:eastAsia="宋体" w:cs="宋体"/>
          <w:bCs/>
          <w:color w:val="auto"/>
          <w:sz w:val="24"/>
          <w:szCs w:val="24"/>
          <w:highlight w:val="none"/>
          <w:u w:val="none"/>
          <w:lang w:val="en-US" w:eastAsia="zh-CN" w:bidi="ar"/>
        </w:rPr>
        <w:t>；等级：</w:t>
      </w:r>
      <w:r>
        <w:rPr>
          <w:rFonts w:hint="eastAsia" w:ascii="宋体" w:hAnsi="宋体" w:eastAsia="宋体" w:cs="宋体"/>
          <w:bCs/>
          <w:color w:val="auto"/>
          <w:sz w:val="24"/>
          <w:szCs w:val="24"/>
          <w:highlight w:val="none"/>
          <w:u w:val="single"/>
          <w:lang w:val="en-US" w:eastAsia="zh-CN" w:bidi="ar"/>
        </w:rPr>
        <w:t xml:space="preserve">  </w:t>
      </w:r>
      <w:r>
        <w:rPr>
          <w:rFonts w:hint="eastAsia" w:ascii="宋体" w:hAnsi="宋体" w:eastAsia="宋体" w:cs="宋体"/>
          <w:b/>
          <w:bCs w:val="0"/>
          <w:color w:val="auto"/>
          <w:sz w:val="24"/>
          <w:szCs w:val="24"/>
          <w:highlight w:val="none"/>
          <w:u w:val="single"/>
          <w:lang w:val="en-US" w:eastAsia="zh-CN" w:bidi="ar"/>
        </w:rPr>
        <w:t>贰级及以上注册建造师</w:t>
      </w:r>
      <w:r>
        <w:rPr>
          <w:rFonts w:hint="eastAsia" w:ascii="宋体" w:hAnsi="宋体" w:eastAsia="宋体" w:cs="宋体"/>
          <w:bCs/>
          <w:color w:val="auto"/>
          <w:sz w:val="24"/>
          <w:szCs w:val="24"/>
          <w:highlight w:val="none"/>
          <w:u w:val="single"/>
          <w:lang w:val="en-US" w:eastAsia="zh-CN" w:bidi="ar"/>
        </w:rPr>
        <w:t xml:space="preserve">  </w:t>
      </w:r>
      <w:r>
        <w:rPr>
          <w:rFonts w:hint="eastAsia" w:ascii="宋体" w:hAnsi="宋体" w:eastAsia="宋体" w:cs="宋体"/>
          <w:bCs/>
          <w:color w:val="auto"/>
          <w:sz w:val="24"/>
          <w:szCs w:val="24"/>
          <w:highlight w:val="none"/>
          <w:lang w:bidi="ar"/>
        </w:rPr>
        <w:t>）及安全B证</w:t>
      </w:r>
      <w:r>
        <w:rPr>
          <w:rFonts w:hint="eastAsia" w:ascii="宋体" w:hAnsi="宋体" w:eastAsia="宋体" w:cs="宋体"/>
          <w:b w:val="0"/>
          <w:bCs/>
          <w:color w:val="auto"/>
          <w:sz w:val="24"/>
          <w:szCs w:val="24"/>
          <w:highlight w:val="none"/>
          <w:lang w:val="en-US" w:eastAsia="zh-CN"/>
        </w:rPr>
        <w:t>；</w:t>
      </w:r>
      <w:r>
        <w:rPr>
          <w:rFonts w:hint="eastAsia" w:ascii="宋体" w:hAnsi="宋体" w:eastAsia="宋体" w:cs="宋体"/>
          <w:bCs/>
          <w:color w:val="auto"/>
          <w:sz w:val="24"/>
          <w:szCs w:val="24"/>
          <w:highlight w:val="none"/>
          <w:lang w:bidi="ar"/>
        </w:rPr>
        <w:t>拟派项目负责人无在建</w:t>
      </w:r>
      <w:r>
        <w:rPr>
          <w:rFonts w:hint="eastAsia" w:ascii="宋体" w:hAnsi="宋体" w:eastAsia="宋体" w:cs="宋体"/>
          <w:bCs/>
          <w:color w:val="auto"/>
          <w:sz w:val="24"/>
          <w:szCs w:val="24"/>
          <w:highlight w:val="none"/>
          <w:lang w:val="en-US" w:eastAsia="zh-CN" w:bidi="ar"/>
        </w:rPr>
        <w:t>工程</w:t>
      </w:r>
      <w:r>
        <w:rPr>
          <w:rFonts w:hint="eastAsia" w:ascii="宋体" w:hAnsi="宋体" w:eastAsia="宋体" w:cs="宋体"/>
          <w:bCs/>
          <w:color w:val="auto"/>
          <w:sz w:val="24"/>
          <w:szCs w:val="24"/>
          <w:highlight w:val="none"/>
          <w:lang w:bidi="ar"/>
        </w:rPr>
        <w:t>承诺书</w:t>
      </w:r>
      <w:r>
        <w:rPr>
          <w:rFonts w:hint="eastAsia" w:ascii="宋体" w:hAnsi="宋体" w:eastAsia="宋体" w:cs="宋体"/>
          <w:bCs/>
          <w:color w:val="auto"/>
          <w:sz w:val="24"/>
          <w:szCs w:val="24"/>
          <w:highlight w:val="none"/>
          <w:lang w:eastAsia="zh-CN" w:bidi="ar"/>
        </w:rPr>
        <w:t>；</w:t>
      </w:r>
    </w:p>
    <w:p w14:paraId="47B04DA9">
      <w:pPr>
        <w:pageBreakBefore w:val="0"/>
        <w:spacing w:line="360" w:lineRule="auto"/>
        <w:ind w:firstLine="48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3.拟派授权委托人、拟派项目负责人和企业签订的有效劳动合同，投标企业所在地社保机构出具的由企业为授权委托人、拟派项目负责人缴纳的</w:t>
      </w:r>
      <w:r>
        <w:rPr>
          <w:rFonts w:hint="default" w:ascii="宋体" w:hAnsi="宋体" w:eastAsia="宋体" w:cs="宋体"/>
          <w:color w:val="auto"/>
          <w:sz w:val="24"/>
          <w:highlight w:val="none"/>
        </w:rPr>
        <w:t>投标截止时间</w:t>
      </w:r>
      <w:r>
        <w:rPr>
          <w:rFonts w:hint="eastAsia" w:ascii="宋体" w:hAnsi="宋体" w:eastAsia="宋体" w:cs="宋体"/>
          <w:color w:val="auto"/>
          <w:sz w:val="24"/>
          <w:highlight w:val="none"/>
          <w:lang w:val="en-US" w:eastAsia="zh-CN"/>
        </w:rPr>
        <w:t>前三个月</w:t>
      </w:r>
      <w:r>
        <w:rPr>
          <w:rFonts w:hint="default" w:ascii="宋体" w:hAnsi="宋体" w:eastAsia="宋体" w:cs="宋体"/>
          <w:color w:val="auto"/>
          <w:sz w:val="24"/>
          <w:highlight w:val="none"/>
        </w:rPr>
        <w:t>（不含投标截止时间当月）</w:t>
      </w:r>
      <w:r>
        <w:rPr>
          <w:rFonts w:hint="eastAsia" w:ascii="宋体" w:hAnsi="宋体" w:eastAsia="宋体" w:cs="宋体"/>
          <w:color w:val="auto"/>
          <w:sz w:val="24"/>
          <w:highlight w:val="none"/>
          <w:lang w:val="en-US" w:eastAsia="zh-CN"/>
        </w:rPr>
        <w:t>中至少一</w:t>
      </w:r>
      <w:r>
        <w:rPr>
          <w:rFonts w:hint="default" w:ascii="宋体" w:hAnsi="宋体" w:eastAsia="宋体" w:cs="宋体"/>
          <w:color w:val="auto"/>
          <w:sz w:val="24"/>
          <w:highlight w:val="none"/>
        </w:rPr>
        <w:t>个月养老保险缴费证明</w:t>
      </w:r>
      <w:r>
        <w:rPr>
          <w:rFonts w:hint="eastAsia" w:ascii="宋体" w:hAnsi="宋体" w:eastAsia="宋体" w:cs="宋体"/>
          <w:color w:val="auto"/>
          <w:sz w:val="24"/>
          <w:highlight w:val="none"/>
        </w:rPr>
        <w:t>或依法免除的证明</w:t>
      </w:r>
      <w:r>
        <w:rPr>
          <w:rFonts w:hint="eastAsia" w:ascii="宋体" w:hAnsi="宋体" w:eastAsia="宋体" w:cs="宋体"/>
          <w:color w:val="auto"/>
          <w:sz w:val="24"/>
          <w:highlight w:val="none"/>
          <w:lang w:eastAsia="zh-CN"/>
        </w:rPr>
        <w:t>。</w:t>
      </w:r>
    </w:p>
    <w:p w14:paraId="343A61D8">
      <w:pPr>
        <w:keepNext/>
        <w:keepLines/>
        <w:pageBreakBefore w:val="0"/>
        <w:spacing w:line="360" w:lineRule="auto"/>
        <w:ind w:left="0" w:firstLine="643"/>
        <w:outlineLvl w:val="2"/>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三、获取</w:t>
      </w:r>
      <w:bookmarkEnd w:id="17"/>
      <w:bookmarkEnd w:id="18"/>
      <w:bookmarkEnd w:id="19"/>
      <w:bookmarkEnd w:id="20"/>
      <w:bookmarkEnd w:id="21"/>
      <w:r>
        <w:rPr>
          <w:rFonts w:hint="eastAsia" w:ascii="宋体" w:hAnsi="宋体" w:eastAsia="宋体" w:cs="宋体"/>
          <w:b/>
          <w:bCs/>
          <w:color w:val="auto"/>
          <w:sz w:val="32"/>
          <w:szCs w:val="32"/>
          <w:highlight w:val="none"/>
        </w:rPr>
        <w:t>磋商文件</w:t>
      </w:r>
    </w:p>
    <w:p w14:paraId="0D71BE47">
      <w:pPr>
        <w:pageBreakBefore w:val="0"/>
        <w:spacing w:line="360" w:lineRule="auto"/>
        <w:ind w:left="0" w:firstLine="480"/>
        <w:rPr>
          <w:rFonts w:hint="eastAsia" w:ascii="宋体" w:hAnsi="宋体" w:eastAsia="宋体" w:cs="宋体"/>
          <w:b/>
          <w:color w:val="auto"/>
          <w:sz w:val="24"/>
          <w:szCs w:val="24"/>
          <w:highlight w:val="none"/>
        </w:rPr>
      </w:pPr>
      <w:bookmarkStart w:id="22" w:name="_Toc28359082"/>
      <w:bookmarkStart w:id="23" w:name="_Toc28359005"/>
      <w:bookmarkStart w:id="24" w:name="_Toc38985266"/>
      <w:bookmarkStart w:id="25" w:name="_Toc35393624"/>
      <w:bookmarkStart w:id="26" w:name="_Toc35393793"/>
      <w:r>
        <w:rPr>
          <w:rFonts w:hint="eastAsia" w:ascii="宋体" w:hAnsi="宋体" w:eastAsia="宋体" w:cs="宋体"/>
          <w:color w:val="auto"/>
          <w:sz w:val="24"/>
          <w:szCs w:val="24"/>
          <w:highlight w:val="none"/>
        </w:rPr>
        <w:t>1.时间：自磋商文件公告发布之日起至提交响应文件截止之日止。</w:t>
      </w:r>
    </w:p>
    <w:p w14:paraId="3C096462">
      <w:pPr>
        <w:pageBreakBefore w:val="0"/>
        <w:spacing w:line="360" w:lineRule="auto"/>
        <w:ind w:left="0" w:firstLine="48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2.方式：在“江苏政府采购网”自行免费下载磋商文件。</w:t>
      </w:r>
    </w:p>
    <w:p w14:paraId="542262F3">
      <w:pPr>
        <w:keepNext w:val="0"/>
        <w:keepLines w:val="0"/>
        <w:pageBreakBefore w:val="0"/>
        <w:widowControl w:val="0"/>
        <w:spacing w:beforeAutospacing="0" w:afterAutospacing="0" w:line="360" w:lineRule="auto"/>
        <w:ind w:left="0" w:right="0" w:firstLine="480"/>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注：如潜在供应商未按上述要求操作，将自行承担所产生的风险</w:t>
      </w:r>
      <w:r>
        <w:rPr>
          <w:rFonts w:hint="eastAsia" w:ascii="宋体" w:hAnsi="宋体" w:eastAsia="宋体" w:cs="宋体"/>
          <w:color w:val="auto"/>
          <w:sz w:val="24"/>
          <w:szCs w:val="24"/>
          <w:highlight w:val="none"/>
        </w:rPr>
        <w:t>。</w:t>
      </w:r>
    </w:p>
    <w:p w14:paraId="0201B3C4">
      <w:pPr>
        <w:keepNext/>
        <w:keepLines/>
        <w:pageBreakBefore w:val="0"/>
        <w:spacing w:line="360" w:lineRule="auto"/>
        <w:ind w:left="0" w:firstLine="643"/>
        <w:outlineLvl w:val="2"/>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四、提交</w:t>
      </w:r>
      <w:bookmarkEnd w:id="22"/>
      <w:bookmarkEnd w:id="23"/>
      <w:r>
        <w:rPr>
          <w:rFonts w:hint="eastAsia" w:ascii="宋体" w:hAnsi="宋体" w:eastAsia="宋体" w:cs="宋体"/>
          <w:b/>
          <w:bCs/>
          <w:color w:val="auto"/>
          <w:sz w:val="32"/>
          <w:szCs w:val="32"/>
          <w:highlight w:val="none"/>
        </w:rPr>
        <w:t>响应文件截止时间</w:t>
      </w:r>
      <w:bookmarkEnd w:id="24"/>
      <w:bookmarkEnd w:id="25"/>
      <w:bookmarkEnd w:id="26"/>
    </w:p>
    <w:p w14:paraId="736C1A04">
      <w:pPr>
        <w:pageBreakBefore w:val="0"/>
        <w:spacing w:line="360" w:lineRule="auto"/>
        <w:ind w:firstLine="480"/>
        <w:rPr>
          <w:rFonts w:hint="eastAsia" w:ascii="宋体" w:hAnsi="宋体" w:eastAsia="宋体" w:cs="宋体"/>
          <w:color w:val="auto"/>
          <w:sz w:val="24"/>
          <w:szCs w:val="24"/>
          <w:highlight w:val="none"/>
        </w:rPr>
      </w:pPr>
      <w:bookmarkStart w:id="27" w:name="_Toc35393794"/>
      <w:bookmarkStart w:id="28" w:name="_Toc28359084"/>
      <w:bookmarkStart w:id="29" w:name="_Toc38985267"/>
      <w:bookmarkStart w:id="30" w:name="_Toc28359007"/>
      <w:bookmarkStart w:id="31" w:name="_Toc35393625"/>
      <w:r>
        <w:rPr>
          <w:rFonts w:hint="eastAsia" w:ascii="宋体" w:hAnsi="宋体" w:eastAsia="宋体" w:cs="宋体"/>
          <w:bCs/>
          <w:color w:val="auto"/>
          <w:sz w:val="24"/>
          <w:szCs w:val="24"/>
          <w:highlight w:val="none"/>
          <w:u w:val="single"/>
        </w:rPr>
        <w:t>1.202</w:t>
      </w:r>
      <w:r>
        <w:rPr>
          <w:rFonts w:hint="eastAsia" w:ascii="宋体" w:hAnsi="宋体" w:cs="宋体"/>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cs="宋体"/>
          <w:bCs/>
          <w:color w:val="auto"/>
          <w:sz w:val="24"/>
          <w:szCs w:val="24"/>
          <w:highlight w:val="none"/>
          <w:u w:val="single"/>
          <w:lang w:val="en-US" w:eastAsia="zh-CN"/>
        </w:rPr>
        <w:t>10</w:t>
      </w:r>
      <w:r>
        <w:rPr>
          <w:rFonts w:hint="eastAsia" w:ascii="宋体" w:hAnsi="宋体" w:eastAsia="宋体" w:cs="宋体"/>
          <w:bCs/>
          <w:color w:val="auto"/>
          <w:sz w:val="24"/>
          <w:szCs w:val="24"/>
          <w:highlight w:val="none"/>
          <w:u w:val="single"/>
        </w:rPr>
        <w:t>月</w:t>
      </w:r>
      <w:r>
        <w:rPr>
          <w:rFonts w:hint="eastAsia" w:ascii="宋体" w:hAnsi="宋体" w:cs="宋体"/>
          <w:bCs/>
          <w:color w:val="auto"/>
          <w:sz w:val="24"/>
          <w:szCs w:val="24"/>
          <w:highlight w:val="none"/>
          <w:u w:val="single"/>
          <w:lang w:val="en-US" w:eastAsia="zh-CN"/>
        </w:rPr>
        <w:t>30</w:t>
      </w:r>
      <w:r>
        <w:rPr>
          <w:rFonts w:hint="eastAsia" w:ascii="宋体" w:hAnsi="宋体" w:eastAsia="宋体" w:cs="宋体"/>
          <w:bCs/>
          <w:color w:val="auto"/>
          <w:sz w:val="24"/>
          <w:szCs w:val="24"/>
          <w:highlight w:val="none"/>
          <w:u w:val="single"/>
        </w:rPr>
        <w:t>日</w:t>
      </w:r>
      <w:r>
        <w:rPr>
          <w:rFonts w:hint="eastAsia" w:ascii="宋体" w:hAnsi="宋体" w:cs="宋体"/>
          <w:bCs/>
          <w:color w:val="auto"/>
          <w:sz w:val="24"/>
          <w:szCs w:val="24"/>
          <w:highlight w:val="none"/>
          <w:u w:val="single"/>
          <w:lang w:val="en-US" w:eastAsia="zh-CN"/>
        </w:rPr>
        <w:t>9时00</w:t>
      </w:r>
      <w:r>
        <w:rPr>
          <w:rFonts w:hint="eastAsia" w:ascii="宋体" w:hAnsi="宋体" w:eastAsia="宋体" w:cs="宋体"/>
          <w:bCs/>
          <w:color w:val="auto"/>
          <w:sz w:val="24"/>
          <w:szCs w:val="24"/>
          <w:highlight w:val="none"/>
          <w:u w:val="single"/>
        </w:rPr>
        <w:t>分（北京时间）。</w:t>
      </w:r>
      <w:r>
        <w:rPr>
          <w:rFonts w:hint="eastAsia" w:ascii="宋体" w:hAnsi="宋体" w:eastAsia="宋体" w:cs="宋体"/>
          <w:color w:val="auto"/>
          <w:sz w:val="24"/>
          <w:szCs w:val="24"/>
          <w:highlight w:val="none"/>
        </w:rPr>
        <w:t>逾时，交易系统将拒绝接受上传响应文件电子文档。</w:t>
      </w:r>
    </w:p>
    <w:p w14:paraId="1382361D">
      <w:pPr>
        <w:pageBreakBefore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2.地点：“苏采云”政府采购交易系统网上开标大厅。</w:t>
      </w:r>
    </w:p>
    <w:p w14:paraId="2841AAFA">
      <w:pPr>
        <w:keepNext/>
        <w:keepLines/>
        <w:pageBreakBefore w:val="0"/>
        <w:spacing w:line="360" w:lineRule="auto"/>
        <w:ind w:left="0" w:firstLine="643"/>
        <w:outlineLvl w:val="2"/>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五、公告期限</w:t>
      </w:r>
      <w:bookmarkEnd w:id="27"/>
      <w:bookmarkEnd w:id="28"/>
      <w:bookmarkEnd w:id="29"/>
      <w:bookmarkEnd w:id="30"/>
      <w:bookmarkEnd w:id="31"/>
    </w:p>
    <w:p w14:paraId="3A0D936D">
      <w:pPr>
        <w:pageBreakBefore w:val="0"/>
        <w:spacing w:line="360" w:lineRule="auto"/>
        <w:ind w:left="0" w:firstLine="480"/>
        <w:rPr>
          <w:rFonts w:hint="eastAsia" w:ascii="宋体" w:hAnsi="宋体" w:eastAsia="宋体" w:cs="宋体"/>
          <w:color w:val="auto"/>
          <w:sz w:val="24"/>
          <w:szCs w:val="24"/>
          <w:highlight w:val="none"/>
        </w:rPr>
      </w:pPr>
      <w:bookmarkStart w:id="32" w:name="_Toc38985268"/>
      <w:bookmarkStart w:id="33" w:name="_Toc35393626"/>
      <w:bookmarkStart w:id="34" w:name="_Toc35393795"/>
      <w:r>
        <w:rPr>
          <w:rFonts w:hint="eastAsia" w:ascii="宋体" w:hAnsi="宋体" w:eastAsia="宋体" w:cs="宋体"/>
          <w:color w:val="auto"/>
          <w:sz w:val="24"/>
          <w:szCs w:val="24"/>
          <w:highlight w:val="none"/>
        </w:rPr>
        <w:t>磋商公告及磋商文件公告期限为自本公告发布之日起</w:t>
      </w: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rPr>
        <w:t>个工作日。</w:t>
      </w:r>
    </w:p>
    <w:p w14:paraId="68A05185">
      <w:pPr>
        <w:keepNext/>
        <w:keepLines/>
        <w:pageBreakBefore w:val="0"/>
        <w:spacing w:line="360" w:lineRule="auto"/>
        <w:ind w:left="0" w:firstLine="643"/>
        <w:outlineLvl w:val="2"/>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六、其他补充事宜</w:t>
      </w:r>
      <w:bookmarkEnd w:id="32"/>
      <w:bookmarkEnd w:id="33"/>
      <w:bookmarkEnd w:id="34"/>
    </w:p>
    <w:p w14:paraId="5A9EE9C9">
      <w:pPr>
        <w:pageBreakBefore w:val="0"/>
        <w:widowControl w:val="0"/>
        <w:spacing w:line="360" w:lineRule="auto"/>
        <w:ind w:left="0" w:leftChars="0" w:firstLine="480" w:firstLineChars="0"/>
        <w:jc w:val="both"/>
        <w:rPr>
          <w:rFonts w:hint="eastAsia" w:ascii="宋体" w:hAnsi="宋体" w:eastAsia="宋体" w:cs="宋体"/>
          <w:color w:val="auto"/>
          <w:sz w:val="24"/>
          <w:szCs w:val="24"/>
          <w:highlight w:val="none"/>
          <w:lang w:val="en-US" w:eastAsia="zh-CN" w:bidi="ar-SA"/>
        </w:rPr>
      </w:pPr>
      <w:bookmarkStart w:id="35" w:name="_Toc28359085"/>
      <w:bookmarkStart w:id="36" w:name="_Toc38985269"/>
      <w:bookmarkStart w:id="37" w:name="_Toc28359008"/>
      <w:bookmarkStart w:id="38" w:name="_Toc35393627"/>
      <w:bookmarkStart w:id="39" w:name="_Toc35393796"/>
      <w:r>
        <w:rPr>
          <w:rFonts w:hint="eastAsia" w:ascii="宋体" w:hAnsi="宋体" w:eastAsia="宋体" w:cs="宋体"/>
          <w:color w:val="auto"/>
          <w:sz w:val="24"/>
          <w:szCs w:val="24"/>
          <w:highlight w:val="none"/>
          <w:lang w:val="en-US" w:eastAsia="zh-CN" w:bidi="ar-SA"/>
        </w:rPr>
        <w:t>1.</w:t>
      </w:r>
      <w:r>
        <w:rPr>
          <w:rFonts w:hint="eastAsia" w:ascii="宋体" w:hAnsi="宋体" w:eastAsia="宋体" w:cs="Times New Roman"/>
          <w:bCs/>
          <w:color w:val="auto"/>
          <w:sz w:val="24"/>
          <w:szCs w:val="24"/>
          <w:highlight w:val="none"/>
        </w:rPr>
        <w:t>本次磋商不收取磋商保证金。</w:t>
      </w:r>
    </w:p>
    <w:p w14:paraId="0D7E767F">
      <w:pPr>
        <w:pageBreakBefore w:val="0"/>
        <w:widowControl w:val="0"/>
        <w:spacing w:line="360" w:lineRule="auto"/>
        <w:ind w:left="0" w:leftChars="0" w:firstLine="480" w:firstLineChars="0"/>
        <w:jc w:val="both"/>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2.</w:t>
      </w:r>
      <w:r>
        <w:rPr>
          <w:rFonts w:hint="eastAsia" w:ascii="宋体" w:hAnsi="宋体" w:eastAsia="宋体" w:cs="Times New Roman"/>
          <w:bCs/>
          <w:color w:val="auto"/>
          <w:sz w:val="24"/>
          <w:szCs w:val="24"/>
          <w:highlight w:val="none"/>
        </w:rPr>
        <w:t>有关本次磋商的事项若存在变动或修改，敬请及时关注</w:t>
      </w:r>
      <w:r>
        <w:rPr>
          <w:rFonts w:hint="eastAsia" w:ascii="宋体" w:hAnsi="宋体" w:eastAsia="宋体" w:cs="Times New Roman"/>
          <w:bCs/>
          <w:color w:val="auto"/>
          <w:sz w:val="24"/>
          <w:szCs w:val="24"/>
          <w:highlight w:val="none"/>
          <w:lang w:val="en-US" w:eastAsia="zh-CN"/>
        </w:rPr>
        <w:t>采购代理机构</w:t>
      </w:r>
      <w:r>
        <w:rPr>
          <w:rFonts w:hint="eastAsia" w:ascii="宋体" w:hAnsi="宋体" w:eastAsia="宋体" w:cs="Times New Roman"/>
          <w:bCs/>
          <w:color w:val="auto"/>
          <w:sz w:val="24"/>
          <w:szCs w:val="24"/>
          <w:highlight w:val="none"/>
        </w:rPr>
        <w:t>在“江苏政府采购网”发布的更正公告。</w:t>
      </w:r>
    </w:p>
    <w:p w14:paraId="7887709F">
      <w:pPr>
        <w:pageBreakBefore w:val="0"/>
        <w:widowControl w:val="0"/>
        <w:spacing w:line="360" w:lineRule="auto"/>
        <w:ind w:left="0" w:leftChars="0" w:firstLine="480" w:firstLineChars="0"/>
        <w:jc w:val="both"/>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3.</w:t>
      </w:r>
      <w:r>
        <w:rPr>
          <w:rFonts w:hint="eastAsia" w:ascii="宋体" w:hAnsi="宋体" w:eastAsia="宋体" w:cs="Times New Roman"/>
          <w:bCs/>
          <w:color w:val="auto"/>
          <w:sz w:val="24"/>
          <w:szCs w:val="24"/>
          <w:highlight w:val="none"/>
        </w:rPr>
        <w:t>“苏采云”系统使用相关提醒</w:t>
      </w:r>
    </w:p>
    <w:p w14:paraId="090B32CA">
      <w:pPr>
        <w:pageBreakBefore w:val="0"/>
        <w:widowControl w:val="0"/>
        <w:spacing w:line="360" w:lineRule="auto"/>
        <w:ind w:left="0" w:leftChars="0" w:firstLine="480" w:firstLineChars="0"/>
        <w:jc w:val="both"/>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3.1.根据省财政厅《关于更换全省政府采购交易系统CA数字证书和电子签章的通知》（苏财购〔2023〕101号），“苏采云”政府采购交易系统（以下简称苏采云系统）的CA数字证书、电子签章已更换为江苏省电子政务证书认证中心C A和方正国际软件（北京）有限公司电子签章。如果供应商通过苏采云系统参与政府采购项目，需要更换CA数字证书和电子签章。具体办理指南和操作手册见链接：http://www.ccgp-jiangsu.gov.cn/jiangsu/zlxz/ee/ee3a4bc5a3454aa2b0d9312230633ce9.html。</w:t>
      </w:r>
    </w:p>
    <w:p w14:paraId="3ABE1B58">
      <w:pPr>
        <w:pageBreakBefore w:val="0"/>
        <w:widowControl w:val="0"/>
        <w:spacing w:line="360" w:lineRule="auto"/>
        <w:ind w:left="0" w:leftChars="0" w:firstLine="480" w:firstLineChars="0"/>
        <w:jc w:val="both"/>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3.2领取CA和办理电子签章详见《苏采云系统供应商操作手册》（以下简称《操作手册》））、进行注册并按《操作手册》要求制作、上传电子响应文件。</w:t>
      </w:r>
    </w:p>
    <w:p w14:paraId="3F58626D">
      <w:pPr>
        <w:keepNext w:val="0"/>
        <w:keepLines w:val="0"/>
        <w:pageBreakBefore w:val="0"/>
        <w:widowControl w:val="0"/>
        <w:spacing w:beforeAutospacing="0" w:afterAutospacing="0" w:line="360" w:lineRule="auto"/>
        <w:ind w:left="0" w:right="0" w:firstLine="480"/>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3.3磋商当天响应供应商应及时登录“苏采云”，并在规定时间内自行实施远程解密。响应供应商解密时间限定为响应文件解密指令发出后</w:t>
      </w:r>
      <w:bookmarkStart w:id="767" w:name="_GoBack"/>
      <w:r>
        <w:rPr>
          <w:rFonts w:hint="eastAsia" w:ascii="宋体" w:hAnsi="宋体" w:eastAsia="宋体" w:cs="宋体"/>
          <w:color w:val="auto"/>
          <w:sz w:val="24"/>
          <w:szCs w:val="24"/>
          <w:highlight w:val="none"/>
          <w:lang w:val="en-US" w:eastAsia="zh-CN" w:bidi="ar-SA"/>
        </w:rPr>
        <w:t>30</w:t>
      </w:r>
      <w:bookmarkEnd w:id="767"/>
      <w:r>
        <w:rPr>
          <w:rFonts w:hint="eastAsia" w:ascii="宋体" w:hAnsi="宋体" w:eastAsia="宋体" w:cs="宋体"/>
          <w:color w:val="auto"/>
          <w:sz w:val="24"/>
          <w:szCs w:val="24"/>
          <w:highlight w:val="none"/>
          <w:lang w:val="en-US" w:eastAsia="zh-CN" w:bidi="ar-SA"/>
        </w:rPr>
        <w:t>分钟（供应商应当充分考虑网络延时造成的本地网络计时不一致风险，提前完成解密动作）。响应供应商因网络、电源、浏览器不稳定、未按要求配置软硬件环境，解密锁用错或其他物理故障、操作熟练程度等自身原因，导致响应文件在规定时间内未能解密、解密失败或解密超时，系统内响应文件将被退回，相应风险由供应商自行承担；因采购人原因或苏采云平台发生故障，导致磋商无法进行的，采购人可根据实际情况延长相应时间。</w:t>
      </w:r>
    </w:p>
    <w:p w14:paraId="7A3E4CC7">
      <w:pPr>
        <w:keepNext w:val="0"/>
        <w:keepLines w:val="0"/>
        <w:pageBreakBefore w:val="0"/>
        <w:widowControl w:val="0"/>
        <w:spacing w:beforeAutospacing="0" w:afterAutospacing="0" w:line="360" w:lineRule="auto"/>
        <w:ind w:left="0" w:right="0" w:firstLine="480"/>
        <w:rPr>
          <w:rFonts w:hint="default" w:ascii="宋体" w:hAnsi="宋体" w:eastAsia="宋体" w:cs="宋体"/>
          <w:b/>
          <w:bCs/>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4.供应商在制作及上传响应文件时，特别要注意IP地址、MAC地址、标书制作工具客户端标识码，如果不同供应商的响应文件及制作过程出现了评标委员会认为的不应当雷同的情况，后果由供应商自负。</w:t>
      </w:r>
    </w:p>
    <w:p w14:paraId="56976AB3">
      <w:pPr>
        <w:keepNext/>
        <w:keepLines/>
        <w:pageBreakBefore w:val="0"/>
        <w:spacing w:line="360" w:lineRule="auto"/>
        <w:ind w:left="0" w:firstLine="643"/>
        <w:outlineLvl w:val="2"/>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七、本次磋商联系方式</w:t>
      </w:r>
      <w:bookmarkEnd w:id="35"/>
      <w:bookmarkEnd w:id="36"/>
      <w:bookmarkEnd w:id="37"/>
      <w:bookmarkEnd w:id="38"/>
      <w:bookmarkEnd w:id="39"/>
    </w:p>
    <w:p w14:paraId="6FAF2283">
      <w:pPr>
        <w:pageBreakBefore w:val="0"/>
        <w:widowControl/>
        <w:spacing w:line="360" w:lineRule="auto"/>
        <w:ind w:left="0" w:firstLine="480"/>
        <w:jc w:val="left"/>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1.采购人信息</w:t>
      </w:r>
    </w:p>
    <w:p w14:paraId="7CC97A8D">
      <w:pPr>
        <w:pageBreakBefore w:val="0"/>
        <w:spacing w:line="360" w:lineRule="auto"/>
        <w:ind w:right="0" w:firstLine="480"/>
        <w:rPr>
          <w:rFonts w:hint="eastAsia" w:ascii="宋体" w:hAnsi="宋体" w:eastAsia="宋体" w:cs="宋体"/>
          <w:color w:val="auto"/>
          <w:sz w:val="24"/>
          <w:szCs w:val="24"/>
          <w:highlight w:val="none"/>
          <w:u w:val="none"/>
          <w:lang w:eastAsia="zh-CN"/>
        </w:rPr>
      </w:pPr>
      <w:r>
        <w:rPr>
          <w:rFonts w:hint="eastAsia" w:ascii="宋体" w:hAnsi="宋体" w:eastAsia="宋体" w:cs="宋体"/>
          <w:color w:val="auto"/>
          <w:sz w:val="24"/>
          <w:szCs w:val="24"/>
          <w:highlight w:val="none"/>
          <w:u w:val="none"/>
        </w:rPr>
        <w:t>名 称：</w:t>
      </w:r>
      <w:r>
        <w:rPr>
          <w:rFonts w:hint="eastAsia" w:ascii="宋体" w:hAnsi="宋体" w:eastAsia="宋体" w:cs="宋体"/>
          <w:color w:val="auto"/>
          <w:sz w:val="24"/>
          <w:szCs w:val="24"/>
          <w:highlight w:val="none"/>
          <w:u w:val="none"/>
          <w:lang w:eastAsia="zh-CN"/>
        </w:rPr>
        <w:t>南通市通州区东社镇人民政府</w:t>
      </w:r>
    </w:p>
    <w:p w14:paraId="0FFA01A9">
      <w:pPr>
        <w:pageBreakBefore w:val="0"/>
        <w:spacing w:line="360" w:lineRule="auto"/>
        <w:ind w:right="0" w:firstLine="480"/>
        <w:rPr>
          <w:rFonts w:hint="eastAsia" w:ascii="宋体" w:hAnsi="宋体" w:eastAsia="宋体" w:cs="宋体"/>
          <w:color w:val="auto"/>
          <w:sz w:val="24"/>
          <w:szCs w:val="24"/>
          <w:highlight w:val="none"/>
          <w:u w:val="none"/>
          <w:lang w:eastAsia="zh-CN"/>
        </w:rPr>
      </w:pPr>
      <w:r>
        <w:rPr>
          <w:rFonts w:hint="eastAsia" w:ascii="宋体" w:hAnsi="宋体" w:eastAsia="宋体" w:cs="宋体"/>
          <w:color w:val="auto"/>
          <w:sz w:val="24"/>
          <w:szCs w:val="24"/>
          <w:highlight w:val="none"/>
          <w:u w:val="none"/>
        </w:rPr>
        <w:t>地</w:t>
      </w:r>
      <w:r>
        <w:rPr>
          <w:rFonts w:hint="eastAsia" w:ascii="宋体" w:hAnsi="宋体" w:eastAsia="宋体" w:cs="宋体"/>
          <w:color w:val="auto"/>
          <w:sz w:val="24"/>
          <w:szCs w:val="24"/>
          <w:highlight w:val="none"/>
          <w:u w:val="none"/>
          <w:lang w:val="en-US" w:eastAsia="zh-CN"/>
        </w:rPr>
        <w:t xml:space="preserve"> </w:t>
      </w:r>
      <w:r>
        <w:rPr>
          <w:rFonts w:hint="eastAsia" w:ascii="宋体" w:hAnsi="宋体" w:eastAsia="宋体" w:cs="宋体"/>
          <w:color w:val="auto"/>
          <w:sz w:val="24"/>
          <w:szCs w:val="24"/>
          <w:highlight w:val="none"/>
          <w:u w:val="none"/>
        </w:rPr>
        <w:t>址：</w:t>
      </w:r>
      <w:r>
        <w:rPr>
          <w:rFonts w:hint="eastAsia" w:ascii="宋体" w:hAnsi="宋体" w:eastAsia="宋体" w:cs="宋体"/>
          <w:color w:val="auto"/>
          <w:sz w:val="24"/>
          <w:szCs w:val="24"/>
          <w:highlight w:val="none"/>
          <w:u w:val="none"/>
          <w:lang w:eastAsia="zh-CN"/>
        </w:rPr>
        <w:t>通州区东社镇</w:t>
      </w:r>
    </w:p>
    <w:p w14:paraId="5CCF5ADA">
      <w:pPr>
        <w:pageBreakBefore w:val="0"/>
        <w:spacing w:line="360" w:lineRule="auto"/>
        <w:ind w:right="0" w:firstLine="480"/>
        <w:rPr>
          <w:rFonts w:hint="default" w:ascii="宋体" w:hAnsi="宋体" w:eastAsia="宋体" w:cs="宋体"/>
          <w:color w:val="auto"/>
          <w:sz w:val="24"/>
          <w:szCs w:val="24"/>
          <w:highlight w:val="none"/>
          <w:u w:val="none"/>
          <w:lang w:val="en-US"/>
        </w:rPr>
      </w:pPr>
      <w:r>
        <w:rPr>
          <w:rFonts w:hint="eastAsia" w:ascii="宋体" w:hAnsi="宋体" w:eastAsia="宋体" w:cs="宋体"/>
          <w:color w:val="auto"/>
          <w:sz w:val="24"/>
          <w:szCs w:val="24"/>
          <w:highlight w:val="none"/>
          <w:u w:val="none"/>
        </w:rPr>
        <w:t>联系人：</w:t>
      </w:r>
      <w:r>
        <w:rPr>
          <w:rFonts w:hint="eastAsia" w:ascii="宋体" w:hAnsi="宋体" w:cs="宋体"/>
          <w:color w:val="auto"/>
          <w:sz w:val="24"/>
          <w:szCs w:val="24"/>
          <w:highlight w:val="none"/>
          <w:u w:val="none"/>
          <w:lang w:val="en-US" w:eastAsia="zh-CN"/>
        </w:rPr>
        <w:t>陶先生</w:t>
      </w:r>
      <w:r>
        <w:rPr>
          <w:rFonts w:hint="eastAsia" w:ascii="宋体" w:hAnsi="宋体" w:eastAsia="宋体" w:cs="宋体"/>
          <w:color w:val="auto"/>
          <w:sz w:val="24"/>
          <w:szCs w:val="24"/>
          <w:highlight w:val="none"/>
          <w:u w:val="none"/>
          <w:lang w:val="en-US" w:eastAsia="zh-CN"/>
        </w:rPr>
        <w:t xml:space="preserve">     </w:t>
      </w:r>
    </w:p>
    <w:p w14:paraId="5E1CBB88">
      <w:pPr>
        <w:pageBreakBefore w:val="0"/>
        <w:spacing w:line="360" w:lineRule="auto"/>
        <w:ind w:right="0" w:firstLine="480"/>
        <w:rPr>
          <w:rFonts w:hint="default" w:ascii="宋体" w:hAnsi="宋体" w:eastAsia="宋体" w:cs="宋体"/>
          <w:color w:val="auto"/>
          <w:sz w:val="24"/>
          <w:szCs w:val="24"/>
          <w:highlight w:val="none"/>
          <w:u w:val="none"/>
          <w:lang w:val="en-US"/>
        </w:rPr>
      </w:pPr>
      <w:r>
        <w:rPr>
          <w:rFonts w:hint="eastAsia" w:ascii="宋体" w:hAnsi="宋体" w:eastAsia="宋体" w:cs="宋体"/>
          <w:color w:val="auto"/>
          <w:sz w:val="24"/>
          <w:szCs w:val="24"/>
          <w:highlight w:val="none"/>
          <w:u w:val="none"/>
        </w:rPr>
        <w:t>联系方式：</w:t>
      </w:r>
      <w:bookmarkStart w:id="40" w:name="_Toc28359009"/>
      <w:bookmarkEnd w:id="40"/>
      <w:bookmarkStart w:id="41" w:name="_Toc28359086"/>
      <w:bookmarkEnd w:id="41"/>
      <w:r>
        <w:rPr>
          <w:rFonts w:hint="eastAsia" w:ascii="宋体" w:hAnsi="宋体" w:cs="宋体"/>
          <w:color w:val="auto"/>
          <w:sz w:val="24"/>
          <w:szCs w:val="24"/>
          <w:highlight w:val="none"/>
          <w:u w:val="none"/>
          <w:lang w:val="en-US" w:eastAsia="zh-CN"/>
        </w:rPr>
        <w:t xml:space="preserve">13861938754           </w:t>
      </w:r>
    </w:p>
    <w:p w14:paraId="0ED0D62D">
      <w:pPr>
        <w:pageBreakBefore w:val="0"/>
        <w:widowControl/>
        <w:spacing w:line="360" w:lineRule="auto"/>
        <w:ind w:left="0" w:firstLine="480"/>
        <w:jc w:val="left"/>
        <w:rPr>
          <w:rFonts w:hint="eastAsia" w:ascii="宋体" w:hAnsi="宋体" w:eastAsia="宋体" w:cs="宋体"/>
          <w:color w:val="auto"/>
          <w:sz w:val="24"/>
          <w:szCs w:val="24"/>
          <w:highlight w:val="none"/>
        </w:rPr>
      </w:pPr>
      <w:bookmarkStart w:id="42" w:name="_Toc28359010"/>
      <w:bookmarkStart w:id="43" w:name="_Toc28359087"/>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rPr>
        <w:t>.招标代理信息</w:t>
      </w:r>
    </w:p>
    <w:bookmarkEnd w:id="42"/>
    <w:bookmarkEnd w:id="43"/>
    <w:p w14:paraId="40FA7881">
      <w:pPr>
        <w:pageBreakBefore w:val="0"/>
        <w:spacing w:line="360" w:lineRule="auto"/>
        <w:ind w:right="0" w:firstLine="480"/>
        <w:rPr>
          <w:rFonts w:hint="eastAsia" w:ascii="宋体" w:hAnsi="宋体" w:eastAsia="宋体" w:cs="宋体"/>
          <w:color w:val="auto"/>
          <w:sz w:val="24"/>
          <w:szCs w:val="24"/>
          <w:highlight w:val="none"/>
          <w:u w:val="none"/>
        </w:rPr>
      </w:pPr>
      <w:bookmarkStart w:id="44" w:name="_Toc120614211"/>
      <w:r>
        <w:rPr>
          <w:rFonts w:hint="eastAsia" w:ascii="宋体" w:hAnsi="宋体" w:eastAsia="宋体" w:cs="宋体"/>
          <w:color w:val="auto"/>
          <w:sz w:val="24"/>
          <w:szCs w:val="24"/>
          <w:highlight w:val="none"/>
          <w:u w:val="none"/>
        </w:rPr>
        <w:t>名  称：南通俊达工程造价咨询有限公司</w:t>
      </w:r>
    </w:p>
    <w:p w14:paraId="206DDEB5">
      <w:pPr>
        <w:pageBreakBefore w:val="0"/>
        <w:spacing w:line="360" w:lineRule="auto"/>
        <w:ind w:right="0" w:firstLine="480"/>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地　址：南通崇川区外环东路80号</w:t>
      </w:r>
    </w:p>
    <w:p w14:paraId="69D51AE9">
      <w:pPr>
        <w:pageBreakBefore w:val="0"/>
        <w:spacing w:line="360" w:lineRule="auto"/>
        <w:ind w:right="0" w:firstLine="480"/>
        <w:rPr>
          <w:rFonts w:hint="eastAsia" w:ascii="宋体" w:hAnsi="宋体" w:eastAsia="宋体" w:cs="宋体"/>
          <w:color w:val="auto"/>
          <w:sz w:val="24"/>
          <w:szCs w:val="24"/>
          <w:highlight w:val="none"/>
          <w:u w:val="none"/>
          <w:lang w:eastAsia="zh-CN"/>
        </w:rPr>
      </w:pPr>
      <w:r>
        <w:rPr>
          <w:rFonts w:hint="eastAsia" w:ascii="宋体" w:hAnsi="宋体" w:eastAsia="宋体" w:cs="宋体"/>
          <w:color w:val="auto"/>
          <w:sz w:val="24"/>
          <w:szCs w:val="24"/>
          <w:highlight w:val="none"/>
          <w:u w:val="none"/>
        </w:rPr>
        <w:t>联系人：</w:t>
      </w:r>
      <w:r>
        <w:rPr>
          <w:rFonts w:hint="eastAsia" w:ascii="宋体" w:hAnsi="宋体" w:eastAsia="宋体" w:cs="宋体"/>
          <w:color w:val="auto"/>
          <w:sz w:val="24"/>
          <w:szCs w:val="24"/>
          <w:highlight w:val="none"/>
          <w:u w:val="none"/>
          <w:lang w:val="en-US" w:eastAsia="zh-CN"/>
        </w:rPr>
        <w:t>赵女士</w:t>
      </w:r>
      <w:r>
        <w:rPr>
          <w:rFonts w:hint="eastAsia" w:ascii="宋体" w:hAnsi="宋体" w:eastAsia="宋体" w:cs="宋体"/>
          <w:color w:val="auto"/>
          <w:sz w:val="24"/>
          <w:szCs w:val="24"/>
          <w:highlight w:val="none"/>
          <w:u w:val="none"/>
        </w:rPr>
        <w:t>、</w:t>
      </w:r>
      <w:r>
        <w:rPr>
          <w:rFonts w:hint="eastAsia" w:ascii="宋体" w:hAnsi="宋体" w:eastAsia="宋体" w:cs="宋体"/>
          <w:color w:val="auto"/>
          <w:sz w:val="24"/>
          <w:szCs w:val="24"/>
          <w:highlight w:val="none"/>
          <w:u w:val="none"/>
          <w:lang w:val="en-US" w:eastAsia="zh-CN"/>
        </w:rPr>
        <w:t>邵女士</w:t>
      </w:r>
    </w:p>
    <w:p w14:paraId="1FB2FE17">
      <w:pPr>
        <w:pageBreakBefore w:val="0"/>
        <w:spacing w:line="360" w:lineRule="auto"/>
        <w:ind w:righ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none"/>
        </w:rPr>
        <w:t>联系方式：0513-86101116、</w:t>
      </w:r>
      <w:r>
        <w:rPr>
          <w:rFonts w:hint="eastAsia" w:ascii="宋体" w:hAnsi="宋体" w:eastAsia="宋体" w:cs="宋体"/>
          <w:color w:val="auto"/>
          <w:sz w:val="24"/>
          <w:szCs w:val="24"/>
          <w:highlight w:val="none"/>
          <w:u w:val="none"/>
          <w:lang w:val="en-US" w:eastAsia="zh-CN"/>
        </w:rPr>
        <w:t>18068003528</w:t>
      </w:r>
      <w:r>
        <w:rPr>
          <w:rFonts w:hint="eastAsia" w:ascii="宋体" w:hAnsi="宋体" w:cs="宋体"/>
          <w:color w:val="auto"/>
          <w:sz w:val="24"/>
          <w:szCs w:val="24"/>
          <w:highlight w:val="none"/>
          <w:u w:val="none"/>
          <w:lang w:val="en-US" w:eastAsia="zh-CN"/>
        </w:rPr>
        <w:t>、18360005621</w:t>
      </w:r>
      <w:r>
        <w:rPr>
          <w:rFonts w:hint="eastAsia" w:ascii="宋体" w:hAnsi="宋体" w:eastAsia="宋体" w:cs="宋体"/>
          <w:color w:val="auto"/>
          <w:sz w:val="24"/>
          <w:szCs w:val="24"/>
          <w:highlight w:val="none"/>
        </w:rPr>
        <w:t>　</w:t>
      </w:r>
    </w:p>
    <w:p w14:paraId="33E96FB2">
      <w:pPr>
        <w:pageBreakBefore w:val="0"/>
        <w:spacing w:line="360" w:lineRule="auto"/>
        <w:ind w:right="0" w:firstLine="480"/>
        <w:rPr>
          <w:rFonts w:hint="eastAsia" w:ascii="宋体" w:hAnsi="宋体" w:cs="宋体"/>
          <w:color w:val="auto"/>
          <w:sz w:val="24"/>
          <w:szCs w:val="24"/>
          <w:highlight w:val="none"/>
        </w:rPr>
      </w:pPr>
      <w:r>
        <w:rPr>
          <w:rFonts w:hint="eastAsia" w:ascii="宋体" w:hAnsi="宋体" w:cs="宋体"/>
          <w:color w:val="auto"/>
          <w:sz w:val="24"/>
          <w:szCs w:val="24"/>
          <w:highlight w:val="none"/>
        </w:rPr>
        <w:t>交易系统软件维护人员：</w:t>
      </w:r>
      <w:r>
        <w:rPr>
          <w:rFonts w:ascii="宋体" w:hAnsi="宋体" w:cs="宋体"/>
          <w:color w:val="auto"/>
          <w:sz w:val="24"/>
          <w:szCs w:val="24"/>
          <w:highlight w:val="none"/>
        </w:rPr>
        <w:t>0513-59001950 0519-86722801</w:t>
      </w:r>
    </w:p>
    <w:p w14:paraId="7EC76C4A">
      <w:pPr>
        <w:pageBreakBefore w:val="0"/>
        <w:widowControl/>
        <w:spacing w:line="360" w:lineRule="auto"/>
        <w:ind w:left="0" w:firstLine="720"/>
        <w:jc w:val="left"/>
        <w:rPr>
          <w:rFonts w:hint="eastAsia" w:ascii="宋体" w:hAnsi="宋体" w:eastAsia="宋体" w:cs="宋体"/>
          <w:color w:val="auto"/>
          <w:sz w:val="24"/>
          <w:szCs w:val="24"/>
          <w:highlight w:val="none"/>
          <w:u w:val="single"/>
          <w:lang w:val="en-US" w:eastAsia="zh-CN"/>
        </w:rPr>
      </w:pPr>
    </w:p>
    <w:p w14:paraId="26598E3E">
      <w:pPr>
        <w:pageBreakBefore w:val="0"/>
        <w:widowControl/>
        <w:spacing w:line="360" w:lineRule="auto"/>
        <w:ind w:left="0" w:firstLine="720"/>
        <w:jc w:val="left"/>
        <w:rPr>
          <w:rFonts w:hint="eastAsia" w:ascii="宋体" w:hAnsi="宋体" w:eastAsia="宋体" w:cs="宋体"/>
          <w:color w:val="auto"/>
          <w:sz w:val="24"/>
          <w:szCs w:val="24"/>
          <w:highlight w:val="none"/>
          <w:u w:val="single"/>
          <w:lang w:val="en-US" w:eastAsia="zh-CN"/>
        </w:rPr>
      </w:pPr>
    </w:p>
    <w:p w14:paraId="3DE4DF52">
      <w:pPr>
        <w:rPr>
          <w:rFonts w:hint="eastAsia" w:ascii="宋体" w:hAnsi="宋体" w:eastAsia="宋体" w:cs="宋体"/>
          <w:color w:val="auto"/>
          <w:sz w:val="44"/>
          <w:szCs w:val="44"/>
          <w:highlight w:val="none"/>
        </w:rPr>
      </w:pPr>
      <w:r>
        <w:rPr>
          <w:rFonts w:hint="eastAsia" w:ascii="宋体" w:hAnsi="宋体" w:eastAsia="宋体" w:cs="宋体"/>
          <w:color w:val="auto"/>
          <w:sz w:val="44"/>
          <w:szCs w:val="44"/>
          <w:highlight w:val="none"/>
        </w:rPr>
        <w:br w:type="page"/>
      </w:r>
    </w:p>
    <w:p w14:paraId="15C1C7DC">
      <w:pPr>
        <w:keepNext/>
        <w:pageBreakBefore w:val="0"/>
        <w:widowControl w:val="0"/>
        <w:spacing w:line="360" w:lineRule="auto"/>
        <w:ind w:firstLine="880"/>
        <w:jc w:val="center"/>
        <w:outlineLvl w:val="0"/>
        <w:rPr>
          <w:rFonts w:hint="eastAsia" w:ascii="宋体" w:hAnsi="宋体" w:eastAsia="宋体" w:cs="宋体"/>
          <w:color w:val="auto"/>
          <w:sz w:val="44"/>
          <w:szCs w:val="44"/>
          <w:highlight w:val="none"/>
        </w:rPr>
      </w:pPr>
      <w:r>
        <w:rPr>
          <w:rFonts w:hint="eastAsia" w:ascii="宋体" w:hAnsi="宋体" w:eastAsia="宋体" w:cs="宋体"/>
          <w:color w:val="auto"/>
          <w:sz w:val="44"/>
          <w:szCs w:val="44"/>
          <w:highlight w:val="none"/>
        </w:rPr>
        <w:t xml:space="preserve">第二章  </w:t>
      </w:r>
      <w:bookmarkEnd w:id="1"/>
      <w:bookmarkEnd w:id="2"/>
      <w:bookmarkEnd w:id="3"/>
      <w:bookmarkEnd w:id="4"/>
      <w:bookmarkEnd w:id="5"/>
      <w:bookmarkEnd w:id="44"/>
      <w:r>
        <w:rPr>
          <w:rFonts w:hint="eastAsia" w:ascii="宋体" w:hAnsi="宋体" w:cs="宋体"/>
          <w:color w:val="auto"/>
          <w:sz w:val="44"/>
          <w:szCs w:val="44"/>
          <w:highlight w:val="none"/>
          <w:lang w:val="en-US" w:eastAsia="zh-CN"/>
        </w:rPr>
        <w:t>供应商</w:t>
      </w:r>
      <w:r>
        <w:rPr>
          <w:rFonts w:hint="eastAsia" w:ascii="宋体" w:hAnsi="宋体" w:eastAsia="宋体" w:cs="宋体"/>
          <w:color w:val="auto"/>
          <w:sz w:val="44"/>
          <w:szCs w:val="44"/>
          <w:highlight w:val="none"/>
        </w:rPr>
        <w:t>须知</w:t>
      </w:r>
    </w:p>
    <w:p w14:paraId="6A1AF0FA">
      <w:pPr>
        <w:keepNext/>
        <w:keepLines/>
        <w:pageBreakBefore w:val="0"/>
        <w:widowControl w:val="0"/>
        <w:kinsoku/>
        <w:wordWrap/>
        <w:overflowPunct/>
        <w:topLinePunct w:val="0"/>
        <w:autoSpaceDE/>
        <w:autoSpaceDN/>
        <w:bidi w:val="0"/>
        <w:adjustRightInd w:val="0"/>
        <w:snapToGrid w:val="0"/>
        <w:spacing w:line="360" w:lineRule="auto"/>
        <w:ind w:firstLine="643"/>
        <w:textAlignment w:val="auto"/>
        <w:outlineLvl w:val="2"/>
        <w:rPr>
          <w:rFonts w:hint="eastAsia" w:ascii="宋体" w:hAnsi="宋体" w:eastAsia="宋体" w:cs="宋体"/>
          <w:b/>
          <w:bCs/>
          <w:color w:val="auto"/>
          <w:sz w:val="24"/>
          <w:szCs w:val="24"/>
          <w:highlight w:val="none"/>
        </w:rPr>
      </w:pPr>
      <w:bookmarkStart w:id="45" w:name="_Toc513029203"/>
      <w:bookmarkStart w:id="46" w:name="_Toc120614214"/>
      <w:bookmarkStart w:id="47" w:name="_Toc16938519"/>
      <w:bookmarkStart w:id="48" w:name="_Toc20823275"/>
      <w:r>
        <w:rPr>
          <w:rFonts w:hint="eastAsia" w:ascii="宋体" w:hAnsi="宋体" w:eastAsia="宋体" w:cs="宋体"/>
          <w:b/>
          <w:bCs/>
          <w:color w:val="auto"/>
          <w:sz w:val="24"/>
          <w:szCs w:val="24"/>
          <w:highlight w:val="none"/>
        </w:rPr>
        <w:t>一、总则</w:t>
      </w:r>
      <w:bookmarkEnd w:id="45"/>
      <w:bookmarkEnd w:id="46"/>
      <w:bookmarkEnd w:id="47"/>
      <w:bookmarkEnd w:id="48"/>
    </w:p>
    <w:p w14:paraId="256442D6">
      <w:pPr>
        <w:keepNext/>
        <w:keepLines/>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3"/>
        <w:rPr>
          <w:rFonts w:hint="eastAsia" w:ascii="宋体" w:hAnsi="宋体" w:eastAsia="宋体" w:cs="宋体"/>
          <w:i w:val="0"/>
          <w:iCs w:val="0"/>
          <w:color w:val="auto"/>
          <w:sz w:val="24"/>
          <w:szCs w:val="24"/>
          <w:highlight w:val="none"/>
        </w:rPr>
      </w:pPr>
      <w:bookmarkStart w:id="49" w:name="_Hlt16619475"/>
      <w:bookmarkEnd w:id="49"/>
      <w:bookmarkStart w:id="50" w:name="_Toc458694821"/>
      <w:bookmarkStart w:id="51" w:name="_Toc513029204"/>
      <w:bookmarkStart w:id="52" w:name="_Toc20823276"/>
      <w:bookmarkStart w:id="53" w:name="_Toc16938520"/>
      <w:r>
        <w:rPr>
          <w:rFonts w:hint="eastAsia" w:ascii="宋体" w:hAnsi="宋体" w:eastAsia="宋体" w:cs="宋体"/>
          <w:i w:val="0"/>
          <w:iCs w:val="0"/>
          <w:color w:val="auto"/>
          <w:sz w:val="24"/>
          <w:szCs w:val="24"/>
          <w:highlight w:val="none"/>
        </w:rPr>
        <w:t>1</w:t>
      </w:r>
      <w:bookmarkEnd w:id="50"/>
      <w:r>
        <w:rPr>
          <w:rFonts w:hint="eastAsia" w:ascii="宋体" w:hAnsi="宋体" w:eastAsia="宋体" w:cs="宋体"/>
          <w:i w:val="0"/>
          <w:iCs w:val="0"/>
          <w:color w:val="auto"/>
          <w:sz w:val="24"/>
          <w:szCs w:val="24"/>
          <w:highlight w:val="none"/>
        </w:rPr>
        <w:t>、采购方式</w:t>
      </w:r>
      <w:bookmarkEnd w:id="51"/>
      <w:bookmarkEnd w:id="52"/>
      <w:bookmarkEnd w:id="53"/>
    </w:p>
    <w:p w14:paraId="7B427AAF">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1.1 本次</w:t>
      </w:r>
      <w:r>
        <w:rPr>
          <w:rFonts w:hint="eastAsia" w:ascii="宋体" w:hAnsi="宋体" w:eastAsia="宋体" w:cs="宋体"/>
          <w:i w:val="0"/>
          <w:iCs w:val="0"/>
          <w:color w:val="auto"/>
          <w:sz w:val="24"/>
          <w:szCs w:val="24"/>
          <w:highlight w:val="none"/>
          <w:lang w:val="en-US" w:eastAsia="zh-CN"/>
        </w:rPr>
        <w:t>开标</w:t>
      </w:r>
      <w:r>
        <w:rPr>
          <w:rFonts w:hint="eastAsia" w:ascii="宋体" w:hAnsi="宋体" w:eastAsia="宋体" w:cs="宋体"/>
          <w:i w:val="0"/>
          <w:iCs w:val="0"/>
          <w:color w:val="auto"/>
          <w:sz w:val="24"/>
          <w:szCs w:val="24"/>
          <w:highlight w:val="none"/>
        </w:rPr>
        <w:t>活动采取竞争性磋商(以下简称磋商)方式，本磋商文件仅适用于磋商公告中所述项目。</w:t>
      </w:r>
    </w:p>
    <w:p w14:paraId="325B6439">
      <w:pPr>
        <w:keepNext/>
        <w:keepLines/>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3"/>
        <w:rPr>
          <w:rFonts w:hint="eastAsia" w:ascii="宋体" w:hAnsi="宋体" w:eastAsia="宋体" w:cs="宋体"/>
          <w:i w:val="0"/>
          <w:iCs w:val="0"/>
          <w:color w:val="auto"/>
          <w:sz w:val="24"/>
          <w:szCs w:val="24"/>
          <w:highlight w:val="none"/>
        </w:rPr>
      </w:pPr>
      <w:bookmarkStart w:id="54" w:name="_Toc20823277"/>
      <w:bookmarkStart w:id="55" w:name="_Toc513029205"/>
      <w:bookmarkStart w:id="56" w:name="_Toc16938521"/>
      <w:r>
        <w:rPr>
          <w:rFonts w:hint="eastAsia" w:ascii="宋体" w:hAnsi="宋体" w:eastAsia="宋体" w:cs="宋体"/>
          <w:i w:val="0"/>
          <w:iCs w:val="0"/>
          <w:color w:val="auto"/>
          <w:sz w:val="24"/>
          <w:szCs w:val="24"/>
          <w:highlight w:val="none"/>
        </w:rPr>
        <w:t>2、合格的</w:t>
      </w:r>
      <w:bookmarkEnd w:id="54"/>
      <w:bookmarkEnd w:id="55"/>
      <w:bookmarkEnd w:id="56"/>
      <w:r>
        <w:rPr>
          <w:rFonts w:hint="eastAsia" w:ascii="宋体" w:hAnsi="宋体" w:eastAsia="宋体" w:cs="宋体"/>
          <w:i w:val="0"/>
          <w:iCs w:val="0"/>
          <w:color w:val="auto"/>
          <w:sz w:val="24"/>
          <w:szCs w:val="24"/>
          <w:highlight w:val="none"/>
        </w:rPr>
        <w:t>供应商</w:t>
      </w:r>
    </w:p>
    <w:p w14:paraId="653BC383">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2.1满足磋商公告中供应商资格要求的规定。</w:t>
      </w:r>
    </w:p>
    <w:p w14:paraId="17C9B1A5">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2.2 满足本磋商文件实质性要求和条件的规定。</w:t>
      </w:r>
    </w:p>
    <w:p w14:paraId="14D8CBC1">
      <w:pPr>
        <w:keepNext/>
        <w:keepLines/>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3"/>
        <w:rPr>
          <w:rFonts w:hint="eastAsia" w:ascii="宋体" w:hAnsi="宋体" w:eastAsia="宋体" w:cs="宋体"/>
          <w:i w:val="0"/>
          <w:iCs w:val="0"/>
          <w:color w:val="auto"/>
          <w:sz w:val="24"/>
          <w:szCs w:val="24"/>
          <w:highlight w:val="none"/>
        </w:rPr>
      </w:pPr>
      <w:bookmarkStart w:id="57" w:name="_Toc16938522"/>
      <w:bookmarkStart w:id="58" w:name="_Toc513029206"/>
      <w:bookmarkStart w:id="59" w:name="_Toc20823278"/>
      <w:r>
        <w:rPr>
          <w:rFonts w:hint="eastAsia" w:ascii="宋体" w:hAnsi="宋体" w:eastAsia="宋体" w:cs="宋体"/>
          <w:i w:val="0"/>
          <w:iCs w:val="0"/>
          <w:color w:val="auto"/>
          <w:sz w:val="24"/>
          <w:szCs w:val="24"/>
          <w:highlight w:val="none"/>
        </w:rPr>
        <w:t>3、适用法律</w:t>
      </w:r>
      <w:bookmarkEnd w:id="57"/>
      <w:bookmarkEnd w:id="58"/>
      <w:bookmarkEnd w:id="59"/>
    </w:p>
    <w:p w14:paraId="7DC446D9">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3.1 本次磋商及由此产生的合同受中华人民共和国有关的法律法规制约和保护。</w:t>
      </w:r>
    </w:p>
    <w:p w14:paraId="2D6986B3">
      <w:pPr>
        <w:keepNext/>
        <w:keepLines/>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3"/>
        <w:rPr>
          <w:rFonts w:hint="eastAsia" w:ascii="宋体" w:hAnsi="宋体" w:eastAsia="宋体" w:cs="宋体"/>
          <w:i w:val="0"/>
          <w:iCs w:val="0"/>
          <w:color w:val="auto"/>
          <w:sz w:val="24"/>
          <w:szCs w:val="24"/>
          <w:highlight w:val="none"/>
        </w:rPr>
      </w:pPr>
      <w:bookmarkStart w:id="60" w:name="_Toc513029207"/>
      <w:bookmarkStart w:id="61" w:name="_Toc462564067"/>
      <w:bookmarkStart w:id="62" w:name="_Toc16938523"/>
      <w:bookmarkStart w:id="63" w:name="_Toc20823279"/>
      <w:r>
        <w:rPr>
          <w:rFonts w:hint="eastAsia" w:ascii="宋体" w:hAnsi="宋体" w:eastAsia="宋体" w:cs="宋体"/>
          <w:i w:val="0"/>
          <w:iCs w:val="0"/>
          <w:color w:val="auto"/>
          <w:sz w:val="24"/>
          <w:szCs w:val="24"/>
          <w:highlight w:val="none"/>
        </w:rPr>
        <w:t>4、磋商费用</w:t>
      </w:r>
      <w:bookmarkEnd w:id="60"/>
      <w:bookmarkEnd w:id="61"/>
      <w:bookmarkEnd w:id="62"/>
      <w:bookmarkEnd w:id="63"/>
    </w:p>
    <w:p w14:paraId="70763E82">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4.1供应商应自行承担所有与参加本次磋商有关的费用，无论磋商过程中的做法和结果如何，</w:t>
      </w:r>
      <w:r>
        <w:rPr>
          <w:rFonts w:hint="eastAsia" w:ascii="宋体" w:hAnsi="宋体" w:eastAsia="宋体" w:cs="宋体"/>
          <w:i w:val="0"/>
          <w:iCs w:val="0"/>
          <w:color w:val="auto"/>
          <w:sz w:val="24"/>
          <w:szCs w:val="24"/>
          <w:highlight w:val="none"/>
          <w:lang w:val="en-US" w:eastAsia="zh-CN"/>
        </w:rPr>
        <w:t>招标人</w:t>
      </w:r>
      <w:r>
        <w:rPr>
          <w:rFonts w:hint="eastAsia" w:ascii="宋体" w:hAnsi="宋体" w:eastAsia="宋体" w:cs="宋体"/>
          <w:i w:val="0"/>
          <w:iCs w:val="0"/>
          <w:color w:val="auto"/>
          <w:sz w:val="24"/>
          <w:szCs w:val="24"/>
          <w:highlight w:val="none"/>
        </w:rPr>
        <w:t>在任何情况下均无义务和责任承担这些费用。</w:t>
      </w:r>
    </w:p>
    <w:p w14:paraId="0361653F">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i w:val="0"/>
          <w:iCs w:val="0"/>
          <w:color w:val="auto"/>
          <w:sz w:val="24"/>
          <w:szCs w:val="24"/>
          <w:highlight w:val="none"/>
        </w:rPr>
      </w:pPr>
      <w:r>
        <w:rPr>
          <w:rFonts w:hint="eastAsia" w:ascii="宋体" w:hAnsi="宋体" w:eastAsia="宋体" w:cs="宋体"/>
          <w:i w:val="0"/>
          <w:iCs w:val="0"/>
          <w:color w:val="auto"/>
          <w:sz w:val="24"/>
          <w:szCs w:val="24"/>
          <w:highlight w:val="none"/>
        </w:rPr>
        <w:t>4.2</w:t>
      </w:r>
      <w:r>
        <w:rPr>
          <w:rFonts w:hint="eastAsia" w:ascii="宋体" w:hAnsi="宋体"/>
          <w:i w:val="0"/>
          <w:iCs w:val="0"/>
          <w:color w:val="auto"/>
          <w:sz w:val="24"/>
          <w:szCs w:val="24"/>
          <w:highlight w:val="none"/>
          <w:lang w:val="en-US" w:eastAsia="zh-CN"/>
        </w:rPr>
        <w:t>本项目招标代理费收取3200元</w:t>
      </w:r>
      <w:r>
        <w:rPr>
          <w:rFonts w:hint="eastAsia" w:ascii="宋体" w:hAnsi="宋体" w:eastAsia="宋体"/>
          <w:i w:val="0"/>
          <w:iCs w:val="0"/>
          <w:color w:val="auto"/>
          <w:sz w:val="24"/>
          <w:szCs w:val="24"/>
          <w:highlight w:val="none"/>
          <w:lang w:val="en-US" w:eastAsia="zh-CN"/>
        </w:rPr>
        <w:t>，报价综合考虑，由成交供应商支付</w:t>
      </w:r>
      <w:r>
        <w:rPr>
          <w:rFonts w:hint="eastAsia" w:ascii="宋体" w:hAnsi="宋体" w:eastAsia="宋体" w:cs="宋体"/>
          <w:i w:val="0"/>
          <w:iCs w:val="0"/>
          <w:color w:val="auto"/>
          <w:sz w:val="24"/>
          <w:szCs w:val="24"/>
          <w:highlight w:val="none"/>
          <w:lang w:eastAsia="zh-CN"/>
        </w:rPr>
        <w:t>。</w:t>
      </w:r>
    </w:p>
    <w:p w14:paraId="472A546F">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4.</w:t>
      </w:r>
      <w:r>
        <w:rPr>
          <w:rFonts w:hint="eastAsia" w:ascii="宋体" w:hAnsi="宋体" w:eastAsia="宋体" w:cs="宋体"/>
          <w:i w:val="0"/>
          <w:iCs w:val="0"/>
          <w:color w:val="auto"/>
          <w:sz w:val="24"/>
          <w:szCs w:val="24"/>
          <w:highlight w:val="none"/>
          <w:lang w:val="en-US" w:eastAsia="zh-CN"/>
        </w:rPr>
        <w:t>3</w:t>
      </w:r>
      <w:r>
        <w:rPr>
          <w:rFonts w:hint="eastAsia" w:ascii="宋体" w:hAnsi="宋体" w:eastAsia="宋体" w:cs="宋体"/>
          <w:i w:val="0"/>
          <w:iCs w:val="0"/>
          <w:color w:val="auto"/>
          <w:sz w:val="24"/>
          <w:szCs w:val="24"/>
          <w:highlight w:val="none"/>
        </w:rPr>
        <w:t>.本项目不收取磋商文件费。</w:t>
      </w:r>
    </w:p>
    <w:p w14:paraId="604E6D29">
      <w:pPr>
        <w:keepNext/>
        <w:keepLines/>
        <w:pageBreakBefore w:val="0"/>
        <w:widowControl w:val="0"/>
        <w:kinsoku/>
        <w:wordWrap/>
        <w:overflowPunct/>
        <w:topLinePunct w:val="0"/>
        <w:autoSpaceDE/>
        <w:autoSpaceDN/>
        <w:bidi w:val="0"/>
        <w:adjustRightInd w:val="0"/>
        <w:snapToGrid w:val="0"/>
        <w:spacing w:line="360" w:lineRule="auto"/>
        <w:ind w:firstLine="482" w:firstLineChars="200"/>
        <w:textAlignment w:val="auto"/>
        <w:outlineLvl w:val="3"/>
        <w:rPr>
          <w:rFonts w:hint="eastAsia" w:ascii="宋体" w:hAnsi="宋体" w:eastAsia="宋体" w:cs="宋体"/>
          <w:i w:val="0"/>
          <w:iCs w:val="0"/>
          <w:color w:val="auto"/>
          <w:sz w:val="24"/>
          <w:szCs w:val="24"/>
          <w:highlight w:val="none"/>
        </w:rPr>
      </w:pPr>
      <w:r>
        <w:rPr>
          <w:rFonts w:hint="eastAsia" w:ascii="宋体" w:hAnsi="宋体" w:eastAsia="宋体" w:cs="宋体"/>
          <w:b/>
          <w:bCs/>
          <w:i w:val="0"/>
          <w:iCs w:val="0"/>
          <w:color w:val="auto"/>
          <w:sz w:val="24"/>
          <w:szCs w:val="24"/>
          <w:highlight w:val="none"/>
        </w:rPr>
        <w:t>5、</w:t>
      </w:r>
      <w:r>
        <w:rPr>
          <w:rFonts w:hint="eastAsia" w:ascii="宋体" w:hAnsi="宋体" w:eastAsia="宋体" w:cs="宋体"/>
          <w:i w:val="0"/>
          <w:iCs w:val="0"/>
          <w:color w:val="auto"/>
          <w:sz w:val="24"/>
          <w:szCs w:val="24"/>
          <w:highlight w:val="none"/>
        </w:rPr>
        <w:t>磋商文件的约束力</w:t>
      </w:r>
    </w:p>
    <w:p w14:paraId="6F84A652">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i w:val="0"/>
          <w:iCs w:val="0"/>
          <w:color w:val="auto"/>
          <w:sz w:val="24"/>
          <w:szCs w:val="24"/>
          <w:highlight w:val="none"/>
        </w:rPr>
      </w:pPr>
      <w:r>
        <w:rPr>
          <w:rFonts w:hint="eastAsia" w:ascii="宋体" w:hAnsi="宋体" w:eastAsia="宋体" w:cs="宋体"/>
          <w:bCs/>
          <w:i w:val="0"/>
          <w:iCs w:val="0"/>
          <w:color w:val="auto"/>
          <w:sz w:val="24"/>
          <w:szCs w:val="24"/>
          <w:highlight w:val="none"/>
        </w:rPr>
        <w:t>5.1</w:t>
      </w:r>
      <w:r>
        <w:rPr>
          <w:rFonts w:hint="eastAsia" w:ascii="宋体" w:hAnsi="宋体" w:eastAsia="宋体" w:cs="宋体"/>
          <w:i w:val="0"/>
          <w:iCs w:val="0"/>
          <w:color w:val="auto"/>
          <w:sz w:val="24"/>
          <w:szCs w:val="24"/>
          <w:highlight w:val="none"/>
        </w:rPr>
        <w:t>供应商一旦参加本项目采购活动，即被认为接受了本磋商文件的规定和约束。</w:t>
      </w:r>
    </w:p>
    <w:p w14:paraId="0B265475">
      <w:pPr>
        <w:keepNext/>
        <w:keepLines/>
        <w:pageBreakBefore w:val="0"/>
        <w:widowControl w:val="0"/>
        <w:kinsoku/>
        <w:wordWrap/>
        <w:overflowPunct/>
        <w:topLinePunct w:val="0"/>
        <w:autoSpaceDE/>
        <w:autoSpaceDN/>
        <w:bidi w:val="0"/>
        <w:adjustRightInd w:val="0"/>
        <w:snapToGrid w:val="0"/>
        <w:spacing w:line="360" w:lineRule="auto"/>
        <w:ind w:firstLine="482" w:firstLineChars="200"/>
        <w:textAlignment w:val="auto"/>
        <w:outlineLvl w:val="2"/>
        <w:rPr>
          <w:rFonts w:hint="eastAsia" w:ascii="宋体" w:hAnsi="宋体" w:eastAsia="宋体" w:cs="宋体"/>
          <w:b/>
          <w:bCs/>
          <w:i w:val="0"/>
          <w:iCs w:val="0"/>
          <w:color w:val="auto"/>
          <w:sz w:val="24"/>
          <w:szCs w:val="24"/>
          <w:highlight w:val="none"/>
        </w:rPr>
      </w:pPr>
      <w:bookmarkStart w:id="64" w:name="_Toc120614215"/>
      <w:bookmarkStart w:id="65" w:name="_Toc20823281"/>
      <w:bookmarkStart w:id="66" w:name="_Toc513029209"/>
      <w:bookmarkStart w:id="67" w:name="_Toc16938525"/>
      <w:r>
        <w:rPr>
          <w:rFonts w:hint="eastAsia" w:ascii="宋体" w:hAnsi="宋体" w:eastAsia="宋体" w:cs="宋体"/>
          <w:b/>
          <w:bCs/>
          <w:i w:val="0"/>
          <w:iCs w:val="0"/>
          <w:color w:val="auto"/>
          <w:sz w:val="24"/>
          <w:szCs w:val="24"/>
          <w:highlight w:val="none"/>
        </w:rPr>
        <w:t>二、</w:t>
      </w:r>
      <w:bookmarkEnd w:id="64"/>
      <w:bookmarkEnd w:id="65"/>
      <w:bookmarkEnd w:id="66"/>
      <w:bookmarkEnd w:id="67"/>
      <w:r>
        <w:rPr>
          <w:rFonts w:hint="eastAsia" w:ascii="宋体" w:hAnsi="宋体" w:eastAsia="宋体" w:cs="宋体"/>
          <w:b/>
          <w:bCs/>
          <w:i w:val="0"/>
          <w:iCs w:val="0"/>
          <w:color w:val="auto"/>
          <w:sz w:val="24"/>
          <w:szCs w:val="24"/>
          <w:highlight w:val="none"/>
        </w:rPr>
        <w:t>磋商文件</w:t>
      </w:r>
    </w:p>
    <w:p w14:paraId="1688C8E1">
      <w:pPr>
        <w:keepNext/>
        <w:keepLines/>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3"/>
        <w:rPr>
          <w:rFonts w:hint="eastAsia" w:ascii="宋体" w:hAnsi="宋体" w:eastAsia="宋体" w:cs="宋体"/>
          <w:i w:val="0"/>
          <w:iCs w:val="0"/>
          <w:color w:val="auto"/>
          <w:sz w:val="24"/>
          <w:szCs w:val="24"/>
          <w:highlight w:val="none"/>
        </w:rPr>
      </w:pPr>
      <w:bookmarkStart w:id="68" w:name="_Toc20823282"/>
      <w:bookmarkStart w:id="69" w:name="_Toc513029210"/>
      <w:bookmarkStart w:id="70" w:name="_Toc16938526"/>
      <w:r>
        <w:rPr>
          <w:rFonts w:hint="eastAsia" w:ascii="宋体" w:hAnsi="宋体" w:eastAsia="宋体" w:cs="宋体"/>
          <w:i w:val="0"/>
          <w:iCs w:val="0"/>
          <w:color w:val="auto"/>
          <w:sz w:val="24"/>
          <w:szCs w:val="24"/>
          <w:highlight w:val="none"/>
        </w:rPr>
        <w:t>6、磋商文件构成</w:t>
      </w:r>
      <w:bookmarkEnd w:id="68"/>
      <w:bookmarkEnd w:id="69"/>
      <w:bookmarkEnd w:id="70"/>
    </w:p>
    <w:p w14:paraId="5B740165">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i w:val="0"/>
          <w:iCs w:val="0"/>
          <w:color w:val="auto"/>
          <w:sz w:val="24"/>
          <w:szCs w:val="24"/>
          <w:highlight w:val="none"/>
        </w:rPr>
      </w:pPr>
      <w:r>
        <w:rPr>
          <w:rFonts w:hint="eastAsia" w:ascii="宋体" w:hAnsi="宋体" w:eastAsia="宋体" w:cs="宋体"/>
          <w:bCs/>
          <w:i w:val="0"/>
          <w:iCs w:val="0"/>
          <w:color w:val="auto"/>
          <w:sz w:val="24"/>
          <w:szCs w:val="24"/>
          <w:highlight w:val="none"/>
        </w:rPr>
        <w:t>6.1</w:t>
      </w:r>
      <w:r>
        <w:rPr>
          <w:rFonts w:hint="eastAsia" w:ascii="宋体" w:hAnsi="宋体" w:eastAsia="宋体" w:cs="宋体"/>
          <w:i w:val="0"/>
          <w:iCs w:val="0"/>
          <w:color w:val="auto"/>
          <w:sz w:val="24"/>
          <w:szCs w:val="24"/>
          <w:highlight w:val="none"/>
        </w:rPr>
        <w:t>磋商文件由以下部分组成：</w:t>
      </w:r>
    </w:p>
    <w:p w14:paraId="30425961">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（1）磋商邀请</w:t>
      </w:r>
    </w:p>
    <w:p w14:paraId="0982D7A5">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（2）供应商须知</w:t>
      </w:r>
    </w:p>
    <w:p w14:paraId="45D3CE77">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（3）合同文本</w:t>
      </w:r>
    </w:p>
    <w:p w14:paraId="5399ADC1">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（4）采购需求</w:t>
      </w:r>
    </w:p>
    <w:p w14:paraId="232C86FD">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（5）评审方法与评审标准</w:t>
      </w:r>
    </w:p>
    <w:p w14:paraId="6D89A534">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（6）响应文件格式</w:t>
      </w:r>
    </w:p>
    <w:p w14:paraId="61255F03">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请仔细检查磋商文件是否齐全，如有缺漏请立即与</w:t>
      </w:r>
      <w:r>
        <w:rPr>
          <w:rFonts w:hint="eastAsia" w:ascii="宋体" w:hAnsi="宋体" w:eastAsia="宋体" w:cs="宋体"/>
          <w:i w:val="0"/>
          <w:iCs w:val="0"/>
          <w:color w:val="auto"/>
          <w:sz w:val="24"/>
          <w:szCs w:val="24"/>
          <w:highlight w:val="none"/>
          <w:lang w:val="en-US" w:eastAsia="zh-CN"/>
        </w:rPr>
        <w:t>招标代理公司</w:t>
      </w:r>
      <w:r>
        <w:rPr>
          <w:rFonts w:hint="eastAsia" w:ascii="宋体" w:hAnsi="宋体" w:eastAsia="宋体" w:cs="宋体"/>
          <w:i w:val="0"/>
          <w:iCs w:val="0"/>
          <w:color w:val="auto"/>
          <w:sz w:val="24"/>
          <w:szCs w:val="24"/>
          <w:highlight w:val="none"/>
        </w:rPr>
        <w:t>联系解决。</w:t>
      </w:r>
    </w:p>
    <w:p w14:paraId="76DBF0A3">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i w:val="0"/>
          <w:iCs w:val="0"/>
          <w:color w:val="auto"/>
          <w:sz w:val="24"/>
          <w:szCs w:val="24"/>
          <w:highlight w:val="none"/>
        </w:rPr>
      </w:pPr>
      <w:r>
        <w:rPr>
          <w:rFonts w:hint="eastAsia" w:ascii="宋体" w:hAnsi="宋体" w:eastAsia="宋体" w:cs="宋体"/>
          <w:bCs/>
          <w:i w:val="0"/>
          <w:iCs w:val="0"/>
          <w:color w:val="auto"/>
          <w:sz w:val="24"/>
          <w:szCs w:val="24"/>
          <w:highlight w:val="none"/>
        </w:rPr>
        <w:t>6.2</w:t>
      </w:r>
      <w:r>
        <w:rPr>
          <w:rFonts w:hint="eastAsia" w:ascii="宋体" w:hAnsi="宋体" w:eastAsia="宋体" w:cs="宋体"/>
          <w:i w:val="0"/>
          <w:iCs w:val="0"/>
          <w:color w:val="auto"/>
          <w:sz w:val="24"/>
          <w:szCs w:val="24"/>
          <w:highlight w:val="none"/>
        </w:rPr>
        <w:t>供应商应认真阅读磋商文件中所有的事项、格式、条款和规范等要求。按磋商文件要求和规定编制响应文件，并保证所提供的全部资料的真实性，以使其响应文件对磋商文件作出实质性响应，否则其风险由供应商自行承担。</w:t>
      </w:r>
    </w:p>
    <w:p w14:paraId="1CABDBB4">
      <w:pPr>
        <w:keepNext/>
        <w:keepLines/>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3"/>
        <w:rPr>
          <w:rFonts w:hint="eastAsia" w:ascii="宋体" w:hAnsi="宋体" w:eastAsia="宋体" w:cs="宋体"/>
          <w:i w:val="0"/>
          <w:iCs w:val="0"/>
          <w:color w:val="auto"/>
          <w:sz w:val="24"/>
          <w:szCs w:val="24"/>
          <w:highlight w:val="none"/>
        </w:rPr>
      </w:pPr>
      <w:bookmarkStart w:id="71" w:name="_Toc462564070"/>
      <w:bookmarkStart w:id="72" w:name="_Toc16938527"/>
      <w:bookmarkStart w:id="73" w:name="_Toc20823283"/>
      <w:bookmarkStart w:id="74" w:name="_Toc513029211"/>
      <w:r>
        <w:rPr>
          <w:rFonts w:hint="eastAsia" w:ascii="宋体" w:hAnsi="宋体" w:eastAsia="宋体" w:cs="宋体"/>
          <w:i w:val="0"/>
          <w:iCs w:val="0"/>
          <w:color w:val="auto"/>
          <w:sz w:val="24"/>
          <w:szCs w:val="24"/>
          <w:highlight w:val="none"/>
        </w:rPr>
        <w:t>7、磋商文件的澄清</w:t>
      </w:r>
      <w:bookmarkEnd w:id="71"/>
      <w:bookmarkEnd w:id="72"/>
      <w:bookmarkEnd w:id="73"/>
      <w:bookmarkEnd w:id="74"/>
    </w:p>
    <w:p w14:paraId="5A64DCCE">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任何要求对磋商文件进行澄清的供应商，应在磋商截止期5日前按磋商公告中的通讯地址，以书面形式通知</w:t>
      </w:r>
      <w:r>
        <w:rPr>
          <w:rFonts w:hint="eastAsia" w:ascii="宋体" w:hAnsi="宋体" w:eastAsia="宋体" w:cs="宋体"/>
          <w:i w:val="0"/>
          <w:iCs w:val="0"/>
          <w:color w:val="auto"/>
          <w:sz w:val="24"/>
          <w:szCs w:val="24"/>
          <w:highlight w:val="none"/>
          <w:lang w:val="en-US" w:eastAsia="zh-CN"/>
        </w:rPr>
        <w:t>采购人或招标代理</w:t>
      </w:r>
      <w:r>
        <w:rPr>
          <w:rFonts w:hint="eastAsia" w:ascii="宋体" w:hAnsi="宋体" w:eastAsia="宋体" w:cs="宋体"/>
          <w:i w:val="0"/>
          <w:iCs w:val="0"/>
          <w:color w:val="auto"/>
          <w:sz w:val="24"/>
          <w:szCs w:val="24"/>
          <w:highlight w:val="none"/>
        </w:rPr>
        <w:t>。</w:t>
      </w:r>
    </w:p>
    <w:p w14:paraId="601D7233">
      <w:pPr>
        <w:keepNext/>
        <w:keepLines/>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3"/>
        <w:rPr>
          <w:rFonts w:hint="eastAsia" w:ascii="宋体" w:hAnsi="宋体" w:eastAsia="宋体" w:cs="宋体"/>
          <w:i w:val="0"/>
          <w:iCs w:val="0"/>
          <w:color w:val="auto"/>
          <w:sz w:val="24"/>
          <w:szCs w:val="24"/>
          <w:highlight w:val="none"/>
        </w:rPr>
      </w:pPr>
      <w:bookmarkStart w:id="75" w:name="_Toc513029212"/>
      <w:bookmarkStart w:id="76" w:name="_Toc16938528"/>
      <w:bookmarkStart w:id="77" w:name="_Toc20823284"/>
      <w:bookmarkStart w:id="78" w:name="_Toc462564071"/>
      <w:r>
        <w:rPr>
          <w:rFonts w:hint="eastAsia" w:ascii="宋体" w:hAnsi="宋体" w:eastAsia="宋体" w:cs="宋体"/>
          <w:i w:val="0"/>
          <w:iCs w:val="0"/>
          <w:color w:val="auto"/>
          <w:sz w:val="24"/>
          <w:szCs w:val="24"/>
          <w:highlight w:val="none"/>
        </w:rPr>
        <w:t>8、磋商文件的澄清和修改</w:t>
      </w:r>
      <w:bookmarkEnd w:id="75"/>
      <w:bookmarkEnd w:id="76"/>
      <w:bookmarkEnd w:id="77"/>
      <w:bookmarkEnd w:id="78"/>
    </w:p>
    <w:p w14:paraId="18853B6B">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8.1 在响应文件提交截止时间前，</w:t>
      </w:r>
      <w:r>
        <w:rPr>
          <w:rFonts w:hint="eastAsia" w:ascii="宋体" w:hAnsi="宋体" w:eastAsia="宋体" w:cs="宋体"/>
          <w:i w:val="0"/>
          <w:iCs w:val="0"/>
          <w:color w:val="auto"/>
          <w:sz w:val="24"/>
          <w:szCs w:val="24"/>
          <w:highlight w:val="none"/>
          <w:lang w:eastAsia="zh-CN"/>
        </w:rPr>
        <w:t>代理机构</w:t>
      </w:r>
      <w:r>
        <w:rPr>
          <w:rFonts w:hint="eastAsia" w:ascii="宋体" w:hAnsi="宋体" w:eastAsia="宋体" w:cs="宋体"/>
          <w:i w:val="0"/>
          <w:iCs w:val="0"/>
          <w:color w:val="auto"/>
          <w:sz w:val="24"/>
          <w:szCs w:val="24"/>
          <w:highlight w:val="none"/>
        </w:rPr>
        <w:t>可以对磋商文件进行澄清和修改, 澄清或者修改的内容作为磋商文件的组成部分。澄清或者修改的内容可能影响响应文件编制的，</w:t>
      </w:r>
      <w:r>
        <w:rPr>
          <w:rFonts w:hint="eastAsia" w:ascii="宋体" w:hAnsi="宋体" w:eastAsia="宋体" w:cs="宋体"/>
          <w:i w:val="0"/>
          <w:iCs w:val="0"/>
          <w:color w:val="auto"/>
          <w:sz w:val="24"/>
          <w:szCs w:val="24"/>
          <w:highlight w:val="none"/>
          <w:lang w:eastAsia="zh-CN"/>
        </w:rPr>
        <w:t>代理机构</w:t>
      </w:r>
      <w:r>
        <w:rPr>
          <w:rFonts w:hint="eastAsia" w:ascii="宋体" w:hAnsi="宋体" w:eastAsia="宋体" w:cs="宋体"/>
          <w:i w:val="0"/>
          <w:iCs w:val="0"/>
          <w:color w:val="auto"/>
          <w:sz w:val="24"/>
          <w:szCs w:val="24"/>
          <w:highlight w:val="none"/>
        </w:rPr>
        <w:t>将在提交首次响应文件截止时间至少5日前，在“江苏政府采购网”上发布书面更正公告形式通知所有获取磋商文件的供应商, 更正公告内容将作为磋商文件的组成部分，并对供应商具有约束力。不足5日的，</w:t>
      </w:r>
      <w:r>
        <w:rPr>
          <w:rFonts w:hint="eastAsia" w:ascii="宋体" w:hAnsi="宋体" w:eastAsia="宋体" w:cs="宋体"/>
          <w:i w:val="0"/>
          <w:iCs w:val="0"/>
          <w:color w:val="auto"/>
          <w:sz w:val="24"/>
          <w:szCs w:val="24"/>
          <w:highlight w:val="none"/>
          <w:lang w:eastAsia="zh-CN"/>
        </w:rPr>
        <w:t>代理机构</w:t>
      </w:r>
      <w:r>
        <w:rPr>
          <w:rFonts w:hint="eastAsia" w:ascii="宋体" w:hAnsi="宋体" w:eastAsia="宋体" w:cs="宋体"/>
          <w:i w:val="0"/>
          <w:iCs w:val="0"/>
          <w:color w:val="auto"/>
          <w:sz w:val="24"/>
          <w:szCs w:val="24"/>
          <w:highlight w:val="none"/>
        </w:rPr>
        <w:t>将顺延提交首次响应文件截止时间。</w:t>
      </w:r>
    </w:p>
    <w:p w14:paraId="16E6FB57">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8.2供应商对采购人提供的采购文件所做出的推论、解释和结论，采购人概不负责。供应商由于对采购文件的任何推论和误解以及采购人对有关问题的口头解释所造成的后果，均由各潜在供应商自负。</w:t>
      </w:r>
    </w:p>
    <w:p w14:paraId="4AED0036">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8.</w:t>
      </w:r>
      <w:r>
        <w:rPr>
          <w:rFonts w:hint="eastAsia" w:ascii="宋体" w:hAnsi="宋体" w:eastAsia="宋体" w:cs="宋体"/>
          <w:i w:val="0"/>
          <w:iCs w:val="0"/>
          <w:color w:val="auto"/>
          <w:sz w:val="24"/>
          <w:szCs w:val="24"/>
          <w:highlight w:val="none"/>
          <w:lang w:val="en-US" w:eastAsia="zh-CN"/>
        </w:rPr>
        <w:t>3</w:t>
      </w:r>
      <w:r>
        <w:rPr>
          <w:rFonts w:hint="eastAsia" w:ascii="宋体" w:hAnsi="宋体" w:eastAsia="宋体" w:cs="宋体"/>
          <w:i w:val="0"/>
          <w:iCs w:val="0"/>
          <w:color w:val="auto"/>
          <w:sz w:val="24"/>
          <w:szCs w:val="24"/>
          <w:highlight w:val="none"/>
          <w:lang w:eastAsia="zh-CN"/>
        </w:rPr>
        <w:t>代理机构</w:t>
      </w:r>
      <w:r>
        <w:rPr>
          <w:rFonts w:hint="eastAsia" w:ascii="宋体" w:hAnsi="宋体" w:eastAsia="宋体" w:cs="宋体"/>
          <w:i w:val="0"/>
          <w:iCs w:val="0"/>
          <w:color w:val="auto"/>
          <w:sz w:val="24"/>
          <w:szCs w:val="24"/>
          <w:highlight w:val="none"/>
        </w:rPr>
        <w:t>可以视采购项目的具体情况，组织供应商进行现场考察或召开磋商前答疑会，但不单独或分别组织只有一个供应商参加的现场考察和答疑会。</w:t>
      </w:r>
    </w:p>
    <w:p w14:paraId="74548C3B">
      <w:pPr>
        <w:keepNext/>
        <w:keepLines/>
        <w:pageBreakBefore w:val="0"/>
        <w:widowControl w:val="0"/>
        <w:kinsoku/>
        <w:wordWrap/>
        <w:overflowPunct/>
        <w:topLinePunct w:val="0"/>
        <w:autoSpaceDE/>
        <w:autoSpaceDN/>
        <w:bidi w:val="0"/>
        <w:adjustRightInd w:val="0"/>
        <w:snapToGrid w:val="0"/>
        <w:spacing w:line="360" w:lineRule="auto"/>
        <w:ind w:firstLine="482" w:firstLineChars="200"/>
        <w:textAlignment w:val="auto"/>
        <w:outlineLvl w:val="2"/>
        <w:rPr>
          <w:rFonts w:hint="eastAsia" w:ascii="宋体" w:hAnsi="宋体" w:eastAsia="宋体" w:cs="宋体"/>
          <w:b/>
          <w:bCs/>
          <w:i w:val="0"/>
          <w:iCs w:val="0"/>
          <w:color w:val="auto"/>
          <w:sz w:val="24"/>
          <w:szCs w:val="24"/>
          <w:highlight w:val="none"/>
        </w:rPr>
      </w:pPr>
      <w:bookmarkStart w:id="79" w:name="_Toc16938529"/>
      <w:bookmarkStart w:id="80" w:name="_Toc120614216"/>
      <w:bookmarkStart w:id="81" w:name="_Toc513029213"/>
      <w:bookmarkStart w:id="82" w:name="_Toc462564072"/>
      <w:bookmarkStart w:id="83" w:name="_Toc20823285"/>
      <w:r>
        <w:rPr>
          <w:rFonts w:hint="eastAsia" w:ascii="宋体" w:hAnsi="宋体" w:eastAsia="宋体" w:cs="宋体"/>
          <w:b/>
          <w:bCs/>
          <w:i w:val="0"/>
          <w:iCs w:val="0"/>
          <w:color w:val="auto"/>
          <w:sz w:val="24"/>
          <w:szCs w:val="24"/>
          <w:highlight w:val="none"/>
        </w:rPr>
        <w:t>三、响应文件的编制</w:t>
      </w:r>
      <w:bookmarkEnd w:id="79"/>
      <w:bookmarkEnd w:id="80"/>
      <w:bookmarkEnd w:id="81"/>
      <w:bookmarkEnd w:id="82"/>
      <w:bookmarkEnd w:id="83"/>
    </w:p>
    <w:p w14:paraId="133B00BD">
      <w:pPr>
        <w:keepNext/>
        <w:keepLines/>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3"/>
        <w:rPr>
          <w:rFonts w:hint="eastAsia" w:ascii="宋体" w:hAnsi="宋体" w:eastAsia="宋体" w:cs="宋体"/>
          <w:b/>
          <w:i w:val="0"/>
          <w:iCs w:val="0"/>
          <w:color w:val="auto"/>
          <w:sz w:val="24"/>
          <w:szCs w:val="24"/>
          <w:highlight w:val="none"/>
        </w:rPr>
      </w:pPr>
      <w:bookmarkStart w:id="84" w:name="_Toc513029214"/>
      <w:bookmarkStart w:id="85" w:name="_Toc20823286"/>
      <w:bookmarkStart w:id="86" w:name="_Toc16938530"/>
      <w:bookmarkStart w:id="87" w:name="_Toc462564073"/>
      <w:r>
        <w:rPr>
          <w:rFonts w:hint="eastAsia" w:ascii="宋体" w:hAnsi="宋体" w:eastAsia="宋体" w:cs="宋体"/>
          <w:i w:val="0"/>
          <w:iCs w:val="0"/>
          <w:color w:val="auto"/>
          <w:sz w:val="24"/>
          <w:szCs w:val="24"/>
          <w:highlight w:val="none"/>
        </w:rPr>
        <w:t>9、响应文件的语言及度量衡单位</w:t>
      </w:r>
      <w:bookmarkEnd w:id="84"/>
      <w:bookmarkEnd w:id="85"/>
      <w:bookmarkEnd w:id="86"/>
      <w:bookmarkEnd w:id="87"/>
    </w:p>
    <w:p w14:paraId="27DDC808">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i w:val="0"/>
          <w:iCs w:val="0"/>
          <w:color w:val="auto"/>
          <w:sz w:val="24"/>
          <w:szCs w:val="24"/>
          <w:highlight w:val="none"/>
        </w:rPr>
      </w:pPr>
      <w:r>
        <w:rPr>
          <w:rFonts w:hint="eastAsia" w:ascii="宋体" w:hAnsi="宋体" w:eastAsia="宋体" w:cs="宋体"/>
          <w:bCs/>
          <w:i w:val="0"/>
          <w:iCs w:val="0"/>
          <w:color w:val="auto"/>
          <w:sz w:val="24"/>
          <w:szCs w:val="24"/>
          <w:highlight w:val="none"/>
        </w:rPr>
        <w:t>9.1</w:t>
      </w:r>
      <w:r>
        <w:rPr>
          <w:rFonts w:hint="eastAsia" w:ascii="宋体" w:hAnsi="宋体" w:eastAsia="宋体" w:cs="宋体"/>
          <w:i w:val="0"/>
          <w:iCs w:val="0"/>
          <w:color w:val="auto"/>
          <w:sz w:val="24"/>
          <w:szCs w:val="24"/>
          <w:highlight w:val="none"/>
        </w:rPr>
        <w:t>供应商提交的响应文件以及供应商与</w:t>
      </w:r>
      <w:r>
        <w:rPr>
          <w:rFonts w:hint="eastAsia" w:ascii="宋体" w:hAnsi="宋体" w:eastAsia="宋体" w:cs="宋体"/>
          <w:i w:val="0"/>
          <w:iCs w:val="0"/>
          <w:color w:val="auto"/>
          <w:sz w:val="24"/>
          <w:szCs w:val="24"/>
          <w:highlight w:val="none"/>
          <w:lang w:val="en-US" w:eastAsia="zh-CN"/>
        </w:rPr>
        <w:t>招标代理公司</w:t>
      </w:r>
      <w:r>
        <w:rPr>
          <w:rFonts w:hint="eastAsia" w:ascii="宋体" w:hAnsi="宋体" w:eastAsia="宋体" w:cs="宋体"/>
          <w:i w:val="0"/>
          <w:iCs w:val="0"/>
          <w:color w:val="auto"/>
          <w:sz w:val="24"/>
          <w:szCs w:val="24"/>
          <w:highlight w:val="none"/>
        </w:rPr>
        <w:t>就有关磋商的所有来往通知、函件和文件均应使用</w:t>
      </w:r>
      <w:r>
        <w:rPr>
          <w:rFonts w:hint="eastAsia" w:ascii="宋体" w:hAnsi="宋体" w:eastAsia="宋体" w:cs="宋体"/>
          <w:b/>
          <w:bCs/>
          <w:i w:val="0"/>
          <w:iCs w:val="0"/>
          <w:color w:val="auto"/>
          <w:sz w:val="24"/>
          <w:szCs w:val="24"/>
          <w:highlight w:val="none"/>
        </w:rPr>
        <w:t>简体中文</w:t>
      </w:r>
      <w:r>
        <w:rPr>
          <w:rFonts w:hint="eastAsia" w:ascii="宋体" w:hAnsi="宋体" w:eastAsia="宋体" w:cs="宋体"/>
          <w:i w:val="0"/>
          <w:iCs w:val="0"/>
          <w:color w:val="auto"/>
          <w:sz w:val="24"/>
          <w:szCs w:val="24"/>
          <w:highlight w:val="none"/>
        </w:rPr>
        <w:t>。</w:t>
      </w:r>
    </w:p>
    <w:p w14:paraId="22E1C7C8">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i w:val="0"/>
          <w:iCs w:val="0"/>
          <w:color w:val="auto"/>
          <w:sz w:val="24"/>
          <w:szCs w:val="24"/>
          <w:highlight w:val="none"/>
        </w:rPr>
      </w:pPr>
      <w:r>
        <w:rPr>
          <w:rFonts w:hint="eastAsia" w:ascii="宋体" w:hAnsi="宋体" w:eastAsia="宋体" w:cs="宋体"/>
          <w:bCs/>
          <w:i w:val="0"/>
          <w:iCs w:val="0"/>
          <w:color w:val="auto"/>
          <w:sz w:val="24"/>
          <w:szCs w:val="24"/>
          <w:highlight w:val="none"/>
        </w:rPr>
        <w:t>9.2</w:t>
      </w:r>
      <w:r>
        <w:rPr>
          <w:rFonts w:hint="eastAsia" w:ascii="宋体" w:hAnsi="宋体" w:eastAsia="宋体" w:cs="宋体"/>
          <w:i w:val="0"/>
          <w:iCs w:val="0"/>
          <w:color w:val="auto"/>
          <w:sz w:val="24"/>
          <w:szCs w:val="24"/>
          <w:highlight w:val="none"/>
        </w:rPr>
        <w:t xml:space="preserve"> 除技术性能另有规定外，响应文件所使用的度量衡单位，均须采用国家法定计量单位。</w:t>
      </w:r>
    </w:p>
    <w:p w14:paraId="2B91FBAC">
      <w:pPr>
        <w:keepNext/>
        <w:keepLines/>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3"/>
        <w:rPr>
          <w:rFonts w:hint="eastAsia" w:ascii="宋体" w:hAnsi="宋体" w:eastAsia="宋体" w:cs="宋体"/>
          <w:i w:val="0"/>
          <w:iCs w:val="0"/>
          <w:color w:val="auto"/>
          <w:sz w:val="24"/>
          <w:szCs w:val="24"/>
          <w:highlight w:val="none"/>
        </w:rPr>
      </w:pPr>
      <w:bookmarkStart w:id="88" w:name="_Toc513029215"/>
      <w:bookmarkStart w:id="89" w:name="_Toc462564074"/>
      <w:bookmarkStart w:id="90" w:name="_Toc20823287"/>
      <w:bookmarkStart w:id="91" w:name="_Toc16938531"/>
      <w:r>
        <w:rPr>
          <w:rFonts w:hint="eastAsia" w:ascii="宋体" w:hAnsi="宋体" w:eastAsia="宋体" w:cs="宋体"/>
          <w:i w:val="0"/>
          <w:iCs w:val="0"/>
          <w:color w:val="auto"/>
          <w:sz w:val="24"/>
          <w:szCs w:val="24"/>
          <w:highlight w:val="none"/>
        </w:rPr>
        <w:t>10、响应文件构成</w:t>
      </w:r>
      <w:bookmarkEnd w:id="88"/>
      <w:bookmarkEnd w:id="89"/>
      <w:bookmarkEnd w:id="90"/>
      <w:bookmarkEnd w:id="91"/>
    </w:p>
    <w:p w14:paraId="27B3A185">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i w:val="0"/>
          <w:iCs w:val="0"/>
          <w:color w:val="auto"/>
          <w:sz w:val="24"/>
          <w:szCs w:val="24"/>
          <w:highlight w:val="none"/>
          <w:lang w:eastAsia="zh-CN"/>
        </w:rPr>
      </w:pPr>
      <w:r>
        <w:rPr>
          <w:rFonts w:hint="eastAsia" w:ascii="宋体" w:hAnsi="宋体" w:eastAsia="宋体" w:cs="宋体"/>
          <w:bCs/>
          <w:i w:val="0"/>
          <w:iCs w:val="0"/>
          <w:color w:val="auto"/>
          <w:sz w:val="24"/>
          <w:szCs w:val="24"/>
          <w:highlight w:val="none"/>
        </w:rPr>
        <w:t>10.1</w:t>
      </w:r>
      <w:r>
        <w:rPr>
          <w:rFonts w:hint="eastAsia" w:ascii="宋体" w:hAnsi="宋体" w:eastAsia="宋体" w:cs="宋体"/>
          <w:i w:val="0"/>
          <w:iCs w:val="0"/>
          <w:color w:val="auto"/>
          <w:sz w:val="24"/>
          <w:szCs w:val="24"/>
          <w:highlight w:val="none"/>
        </w:rPr>
        <w:t>供应商编写的响应文件应包括资格证明文件、符合性证明文件、</w:t>
      </w:r>
      <w:r>
        <w:rPr>
          <w:rFonts w:hint="eastAsia" w:ascii="宋体" w:hAnsi="宋体" w:eastAsia="宋体" w:cs="宋体"/>
          <w:i w:val="0"/>
          <w:iCs w:val="0"/>
          <w:color w:val="auto"/>
          <w:sz w:val="24"/>
          <w:szCs w:val="24"/>
          <w:highlight w:val="none"/>
          <w:lang w:eastAsia="zh-CN"/>
        </w:rPr>
        <w:t>已标价工程量清单</w:t>
      </w:r>
      <w:r>
        <w:rPr>
          <w:rFonts w:hint="eastAsia" w:ascii="宋体" w:hAnsi="宋体" w:eastAsia="宋体" w:cs="宋体"/>
          <w:i w:val="0"/>
          <w:iCs w:val="0"/>
          <w:color w:val="auto"/>
          <w:sz w:val="24"/>
          <w:szCs w:val="24"/>
          <w:highlight w:val="none"/>
        </w:rPr>
        <w:t>、其他证明文件、磋商响应函等部分</w:t>
      </w:r>
      <w:r>
        <w:rPr>
          <w:rFonts w:hint="eastAsia" w:ascii="宋体" w:hAnsi="宋体" w:eastAsia="宋体" w:cs="宋体"/>
          <w:i w:val="0"/>
          <w:iCs w:val="0"/>
          <w:color w:val="auto"/>
          <w:sz w:val="24"/>
          <w:szCs w:val="24"/>
          <w:highlight w:val="none"/>
          <w:lang w:eastAsia="zh-CN"/>
        </w:rPr>
        <w:t>。</w:t>
      </w:r>
    </w:p>
    <w:p w14:paraId="6CD9FC3D">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10.2 如标书制作工具中格式和内容与“江苏政府采购网”发布的磋商文件不一致，请以“江苏政府采购网”发布的磋商文件为准。</w:t>
      </w:r>
    </w:p>
    <w:p w14:paraId="561CBC16">
      <w:pPr>
        <w:keepNext/>
        <w:keepLines/>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3"/>
        <w:rPr>
          <w:rFonts w:hint="eastAsia" w:ascii="宋体" w:hAnsi="宋体" w:eastAsia="宋体" w:cs="宋体"/>
          <w:i w:val="0"/>
          <w:iCs w:val="0"/>
          <w:color w:val="auto"/>
          <w:sz w:val="24"/>
          <w:szCs w:val="24"/>
          <w:highlight w:val="none"/>
        </w:rPr>
      </w:pPr>
      <w:bookmarkStart w:id="92" w:name="_Hlt26668975"/>
      <w:bookmarkEnd w:id="92"/>
      <w:bookmarkStart w:id="93" w:name="_Hlt26670360"/>
      <w:bookmarkEnd w:id="93"/>
      <w:bookmarkStart w:id="94" w:name="_Hlt26954838"/>
      <w:bookmarkEnd w:id="94"/>
      <w:bookmarkStart w:id="95" w:name="_Toc14577359"/>
      <w:bookmarkStart w:id="96" w:name="_Toc49090510"/>
      <w:r>
        <w:rPr>
          <w:rFonts w:hint="eastAsia" w:ascii="宋体" w:hAnsi="宋体" w:eastAsia="宋体" w:cs="宋体"/>
          <w:i w:val="0"/>
          <w:iCs w:val="0"/>
          <w:color w:val="auto"/>
          <w:sz w:val="24"/>
          <w:szCs w:val="24"/>
          <w:highlight w:val="none"/>
        </w:rPr>
        <w:t>1</w:t>
      </w:r>
      <w:r>
        <w:rPr>
          <w:rFonts w:hint="eastAsia" w:ascii="宋体" w:hAnsi="宋体" w:eastAsia="宋体" w:cs="宋体"/>
          <w:i w:val="0"/>
          <w:iCs w:val="0"/>
          <w:color w:val="auto"/>
          <w:sz w:val="24"/>
          <w:szCs w:val="24"/>
          <w:highlight w:val="none"/>
          <w:lang w:val="en-US" w:eastAsia="zh-CN"/>
        </w:rPr>
        <w:t>1</w:t>
      </w:r>
      <w:r>
        <w:rPr>
          <w:rFonts w:hint="eastAsia" w:ascii="宋体" w:hAnsi="宋体" w:eastAsia="宋体" w:cs="宋体"/>
          <w:i w:val="0"/>
          <w:iCs w:val="0"/>
          <w:color w:val="auto"/>
          <w:sz w:val="24"/>
          <w:szCs w:val="24"/>
          <w:highlight w:val="none"/>
        </w:rPr>
        <w:t>、证明磋商响应标的符合磋商文件规定的文件</w:t>
      </w:r>
    </w:p>
    <w:p w14:paraId="05D508BE">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11.1供应商应按照磋商文件要求提交证明文件，证明其及磋商响应标的符合磋商文件规定。</w:t>
      </w:r>
    </w:p>
    <w:p w14:paraId="18726786">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11.2磋商文件对证明文件无明确形式要求的，证明文件可以以文字资料、图纸和数据等形式提交。</w:t>
      </w:r>
    </w:p>
    <w:p w14:paraId="4E7D0AB3">
      <w:pPr>
        <w:keepNext/>
        <w:keepLines/>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3"/>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12、已标价工程量清单</w:t>
      </w:r>
    </w:p>
    <w:p w14:paraId="428DFAB3">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i w:val="0"/>
          <w:iCs w:val="0"/>
          <w:color w:val="auto"/>
          <w:sz w:val="24"/>
          <w:szCs w:val="24"/>
          <w:highlight w:val="none"/>
        </w:rPr>
      </w:pPr>
      <w:r>
        <w:rPr>
          <w:rFonts w:hint="eastAsia" w:ascii="宋体" w:hAnsi="宋体" w:eastAsia="宋体" w:cs="宋体"/>
          <w:bCs/>
          <w:i w:val="0"/>
          <w:iCs w:val="0"/>
          <w:color w:val="auto"/>
          <w:sz w:val="24"/>
          <w:szCs w:val="24"/>
          <w:highlight w:val="none"/>
        </w:rPr>
        <w:t>12.1</w:t>
      </w:r>
      <w:r>
        <w:rPr>
          <w:rFonts w:hint="eastAsia" w:ascii="宋体" w:hAnsi="宋体" w:eastAsia="宋体" w:cs="宋体"/>
          <w:i w:val="0"/>
          <w:iCs w:val="0"/>
          <w:color w:val="auto"/>
          <w:sz w:val="24"/>
          <w:szCs w:val="24"/>
          <w:highlight w:val="none"/>
        </w:rPr>
        <w:t>供应商应按照</w:t>
      </w:r>
      <w:r>
        <w:rPr>
          <w:rFonts w:hint="eastAsia" w:ascii="宋体" w:hAnsi="宋体" w:eastAsia="宋体" w:cs="宋体"/>
          <w:i w:val="0"/>
          <w:iCs w:val="0"/>
          <w:color w:val="auto"/>
          <w:sz w:val="24"/>
          <w:szCs w:val="24"/>
          <w:highlight w:val="none"/>
          <w:lang w:eastAsia="zh-CN"/>
        </w:rPr>
        <w:t>采购人提供工程量清单编制</w:t>
      </w:r>
      <w:r>
        <w:rPr>
          <w:rFonts w:hint="eastAsia" w:ascii="宋体" w:hAnsi="宋体" w:eastAsia="宋体" w:cs="宋体"/>
          <w:i w:val="0"/>
          <w:iCs w:val="0"/>
          <w:color w:val="auto"/>
          <w:sz w:val="24"/>
          <w:szCs w:val="24"/>
          <w:highlight w:val="none"/>
          <w:lang w:val="en-US" w:eastAsia="zh-CN"/>
        </w:rPr>
        <w:t>已标价工程量清单</w:t>
      </w:r>
      <w:r>
        <w:rPr>
          <w:rFonts w:hint="eastAsia" w:ascii="宋体" w:hAnsi="宋体" w:eastAsia="宋体" w:cs="宋体"/>
          <w:i w:val="0"/>
          <w:iCs w:val="0"/>
          <w:color w:val="auto"/>
          <w:sz w:val="24"/>
          <w:szCs w:val="24"/>
          <w:highlight w:val="none"/>
          <w:lang w:eastAsia="zh-CN"/>
        </w:rPr>
        <w:t>。</w:t>
      </w:r>
    </w:p>
    <w:p w14:paraId="338B4716">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12.2</w:t>
      </w:r>
      <w:r>
        <w:rPr>
          <w:rFonts w:hint="eastAsia" w:ascii="宋体" w:hAnsi="宋体" w:eastAsia="宋体" w:cs="宋体"/>
          <w:bCs/>
          <w:i w:val="0"/>
          <w:iCs w:val="0"/>
          <w:color w:val="auto"/>
          <w:sz w:val="24"/>
          <w:szCs w:val="24"/>
          <w:highlight w:val="none"/>
        </w:rPr>
        <w:t>磋商货币。响应文件中的单价和总价无特殊规定的采用人民币报价，以元为</w:t>
      </w:r>
      <w:r>
        <w:rPr>
          <w:rFonts w:hint="eastAsia" w:ascii="宋体" w:hAnsi="宋体" w:eastAsia="宋体" w:cs="宋体"/>
          <w:i w:val="0"/>
          <w:iCs w:val="0"/>
          <w:color w:val="auto"/>
          <w:sz w:val="24"/>
          <w:szCs w:val="24"/>
          <w:highlight w:val="none"/>
        </w:rPr>
        <w:t>单位标注。磋商文件中另有规定的按规定执行。</w:t>
      </w:r>
    </w:p>
    <w:p w14:paraId="6B2DF194">
      <w:pPr>
        <w:keepNext/>
        <w:keepLines/>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3"/>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13、施工方案、人员安排及其他</w:t>
      </w:r>
    </w:p>
    <w:p w14:paraId="329D7495">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13.1供应商需根据磋商文件要求提供有关施工方案等。</w:t>
      </w:r>
    </w:p>
    <w:p w14:paraId="39B81101">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13.2供应商需根据磋商文件要求提供</w:t>
      </w:r>
      <w:r>
        <w:rPr>
          <w:rFonts w:hint="eastAsia" w:ascii="宋体" w:hAnsi="宋体" w:eastAsia="宋体" w:cs="宋体"/>
          <w:i w:val="0"/>
          <w:iCs w:val="0"/>
          <w:color w:val="auto"/>
          <w:sz w:val="24"/>
          <w:szCs w:val="24"/>
          <w:highlight w:val="none"/>
          <w:lang w:val="zh-CN" w:eastAsia="zh-CN"/>
        </w:rPr>
        <w:t>磋商响应标的的主要组成部分、实现思路及关键技术等。</w:t>
      </w:r>
    </w:p>
    <w:p w14:paraId="0F848DD8">
      <w:pPr>
        <w:keepNext/>
        <w:keepLines/>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3"/>
        <w:rPr>
          <w:rFonts w:hint="eastAsia" w:ascii="宋体" w:hAnsi="宋体" w:eastAsia="宋体" w:cs="宋体"/>
          <w:i w:val="0"/>
          <w:iCs w:val="0"/>
          <w:color w:val="auto"/>
          <w:sz w:val="24"/>
          <w:szCs w:val="24"/>
          <w:highlight w:val="none"/>
        </w:rPr>
      </w:pPr>
      <w:r>
        <w:rPr>
          <w:rFonts w:hint="eastAsia" w:ascii="宋体" w:hAnsi="宋体" w:cs="宋体"/>
          <w:i w:val="0"/>
          <w:iCs w:val="0"/>
          <w:color w:val="auto"/>
          <w:sz w:val="24"/>
          <w:szCs w:val="24"/>
          <w:highlight w:val="none"/>
          <w:lang w:val="en-US" w:eastAsia="zh-CN"/>
        </w:rPr>
        <w:t>14、</w:t>
      </w:r>
      <w:r>
        <w:rPr>
          <w:rFonts w:hint="eastAsia" w:ascii="宋体" w:hAnsi="宋体" w:eastAsia="宋体" w:cs="宋体"/>
          <w:i w:val="0"/>
          <w:iCs w:val="0"/>
          <w:color w:val="auto"/>
          <w:sz w:val="24"/>
          <w:szCs w:val="24"/>
          <w:highlight w:val="none"/>
        </w:rPr>
        <w:t>磋商响应函</w:t>
      </w:r>
    </w:p>
    <w:p w14:paraId="3F6D9649">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i w:val="0"/>
          <w:iCs w:val="0"/>
          <w:color w:val="auto"/>
          <w:sz w:val="24"/>
          <w:szCs w:val="24"/>
          <w:highlight w:val="none"/>
        </w:rPr>
      </w:pPr>
      <w:r>
        <w:rPr>
          <w:rFonts w:hint="eastAsia" w:ascii="宋体" w:hAnsi="宋体" w:eastAsia="宋体" w:cs="宋体"/>
          <w:bCs/>
          <w:i w:val="0"/>
          <w:iCs w:val="0"/>
          <w:color w:val="auto"/>
          <w:sz w:val="24"/>
          <w:szCs w:val="24"/>
          <w:highlight w:val="none"/>
        </w:rPr>
        <w:t>1</w:t>
      </w:r>
      <w:r>
        <w:rPr>
          <w:rFonts w:hint="eastAsia" w:ascii="宋体" w:hAnsi="宋体" w:cs="宋体"/>
          <w:bCs/>
          <w:i w:val="0"/>
          <w:iCs w:val="0"/>
          <w:color w:val="auto"/>
          <w:sz w:val="24"/>
          <w:szCs w:val="24"/>
          <w:highlight w:val="none"/>
          <w:lang w:val="en-US" w:eastAsia="zh-CN"/>
        </w:rPr>
        <w:t>4</w:t>
      </w:r>
      <w:r>
        <w:rPr>
          <w:rFonts w:hint="eastAsia" w:ascii="宋体" w:hAnsi="宋体" w:eastAsia="宋体" w:cs="宋体"/>
          <w:bCs/>
          <w:i w:val="0"/>
          <w:iCs w:val="0"/>
          <w:color w:val="auto"/>
          <w:sz w:val="24"/>
          <w:szCs w:val="24"/>
          <w:highlight w:val="none"/>
        </w:rPr>
        <w:t>.1</w:t>
      </w:r>
      <w:r>
        <w:rPr>
          <w:rFonts w:hint="eastAsia" w:ascii="宋体" w:hAnsi="宋体" w:eastAsia="宋体" w:cs="宋体"/>
          <w:i w:val="0"/>
          <w:iCs w:val="0"/>
          <w:color w:val="auto"/>
          <w:sz w:val="24"/>
          <w:szCs w:val="24"/>
          <w:highlight w:val="none"/>
        </w:rPr>
        <w:t>供应商应按照磋商文件中提供的格式完整、正确填写磋商响应函。</w:t>
      </w:r>
      <w:bookmarkEnd w:id="95"/>
      <w:bookmarkEnd w:id="96"/>
    </w:p>
    <w:p w14:paraId="79418E14">
      <w:pPr>
        <w:keepNext/>
        <w:keepLines/>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3"/>
        <w:rPr>
          <w:rFonts w:hint="eastAsia" w:ascii="宋体" w:hAnsi="宋体" w:eastAsia="宋体" w:cs="宋体"/>
          <w:i w:val="0"/>
          <w:iCs w:val="0"/>
          <w:color w:val="auto"/>
          <w:sz w:val="24"/>
          <w:szCs w:val="24"/>
          <w:highlight w:val="none"/>
        </w:rPr>
      </w:pPr>
      <w:bookmarkStart w:id="97" w:name="_Toc14577360"/>
      <w:bookmarkStart w:id="98" w:name="_Toc49090511"/>
      <w:r>
        <w:rPr>
          <w:rFonts w:hint="eastAsia" w:ascii="宋体" w:hAnsi="宋体" w:eastAsia="宋体" w:cs="宋体"/>
          <w:i w:val="0"/>
          <w:iCs w:val="0"/>
          <w:color w:val="auto"/>
          <w:sz w:val="24"/>
          <w:szCs w:val="24"/>
          <w:highlight w:val="none"/>
        </w:rPr>
        <w:t>1</w:t>
      </w:r>
      <w:r>
        <w:rPr>
          <w:rFonts w:hint="eastAsia" w:ascii="宋体" w:hAnsi="宋体" w:cs="宋体"/>
          <w:i w:val="0"/>
          <w:iCs w:val="0"/>
          <w:color w:val="auto"/>
          <w:sz w:val="24"/>
          <w:szCs w:val="24"/>
          <w:highlight w:val="none"/>
          <w:lang w:val="en-US" w:eastAsia="zh-CN"/>
        </w:rPr>
        <w:t>5</w:t>
      </w:r>
      <w:r>
        <w:rPr>
          <w:rFonts w:hint="eastAsia" w:ascii="宋体" w:hAnsi="宋体" w:eastAsia="宋体" w:cs="宋体"/>
          <w:i w:val="0"/>
          <w:iCs w:val="0"/>
          <w:color w:val="auto"/>
          <w:sz w:val="24"/>
          <w:szCs w:val="24"/>
          <w:highlight w:val="none"/>
        </w:rPr>
        <w:t>、磋商有效期</w:t>
      </w:r>
      <w:bookmarkEnd w:id="97"/>
      <w:bookmarkEnd w:id="98"/>
    </w:p>
    <w:p w14:paraId="127BE421">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Cs/>
          <w:i w:val="0"/>
          <w:iCs w:val="0"/>
          <w:color w:val="auto"/>
          <w:sz w:val="24"/>
          <w:szCs w:val="24"/>
          <w:highlight w:val="none"/>
        </w:rPr>
      </w:pPr>
      <w:r>
        <w:rPr>
          <w:rFonts w:hint="eastAsia" w:ascii="宋体" w:hAnsi="宋体" w:eastAsia="宋体" w:cs="宋体"/>
          <w:bCs/>
          <w:i w:val="0"/>
          <w:iCs w:val="0"/>
          <w:color w:val="auto"/>
          <w:sz w:val="24"/>
          <w:szCs w:val="24"/>
          <w:highlight w:val="none"/>
        </w:rPr>
        <w:t>1</w:t>
      </w:r>
      <w:r>
        <w:rPr>
          <w:rFonts w:hint="eastAsia" w:ascii="宋体" w:hAnsi="宋体" w:cs="宋体"/>
          <w:bCs/>
          <w:i w:val="0"/>
          <w:iCs w:val="0"/>
          <w:color w:val="auto"/>
          <w:sz w:val="24"/>
          <w:szCs w:val="24"/>
          <w:highlight w:val="none"/>
          <w:lang w:val="en-US" w:eastAsia="zh-CN"/>
        </w:rPr>
        <w:t>5</w:t>
      </w:r>
      <w:r>
        <w:rPr>
          <w:rFonts w:hint="eastAsia" w:ascii="宋体" w:hAnsi="宋体" w:eastAsia="宋体" w:cs="宋体"/>
          <w:bCs/>
          <w:i w:val="0"/>
          <w:iCs w:val="0"/>
          <w:color w:val="auto"/>
          <w:sz w:val="24"/>
          <w:szCs w:val="24"/>
          <w:highlight w:val="none"/>
        </w:rPr>
        <w:t>.1磋商有效期为</w:t>
      </w:r>
      <w:r>
        <w:rPr>
          <w:rFonts w:hint="eastAsia" w:ascii="宋体" w:hAnsi="宋体" w:eastAsia="宋体" w:cs="宋体"/>
          <w:i w:val="0"/>
          <w:iCs w:val="0"/>
          <w:color w:val="auto"/>
          <w:sz w:val="24"/>
          <w:szCs w:val="24"/>
          <w:highlight w:val="none"/>
          <w:lang w:val="en-US" w:eastAsia="zh-CN"/>
        </w:rPr>
        <w:t>招标代理公司</w:t>
      </w:r>
      <w:r>
        <w:rPr>
          <w:rFonts w:hint="eastAsia" w:ascii="宋体" w:hAnsi="宋体" w:eastAsia="宋体" w:cs="宋体"/>
          <w:bCs/>
          <w:i w:val="0"/>
          <w:iCs w:val="0"/>
          <w:color w:val="auto"/>
          <w:sz w:val="24"/>
          <w:szCs w:val="24"/>
          <w:highlight w:val="none"/>
        </w:rPr>
        <w:t>规定的提交响应文件截止之日后</w:t>
      </w:r>
      <w:r>
        <w:rPr>
          <w:rFonts w:hint="eastAsia" w:ascii="宋体" w:hAnsi="宋体" w:eastAsia="宋体" w:cs="宋体"/>
          <w:b/>
          <w:i w:val="0"/>
          <w:iCs w:val="0"/>
          <w:color w:val="auto"/>
          <w:sz w:val="24"/>
          <w:szCs w:val="24"/>
          <w:highlight w:val="none"/>
          <w:u w:val="single"/>
        </w:rPr>
        <w:t>六十（60）天</w:t>
      </w:r>
      <w:r>
        <w:rPr>
          <w:rFonts w:hint="eastAsia" w:ascii="宋体" w:hAnsi="宋体" w:eastAsia="宋体" w:cs="宋体"/>
          <w:bCs/>
          <w:i w:val="0"/>
          <w:iCs w:val="0"/>
          <w:color w:val="auto"/>
          <w:sz w:val="24"/>
          <w:szCs w:val="24"/>
          <w:highlight w:val="none"/>
        </w:rPr>
        <w:t>。磋商有效期比规定短的将被视为非实质性响应磋商文件而予以拒绝。</w:t>
      </w:r>
    </w:p>
    <w:p w14:paraId="56350EB0">
      <w:pPr>
        <w:keepNext/>
        <w:keepLines/>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3"/>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w:t>
      </w:r>
      <w:r>
        <w:rPr>
          <w:rFonts w:hint="eastAsia" w:ascii="宋体" w:hAnsi="宋体" w:cs="宋体"/>
          <w:i w:val="0"/>
          <w:iCs w:val="0"/>
          <w:color w:val="auto"/>
          <w:sz w:val="24"/>
          <w:szCs w:val="24"/>
          <w:highlight w:val="none"/>
          <w:lang w:val="en-US" w:eastAsia="zh-CN"/>
        </w:rPr>
        <w:t>6</w:t>
      </w:r>
      <w:r>
        <w:rPr>
          <w:rFonts w:hint="eastAsia" w:ascii="宋体" w:hAnsi="宋体" w:eastAsia="宋体" w:cs="宋体"/>
          <w:i w:val="0"/>
          <w:iCs w:val="0"/>
          <w:color w:val="auto"/>
          <w:sz w:val="24"/>
          <w:szCs w:val="24"/>
          <w:highlight w:val="none"/>
        </w:rPr>
        <w:t>、磋商有效期的延长</w:t>
      </w:r>
    </w:p>
    <w:p w14:paraId="2F505141">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Cs/>
          <w:i w:val="0"/>
          <w:iCs w:val="0"/>
          <w:color w:val="auto"/>
          <w:sz w:val="24"/>
          <w:szCs w:val="24"/>
          <w:highlight w:val="none"/>
        </w:rPr>
      </w:pPr>
      <w:r>
        <w:rPr>
          <w:rFonts w:hint="eastAsia" w:ascii="宋体" w:hAnsi="宋体" w:eastAsia="宋体" w:cs="宋体"/>
          <w:bCs/>
          <w:i w:val="0"/>
          <w:iCs w:val="0"/>
          <w:color w:val="auto"/>
          <w:sz w:val="24"/>
          <w:szCs w:val="24"/>
          <w:highlight w:val="none"/>
        </w:rPr>
        <w:t>1</w:t>
      </w:r>
      <w:r>
        <w:rPr>
          <w:rFonts w:hint="eastAsia" w:ascii="宋体" w:hAnsi="宋体" w:cs="宋体"/>
          <w:bCs/>
          <w:i w:val="0"/>
          <w:iCs w:val="0"/>
          <w:color w:val="auto"/>
          <w:sz w:val="24"/>
          <w:szCs w:val="24"/>
          <w:highlight w:val="none"/>
          <w:lang w:val="en-US" w:eastAsia="zh-CN"/>
        </w:rPr>
        <w:t>6</w:t>
      </w:r>
      <w:r>
        <w:rPr>
          <w:rFonts w:hint="eastAsia" w:ascii="宋体" w:hAnsi="宋体" w:eastAsia="宋体" w:cs="宋体"/>
          <w:bCs/>
          <w:i w:val="0"/>
          <w:iCs w:val="0"/>
          <w:color w:val="auto"/>
          <w:sz w:val="24"/>
          <w:szCs w:val="24"/>
          <w:highlight w:val="none"/>
        </w:rPr>
        <w:t>.1在特殊情况下，</w:t>
      </w:r>
      <w:r>
        <w:rPr>
          <w:rFonts w:hint="eastAsia" w:ascii="宋体" w:hAnsi="宋体" w:eastAsia="宋体" w:cs="宋体"/>
          <w:i w:val="0"/>
          <w:iCs w:val="0"/>
          <w:color w:val="auto"/>
          <w:sz w:val="24"/>
          <w:szCs w:val="24"/>
          <w:highlight w:val="none"/>
          <w:lang w:val="en-US" w:eastAsia="zh-CN"/>
        </w:rPr>
        <w:t>招标代理公司</w:t>
      </w:r>
      <w:r>
        <w:rPr>
          <w:rFonts w:hint="eastAsia" w:ascii="宋体" w:hAnsi="宋体" w:eastAsia="宋体" w:cs="宋体"/>
          <w:bCs/>
          <w:i w:val="0"/>
          <w:iCs w:val="0"/>
          <w:color w:val="auto"/>
          <w:sz w:val="24"/>
          <w:szCs w:val="24"/>
          <w:highlight w:val="none"/>
        </w:rPr>
        <w:t>于原磋商有效期满之前，可向供应商提出延长磋商有效期的要求。这种要求与答复均应采用书面形式。供应商可以拒绝</w:t>
      </w:r>
      <w:r>
        <w:rPr>
          <w:rFonts w:hint="eastAsia" w:ascii="宋体" w:hAnsi="宋体" w:eastAsia="宋体" w:cs="宋体"/>
          <w:bCs/>
          <w:i w:val="0"/>
          <w:iCs w:val="0"/>
          <w:color w:val="auto"/>
          <w:sz w:val="24"/>
          <w:szCs w:val="24"/>
          <w:highlight w:val="none"/>
          <w:lang w:eastAsia="zh-CN"/>
        </w:rPr>
        <w:t>招标代理公司</w:t>
      </w:r>
      <w:r>
        <w:rPr>
          <w:rFonts w:hint="eastAsia" w:ascii="宋体" w:hAnsi="宋体" w:eastAsia="宋体" w:cs="宋体"/>
          <w:bCs/>
          <w:i w:val="0"/>
          <w:iCs w:val="0"/>
          <w:color w:val="auto"/>
          <w:sz w:val="24"/>
          <w:szCs w:val="24"/>
          <w:highlight w:val="none"/>
        </w:rPr>
        <w:t>的这一要求而放弃磋商，同意延长磋商有效期的供应商既不能要求也不允许修改其响应文件。</w:t>
      </w:r>
      <w:r>
        <w:rPr>
          <w:rFonts w:hint="eastAsia" w:ascii="宋体" w:hAnsi="宋体" w:eastAsia="宋体" w:cs="宋体"/>
          <w:i w:val="0"/>
          <w:iCs w:val="0"/>
          <w:color w:val="auto"/>
          <w:sz w:val="24"/>
          <w:szCs w:val="24"/>
          <w:highlight w:val="none"/>
        </w:rPr>
        <w:t>受磋商有效期约束的所有权利与义务均延长至新的有效期</w:t>
      </w:r>
      <w:r>
        <w:rPr>
          <w:rFonts w:hint="eastAsia" w:ascii="宋体" w:hAnsi="宋体" w:eastAsia="宋体" w:cs="宋体"/>
          <w:bCs/>
          <w:i w:val="0"/>
          <w:iCs w:val="0"/>
          <w:color w:val="auto"/>
          <w:sz w:val="24"/>
          <w:szCs w:val="24"/>
          <w:highlight w:val="none"/>
        </w:rPr>
        <w:t>。</w:t>
      </w:r>
    </w:p>
    <w:p w14:paraId="6C64A559">
      <w:pPr>
        <w:keepNext/>
        <w:keepLines/>
        <w:pageBreakBefore w:val="0"/>
        <w:widowControl w:val="0"/>
        <w:kinsoku/>
        <w:wordWrap/>
        <w:overflowPunct/>
        <w:topLinePunct w:val="0"/>
        <w:autoSpaceDE/>
        <w:autoSpaceDN/>
        <w:bidi w:val="0"/>
        <w:adjustRightInd w:val="0"/>
        <w:snapToGrid w:val="0"/>
        <w:spacing w:line="360" w:lineRule="auto"/>
        <w:ind w:firstLine="482" w:firstLineChars="200"/>
        <w:textAlignment w:val="auto"/>
        <w:outlineLvl w:val="2"/>
        <w:rPr>
          <w:rFonts w:hint="eastAsia" w:ascii="宋体" w:hAnsi="宋体" w:eastAsia="宋体" w:cs="宋体"/>
          <w:b/>
          <w:bCs/>
          <w:i w:val="0"/>
          <w:iCs w:val="0"/>
          <w:color w:val="auto"/>
          <w:sz w:val="24"/>
          <w:szCs w:val="24"/>
          <w:highlight w:val="none"/>
        </w:rPr>
      </w:pPr>
      <w:bookmarkStart w:id="99" w:name="_Hlt26954739"/>
      <w:bookmarkEnd w:id="99"/>
      <w:bookmarkStart w:id="100" w:name="_Hlt26954852"/>
      <w:bookmarkEnd w:id="100"/>
      <w:bookmarkStart w:id="101" w:name="_Toc16938540"/>
      <w:bookmarkStart w:id="102" w:name="_Toc20823296"/>
      <w:bookmarkStart w:id="103" w:name="_Toc513029224"/>
      <w:bookmarkStart w:id="104" w:name="_Toc120614217"/>
      <w:r>
        <w:rPr>
          <w:rFonts w:hint="eastAsia" w:ascii="宋体" w:hAnsi="宋体" w:eastAsia="宋体" w:cs="宋体"/>
          <w:b/>
          <w:bCs/>
          <w:i w:val="0"/>
          <w:iCs w:val="0"/>
          <w:color w:val="auto"/>
          <w:sz w:val="24"/>
          <w:szCs w:val="24"/>
          <w:highlight w:val="none"/>
        </w:rPr>
        <w:t>四、响应文件的递交</w:t>
      </w:r>
      <w:bookmarkEnd w:id="101"/>
      <w:bookmarkEnd w:id="102"/>
      <w:bookmarkEnd w:id="103"/>
      <w:bookmarkEnd w:id="104"/>
    </w:p>
    <w:p w14:paraId="2E8575FC">
      <w:pPr>
        <w:keepNext/>
        <w:keepLines/>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3"/>
        <w:rPr>
          <w:rFonts w:hint="eastAsia" w:ascii="宋体" w:hAnsi="宋体" w:eastAsia="宋体" w:cs="宋体"/>
          <w:i w:val="0"/>
          <w:iCs w:val="0"/>
          <w:color w:val="auto"/>
          <w:sz w:val="24"/>
          <w:szCs w:val="24"/>
          <w:highlight w:val="none"/>
        </w:rPr>
      </w:pPr>
      <w:bookmarkStart w:id="105" w:name="_Toc462564084"/>
      <w:bookmarkStart w:id="106" w:name="_Toc513029225"/>
      <w:bookmarkStart w:id="107" w:name="_Toc20823297"/>
      <w:bookmarkStart w:id="108" w:name="_Toc16938541"/>
      <w:r>
        <w:rPr>
          <w:rFonts w:hint="eastAsia" w:ascii="宋体" w:hAnsi="宋体" w:eastAsia="宋体" w:cs="宋体"/>
          <w:i w:val="0"/>
          <w:iCs w:val="0"/>
          <w:color w:val="auto"/>
          <w:sz w:val="24"/>
          <w:szCs w:val="24"/>
          <w:highlight w:val="none"/>
        </w:rPr>
        <w:t>1</w:t>
      </w:r>
      <w:r>
        <w:rPr>
          <w:rFonts w:hint="eastAsia" w:ascii="宋体" w:hAnsi="宋体" w:cs="宋体"/>
          <w:i w:val="0"/>
          <w:iCs w:val="0"/>
          <w:color w:val="auto"/>
          <w:sz w:val="24"/>
          <w:szCs w:val="24"/>
          <w:highlight w:val="none"/>
          <w:lang w:val="en-US" w:eastAsia="zh-CN"/>
        </w:rPr>
        <w:t>7</w:t>
      </w:r>
      <w:r>
        <w:rPr>
          <w:rFonts w:hint="eastAsia" w:ascii="宋体" w:hAnsi="宋体" w:eastAsia="宋体" w:cs="宋体"/>
          <w:i w:val="0"/>
          <w:iCs w:val="0"/>
          <w:color w:val="auto"/>
          <w:sz w:val="24"/>
          <w:szCs w:val="24"/>
          <w:highlight w:val="none"/>
        </w:rPr>
        <w:t>、电子磋商</w:t>
      </w:r>
      <w:bookmarkEnd w:id="105"/>
      <w:bookmarkEnd w:id="106"/>
      <w:bookmarkEnd w:id="107"/>
      <w:bookmarkEnd w:id="108"/>
      <w:r>
        <w:rPr>
          <w:rFonts w:hint="eastAsia" w:ascii="宋体" w:hAnsi="宋体" w:eastAsia="宋体" w:cs="宋体"/>
          <w:i w:val="0"/>
          <w:iCs w:val="0"/>
          <w:color w:val="auto"/>
          <w:sz w:val="24"/>
          <w:szCs w:val="24"/>
          <w:highlight w:val="none"/>
        </w:rPr>
        <w:t>响应文件的递交</w:t>
      </w:r>
    </w:p>
    <w:p w14:paraId="3464981A">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Cs/>
          <w:i w:val="0"/>
          <w:iCs w:val="0"/>
          <w:color w:val="auto"/>
          <w:sz w:val="24"/>
          <w:szCs w:val="24"/>
          <w:highlight w:val="none"/>
        </w:rPr>
      </w:pPr>
      <w:r>
        <w:rPr>
          <w:rFonts w:hint="eastAsia" w:ascii="宋体" w:hAnsi="宋体" w:eastAsia="宋体" w:cs="宋体"/>
          <w:bCs/>
          <w:i w:val="0"/>
          <w:iCs w:val="0"/>
          <w:color w:val="auto"/>
          <w:sz w:val="24"/>
          <w:szCs w:val="24"/>
          <w:highlight w:val="none"/>
        </w:rPr>
        <w:t>1</w:t>
      </w:r>
      <w:r>
        <w:rPr>
          <w:rFonts w:hint="eastAsia" w:ascii="宋体" w:hAnsi="宋体" w:cs="宋体"/>
          <w:bCs/>
          <w:i w:val="0"/>
          <w:iCs w:val="0"/>
          <w:color w:val="auto"/>
          <w:sz w:val="24"/>
          <w:szCs w:val="24"/>
          <w:highlight w:val="none"/>
          <w:lang w:val="en-US" w:eastAsia="zh-CN"/>
        </w:rPr>
        <w:t>7</w:t>
      </w:r>
      <w:r>
        <w:rPr>
          <w:rFonts w:hint="eastAsia" w:ascii="宋体" w:hAnsi="宋体" w:eastAsia="宋体" w:cs="宋体"/>
          <w:bCs/>
          <w:i w:val="0"/>
          <w:iCs w:val="0"/>
          <w:color w:val="auto"/>
          <w:sz w:val="24"/>
          <w:szCs w:val="24"/>
          <w:highlight w:val="none"/>
        </w:rPr>
        <w:t>.1供应商应当按照《操作手册》规定，在提交响应文件截止时间前制作并上传电子响应文件。</w:t>
      </w:r>
      <w:bookmarkStart w:id="109" w:name="_Toc513029226"/>
      <w:bookmarkStart w:id="110" w:name="_Toc20823298"/>
      <w:bookmarkStart w:id="111" w:name="_Toc16938542"/>
    </w:p>
    <w:p w14:paraId="46052C81">
      <w:pPr>
        <w:keepNext/>
        <w:keepLines/>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3"/>
        <w:rPr>
          <w:rFonts w:hint="eastAsia" w:ascii="宋体" w:hAnsi="宋体" w:eastAsia="宋体" w:cs="宋体"/>
          <w:bCs/>
          <w:i w:val="0"/>
          <w:iCs w:val="0"/>
          <w:color w:val="auto"/>
          <w:sz w:val="24"/>
          <w:szCs w:val="24"/>
          <w:highlight w:val="none"/>
        </w:rPr>
      </w:pPr>
      <w:r>
        <w:rPr>
          <w:rFonts w:hint="eastAsia" w:ascii="宋体" w:hAnsi="宋体" w:eastAsia="宋体" w:cs="宋体"/>
          <w:bCs/>
          <w:i w:val="0"/>
          <w:iCs w:val="0"/>
          <w:color w:val="auto"/>
          <w:sz w:val="24"/>
          <w:szCs w:val="24"/>
          <w:highlight w:val="none"/>
        </w:rPr>
        <w:t>1</w:t>
      </w:r>
      <w:r>
        <w:rPr>
          <w:rFonts w:hint="eastAsia" w:ascii="宋体" w:hAnsi="宋体" w:cs="宋体"/>
          <w:bCs/>
          <w:i w:val="0"/>
          <w:iCs w:val="0"/>
          <w:color w:val="auto"/>
          <w:sz w:val="24"/>
          <w:szCs w:val="24"/>
          <w:highlight w:val="none"/>
          <w:lang w:val="en-US" w:eastAsia="zh-CN"/>
        </w:rPr>
        <w:t>8</w:t>
      </w:r>
      <w:r>
        <w:rPr>
          <w:rFonts w:hint="eastAsia" w:ascii="宋体" w:hAnsi="宋体" w:eastAsia="宋体" w:cs="宋体"/>
          <w:bCs/>
          <w:i w:val="0"/>
          <w:iCs w:val="0"/>
          <w:color w:val="auto"/>
          <w:sz w:val="24"/>
          <w:szCs w:val="24"/>
          <w:highlight w:val="none"/>
        </w:rPr>
        <w:t>、提交响应文件截止时间</w:t>
      </w:r>
      <w:bookmarkEnd w:id="109"/>
      <w:bookmarkEnd w:id="110"/>
      <w:bookmarkEnd w:id="111"/>
    </w:p>
    <w:p w14:paraId="1BFC79A4">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Cs/>
          <w:i w:val="0"/>
          <w:iCs w:val="0"/>
          <w:color w:val="auto"/>
          <w:sz w:val="24"/>
          <w:szCs w:val="24"/>
          <w:highlight w:val="none"/>
          <w:u w:val="single"/>
        </w:rPr>
      </w:pPr>
      <w:r>
        <w:rPr>
          <w:rFonts w:hint="eastAsia" w:ascii="宋体" w:hAnsi="宋体" w:cs="宋体"/>
          <w:i w:val="0"/>
          <w:iCs w:val="0"/>
          <w:color w:val="auto"/>
          <w:sz w:val="24"/>
          <w:szCs w:val="24"/>
          <w:highlight w:val="none"/>
          <w:u w:val="single"/>
          <w:lang w:val="en-US" w:eastAsia="zh-CN"/>
        </w:rPr>
        <w:t>18</w:t>
      </w:r>
      <w:r>
        <w:rPr>
          <w:rFonts w:hint="eastAsia" w:ascii="宋体" w:hAnsi="宋体" w:eastAsia="宋体" w:cs="宋体"/>
          <w:i w:val="0"/>
          <w:iCs w:val="0"/>
          <w:color w:val="auto"/>
          <w:sz w:val="24"/>
          <w:szCs w:val="24"/>
          <w:highlight w:val="none"/>
          <w:u w:val="single"/>
        </w:rPr>
        <w:t>.1</w:t>
      </w:r>
      <w:r>
        <w:rPr>
          <w:rFonts w:hint="eastAsia" w:ascii="宋体" w:hAnsi="宋体" w:eastAsia="宋体" w:cs="宋体"/>
          <w:bCs/>
          <w:i w:val="0"/>
          <w:iCs w:val="0"/>
          <w:color w:val="auto"/>
          <w:sz w:val="24"/>
          <w:szCs w:val="24"/>
          <w:highlight w:val="none"/>
          <w:u w:val="single"/>
        </w:rPr>
        <w:t>供应商上传电子响应文件的时间不得迟于磋商公告中规定的提交响应文件截止时间。</w:t>
      </w:r>
    </w:p>
    <w:p w14:paraId="0999F4D7">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Cs/>
          <w:i w:val="0"/>
          <w:iCs w:val="0"/>
          <w:color w:val="auto"/>
          <w:sz w:val="24"/>
          <w:szCs w:val="24"/>
          <w:highlight w:val="none"/>
        </w:rPr>
      </w:pPr>
      <w:r>
        <w:rPr>
          <w:rFonts w:hint="eastAsia" w:ascii="宋体" w:hAnsi="宋体" w:eastAsia="宋体" w:cs="宋体"/>
          <w:bCs/>
          <w:i w:val="0"/>
          <w:iCs w:val="0"/>
          <w:color w:val="auto"/>
          <w:sz w:val="24"/>
          <w:szCs w:val="24"/>
          <w:highlight w:val="none"/>
        </w:rPr>
        <w:t>供应商应充分考虑到网络环境、网络带宽等风险因素，如因供应商自身原因造成的电子响应文件上传不成功的按照本磋商文件第二章第2</w:t>
      </w:r>
      <w:r>
        <w:rPr>
          <w:rFonts w:hint="eastAsia" w:ascii="宋体" w:hAnsi="宋体" w:eastAsia="宋体" w:cs="宋体"/>
          <w:bCs/>
          <w:i w:val="0"/>
          <w:iCs w:val="0"/>
          <w:color w:val="auto"/>
          <w:sz w:val="24"/>
          <w:szCs w:val="24"/>
          <w:highlight w:val="none"/>
          <w:lang w:val="en-US" w:eastAsia="zh-CN"/>
        </w:rPr>
        <w:t>2</w:t>
      </w:r>
      <w:r>
        <w:rPr>
          <w:rFonts w:hint="eastAsia" w:ascii="宋体" w:hAnsi="宋体" w:eastAsia="宋体" w:cs="宋体"/>
          <w:bCs/>
          <w:i w:val="0"/>
          <w:iCs w:val="0"/>
          <w:color w:val="auto"/>
          <w:sz w:val="24"/>
          <w:szCs w:val="24"/>
          <w:highlight w:val="none"/>
        </w:rPr>
        <w:t>.3.2条规定做无效响应处理。</w:t>
      </w:r>
    </w:p>
    <w:p w14:paraId="786323FC">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Cs/>
          <w:i w:val="0"/>
          <w:iCs w:val="0"/>
          <w:color w:val="auto"/>
          <w:sz w:val="24"/>
          <w:szCs w:val="24"/>
          <w:highlight w:val="none"/>
        </w:rPr>
      </w:pPr>
      <w:r>
        <w:rPr>
          <w:rFonts w:hint="eastAsia" w:ascii="宋体" w:hAnsi="宋体" w:eastAsia="宋体" w:cs="宋体"/>
          <w:i w:val="0"/>
          <w:iCs w:val="0"/>
          <w:color w:val="auto"/>
          <w:sz w:val="24"/>
          <w:szCs w:val="24"/>
          <w:highlight w:val="none"/>
        </w:rPr>
        <w:t>1</w:t>
      </w:r>
      <w:r>
        <w:rPr>
          <w:rFonts w:hint="eastAsia" w:ascii="宋体" w:hAnsi="宋体" w:cs="宋体"/>
          <w:i w:val="0"/>
          <w:iCs w:val="0"/>
          <w:color w:val="auto"/>
          <w:sz w:val="24"/>
          <w:szCs w:val="24"/>
          <w:highlight w:val="none"/>
          <w:lang w:val="en-US" w:eastAsia="zh-CN"/>
        </w:rPr>
        <w:t>8</w:t>
      </w:r>
      <w:r>
        <w:rPr>
          <w:rFonts w:hint="eastAsia" w:ascii="宋体" w:hAnsi="宋体" w:eastAsia="宋体" w:cs="宋体"/>
          <w:i w:val="0"/>
          <w:iCs w:val="0"/>
          <w:color w:val="auto"/>
          <w:sz w:val="24"/>
          <w:szCs w:val="24"/>
          <w:highlight w:val="none"/>
        </w:rPr>
        <w:t>.2</w:t>
      </w:r>
      <w:r>
        <w:rPr>
          <w:rFonts w:hint="eastAsia" w:ascii="宋体" w:hAnsi="宋体" w:eastAsia="宋体" w:cs="宋体"/>
          <w:bCs/>
          <w:i w:val="0"/>
          <w:iCs w:val="0"/>
          <w:color w:val="auto"/>
          <w:sz w:val="24"/>
          <w:szCs w:val="24"/>
          <w:highlight w:val="none"/>
        </w:rPr>
        <w:t xml:space="preserve"> </w:t>
      </w:r>
      <w:r>
        <w:rPr>
          <w:rFonts w:hint="eastAsia" w:ascii="宋体" w:hAnsi="宋体" w:eastAsia="宋体" w:cs="宋体"/>
          <w:bCs/>
          <w:i w:val="0"/>
          <w:iCs w:val="0"/>
          <w:color w:val="auto"/>
          <w:sz w:val="24"/>
          <w:szCs w:val="24"/>
          <w:highlight w:val="none"/>
          <w:lang w:eastAsia="zh-CN"/>
        </w:rPr>
        <w:t>招标代理公司</w:t>
      </w:r>
      <w:r>
        <w:rPr>
          <w:rFonts w:hint="eastAsia" w:ascii="宋体" w:hAnsi="宋体" w:eastAsia="宋体" w:cs="宋体"/>
          <w:bCs/>
          <w:i w:val="0"/>
          <w:iCs w:val="0"/>
          <w:color w:val="auto"/>
          <w:sz w:val="24"/>
          <w:szCs w:val="24"/>
          <w:highlight w:val="none"/>
        </w:rPr>
        <w:t>可以按照规定，通过修改磋商文件酌情延长提交响应文件截止日期，在此情况下，供应商的所有权利和义务以及供应商受制的截止日期均应以延长后新的截止日期为准。</w:t>
      </w:r>
    </w:p>
    <w:p w14:paraId="7AE11135">
      <w:pPr>
        <w:keepNext/>
        <w:keepLines/>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3"/>
        <w:rPr>
          <w:rFonts w:hint="eastAsia" w:ascii="宋体" w:hAnsi="宋体" w:eastAsia="宋体" w:cs="宋体"/>
          <w:i w:val="0"/>
          <w:iCs w:val="0"/>
          <w:color w:val="auto"/>
          <w:sz w:val="24"/>
          <w:szCs w:val="24"/>
          <w:highlight w:val="none"/>
        </w:rPr>
      </w:pPr>
      <w:bookmarkStart w:id="112" w:name="_Toc20823299"/>
      <w:bookmarkStart w:id="113" w:name="_Toc513029227"/>
      <w:bookmarkStart w:id="114" w:name="_Toc16938543"/>
      <w:r>
        <w:rPr>
          <w:rFonts w:hint="eastAsia" w:ascii="宋体" w:hAnsi="宋体" w:eastAsia="宋体" w:cs="宋体"/>
          <w:i w:val="0"/>
          <w:iCs w:val="0"/>
          <w:color w:val="auto"/>
          <w:sz w:val="24"/>
          <w:szCs w:val="24"/>
          <w:highlight w:val="none"/>
          <w:lang w:val="en-US" w:eastAsia="zh-CN"/>
        </w:rPr>
        <w:t>1</w:t>
      </w:r>
      <w:r>
        <w:rPr>
          <w:rFonts w:hint="eastAsia" w:ascii="宋体" w:hAnsi="宋体" w:cs="宋体"/>
          <w:i w:val="0"/>
          <w:iCs w:val="0"/>
          <w:color w:val="auto"/>
          <w:sz w:val="24"/>
          <w:szCs w:val="24"/>
          <w:highlight w:val="none"/>
          <w:lang w:val="en-US" w:eastAsia="zh-CN"/>
        </w:rPr>
        <w:t>9</w:t>
      </w:r>
      <w:r>
        <w:rPr>
          <w:rFonts w:hint="eastAsia" w:ascii="宋体" w:hAnsi="宋体" w:eastAsia="宋体" w:cs="宋体"/>
          <w:i w:val="0"/>
          <w:iCs w:val="0"/>
          <w:color w:val="auto"/>
          <w:sz w:val="24"/>
          <w:szCs w:val="24"/>
          <w:highlight w:val="none"/>
        </w:rPr>
        <w:t>、响应文件</w:t>
      </w:r>
      <w:bookmarkEnd w:id="112"/>
      <w:bookmarkEnd w:id="113"/>
      <w:bookmarkEnd w:id="114"/>
      <w:r>
        <w:rPr>
          <w:rFonts w:hint="eastAsia" w:ascii="宋体" w:hAnsi="宋体" w:eastAsia="宋体" w:cs="宋体"/>
          <w:i w:val="0"/>
          <w:iCs w:val="0"/>
          <w:color w:val="auto"/>
          <w:sz w:val="24"/>
          <w:szCs w:val="24"/>
          <w:highlight w:val="none"/>
        </w:rPr>
        <w:t>的拒收</w:t>
      </w:r>
    </w:p>
    <w:p w14:paraId="439C8428">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Cs/>
          <w:i w:val="0"/>
          <w:iCs w:val="0"/>
          <w:color w:val="auto"/>
          <w:sz w:val="24"/>
          <w:szCs w:val="24"/>
          <w:highlight w:val="none"/>
        </w:rPr>
      </w:pPr>
      <w:r>
        <w:rPr>
          <w:rFonts w:hint="eastAsia" w:ascii="宋体" w:hAnsi="宋体" w:eastAsia="宋体" w:cs="宋体"/>
          <w:bCs/>
          <w:i w:val="0"/>
          <w:iCs w:val="0"/>
          <w:color w:val="auto"/>
          <w:sz w:val="24"/>
          <w:szCs w:val="24"/>
          <w:highlight w:val="none"/>
          <w:lang w:val="en-US" w:eastAsia="zh-CN"/>
        </w:rPr>
        <w:t>1</w:t>
      </w:r>
      <w:r>
        <w:rPr>
          <w:rFonts w:hint="eastAsia" w:ascii="宋体" w:hAnsi="宋体" w:cs="宋体"/>
          <w:bCs/>
          <w:i w:val="0"/>
          <w:iCs w:val="0"/>
          <w:color w:val="auto"/>
          <w:sz w:val="24"/>
          <w:szCs w:val="24"/>
          <w:highlight w:val="none"/>
          <w:lang w:val="en-US" w:eastAsia="zh-CN"/>
        </w:rPr>
        <w:t>9</w:t>
      </w:r>
      <w:r>
        <w:rPr>
          <w:rFonts w:hint="eastAsia" w:ascii="宋体" w:hAnsi="宋体" w:eastAsia="宋体" w:cs="宋体"/>
          <w:bCs/>
          <w:i w:val="0"/>
          <w:iCs w:val="0"/>
          <w:color w:val="auto"/>
          <w:sz w:val="24"/>
          <w:szCs w:val="24"/>
          <w:highlight w:val="none"/>
        </w:rPr>
        <w:t xml:space="preserve">.1 </w:t>
      </w:r>
      <w:r>
        <w:rPr>
          <w:rFonts w:hint="eastAsia" w:ascii="宋体" w:hAnsi="宋体" w:eastAsia="宋体" w:cs="宋体"/>
          <w:bCs/>
          <w:i w:val="0"/>
          <w:iCs w:val="0"/>
          <w:color w:val="auto"/>
          <w:sz w:val="24"/>
          <w:szCs w:val="24"/>
          <w:highlight w:val="none"/>
          <w:lang w:val="en-US" w:eastAsia="zh-CN"/>
        </w:rPr>
        <w:t>招标代理公司</w:t>
      </w:r>
      <w:r>
        <w:rPr>
          <w:rFonts w:hint="eastAsia" w:ascii="宋体" w:hAnsi="宋体" w:eastAsia="宋体" w:cs="宋体"/>
          <w:bCs/>
          <w:i w:val="0"/>
          <w:iCs w:val="0"/>
          <w:color w:val="auto"/>
          <w:sz w:val="24"/>
          <w:szCs w:val="24"/>
          <w:highlight w:val="none"/>
        </w:rPr>
        <w:t>拒绝接收在其规定的提交响应文件截止时间后上传的任何电子响应文件。</w:t>
      </w:r>
    </w:p>
    <w:p w14:paraId="66C58384">
      <w:pPr>
        <w:keepNext/>
        <w:keepLines/>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3"/>
        <w:rPr>
          <w:rFonts w:hint="eastAsia" w:ascii="宋体" w:hAnsi="宋体" w:eastAsia="宋体" w:cs="宋体"/>
          <w:i w:val="0"/>
          <w:iCs w:val="0"/>
          <w:color w:val="auto"/>
          <w:sz w:val="24"/>
          <w:szCs w:val="24"/>
          <w:highlight w:val="none"/>
        </w:rPr>
      </w:pPr>
      <w:bookmarkStart w:id="115" w:name="_Toc16938544"/>
      <w:bookmarkStart w:id="116" w:name="_Toc20823300"/>
      <w:bookmarkStart w:id="117" w:name="_Toc513029228"/>
      <w:r>
        <w:rPr>
          <w:rFonts w:hint="eastAsia" w:ascii="宋体" w:hAnsi="宋体" w:cs="宋体"/>
          <w:i w:val="0"/>
          <w:iCs w:val="0"/>
          <w:color w:val="auto"/>
          <w:sz w:val="24"/>
          <w:szCs w:val="24"/>
          <w:highlight w:val="none"/>
          <w:lang w:val="en-US" w:eastAsia="zh-CN"/>
        </w:rPr>
        <w:t>20</w:t>
      </w:r>
      <w:r>
        <w:rPr>
          <w:rFonts w:hint="eastAsia" w:ascii="宋体" w:hAnsi="宋体" w:eastAsia="宋体" w:cs="宋体"/>
          <w:i w:val="0"/>
          <w:iCs w:val="0"/>
          <w:color w:val="auto"/>
          <w:sz w:val="24"/>
          <w:szCs w:val="24"/>
          <w:highlight w:val="none"/>
        </w:rPr>
        <w:t>、响应文件的撤回和修改</w:t>
      </w:r>
      <w:bookmarkEnd w:id="115"/>
      <w:bookmarkEnd w:id="116"/>
      <w:bookmarkEnd w:id="117"/>
    </w:p>
    <w:p w14:paraId="59B6F89A">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i w:val="0"/>
          <w:iCs w:val="0"/>
          <w:color w:val="auto"/>
          <w:sz w:val="24"/>
          <w:szCs w:val="24"/>
          <w:highlight w:val="none"/>
        </w:rPr>
      </w:pPr>
      <w:r>
        <w:rPr>
          <w:rFonts w:hint="eastAsia" w:ascii="宋体" w:hAnsi="宋体" w:cs="宋体"/>
          <w:i w:val="0"/>
          <w:iCs w:val="0"/>
          <w:color w:val="auto"/>
          <w:sz w:val="24"/>
          <w:szCs w:val="24"/>
          <w:highlight w:val="none"/>
          <w:lang w:val="en-US" w:eastAsia="zh-CN"/>
        </w:rPr>
        <w:t>20</w:t>
      </w:r>
      <w:r>
        <w:rPr>
          <w:rFonts w:hint="eastAsia" w:ascii="宋体" w:hAnsi="宋体" w:eastAsia="宋体" w:cs="宋体"/>
          <w:i w:val="0"/>
          <w:iCs w:val="0"/>
          <w:color w:val="auto"/>
          <w:sz w:val="24"/>
          <w:szCs w:val="24"/>
          <w:highlight w:val="none"/>
        </w:rPr>
        <w:t>.1响应文件的撤回</w:t>
      </w:r>
    </w:p>
    <w:p w14:paraId="20863346">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i w:val="0"/>
          <w:iCs w:val="0"/>
          <w:color w:val="auto"/>
          <w:sz w:val="24"/>
          <w:szCs w:val="24"/>
          <w:highlight w:val="none"/>
        </w:rPr>
      </w:pPr>
      <w:r>
        <w:rPr>
          <w:rFonts w:hint="eastAsia" w:ascii="宋体" w:hAnsi="宋体" w:cs="宋体"/>
          <w:i w:val="0"/>
          <w:iCs w:val="0"/>
          <w:color w:val="auto"/>
          <w:sz w:val="24"/>
          <w:szCs w:val="24"/>
          <w:highlight w:val="none"/>
          <w:lang w:val="en-US" w:eastAsia="zh-CN"/>
        </w:rPr>
        <w:t>20</w:t>
      </w:r>
      <w:r>
        <w:rPr>
          <w:rFonts w:hint="eastAsia" w:ascii="宋体" w:hAnsi="宋体" w:eastAsia="宋体" w:cs="宋体"/>
          <w:i w:val="0"/>
          <w:iCs w:val="0"/>
          <w:color w:val="auto"/>
          <w:sz w:val="24"/>
          <w:szCs w:val="24"/>
          <w:highlight w:val="none"/>
        </w:rPr>
        <w:t>.1.1 电子响应文件的撤回</w:t>
      </w:r>
    </w:p>
    <w:p w14:paraId="7E88258C">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供应商可在</w:t>
      </w:r>
      <w:r>
        <w:rPr>
          <w:rFonts w:hint="eastAsia" w:ascii="宋体" w:hAnsi="宋体" w:eastAsia="宋体" w:cs="宋体"/>
          <w:bCs/>
          <w:i w:val="0"/>
          <w:iCs w:val="0"/>
          <w:color w:val="auto"/>
          <w:sz w:val="24"/>
          <w:szCs w:val="24"/>
          <w:highlight w:val="none"/>
        </w:rPr>
        <w:t>提交响应文件</w:t>
      </w:r>
      <w:r>
        <w:rPr>
          <w:rFonts w:hint="eastAsia" w:ascii="宋体" w:hAnsi="宋体" w:eastAsia="宋体" w:cs="宋体"/>
          <w:i w:val="0"/>
          <w:iCs w:val="0"/>
          <w:color w:val="auto"/>
          <w:sz w:val="24"/>
          <w:szCs w:val="24"/>
          <w:highlight w:val="none"/>
        </w:rPr>
        <w:t>截止时间前，撤回其电子响应文件，具体操作方法见《操作手册》。</w:t>
      </w:r>
    </w:p>
    <w:p w14:paraId="4C2EFE22">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i w:val="0"/>
          <w:iCs w:val="0"/>
          <w:color w:val="auto"/>
          <w:sz w:val="24"/>
          <w:szCs w:val="24"/>
          <w:highlight w:val="none"/>
        </w:rPr>
      </w:pPr>
      <w:r>
        <w:rPr>
          <w:rFonts w:hint="eastAsia" w:ascii="宋体" w:hAnsi="宋体" w:cs="宋体"/>
          <w:i w:val="0"/>
          <w:iCs w:val="0"/>
          <w:color w:val="auto"/>
          <w:sz w:val="24"/>
          <w:szCs w:val="24"/>
          <w:highlight w:val="none"/>
          <w:lang w:val="en-US" w:eastAsia="zh-CN"/>
        </w:rPr>
        <w:t>20</w:t>
      </w:r>
      <w:r>
        <w:rPr>
          <w:rFonts w:hint="eastAsia" w:ascii="宋体" w:hAnsi="宋体" w:eastAsia="宋体" w:cs="宋体"/>
          <w:i w:val="0"/>
          <w:iCs w:val="0"/>
          <w:color w:val="auto"/>
          <w:sz w:val="24"/>
          <w:szCs w:val="24"/>
          <w:highlight w:val="none"/>
        </w:rPr>
        <w:t>.1.2供应商撤回电子响应文件，则认为其不再参与本项目磋商活动。</w:t>
      </w:r>
    </w:p>
    <w:p w14:paraId="554F20E2">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i w:val="0"/>
          <w:iCs w:val="0"/>
          <w:color w:val="auto"/>
          <w:sz w:val="24"/>
          <w:szCs w:val="24"/>
          <w:highlight w:val="none"/>
        </w:rPr>
      </w:pPr>
      <w:r>
        <w:rPr>
          <w:rFonts w:hint="eastAsia" w:ascii="宋体" w:hAnsi="宋体" w:cs="宋体"/>
          <w:i w:val="0"/>
          <w:iCs w:val="0"/>
          <w:color w:val="auto"/>
          <w:sz w:val="24"/>
          <w:szCs w:val="24"/>
          <w:highlight w:val="none"/>
          <w:lang w:val="en-US" w:eastAsia="zh-CN"/>
        </w:rPr>
        <w:t>20</w:t>
      </w:r>
      <w:r>
        <w:rPr>
          <w:rFonts w:hint="eastAsia" w:ascii="宋体" w:hAnsi="宋体" w:eastAsia="宋体" w:cs="宋体"/>
          <w:i w:val="0"/>
          <w:iCs w:val="0"/>
          <w:color w:val="auto"/>
          <w:sz w:val="24"/>
          <w:szCs w:val="24"/>
          <w:highlight w:val="none"/>
        </w:rPr>
        <w:t>.2响应文件的修改</w:t>
      </w:r>
    </w:p>
    <w:p w14:paraId="45A18E10">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供应商可在</w:t>
      </w:r>
      <w:r>
        <w:rPr>
          <w:rFonts w:hint="eastAsia" w:ascii="宋体" w:hAnsi="宋体" w:eastAsia="宋体" w:cs="宋体"/>
          <w:bCs/>
          <w:i w:val="0"/>
          <w:iCs w:val="0"/>
          <w:color w:val="auto"/>
          <w:sz w:val="24"/>
          <w:szCs w:val="24"/>
          <w:highlight w:val="none"/>
        </w:rPr>
        <w:t>提交响应文件</w:t>
      </w:r>
      <w:r>
        <w:rPr>
          <w:rFonts w:hint="eastAsia" w:ascii="宋体" w:hAnsi="宋体" w:eastAsia="宋体" w:cs="宋体"/>
          <w:i w:val="0"/>
          <w:iCs w:val="0"/>
          <w:color w:val="auto"/>
          <w:sz w:val="24"/>
          <w:szCs w:val="24"/>
          <w:highlight w:val="none"/>
        </w:rPr>
        <w:t>截止时间前，对其电子响应文件进行修改，具体操作方法见《操作手册》。</w:t>
      </w:r>
    </w:p>
    <w:p w14:paraId="40D7EA55">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Cs/>
          <w:i w:val="0"/>
          <w:iCs w:val="0"/>
          <w:color w:val="auto"/>
          <w:sz w:val="24"/>
          <w:szCs w:val="24"/>
          <w:highlight w:val="none"/>
        </w:rPr>
      </w:pPr>
      <w:r>
        <w:rPr>
          <w:rFonts w:hint="eastAsia" w:ascii="宋体" w:hAnsi="宋体" w:cs="宋体"/>
          <w:i w:val="0"/>
          <w:iCs w:val="0"/>
          <w:color w:val="auto"/>
          <w:sz w:val="24"/>
          <w:szCs w:val="24"/>
          <w:highlight w:val="none"/>
          <w:lang w:val="en-US" w:eastAsia="zh-CN"/>
        </w:rPr>
        <w:t>20</w:t>
      </w:r>
      <w:r>
        <w:rPr>
          <w:rFonts w:hint="eastAsia" w:ascii="宋体" w:hAnsi="宋体" w:eastAsia="宋体" w:cs="宋体"/>
          <w:i w:val="0"/>
          <w:iCs w:val="0"/>
          <w:color w:val="auto"/>
          <w:sz w:val="24"/>
          <w:szCs w:val="24"/>
          <w:highlight w:val="none"/>
        </w:rPr>
        <w:t>.3</w:t>
      </w:r>
      <w:r>
        <w:rPr>
          <w:rFonts w:hint="eastAsia" w:ascii="宋体" w:hAnsi="宋体" w:eastAsia="宋体" w:cs="宋体"/>
          <w:bCs/>
          <w:i w:val="0"/>
          <w:iCs w:val="0"/>
          <w:color w:val="auto"/>
          <w:sz w:val="24"/>
          <w:szCs w:val="24"/>
          <w:highlight w:val="none"/>
        </w:rPr>
        <w:t xml:space="preserve"> 在提交响应文件截止时间之后，供应商不得对其电子响应文件作任何修改。</w:t>
      </w:r>
    </w:p>
    <w:p w14:paraId="3A0BFB52">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Cs/>
          <w:i w:val="0"/>
          <w:iCs w:val="0"/>
          <w:color w:val="auto"/>
          <w:sz w:val="24"/>
          <w:szCs w:val="24"/>
          <w:highlight w:val="none"/>
        </w:rPr>
      </w:pPr>
      <w:r>
        <w:rPr>
          <w:rFonts w:hint="eastAsia" w:ascii="宋体" w:hAnsi="宋体" w:cs="宋体"/>
          <w:i w:val="0"/>
          <w:iCs w:val="0"/>
          <w:color w:val="auto"/>
          <w:sz w:val="24"/>
          <w:szCs w:val="24"/>
          <w:highlight w:val="none"/>
          <w:lang w:val="en-US" w:eastAsia="zh-CN"/>
        </w:rPr>
        <w:t>20</w:t>
      </w:r>
      <w:r>
        <w:rPr>
          <w:rFonts w:hint="eastAsia" w:ascii="宋体" w:hAnsi="宋体" w:eastAsia="宋体" w:cs="宋体"/>
          <w:i w:val="0"/>
          <w:iCs w:val="0"/>
          <w:color w:val="auto"/>
          <w:sz w:val="24"/>
          <w:szCs w:val="24"/>
          <w:highlight w:val="none"/>
        </w:rPr>
        <w:t>.4</w:t>
      </w:r>
      <w:r>
        <w:rPr>
          <w:rFonts w:hint="eastAsia" w:ascii="宋体" w:hAnsi="宋体" w:eastAsia="宋体" w:cs="宋体"/>
          <w:bCs/>
          <w:i w:val="0"/>
          <w:iCs w:val="0"/>
          <w:color w:val="auto"/>
          <w:sz w:val="24"/>
          <w:szCs w:val="24"/>
          <w:highlight w:val="none"/>
        </w:rPr>
        <w:t xml:space="preserve"> 在提交响应文件截止时间至磋商文件中规定的磋商有效期满之间的这段时间内，供应商不得撤回其响应文件。</w:t>
      </w:r>
    </w:p>
    <w:p w14:paraId="1D13A53D">
      <w:pPr>
        <w:keepNext/>
        <w:keepLines/>
        <w:pageBreakBefore w:val="0"/>
        <w:widowControl w:val="0"/>
        <w:kinsoku/>
        <w:wordWrap/>
        <w:overflowPunct/>
        <w:topLinePunct w:val="0"/>
        <w:autoSpaceDE/>
        <w:autoSpaceDN/>
        <w:bidi w:val="0"/>
        <w:adjustRightInd w:val="0"/>
        <w:snapToGrid w:val="0"/>
        <w:spacing w:line="360" w:lineRule="auto"/>
        <w:ind w:firstLine="482" w:firstLineChars="200"/>
        <w:textAlignment w:val="auto"/>
        <w:outlineLvl w:val="2"/>
        <w:rPr>
          <w:rFonts w:hint="eastAsia" w:ascii="宋体" w:hAnsi="宋体" w:eastAsia="宋体" w:cs="宋体"/>
          <w:b/>
          <w:bCs/>
          <w:i w:val="0"/>
          <w:iCs w:val="0"/>
          <w:color w:val="auto"/>
          <w:sz w:val="24"/>
          <w:szCs w:val="24"/>
          <w:highlight w:val="none"/>
        </w:rPr>
      </w:pPr>
      <w:bookmarkStart w:id="118" w:name="_Toc120614218"/>
      <w:bookmarkStart w:id="119" w:name="_Toc513029229"/>
      <w:bookmarkStart w:id="120" w:name="_Toc16938545"/>
      <w:bookmarkStart w:id="121" w:name="_Toc20823301"/>
      <w:r>
        <w:rPr>
          <w:rFonts w:hint="eastAsia" w:ascii="宋体" w:hAnsi="宋体" w:eastAsia="宋体" w:cs="宋体"/>
          <w:b/>
          <w:bCs/>
          <w:i w:val="0"/>
          <w:iCs w:val="0"/>
          <w:color w:val="auto"/>
          <w:sz w:val="24"/>
          <w:szCs w:val="24"/>
          <w:highlight w:val="none"/>
        </w:rPr>
        <w:t>五、响应文件的解密与评审</w:t>
      </w:r>
      <w:bookmarkEnd w:id="118"/>
      <w:bookmarkEnd w:id="119"/>
      <w:bookmarkEnd w:id="120"/>
      <w:bookmarkEnd w:id="121"/>
    </w:p>
    <w:p w14:paraId="69DC4231">
      <w:pPr>
        <w:keepNext/>
        <w:keepLines/>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3"/>
        <w:rPr>
          <w:rFonts w:hint="eastAsia" w:ascii="宋体" w:hAnsi="宋体" w:eastAsia="宋体" w:cs="宋体"/>
          <w:i w:val="0"/>
          <w:iCs w:val="0"/>
          <w:color w:val="auto"/>
          <w:sz w:val="24"/>
          <w:szCs w:val="24"/>
          <w:highlight w:val="none"/>
        </w:rPr>
      </w:pPr>
      <w:bookmarkStart w:id="122" w:name="_Toc20823302"/>
      <w:bookmarkStart w:id="123" w:name="_Toc16938546"/>
      <w:bookmarkStart w:id="124" w:name="_Toc513029230"/>
      <w:r>
        <w:rPr>
          <w:rFonts w:hint="eastAsia" w:ascii="宋体" w:hAnsi="宋体" w:cs="宋体"/>
          <w:i w:val="0"/>
          <w:iCs w:val="0"/>
          <w:color w:val="auto"/>
          <w:sz w:val="24"/>
          <w:szCs w:val="24"/>
          <w:highlight w:val="none"/>
          <w:lang w:val="en-US" w:eastAsia="zh-CN"/>
        </w:rPr>
        <w:t>21</w:t>
      </w:r>
      <w:r>
        <w:rPr>
          <w:rFonts w:hint="eastAsia" w:ascii="宋体" w:hAnsi="宋体" w:eastAsia="宋体" w:cs="宋体"/>
          <w:i w:val="0"/>
          <w:iCs w:val="0"/>
          <w:color w:val="auto"/>
          <w:sz w:val="24"/>
          <w:szCs w:val="24"/>
          <w:highlight w:val="none"/>
        </w:rPr>
        <w:t>、</w:t>
      </w:r>
      <w:bookmarkEnd w:id="122"/>
      <w:bookmarkEnd w:id="123"/>
      <w:bookmarkEnd w:id="124"/>
      <w:r>
        <w:rPr>
          <w:rFonts w:hint="eastAsia" w:ascii="宋体" w:hAnsi="宋体" w:eastAsia="宋体" w:cs="宋体"/>
          <w:i w:val="0"/>
          <w:iCs w:val="0"/>
          <w:color w:val="auto"/>
          <w:sz w:val="24"/>
          <w:szCs w:val="24"/>
          <w:highlight w:val="none"/>
        </w:rPr>
        <w:t>响应文件解密</w:t>
      </w:r>
    </w:p>
    <w:p w14:paraId="71D3A534">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i w:val="0"/>
          <w:iCs w:val="0"/>
          <w:color w:val="auto"/>
          <w:sz w:val="24"/>
          <w:szCs w:val="24"/>
          <w:highlight w:val="none"/>
        </w:rPr>
      </w:pPr>
      <w:r>
        <w:rPr>
          <w:rFonts w:hint="eastAsia" w:ascii="宋体" w:hAnsi="宋体" w:cs="宋体"/>
          <w:i w:val="0"/>
          <w:iCs w:val="0"/>
          <w:color w:val="auto"/>
          <w:sz w:val="24"/>
          <w:szCs w:val="24"/>
          <w:highlight w:val="none"/>
          <w:lang w:val="en-US" w:eastAsia="zh-CN"/>
        </w:rPr>
        <w:t>21</w:t>
      </w:r>
      <w:r>
        <w:rPr>
          <w:rFonts w:hint="eastAsia" w:ascii="宋体" w:hAnsi="宋体" w:eastAsia="宋体" w:cs="宋体"/>
          <w:i w:val="0"/>
          <w:iCs w:val="0"/>
          <w:color w:val="auto"/>
          <w:sz w:val="24"/>
          <w:szCs w:val="24"/>
          <w:highlight w:val="none"/>
        </w:rPr>
        <w:t>.1供应商应当按照《操作手册》规定，在苏采云系统规定的时间内对磋商响应文件进行解密。</w:t>
      </w:r>
    </w:p>
    <w:p w14:paraId="38CC4027">
      <w:pPr>
        <w:keepNext/>
        <w:keepLines/>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3"/>
        <w:rPr>
          <w:rFonts w:hint="eastAsia" w:ascii="宋体" w:hAnsi="宋体" w:eastAsia="宋体" w:cs="宋体"/>
          <w:i w:val="0"/>
          <w:iCs w:val="0"/>
          <w:color w:val="auto"/>
          <w:sz w:val="24"/>
          <w:szCs w:val="24"/>
          <w:highlight w:val="none"/>
        </w:rPr>
      </w:pPr>
      <w:bookmarkStart w:id="125" w:name="_Toc513029231"/>
      <w:bookmarkStart w:id="126" w:name="_Toc16938547"/>
      <w:bookmarkStart w:id="127" w:name="_Toc20823303"/>
      <w:r>
        <w:rPr>
          <w:rFonts w:hint="eastAsia" w:ascii="宋体" w:hAnsi="宋体" w:cs="宋体"/>
          <w:i w:val="0"/>
          <w:iCs w:val="0"/>
          <w:color w:val="auto"/>
          <w:sz w:val="24"/>
          <w:szCs w:val="24"/>
          <w:highlight w:val="none"/>
          <w:lang w:val="en-US" w:eastAsia="zh-CN"/>
        </w:rPr>
        <w:t>22</w:t>
      </w:r>
      <w:r>
        <w:rPr>
          <w:rFonts w:hint="eastAsia" w:ascii="宋体" w:hAnsi="宋体" w:eastAsia="宋体" w:cs="宋体"/>
          <w:i w:val="0"/>
          <w:iCs w:val="0"/>
          <w:color w:val="auto"/>
          <w:sz w:val="24"/>
          <w:szCs w:val="24"/>
          <w:highlight w:val="none"/>
        </w:rPr>
        <w:t>、磋商小组</w:t>
      </w:r>
    </w:p>
    <w:p w14:paraId="7165854D">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i w:val="0"/>
          <w:iCs w:val="0"/>
          <w:color w:val="auto"/>
          <w:sz w:val="24"/>
          <w:szCs w:val="24"/>
          <w:highlight w:val="none"/>
        </w:rPr>
      </w:pPr>
      <w:r>
        <w:rPr>
          <w:rFonts w:hint="eastAsia" w:ascii="宋体" w:hAnsi="宋体" w:cs="宋体"/>
          <w:i w:val="0"/>
          <w:iCs w:val="0"/>
          <w:color w:val="auto"/>
          <w:sz w:val="24"/>
          <w:szCs w:val="24"/>
          <w:highlight w:val="none"/>
          <w:lang w:val="en-US" w:eastAsia="zh-CN"/>
        </w:rPr>
        <w:t>22</w:t>
      </w:r>
      <w:r>
        <w:rPr>
          <w:rFonts w:hint="eastAsia" w:ascii="宋体" w:hAnsi="宋体" w:eastAsia="宋体" w:cs="宋体"/>
          <w:i w:val="0"/>
          <w:iCs w:val="0"/>
          <w:color w:val="auto"/>
          <w:sz w:val="24"/>
          <w:szCs w:val="24"/>
          <w:highlight w:val="none"/>
        </w:rPr>
        <w:t>.1</w:t>
      </w:r>
      <w:r>
        <w:rPr>
          <w:rFonts w:hint="eastAsia" w:ascii="宋体" w:hAnsi="宋体" w:eastAsia="宋体" w:cs="宋体"/>
          <w:i w:val="0"/>
          <w:iCs w:val="0"/>
          <w:color w:val="auto"/>
          <w:sz w:val="24"/>
          <w:szCs w:val="24"/>
          <w:highlight w:val="none"/>
          <w:lang w:val="en-US" w:eastAsia="zh-CN"/>
        </w:rPr>
        <w:t>招标代理公司</w:t>
      </w:r>
      <w:r>
        <w:rPr>
          <w:rFonts w:hint="eastAsia" w:ascii="宋体" w:hAnsi="宋体" w:eastAsia="宋体" w:cs="宋体"/>
          <w:i w:val="0"/>
          <w:iCs w:val="0"/>
          <w:color w:val="auto"/>
          <w:sz w:val="24"/>
          <w:szCs w:val="24"/>
          <w:highlight w:val="none"/>
        </w:rPr>
        <w:t>将组织磋商小组对响应文件进行评审。磋商小组由采购人代表和有关技术、经济等方面的专家组成，且人员构成符合政府采购有关规定。</w:t>
      </w:r>
    </w:p>
    <w:p w14:paraId="036D7635">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i w:val="0"/>
          <w:iCs w:val="0"/>
          <w:color w:val="auto"/>
          <w:sz w:val="24"/>
          <w:szCs w:val="24"/>
          <w:highlight w:val="none"/>
        </w:rPr>
      </w:pPr>
      <w:r>
        <w:rPr>
          <w:rFonts w:hint="eastAsia" w:ascii="宋体" w:hAnsi="宋体" w:cs="宋体"/>
          <w:i w:val="0"/>
          <w:iCs w:val="0"/>
          <w:color w:val="auto"/>
          <w:sz w:val="24"/>
          <w:szCs w:val="24"/>
          <w:highlight w:val="none"/>
          <w:lang w:val="en-US" w:eastAsia="zh-CN"/>
        </w:rPr>
        <w:t>22</w:t>
      </w:r>
      <w:r>
        <w:rPr>
          <w:rFonts w:hint="eastAsia" w:ascii="宋体" w:hAnsi="宋体" w:eastAsia="宋体" w:cs="宋体"/>
          <w:i w:val="0"/>
          <w:iCs w:val="0"/>
          <w:color w:val="auto"/>
          <w:sz w:val="24"/>
          <w:szCs w:val="24"/>
          <w:highlight w:val="none"/>
        </w:rPr>
        <w:t>.2磋商小组独立工作，负责评审所有响应文件并确定成交侯选人。</w:t>
      </w:r>
    </w:p>
    <w:p w14:paraId="6726CF29">
      <w:pPr>
        <w:keepNext/>
        <w:keepLines/>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3"/>
        <w:rPr>
          <w:rFonts w:hint="eastAsia" w:ascii="宋体" w:hAnsi="宋体" w:eastAsia="宋体" w:cs="宋体"/>
          <w:i w:val="0"/>
          <w:iCs w:val="0"/>
          <w:color w:val="auto"/>
          <w:sz w:val="24"/>
          <w:szCs w:val="24"/>
          <w:highlight w:val="none"/>
        </w:rPr>
      </w:pPr>
      <w:r>
        <w:rPr>
          <w:rFonts w:hint="eastAsia" w:ascii="宋体" w:hAnsi="宋体" w:cs="宋体"/>
          <w:i w:val="0"/>
          <w:iCs w:val="0"/>
          <w:color w:val="auto"/>
          <w:sz w:val="24"/>
          <w:szCs w:val="24"/>
          <w:highlight w:val="none"/>
          <w:lang w:val="en-US" w:eastAsia="zh-CN"/>
        </w:rPr>
        <w:t>23</w:t>
      </w:r>
      <w:r>
        <w:rPr>
          <w:rFonts w:hint="eastAsia" w:ascii="宋体" w:hAnsi="宋体" w:eastAsia="宋体" w:cs="宋体"/>
          <w:i w:val="0"/>
          <w:iCs w:val="0"/>
          <w:color w:val="auto"/>
          <w:sz w:val="24"/>
          <w:szCs w:val="24"/>
          <w:highlight w:val="none"/>
        </w:rPr>
        <w:t>、评审过程的保密与公正</w:t>
      </w:r>
      <w:bookmarkEnd w:id="125"/>
      <w:bookmarkEnd w:id="126"/>
      <w:bookmarkEnd w:id="127"/>
    </w:p>
    <w:p w14:paraId="55E29EC3">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Cs/>
          <w:i w:val="0"/>
          <w:iCs w:val="0"/>
          <w:color w:val="auto"/>
          <w:sz w:val="24"/>
          <w:szCs w:val="24"/>
          <w:highlight w:val="none"/>
        </w:rPr>
      </w:pPr>
      <w:r>
        <w:rPr>
          <w:rFonts w:hint="eastAsia" w:ascii="宋体" w:hAnsi="宋体" w:eastAsia="宋体" w:cs="宋体"/>
          <w:i w:val="0"/>
          <w:iCs w:val="0"/>
          <w:color w:val="auto"/>
          <w:sz w:val="24"/>
          <w:szCs w:val="24"/>
          <w:highlight w:val="none"/>
        </w:rPr>
        <w:t>2</w:t>
      </w:r>
      <w:r>
        <w:rPr>
          <w:rFonts w:hint="eastAsia" w:ascii="宋体" w:hAnsi="宋体" w:cs="宋体"/>
          <w:i w:val="0"/>
          <w:iCs w:val="0"/>
          <w:color w:val="auto"/>
          <w:sz w:val="24"/>
          <w:szCs w:val="24"/>
          <w:highlight w:val="none"/>
          <w:lang w:val="en-US" w:eastAsia="zh-CN"/>
        </w:rPr>
        <w:t>3</w:t>
      </w:r>
      <w:r>
        <w:rPr>
          <w:rFonts w:hint="eastAsia" w:ascii="宋体" w:hAnsi="宋体" w:eastAsia="宋体" w:cs="宋体"/>
          <w:i w:val="0"/>
          <w:iCs w:val="0"/>
          <w:color w:val="auto"/>
          <w:sz w:val="24"/>
          <w:szCs w:val="24"/>
          <w:highlight w:val="none"/>
        </w:rPr>
        <w:t>.1</w:t>
      </w:r>
      <w:r>
        <w:rPr>
          <w:rFonts w:hint="eastAsia" w:ascii="宋体" w:hAnsi="宋体" w:eastAsia="宋体" w:cs="宋体"/>
          <w:bCs/>
          <w:i w:val="0"/>
          <w:iCs w:val="0"/>
          <w:color w:val="auto"/>
          <w:sz w:val="24"/>
          <w:szCs w:val="24"/>
          <w:highlight w:val="none"/>
        </w:rPr>
        <w:t>磋商小组、采购人和</w:t>
      </w:r>
      <w:r>
        <w:rPr>
          <w:rFonts w:hint="eastAsia" w:ascii="宋体" w:hAnsi="宋体" w:eastAsia="宋体" w:cs="宋体"/>
          <w:bCs/>
          <w:i w:val="0"/>
          <w:iCs w:val="0"/>
          <w:color w:val="auto"/>
          <w:sz w:val="24"/>
          <w:szCs w:val="24"/>
          <w:highlight w:val="none"/>
          <w:lang w:eastAsia="zh-CN"/>
        </w:rPr>
        <w:t>招标代理公司</w:t>
      </w:r>
      <w:r>
        <w:rPr>
          <w:rFonts w:hint="eastAsia" w:ascii="宋体" w:hAnsi="宋体" w:eastAsia="宋体" w:cs="宋体"/>
          <w:bCs/>
          <w:i w:val="0"/>
          <w:iCs w:val="0"/>
          <w:color w:val="auto"/>
          <w:sz w:val="24"/>
          <w:szCs w:val="24"/>
          <w:highlight w:val="none"/>
        </w:rPr>
        <w:t>工作人员、相关监督人员等与评审工作有关的人员，对评审情况以及在评审过程中获悉的国家秘密、商业秘密负有保密责任。</w:t>
      </w:r>
    </w:p>
    <w:p w14:paraId="2BE87A28">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w:t>
      </w:r>
      <w:r>
        <w:rPr>
          <w:rFonts w:hint="eastAsia" w:ascii="宋体" w:hAnsi="宋体" w:cs="宋体"/>
          <w:i w:val="0"/>
          <w:iCs w:val="0"/>
          <w:color w:val="auto"/>
          <w:sz w:val="24"/>
          <w:szCs w:val="24"/>
          <w:highlight w:val="none"/>
          <w:lang w:val="en-US" w:eastAsia="zh-CN"/>
        </w:rPr>
        <w:t>3</w:t>
      </w:r>
      <w:r>
        <w:rPr>
          <w:rFonts w:hint="eastAsia" w:ascii="宋体" w:hAnsi="宋体" w:eastAsia="宋体" w:cs="宋体"/>
          <w:i w:val="0"/>
          <w:iCs w:val="0"/>
          <w:color w:val="auto"/>
          <w:sz w:val="24"/>
          <w:szCs w:val="24"/>
          <w:highlight w:val="none"/>
        </w:rPr>
        <w:t>.2在评审过程中，供应商不得以任何行为影响磋商评审过程，否则其响应文件将被作为无效响应文件。</w:t>
      </w:r>
    </w:p>
    <w:p w14:paraId="691B2EA4">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w:t>
      </w:r>
      <w:r>
        <w:rPr>
          <w:rFonts w:hint="eastAsia" w:ascii="宋体" w:hAnsi="宋体" w:cs="宋体"/>
          <w:i w:val="0"/>
          <w:iCs w:val="0"/>
          <w:color w:val="auto"/>
          <w:sz w:val="24"/>
          <w:szCs w:val="24"/>
          <w:highlight w:val="none"/>
          <w:lang w:val="en-US" w:eastAsia="zh-CN"/>
        </w:rPr>
        <w:t>3</w:t>
      </w:r>
      <w:r>
        <w:rPr>
          <w:rFonts w:hint="eastAsia" w:ascii="宋体" w:hAnsi="宋体" w:eastAsia="宋体" w:cs="宋体"/>
          <w:i w:val="0"/>
          <w:iCs w:val="0"/>
          <w:color w:val="auto"/>
          <w:sz w:val="24"/>
          <w:szCs w:val="24"/>
          <w:highlight w:val="none"/>
        </w:rPr>
        <w:t>.3在项目评审期间，</w:t>
      </w:r>
      <w:r>
        <w:rPr>
          <w:rFonts w:hint="eastAsia" w:ascii="宋体" w:hAnsi="宋体" w:eastAsia="宋体" w:cs="宋体"/>
          <w:i w:val="0"/>
          <w:iCs w:val="0"/>
          <w:color w:val="auto"/>
          <w:sz w:val="24"/>
          <w:szCs w:val="24"/>
          <w:highlight w:val="none"/>
          <w:lang w:eastAsia="zh-CN"/>
        </w:rPr>
        <w:t>招标代理公司</w:t>
      </w:r>
      <w:r>
        <w:rPr>
          <w:rFonts w:hint="eastAsia" w:ascii="宋体" w:hAnsi="宋体" w:eastAsia="宋体" w:cs="宋体"/>
          <w:i w:val="0"/>
          <w:iCs w:val="0"/>
          <w:color w:val="auto"/>
          <w:sz w:val="24"/>
          <w:szCs w:val="24"/>
          <w:highlight w:val="none"/>
        </w:rPr>
        <w:t>将设专门人员与供应商联系。</w:t>
      </w:r>
    </w:p>
    <w:p w14:paraId="13FB5741">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w:t>
      </w:r>
      <w:r>
        <w:rPr>
          <w:rFonts w:hint="eastAsia" w:ascii="宋体" w:hAnsi="宋体" w:cs="宋体"/>
          <w:i w:val="0"/>
          <w:iCs w:val="0"/>
          <w:color w:val="auto"/>
          <w:sz w:val="24"/>
          <w:szCs w:val="24"/>
          <w:highlight w:val="none"/>
          <w:lang w:val="en-US" w:eastAsia="zh-CN"/>
        </w:rPr>
        <w:t>3</w:t>
      </w:r>
      <w:r>
        <w:rPr>
          <w:rFonts w:hint="eastAsia" w:ascii="宋体" w:hAnsi="宋体" w:eastAsia="宋体" w:cs="宋体"/>
          <w:i w:val="0"/>
          <w:iCs w:val="0"/>
          <w:color w:val="auto"/>
          <w:sz w:val="24"/>
          <w:szCs w:val="24"/>
          <w:highlight w:val="none"/>
        </w:rPr>
        <w:t xml:space="preserve">.4 </w:t>
      </w:r>
      <w:r>
        <w:rPr>
          <w:rFonts w:hint="eastAsia" w:ascii="宋体" w:hAnsi="宋体" w:eastAsia="宋体" w:cs="宋体"/>
          <w:i w:val="0"/>
          <w:iCs w:val="0"/>
          <w:color w:val="auto"/>
          <w:sz w:val="24"/>
          <w:szCs w:val="24"/>
          <w:highlight w:val="none"/>
          <w:lang w:eastAsia="zh-CN"/>
        </w:rPr>
        <w:t>招标代理公司</w:t>
      </w:r>
      <w:r>
        <w:rPr>
          <w:rFonts w:hint="eastAsia" w:ascii="宋体" w:hAnsi="宋体" w:eastAsia="宋体" w:cs="宋体"/>
          <w:i w:val="0"/>
          <w:iCs w:val="0"/>
          <w:color w:val="auto"/>
          <w:sz w:val="24"/>
          <w:szCs w:val="24"/>
          <w:highlight w:val="none"/>
        </w:rPr>
        <w:t>和磋商小组不向未成交的供应商解释未成交原因，也不公布评审过程中的相关细节。</w:t>
      </w:r>
    </w:p>
    <w:p w14:paraId="7F614814">
      <w:pPr>
        <w:keepNext/>
        <w:keepLines/>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3"/>
        <w:rPr>
          <w:rFonts w:hint="eastAsia" w:ascii="宋体" w:hAnsi="宋体" w:eastAsia="宋体" w:cs="宋体"/>
          <w:i w:val="0"/>
          <w:iCs w:val="0"/>
          <w:color w:val="auto"/>
          <w:sz w:val="24"/>
          <w:szCs w:val="24"/>
          <w:highlight w:val="none"/>
        </w:rPr>
      </w:pPr>
      <w:bookmarkStart w:id="128" w:name="_Toc513029232"/>
      <w:bookmarkStart w:id="129" w:name="_Toc20823304"/>
      <w:bookmarkStart w:id="130" w:name="_Toc16938548"/>
      <w:r>
        <w:rPr>
          <w:rFonts w:hint="eastAsia" w:ascii="宋体" w:hAnsi="宋体" w:eastAsia="宋体" w:cs="宋体"/>
          <w:i w:val="0"/>
          <w:iCs w:val="0"/>
          <w:color w:val="auto"/>
          <w:sz w:val="24"/>
          <w:szCs w:val="24"/>
          <w:highlight w:val="none"/>
        </w:rPr>
        <w:t>2</w:t>
      </w:r>
      <w:r>
        <w:rPr>
          <w:rFonts w:hint="eastAsia" w:ascii="宋体" w:hAnsi="宋体" w:cs="宋体"/>
          <w:i w:val="0"/>
          <w:iCs w:val="0"/>
          <w:color w:val="auto"/>
          <w:sz w:val="24"/>
          <w:szCs w:val="24"/>
          <w:highlight w:val="none"/>
          <w:lang w:val="en-US" w:eastAsia="zh-CN"/>
        </w:rPr>
        <w:t>4</w:t>
      </w:r>
      <w:r>
        <w:rPr>
          <w:rFonts w:hint="eastAsia" w:ascii="宋体" w:hAnsi="宋体" w:eastAsia="宋体" w:cs="宋体"/>
          <w:i w:val="0"/>
          <w:iCs w:val="0"/>
          <w:color w:val="auto"/>
          <w:sz w:val="24"/>
          <w:szCs w:val="24"/>
          <w:highlight w:val="none"/>
        </w:rPr>
        <w:t>、评审过程中的的澄清</w:t>
      </w:r>
      <w:bookmarkEnd w:id="128"/>
      <w:bookmarkEnd w:id="129"/>
      <w:bookmarkEnd w:id="130"/>
    </w:p>
    <w:p w14:paraId="6163FC95">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w:t>
      </w:r>
      <w:r>
        <w:rPr>
          <w:rFonts w:hint="eastAsia" w:ascii="宋体" w:hAnsi="宋体" w:cs="宋体"/>
          <w:i w:val="0"/>
          <w:iCs w:val="0"/>
          <w:color w:val="auto"/>
          <w:sz w:val="24"/>
          <w:szCs w:val="24"/>
          <w:highlight w:val="none"/>
          <w:lang w:val="en-US" w:eastAsia="zh-CN"/>
        </w:rPr>
        <w:t>4</w:t>
      </w:r>
      <w:r>
        <w:rPr>
          <w:rFonts w:hint="eastAsia" w:ascii="宋体" w:hAnsi="宋体" w:eastAsia="宋体" w:cs="宋体"/>
          <w:i w:val="0"/>
          <w:iCs w:val="0"/>
          <w:color w:val="auto"/>
          <w:sz w:val="24"/>
          <w:szCs w:val="24"/>
          <w:highlight w:val="none"/>
        </w:rPr>
        <w:t>.1项目评审期间，磋商小组有权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27831BCA">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磋商小组并非对每个供应商都作澄清要求。</w:t>
      </w:r>
    </w:p>
    <w:p w14:paraId="17874241">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w:t>
      </w:r>
      <w:r>
        <w:rPr>
          <w:rFonts w:hint="eastAsia" w:ascii="宋体" w:hAnsi="宋体" w:cs="宋体"/>
          <w:i w:val="0"/>
          <w:iCs w:val="0"/>
          <w:color w:val="auto"/>
          <w:sz w:val="24"/>
          <w:szCs w:val="24"/>
          <w:highlight w:val="none"/>
          <w:lang w:val="en-US" w:eastAsia="zh-CN"/>
        </w:rPr>
        <w:t>4</w:t>
      </w:r>
      <w:r>
        <w:rPr>
          <w:rFonts w:hint="eastAsia" w:ascii="宋体" w:hAnsi="宋体" w:eastAsia="宋体" w:cs="宋体"/>
          <w:i w:val="0"/>
          <w:iCs w:val="0"/>
          <w:color w:val="auto"/>
          <w:sz w:val="24"/>
          <w:szCs w:val="24"/>
          <w:highlight w:val="none"/>
        </w:rPr>
        <w:t>.2需要供应商进行澄清、说明和更正的，磋商小组将通过苏采云系统向供应商发布“澄清要求函”，接到“澄清要求函”的供应商应当按照要求在苏采云系统中提交“澄清响应函”并加盖CA电子公章。澄清、说明和更正的内容作为响应文件的补充部分，具体操作方式见《操作手册》。</w:t>
      </w:r>
    </w:p>
    <w:p w14:paraId="56B14753">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w:t>
      </w:r>
      <w:r>
        <w:rPr>
          <w:rFonts w:hint="eastAsia" w:ascii="宋体" w:hAnsi="宋体" w:cs="宋体"/>
          <w:i w:val="0"/>
          <w:iCs w:val="0"/>
          <w:color w:val="auto"/>
          <w:sz w:val="24"/>
          <w:szCs w:val="24"/>
          <w:highlight w:val="none"/>
          <w:lang w:val="en-US" w:eastAsia="zh-CN"/>
        </w:rPr>
        <w:t>4</w:t>
      </w:r>
      <w:r>
        <w:rPr>
          <w:rFonts w:hint="eastAsia" w:ascii="宋体" w:hAnsi="宋体" w:eastAsia="宋体" w:cs="宋体"/>
          <w:i w:val="0"/>
          <w:iCs w:val="0"/>
          <w:color w:val="auto"/>
          <w:sz w:val="24"/>
          <w:szCs w:val="24"/>
          <w:highlight w:val="none"/>
        </w:rPr>
        <w:t>.3 接到磋商小组澄清、说明和更正要求的供应商如未按规定做出澄清、说明和 更正，其风险由供应商自行承担。</w:t>
      </w:r>
    </w:p>
    <w:p w14:paraId="6CBC7A14">
      <w:pPr>
        <w:keepNext/>
        <w:keepLines/>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3"/>
        <w:rPr>
          <w:rFonts w:hint="eastAsia" w:ascii="宋体" w:hAnsi="宋体" w:eastAsia="宋体" w:cs="宋体"/>
          <w:i w:val="0"/>
          <w:iCs w:val="0"/>
          <w:color w:val="auto"/>
          <w:sz w:val="24"/>
          <w:szCs w:val="24"/>
          <w:highlight w:val="none"/>
        </w:rPr>
      </w:pPr>
      <w:bookmarkStart w:id="131" w:name="_Toc16938549"/>
      <w:bookmarkStart w:id="132" w:name="_Toc513029233"/>
      <w:bookmarkStart w:id="133" w:name="_Toc20823305"/>
      <w:r>
        <w:rPr>
          <w:rFonts w:hint="eastAsia" w:ascii="宋体" w:hAnsi="宋体" w:cs="宋体"/>
          <w:i w:val="0"/>
          <w:iCs w:val="0"/>
          <w:color w:val="auto"/>
          <w:sz w:val="24"/>
          <w:szCs w:val="24"/>
          <w:highlight w:val="none"/>
          <w:lang w:val="en-US" w:eastAsia="zh-CN"/>
        </w:rPr>
        <w:t>25</w:t>
      </w:r>
      <w:r>
        <w:rPr>
          <w:rFonts w:hint="eastAsia" w:ascii="宋体" w:hAnsi="宋体" w:eastAsia="宋体" w:cs="宋体"/>
          <w:i w:val="0"/>
          <w:iCs w:val="0"/>
          <w:color w:val="auto"/>
          <w:sz w:val="24"/>
          <w:szCs w:val="24"/>
          <w:highlight w:val="none"/>
        </w:rPr>
        <w:t>、对响应文件的审</w:t>
      </w:r>
      <w:bookmarkEnd w:id="131"/>
      <w:bookmarkEnd w:id="132"/>
      <w:bookmarkEnd w:id="133"/>
      <w:r>
        <w:rPr>
          <w:rFonts w:hint="eastAsia" w:ascii="宋体" w:hAnsi="宋体" w:eastAsia="宋体" w:cs="宋体"/>
          <w:i w:val="0"/>
          <w:iCs w:val="0"/>
          <w:color w:val="auto"/>
          <w:sz w:val="24"/>
          <w:szCs w:val="24"/>
          <w:highlight w:val="none"/>
        </w:rPr>
        <w:t>查</w:t>
      </w:r>
    </w:p>
    <w:p w14:paraId="17BC2DAE">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Cs/>
          <w:i w:val="0"/>
          <w:iCs w:val="0"/>
          <w:color w:val="auto"/>
          <w:sz w:val="24"/>
          <w:szCs w:val="24"/>
          <w:highlight w:val="none"/>
        </w:rPr>
      </w:pPr>
      <w:r>
        <w:rPr>
          <w:rFonts w:hint="eastAsia" w:ascii="宋体" w:hAnsi="宋体" w:eastAsia="宋体" w:cs="宋体"/>
          <w:i w:val="0"/>
          <w:iCs w:val="0"/>
          <w:color w:val="auto"/>
          <w:sz w:val="24"/>
          <w:szCs w:val="24"/>
          <w:highlight w:val="none"/>
        </w:rPr>
        <w:t>2</w:t>
      </w:r>
      <w:r>
        <w:rPr>
          <w:rFonts w:hint="eastAsia" w:ascii="宋体" w:hAnsi="宋体" w:cs="宋体"/>
          <w:i w:val="0"/>
          <w:iCs w:val="0"/>
          <w:color w:val="auto"/>
          <w:sz w:val="24"/>
          <w:szCs w:val="24"/>
          <w:highlight w:val="none"/>
          <w:lang w:val="en-US" w:eastAsia="zh-CN"/>
        </w:rPr>
        <w:t>5</w:t>
      </w:r>
      <w:r>
        <w:rPr>
          <w:rFonts w:hint="eastAsia" w:ascii="宋体" w:hAnsi="宋体" w:eastAsia="宋体" w:cs="宋体"/>
          <w:i w:val="0"/>
          <w:iCs w:val="0"/>
          <w:color w:val="auto"/>
          <w:sz w:val="24"/>
          <w:szCs w:val="24"/>
          <w:highlight w:val="none"/>
        </w:rPr>
        <w:t>.1</w:t>
      </w:r>
      <w:r>
        <w:rPr>
          <w:rFonts w:hint="eastAsia" w:ascii="宋体" w:hAnsi="宋体" w:eastAsia="宋体" w:cs="宋体"/>
          <w:bCs/>
          <w:i w:val="0"/>
          <w:iCs w:val="0"/>
          <w:color w:val="auto"/>
          <w:sz w:val="24"/>
          <w:szCs w:val="24"/>
          <w:highlight w:val="none"/>
        </w:rPr>
        <w:t>响应文件审查分为资格审查和符合性审查。</w:t>
      </w:r>
    </w:p>
    <w:p w14:paraId="76FFF5D1">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Cs/>
          <w:i w:val="0"/>
          <w:iCs w:val="0"/>
          <w:color w:val="auto"/>
          <w:sz w:val="24"/>
          <w:szCs w:val="24"/>
          <w:highlight w:val="none"/>
        </w:rPr>
      </w:pPr>
      <w:r>
        <w:rPr>
          <w:rFonts w:hint="eastAsia" w:ascii="宋体" w:hAnsi="宋体" w:eastAsia="宋体" w:cs="宋体"/>
          <w:bCs/>
          <w:i w:val="0"/>
          <w:iCs w:val="0"/>
          <w:color w:val="auto"/>
          <w:sz w:val="24"/>
          <w:szCs w:val="24"/>
          <w:highlight w:val="none"/>
        </w:rPr>
        <w:t>2</w:t>
      </w:r>
      <w:r>
        <w:rPr>
          <w:rFonts w:hint="eastAsia" w:ascii="宋体" w:hAnsi="宋体" w:cs="宋体"/>
          <w:bCs/>
          <w:i w:val="0"/>
          <w:iCs w:val="0"/>
          <w:color w:val="auto"/>
          <w:sz w:val="24"/>
          <w:szCs w:val="24"/>
          <w:highlight w:val="none"/>
          <w:lang w:val="en-US" w:eastAsia="zh-CN"/>
        </w:rPr>
        <w:t>5</w:t>
      </w:r>
      <w:r>
        <w:rPr>
          <w:rFonts w:hint="eastAsia" w:ascii="宋体" w:hAnsi="宋体" w:eastAsia="宋体" w:cs="宋体"/>
          <w:bCs/>
          <w:i w:val="0"/>
          <w:iCs w:val="0"/>
          <w:color w:val="auto"/>
          <w:sz w:val="24"/>
          <w:szCs w:val="24"/>
          <w:highlight w:val="none"/>
        </w:rPr>
        <w:t>.1.1 资格审查：由磋商小组依据法律法规和磋商文件的规定，对响应文件中的资格证明文件进行审查，以确定供应商是否具备参加磋商的资格。</w:t>
      </w:r>
    </w:p>
    <w:p w14:paraId="746F3E7F">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Cs/>
          <w:i w:val="0"/>
          <w:iCs w:val="0"/>
          <w:color w:val="auto"/>
          <w:sz w:val="24"/>
          <w:szCs w:val="24"/>
          <w:highlight w:val="none"/>
        </w:rPr>
      </w:pPr>
      <w:r>
        <w:rPr>
          <w:rFonts w:hint="eastAsia" w:ascii="宋体" w:hAnsi="宋体" w:eastAsia="宋体" w:cs="宋体"/>
          <w:bCs/>
          <w:i w:val="0"/>
          <w:iCs w:val="0"/>
          <w:color w:val="auto"/>
          <w:sz w:val="24"/>
          <w:szCs w:val="24"/>
          <w:highlight w:val="none"/>
        </w:rPr>
        <w:t>磋商小组在进行资格审查的同时，将在“信用中国”网站（www.creditchina.gov.cn）查询供应商的信用记录，以确定供应商是否具备磋商资格,查询结果留存并归档。</w:t>
      </w:r>
    </w:p>
    <w:p w14:paraId="62C6F74C">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Cs/>
          <w:i w:val="0"/>
          <w:iCs w:val="0"/>
          <w:color w:val="auto"/>
          <w:sz w:val="24"/>
          <w:szCs w:val="24"/>
          <w:highlight w:val="none"/>
        </w:rPr>
      </w:pPr>
      <w:r>
        <w:rPr>
          <w:rFonts w:hint="eastAsia" w:ascii="宋体" w:hAnsi="宋体" w:eastAsia="宋体" w:cs="宋体"/>
          <w:bCs/>
          <w:i w:val="0"/>
          <w:iCs w:val="0"/>
          <w:color w:val="auto"/>
          <w:sz w:val="24"/>
          <w:szCs w:val="24"/>
          <w:highlight w:val="none"/>
        </w:rPr>
        <w:t>接受联合体的项目，两个以上的自然人、法人或者其他组织组成一个联合体，以一个供应商的身份共同参加政府采购活动的,联合体成员中任何一方存在不良信用记录的，视同联合体存在不良应用记录。</w:t>
      </w:r>
    </w:p>
    <w:p w14:paraId="6074BD97">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Cs/>
          <w:i w:val="0"/>
          <w:iCs w:val="0"/>
          <w:color w:val="auto"/>
          <w:sz w:val="24"/>
          <w:szCs w:val="24"/>
          <w:highlight w:val="none"/>
        </w:rPr>
      </w:pPr>
      <w:r>
        <w:rPr>
          <w:rFonts w:hint="eastAsia" w:ascii="宋体" w:hAnsi="宋体" w:eastAsia="宋体" w:cs="宋体"/>
          <w:bCs/>
          <w:i w:val="0"/>
          <w:iCs w:val="0"/>
          <w:color w:val="auto"/>
          <w:sz w:val="24"/>
          <w:szCs w:val="24"/>
          <w:highlight w:val="none"/>
        </w:rPr>
        <w:t>2</w:t>
      </w:r>
      <w:r>
        <w:rPr>
          <w:rFonts w:hint="eastAsia" w:ascii="宋体" w:hAnsi="宋体" w:cs="宋体"/>
          <w:bCs/>
          <w:i w:val="0"/>
          <w:iCs w:val="0"/>
          <w:color w:val="auto"/>
          <w:sz w:val="24"/>
          <w:szCs w:val="24"/>
          <w:highlight w:val="none"/>
          <w:lang w:val="en-US" w:eastAsia="zh-CN"/>
        </w:rPr>
        <w:t>5</w:t>
      </w:r>
      <w:r>
        <w:rPr>
          <w:rFonts w:hint="eastAsia" w:ascii="宋体" w:hAnsi="宋体" w:eastAsia="宋体" w:cs="宋体"/>
          <w:bCs/>
          <w:i w:val="0"/>
          <w:iCs w:val="0"/>
          <w:color w:val="auto"/>
          <w:sz w:val="24"/>
          <w:szCs w:val="24"/>
          <w:highlight w:val="none"/>
        </w:rPr>
        <w:t>.1.2 符合性审查：依据磋商文件的规定，由磋商小组从响应文件的有效性、完整性和对磋商文件的响应程度进行审查，以确定是否对磋商文件的实质性要求作出响应。</w:t>
      </w:r>
    </w:p>
    <w:p w14:paraId="42B5BC4F">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Cs/>
          <w:i w:val="0"/>
          <w:iCs w:val="0"/>
          <w:color w:val="auto"/>
          <w:sz w:val="24"/>
          <w:szCs w:val="24"/>
          <w:highlight w:val="none"/>
        </w:rPr>
      </w:pPr>
      <w:r>
        <w:rPr>
          <w:rFonts w:hint="eastAsia" w:ascii="宋体" w:hAnsi="宋体" w:eastAsia="宋体" w:cs="宋体"/>
          <w:bCs/>
          <w:i w:val="0"/>
          <w:iCs w:val="0"/>
          <w:color w:val="auto"/>
          <w:sz w:val="24"/>
          <w:szCs w:val="24"/>
          <w:highlight w:val="none"/>
        </w:rPr>
        <w:t>2</w:t>
      </w:r>
      <w:r>
        <w:rPr>
          <w:rFonts w:hint="eastAsia" w:ascii="宋体" w:hAnsi="宋体" w:cs="宋体"/>
          <w:bCs/>
          <w:i w:val="0"/>
          <w:iCs w:val="0"/>
          <w:color w:val="auto"/>
          <w:sz w:val="24"/>
          <w:szCs w:val="24"/>
          <w:highlight w:val="none"/>
          <w:lang w:val="en-US" w:eastAsia="zh-CN"/>
        </w:rPr>
        <w:t>5</w:t>
      </w:r>
      <w:r>
        <w:rPr>
          <w:rFonts w:hint="eastAsia" w:ascii="宋体" w:hAnsi="宋体" w:eastAsia="宋体" w:cs="宋体"/>
          <w:bCs/>
          <w:i w:val="0"/>
          <w:iCs w:val="0"/>
          <w:color w:val="auto"/>
          <w:sz w:val="24"/>
          <w:szCs w:val="24"/>
          <w:highlight w:val="none"/>
        </w:rPr>
        <w:t>.1.3 未通过资格审查或符合性审查的供应商，磋商小组将在</w:t>
      </w:r>
      <w:r>
        <w:rPr>
          <w:rFonts w:hint="eastAsia" w:ascii="宋体" w:hAnsi="宋体" w:eastAsia="宋体" w:cs="宋体"/>
          <w:i w:val="0"/>
          <w:iCs w:val="0"/>
          <w:color w:val="auto"/>
          <w:sz w:val="24"/>
          <w:szCs w:val="24"/>
          <w:highlight w:val="none"/>
        </w:rPr>
        <w:t>苏采云系统</w:t>
      </w:r>
      <w:r>
        <w:rPr>
          <w:rFonts w:hint="eastAsia" w:ascii="宋体" w:hAnsi="宋体" w:eastAsia="宋体" w:cs="宋体"/>
          <w:bCs/>
          <w:i w:val="0"/>
          <w:iCs w:val="0"/>
          <w:color w:val="auto"/>
          <w:sz w:val="24"/>
          <w:szCs w:val="24"/>
          <w:highlight w:val="none"/>
        </w:rPr>
        <w:t>中告知未通过资格审查或符合性审查的原因，评审结束后，磋商小组将不再告知未通过资格审查或符合性审查的原因。</w:t>
      </w:r>
    </w:p>
    <w:p w14:paraId="16ED3CCD">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w:t>
      </w:r>
      <w:r>
        <w:rPr>
          <w:rFonts w:hint="eastAsia" w:ascii="宋体" w:hAnsi="宋体" w:cs="宋体"/>
          <w:i w:val="0"/>
          <w:iCs w:val="0"/>
          <w:color w:val="auto"/>
          <w:sz w:val="24"/>
          <w:szCs w:val="24"/>
          <w:highlight w:val="none"/>
          <w:lang w:val="en-US" w:eastAsia="zh-CN"/>
        </w:rPr>
        <w:t>5</w:t>
      </w:r>
      <w:r>
        <w:rPr>
          <w:rFonts w:hint="eastAsia" w:ascii="宋体" w:hAnsi="宋体" w:eastAsia="宋体" w:cs="宋体"/>
          <w:i w:val="0"/>
          <w:iCs w:val="0"/>
          <w:color w:val="auto"/>
          <w:sz w:val="24"/>
          <w:szCs w:val="24"/>
          <w:highlight w:val="none"/>
        </w:rPr>
        <w:t>.2在详细评审之前，磋商小组将首先审查每份响应文件是否实质性响应了磋商文件的要求。实质性响应的响应文件应该是与磋商文件要求的条款、条件和规格相符，没有重大偏离或保留。</w:t>
      </w:r>
    </w:p>
    <w:p w14:paraId="7A24A127">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所谓重大偏离或保留是指与磋商文件规定的实质性要求存在负偏离，或者在实质上与磋商文件不一致，而且限制了合同中买方和</w:t>
      </w:r>
      <w:r>
        <w:rPr>
          <w:rFonts w:hint="eastAsia" w:ascii="宋体" w:hAnsi="宋体" w:eastAsia="宋体" w:cs="宋体"/>
          <w:i w:val="0"/>
          <w:iCs w:val="0"/>
          <w:color w:val="auto"/>
          <w:sz w:val="24"/>
          <w:szCs w:val="24"/>
          <w:highlight w:val="none"/>
          <w:lang w:eastAsia="zh-CN"/>
        </w:rPr>
        <w:t>招标代理公司</w:t>
      </w:r>
      <w:r>
        <w:rPr>
          <w:rFonts w:hint="eastAsia" w:ascii="宋体" w:hAnsi="宋体" w:eastAsia="宋体" w:cs="宋体"/>
          <w:i w:val="0"/>
          <w:iCs w:val="0"/>
          <w:color w:val="auto"/>
          <w:sz w:val="24"/>
          <w:szCs w:val="24"/>
          <w:highlight w:val="none"/>
        </w:rPr>
        <w:t>的权利或供应商的义务，纠正这些偏离或保留将会对其他实质性响应要求的供应商的竞争地位产生不公正的影响。重大偏离由磋商小组按照少数服从多数的原则认定。磋商小组决定响应文件的响应性只根据响应文件本身的内容，而不寻求外部的证据。</w:t>
      </w:r>
    </w:p>
    <w:p w14:paraId="38AE00A2">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Cs/>
          <w:i w:val="0"/>
          <w:iCs w:val="0"/>
          <w:color w:val="auto"/>
          <w:sz w:val="24"/>
          <w:szCs w:val="24"/>
          <w:highlight w:val="none"/>
        </w:rPr>
      </w:pPr>
      <w:r>
        <w:rPr>
          <w:rFonts w:hint="eastAsia" w:ascii="宋体" w:hAnsi="宋体" w:eastAsia="宋体" w:cs="宋体"/>
          <w:bCs/>
          <w:i w:val="0"/>
          <w:iCs w:val="0"/>
          <w:color w:val="auto"/>
          <w:sz w:val="24"/>
          <w:szCs w:val="24"/>
          <w:highlight w:val="none"/>
        </w:rPr>
        <w:t>2</w:t>
      </w:r>
      <w:r>
        <w:rPr>
          <w:rFonts w:hint="eastAsia" w:ascii="宋体" w:hAnsi="宋体" w:cs="宋体"/>
          <w:bCs/>
          <w:i w:val="0"/>
          <w:iCs w:val="0"/>
          <w:color w:val="auto"/>
          <w:sz w:val="24"/>
          <w:szCs w:val="24"/>
          <w:highlight w:val="none"/>
          <w:lang w:val="en-US" w:eastAsia="zh-CN"/>
        </w:rPr>
        <w:t>5</w:t>
      </w:r>
      <w:r>
        <w:rPr>
          <w:rFonts w:hint="eastAsia" w:ascii="宋体" w:hAnsi="宋体" w:eastAsia="宋体" w:cs="宋体"/>
          <w:bCs/>
          <w:i w:val="0"/>
          <w:iCs w:val="0"/>
          <w:color w:val="auto"/>
          <w:sz w:val="24"/>
          <w:szCs w:val="24"/>
          <w:highlight w:val="none"/>
        </w:rPr>
        <w:t>.3未实质性响应磋商文件的情形</w:t>
      </w:r>
    </w:p>
    <w:p w14:paraId="2EC8342F">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Cs/>
          <w:i w:val="0"/>
          <w:iCs w:val="0"/>
          <w:color w:val="auto"/>
          <w:sz w:val="24"/>
          <w:szCs w:val="24"/>
          <w:highlight w:val="none"/>
        </w:rPr>
      </w:pPr>
      <w:r>
        <w:rPr>
          <w:rFonts w:hint="eastAsia" w:ascii="宋体" w:hAnsi="宋体" w:eastAsia="宋体" w:cs="宋体"/>
          <w:bCs/>
          <w:i w:val="0"/>
          <w:iCs w:val="0"/>
          <w:color w:val="auto"/>
          <w:sz w:val="24"/>
          <w:szCs w:val="24"/>
          <w:highlight w:val="none"/>
        </w:rPr>
        <w:t>2</w:t>
      </w:r>
      <w:r>
        <w:rPr>
          <w:rFonts w:hint="eastAsia" w:ascii="宋体" w:hAnsi="宋体" w:cs="宋体"/>
          <w:bCs/>
          <w:i w:val="0"/>
          <w:iCs w:val="0"/>
          <w:color w:val="auto"/>
          <w:sz w:val="24"/>
          <w:szCs w:val="24"/>
          <w:highlight w:val="none"/>
          <w:lang w:val="en-US" w:eastAsia="zh-CN"/>
        </w:rPr>
        <w:t>5</w:t>
      </w:r>
      <w:r>
        <w:rPr>
          <w:rFonts w:hint="eastAsia" w:ascii="宋体" w:hAnsi="宋体" w:eastAsia="宋体" w:cs="宋体"/>
          <w:bCs/>
          <w:i w:val="0"/>
          <w:iCs w:val="0"/>
          <w:color w:val="auto"/>
          <w:sz w:val="24"/>
          <w:szCs w:val="24"/>
          <w:highlight w:val="none"/>
        </w:rPr>
        <w:t>.3.1供应商在</w:t>
      </w:r>
      <w:r>
        <w:rPr>
          <w:rFonts w:hint="eastAsia" w:ascii="宋体" w:hAnsi="宋体" w:eastAsia="宋体" w:cs="宋体"/>
          <w:i w:val="0"/>
          <w:iCs w:val="0"/>
          <w:color w:val="auto"/>
          <w:sz w:val="24"/>
          <w:szCs w:val="24"/>
          <w:highlight w:val="none"/>
        </w:rPr>
        <w:t>苏采云系统</w:t>
      </w:r>
      <w:r>
        <w:rPr>
          <w:rFonts w:hint="eastAsia" w:ascii="宋体" w:hAnsi="宋体" w:eastAsia="宋体" w:cs="宋体"/>
          <w:bCs/>
          <w:i w:val="0"/>
          <w:iCs w:val="0"/>
          <w:color w:val="auto"/>
          <w:sz w:val="24"/>
          <w:szCs w:val="24"/>
          <w:highlight w:val="none"/>
        </w:rPr>
        <w:t>规定的时间内未成功解密电子响应文件的。</w:t>
      </w:r>
    </w:p>
    <w:p w14:paraId="265793B7">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Cs/>
          <w:i w:val="0"/>
          <w:iCs w:val="0"/>
          <w:color w:val="auto"/>
          <w:sz w:val="24"/>
          <w:szCs w:val="24"/>
          <w:highlight w:val="none"/>
        </w:rPr>
      </w:pPr>
      <w:r>
        <w:rPr>
          <w:rFonts w:hint="eastAsia" w:ascii="宋体" w:hAnsi="宋体" w:eastAsia="宋体" w:cs="宋体"/>
          <w:bCs/>
          <w:i w:val="0"/>
          <w:iCs w:val="0"/>
          <w:color w:val="auto"/>
          <w:sz w:val="24"/>
          <w:szCs w:val="24"/>
          <w:highlight w:val="none"/>
        </w:rPr>
        <w:t>2</w:t>
      </w:r>
      <w:r>
        <w:rPr>
          <w:rFonts w:hint="eastAsia" w:ascii="宋体" w:hAnsi="宋体" w:cs="宋体"/>
          <w:bCs/>
          <w:i w:val="0"/>
          <w:iCs w:val="0"/>
          <w:color w:val="auto"/>
          <w:sz w:val="24"/>
          <w:szCs w:val="24"/>
          <w:highlight w:val="none"/>
          <w:lang w:val="en-US" w:eastAsia="zh-CN"/>
        </w:rPr>
        <w:t>5</w:t>
      </w:r>
      <w:r>
        <w:rPr>
          <w:rFonts w:hint="eastAsia" w:ascii="宋体" w:hAnsi="宋体" w:eastAsia="宋体" w:cs="宋体"/>
          <w:bCs/>
          <w:i w:val="0"/>
          <w:iCs w:val="0"/>
          <w:color w:val="auto"/>
          <w:sz w:val="24"/>
          <w:szCs w:val="24"/>
          <w:highlight w:val="none"/>
        </w:rPr>
        <w:t>.3.2供应商未按照磋商文件要求上传电子响应文件的。</w:t>
      </w:r>
    </w:p>
    <w:p w14:paraId="68756987">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Cs/>
          <w:i w:val="0"/>
          <w:iCs w:val="0"/>
          <w:color w:val="auto"/>
          <w:sz w:val="24"/>
          <w:szCs w:val="24"/>
          <w:highlight w:val="none"/>
        </w:rPr>
      </w:pPr>
      <w:r>
        <w:rPr>
          <w:rFonts w:hint="eastAsia" w:ascii="宋体" w:hAnsi="宋体" w:eastAsia="宋体" w:cs="宋体"/>
          <w:bCs/>
          <w:i w:val="0"/>
          <w:iCs w:val="0"/>
          <w:color w:val="auto"/>
          <w:sz w:val="24"/>
          <w:szCs w:val="24"/>
          <w:highlight w:val="none"/>
        </w:rPr>
        <w:t>2</w:t>
      </w:r>
      <w:r>
        <w:rPr>
          <w:rFonts w:hint="eastAsia" w:ascii="宋体" w:hAnsi="宋体" w:cs="宋体"/>
          <w:bCs/>
          <w:i w:val="0"/>
          <w:iCs w:val="0"/>
          <w:color w:val="auto"/>
          <w:sz w:val="24"/>
          <w:szCs w:val="24"/>
          <w:highlight w:val="none"/>
          <w:lang w:val="en-US" w:eastAsia="zh-CN"/>
        </w:rPr>
        <w:t>5</w:t>
      </w:r>
      <w:r>
        <w:rPr>
          <w:rFonts w:hint="eastAsia" w:ascii="宋体" w:hAnsi="宋体" w:eastAsia="宋体" w:cs="宋体"/>
          <w:bCs/>
          <w:i w:val="0"/>
          <w:iCs w:val="0"/>
          <w:color w:val="auto"/>
          <w:sz w:val="24"/>
          <w:szCs w:val="24"/>
          <w:highlight w:val="none"/>
        </w:rPr>
        <w:t>.3.3同一供应商提交两个（含两个）以上不同的响应文件或者最后报价的。</w:t>
      </w:r>
    </w:p>
    <w:p w14:paraId="00B9E66B">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Cs/>
          <w:i w:val="0"/>
          <w:iCs w:val="0"/>
          <w:color w:val="auto"/>
          <w:sz w:val="24"/>
          <w:szCs w:val="24"/>
          <w:highlight w:val="none"/>
        </w:rPr>
      </w:pPr>
      <w:r>
        <w:rPr>
          <w:rFonts w:hint="eastAsia" w:ascii="宋体" w:hAnsi="宋体" w:eastAsia="宋体" w:cs="宋体"/>
          <w:bCs/>
          <w:i w:val="0"/>
          <w:iCs w:val="0"/>
          <w:color w:val="auto"/>
          <w:sz w:val="24"/>
          <w:szCs w:val="24"/>
          <w:highlight w:val="none"/>
        </w:rPr>
        <w:t>2</w:t>
      </w:r>
      <w:r>
        <w:rPr>
          <w:rFonts w:hint="eastAsia" w:ascii="宋体" w:hAnsi="宋体" w:cs="宋体"/>
          <w:bCs/>
          <w:i w:val="0"/>
          <w:iCs w:val="0"/>
          <w:color w:val="auto"/>
          <w:sz w:val="24"/>
          <w:szCs w:val="24"/>
          <w:highlight w:val="none"/>
          <w:lang w:val="en-US" w:eastAsia="zh-CN"/>
        </w:rPr>
        <w:t>5</w:t>
      </w:r>
      <w:r>
        <w:rPr>
          <w:rFonts w:hint="eastAsia" w:ascii="宋体" w:hAnsi="宋体" w:eastAsia="宋体" w:cs="宋体"/>
          <w:bCs/>
          <w:i w:val="0"/>
          <w:iCs w:val="0"/>
          <w:color w:val="auto"/>
          <w:sz w:val="24"/>
          <w:szCs w:val="24"/>
          <w:highlight w:val="none"/>
        </w:rPr>
        <w:t>.3.4供应商不具备磋商文件中规定资格要求的。</w:t>
      </w:r>
    </w:p>
    <w:p w14:paraId="156961C6">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Cs/>
          <w:i w:val="0"/>
          <w:iCs w:val="0"/>
          <w:color w:val="auto"/>
          <w:sz w:val="24"/>
          <w:szCs w:val="24"/>
          <w:highlight w:val="none"/>
        </w:rPr>
      </w:pPr>
      <w:r>
        <w:rPr>
          <w:rFonts w:hint="eastAsia" w:ascii="宋体" w:hAnsi="宋体" w:eastAsia="宋体" w:cs="宋体"/>
          <w:bCs/>
          <w:i w:val="0"/>
          <w:iCs w:val="0"/>
          <w:color w:val="auto"/>
          <w:sz w:val="24"/>
          <w:szCs w:val="24"/>
          <w:highlight w:val="none"/>
        </w:rPr>
        <w:t>2</w:t>
      </w:r>
      <w:r>
        <w:rPr>
          <w:rFonts w:hint="eastAsia" w:ascii="宋体" w:hAnsi="宋体" w:cs="宋体"/>
          <w:bCs/>
          <w:i w:val="0"/>
          <w:iCs w:val="0"/>
          <w:color w:val="auto"/>
          <w:sz w:val="24"/>
          <w:szCs w:val="24"/>
          <w:highlight w:val="none"/>
          <w:lang w:val="en-US" w:eastAsia="zh-CN"/>
        </w:rPr>
        <w:t>5</w:t>
      </w:r>
      <w:r>
        <w:rPr>
          <w:rFonts w:hint="eastAsia" w:ascii="宋体" w:hAnsi="宋体" w:eastAsia="宋体" w:cs="宋体"/>
          <w:bCs/>
          <w:i w:val="0"/>
          <w:iCs w:val="0"/>
          <w:color w:val="auto"/>
          <w:sz w:val="24"/>
          <w:szCs w:val="24"/>
          <w:highlight w:val="none"/>
        </w:rPr>
        <w:t>.3.5供应商的最后报价超过了采购预算。</w:t>
      </w:r>
    </w:p>
    <w:p w14:paraId="69897763">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Cs/>
          <w:i w:val="0"/>
          <w:iCs w:val="0"/>
          <w:color w:val="auto"/>
          <w:sz w:val="24"/>
          <w:szCs w:val="24"/>
          <w:highlight w:val="none"/>
        </w:rPr>
      </w:pPr>
      <w:r>
        <w:rPr>
          <w:rFonts w:hint="eastAsia" w:ascii="宋体" w:hAnsi="宋体" w:eastAsia="宋体" w:cs="宋体"/>
          <w:bCs/>
          <w:i w:val="0"/>
          <w:iCs w:val="0"/>
          <w:color w:val="auto"/>
          <w:sz w:val="24"/>
          <w:szCs w:val="24"/>
          <w:highlight w:val="none"/>
        </w:rPr>
        <w:t>2</w:t>
      </w:r>
      <w:r>
        <w:rPr>
          <w:rFonts w:hint="eastAsia" w:ascii="宋体" w:hAnsi="宋体" w:cs="宋体"/>
          <w:bCs/>
          <w:i w:val="0"/>
          <w:iCs w:val="0"/>
          <w:color w:val="auto"/>
          <w:sz w:val="24"/>
          <w:szCs w:val="24"/>
          <w:highlight w:val="none"/>
          <w:lang w:val="en-US" w:eastAsia="zh-CN"/>
        </w:rPr>
        <w:t>5</w:t>
      </w:r>
      <w:r>
        <w:rPr>
          <w:rFonts w:hint="eastAsia" w:ascii="宋体" w:hAnsi="宋体" w:eastAsia="宋体" w:cs="宋体"/>
          <w:bCs/>
          <w:i w:val="0"/>
          <w:iCs w:val="0"/>
          <w:color w:val="auto"/>
          <w:sz w:val="24"/>
          <w:szCs w:val="24"/>
          <w:highlight w:val="none"/>
        </w:rPr>
        <w:t>.3.6不符合磋商文件中规定的实质性要求和条件的</w:t>
      </w:r>
      <w:r>
        <w:rPr>
          <w:rFonts w:hint="eastAsia" w:ascii="宋体" w:hAnsi="宋体" w:eastAsia="宋体" w:cs="宋体"/>
          <w:bCs/>
          <w:i w:val="0"/>
          <w:iCs w:val="0"/>
          <w:color w:val="auto"/>
          <w:sz w:val="24"/>
          <w:szCs w:val="24"/>
          <w:highlight w:val="none"/>
          <w:u w:val="none"/>
        </w:rPr>
        <w:t>。</w:t>
      </w:r>
    </w:p>
    <w:p w14:paraId="3D2304D8">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Cs/>
          <w:i w:val="0"/>
          <w:iCs w:val="0"/>
          <w:color w:val="auto"/>
          <w:sz w:val="24"/>
          <w:szCs w:val="24"/>
          <w:highlight w:val="none"/>
        </w:rPr>
      </w:pPr>
      <w:r>
        <w:rPr>
          <w:rFonts w:hint="eastAsia" w:ascii="宋体" w:hAnsi="宋体" w:eastAsia="宋体" w:cs="宋体"/>
          <w:bCs/>
          <w:i w:val="0"/>
          <w:iCs w:val="0"/>
          <w:color w:val="auto"/>
          <w:sz w:val="24"/>
          <w:szCs w:val="24"/>
          <w:highlight w:val="none"/>
        </w:rPr>
        <w:t>2</w:t>
      </w:r>
      <w:r>
        <w:rPr>
          <w:rFonts w:hint="eastAsia" w:ascii="宋体" w:hAnsi="宋体" w:cs="宋体"/>
          <w:bCs/>
          <w:i w:val="0"/>
          <w:iCs w:val="0"/>
          <w:color w:val="auto"/>
          <w:sz w:val="24"/>
          <w:szCs w:val="24"/>
          <w:highlight w:val="none"/>
          <w:lang w:val="en-US" w:eastAsia="zh-CN"/>
        </w:rPr>
        <w:t>5</w:t>
      </w:r>
      <w:r>
        <w:rPr>
          <w:rFonts w:hint="eastAsia" w:ascii="宋体" w:hAnsi="宋体" w:eastAsia="宋体" w:cs="宋体"/>
          <w:bCs/>
          <w:i w:val="0"/>
          <w:iCs w:val="0"/>
          <w:color w:val="auto"/>
          <w:sz w:val="24"/>
          <w:szCs w:val="24"/>
          <w:highlight w:val="none"/>
        </w:rPr>
        <w:t>.3.7供应商被 “信用中国”网站（www.creditchina.gov.cn）列入失信被执行人或重大税收违法案件当事人名单或政府采购严重失信行为记录名单。或查询“信用中国”网站后发现供应商存在其他不符合《中华人民共和国政府采购法》第二十二条规定条件的信用记录。</w:t>
      </w:r>
    </w:p>
    <w:p w14:paraId="77A4A46A">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Cs/>
          <w:i w:val="0"/>
          <w:iCs w:val="0"/>
          <w:color w:val="auto"/>
          <w:sz w:val="24"/>
          <w:szCs w:val="24"/>
          <w:highlight w:val="none"/>
        </w:rPr>
      </w:pPr>
      <w:r>
        <w:rPr>
          <w:rFonts w:hint="eastAsia" w:ascii="宋体" w:hAnsi="宋体" w:eastAsia="宋体" w:cs="宋体"/>
          <w:bCs/>
          <w:i w:val="0"/>
          <w:iCs w:val="0"/>
          <w:color w:val="auto"/>
          <w:sz w:val="24"/>
          <w:szCs w:val="24"/>
          <w:highlight w:val="none"/>
        </w:rPr>
        <w:t>2</w:t>
      </w:r>
      <w:r>
        <w:rPr>
          <w:rFonts w:hint="eastAsia" w:ascii="宋体" w:hAnsi="宋体" w:cs="宋体"/>
          <w:bCs/>
          <w:i w:val="0"/>
          <w:iCs w:val="0"/>
          <w:color w:val="auto"/>
          <w:sz w:val="24"/>
          <w:szCs w:val="24"/>
          <w:highlight w:val="none"/>
          <w:lang w:val="en-US" w:eastAsia="zh-CN"/>
        </w:rPr>
        <w:t>5</w:t>
      </w:r>
      <w:r>
        <w:rPr>
          <w:rFonts w:hint="eastAsia" w:ascii="宋体" w:hAnsi="宋体" w:eastAsia="宋体" w:cs="宋体"/>
          <w:bCs/>
          <w:i w:val="0"/>
          <w:iCs w:val="0"/>
          <w:color w:val="auto"/>
          <w:sz w:val="24"/>
          <w:szCs w:val="24"/>
          <w:highlight w:val="none"/>
        </w:rPr>
        <w:t>.3.8  响应文件含有采购人不能接受的附加条件的。</w:t>
      </w:r>
    </w:p>
    <w:p w14:paraId="4A18AF03">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Cs/>
          <w:i w:val="0"/>
          <w:iCs w:val="0"/>
          <w:color w:val="auto"/>
          <w:sz w:val="24"/>
          <w:szCs w:val="24"/>
          <w:highlight w:val="none"/>
        </w:rPr>
      </w:pPr>
      <w:r>
        <w:rPr>
          <w:rFonts w:hint="eastAsia" w:ascii="宋体" w:hAnsi="宋体" w:eastAsia="宋体" w:cs="宋体"/>
          <w:bCs/>
          <w:i w:val="0"/>
          <w:iCs w:val="0"/>
          <w:color w:val="auto"/>
          <w:sz w:val="24"/>
          <w:szCs w:val="24"/>
          <w:highlight w:val="none"/>
        </w:rPr>
        <w:t>2</w:t>
      </w:r>
      <w:r>
        <w:rPr>
          <w:rFonts w:hint="eastAsia" w:ascii="宋体" w:hAnsi="宋体" w:cs="宋体"/>
          <w:bCs/>
          <w:i w:val="0"/>
          <w:iCs w:val="0"/>
          <w:color w:val="auto"/>
          <w:sz w:val="24"/>
          <w:szCs w:val="24"/>
          <w:highlight w:val="none"/>
          <w:lang w:val="en-US" w:eastAsia="zh-CN"/>
        </w:rPr>
        <w:t>5</w:t>
      </w:r>
      <w:r>
        <w:rPr>
          <w:rFonts w:hint="eastAsia" w:ascii="宋体" w:hAnsi="宋体" w:eastAsia="宋体" w:cs="宋体"/>
          <w:bCs/>
          <w:i w:val="0"/>
          <w:iCs w:val="0"/>
          <w:color w:val="auto"/>
          <w:sz w:val="24"/>
          <w:szCs w:val="24"/>
          <w:highlight w:val="none"/>
        </w:rPr>
        <w:t>.3.</w:t>
      </w:r>
      <w:r>
        <w:rPr>
          <w:rFonts w:hint="eastAsia" w:ascii="宋体" w:hAnsi="宋体" w:eastAsia="宋体" w:cs="宋体"/>
          <w:bCs/>
          <w:i w:val="0"/>
          <w:iCs w:val="0"/>
          <w:color w:val="auto"/>
          <w:sz w:val="24"/>
          <w:szCs w:val="24"/>
          <w:highlight w:val="none"/>
          <w:lang w:val="en-US" w:eastAsia="zh-CN"/>
        </w:rPr>
        <w:t>9</w:t>
      </w:r>
      <w:r>
        <w:rPr>
          <w:rFonts w:hint="eastAsia" w:ascii="宋体" w:hAnsi="宋体" w:eastAsia="宋体" w:cs="宋体"/>
          <w:bCs/>
          <w:i w:val="0"/>
          <w:iCs w:val="0"/>
          <w:color w:val="auto"/>
          <w:sz w:val="24"/>
          <w:szCs w:val="24"/>
          <w:highlight w:val="none"/>
        </w:rPr>
        <w:t>响应文件未按照磋商文件要求加盖CA电子公章的。</w:t>
      </w:r>
    </w:p>
    <w:p w14:paraId="5571482C">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Cs/>
          <w:i w:val="0"/>
          <w:iCs w:val="0"/>
          <w:color w:val="auto"/>
          <w:sz w:val="24"/>
          <w:szCs w:val="24"/>
          <w:highlight w:val="none"/>
        </w:rPr>
      </w:pPr>
      <w:r>
        <w:rPr>
          <w:rFonts w:hint="eastAsia" w:ascii="宋体" w:hAnsi="宋体" w:eastAsia="宋体" w:cs="宋体"/>
          <w:bCs/>
          <w:i w:val="0"/>
          <w:iCs w:val="0"/>
          <w:color w:val="auto"/>
          <w:sz w:val="24"/>
          <w:szCs w:val="24"/>
          <w:highlight w:val="none"/>
        </w:rPr>
        <w:t>2</w:t>
      </w:r>
      <w:r>
        <w:rPr>
          <w:rFonts w:hint="eastAsia" w:ascii="宋体" w:hAnsi="宋体" w:cs="宋体"/>
          <w:bCs/>
          <w:i w:val="0"/>
          <w:iCs w:val="0"/>
          <w:color w:val="auto"/>
          <w:sz w:val="24"/>
          <w:szCs w:val="24"/>
          <w:highlight w:val="none"/>
          <w:lang w:val="en-US" w:eastAsia="zh-CN"/>
        </w:rPr>
        <w:t>5</w:t>
      </w:r>
      <w:r>
        <w:rPr>
          <w:rFonts w:hint="eastAsia" w:ascii="宋体" w:hAnsi="宋体" w:eastAsia="宋体" w:cs="宋体"/>
          <w:bCs/>
          <w:i w:val="0"/>
          <w:iCs w:val="0"/>
          <w:color w:val="auto"/>
          <w:sz w:val="24"/>
          <w:szCs w:val="24"/>
          <w:highlight w:val="none"/>
        </w:rPr>
        <w:t>.4未实质性响应磋商文件的响应文件按无效响应处理。</w:t>
      </w:r>
    </w:p>
    <w:p w14:paraId="3A001F0A">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Cs/>
          <w:i w:val="0"/>
          <w:iCs w:val="0"/>
          <w:color w:val="auto"/>
          <w:sz w:val="24"/>
          <w:szCs w:val="24"/>
          <w:highlight w:val="none"/>
        </w:rPr>
      </w:pPr>
      <w:r>
        <w:rPr>
          <w:rFonts w:hint="eastAsia" w:ascii="宋体" w:hAnsi="宋体" w:eastAsia="宋体" w:cs="宋体"/>
          <w:i w:val="0"/>
          <w:iCs w:val="0"/>
          <w:color w:val="auto"/>
          <w:sz w:val="24"/>
          <w:szCs w:val="24"/>
          <w:highlight w:val="none"/>
        </w:rPr>
        <w:t>2</w:t>
      </w:r>
      <w:r>
        <w:rPr>
          <w:rFonts w:hint="eastAsia" w:ascii="宋体" w:hAnsi="宋体" w:cs="宋体"/>
          <w:i w:val="0"/>
          <w:iCs w:val="0"/>
          <w:color w:val="auto"/>
          <w:sz w:val="24"/>
          <w:szCs w:val="24"/>
          <w:highlight w:val="none"/>
          <w:lang w:val="en-US" w:eastAsia="zh-CN"/>
        </w:rPr>
        <w:t>5</w:t>
      </w:r>
      <w:r>
        <w:rPr>
          <w:rFonts w:hint="eastAsia" w:ascii="宋体" w:hAnsi="宋体" w:eastAsia="宋体" w:cs="宋体"/>
          <w:i w:val="0"/>
          <w:iCs w:val="0"/>
          <w:color w:val="auto"/>
          <w:sz w:val="24"/>
          <w:szCs w:val="24"/>
          <w:highlight w:val="none"/>
        </w:rPr>
        <w:t>.5</w:t>
      </w:r>
      <w:r>
        <w:rPr>
          <w:rFonts w:hint="eastAsia" w:ascii="宋体" w:hAnsi="宋体" w:eastAsia="宋体" w:cs="宋体"/>
          <w:bCs/>
          <w:i w:val="0"/>
          <w:iCs w:val="0"/>
          <w:color w:val="auto"/>
          <w:sz w:val="24"/>
          <w:szCs w:val="24"/>
          <w:highlight w:val="none"/>
        </w:rPr>
        <w:t>如果响应文件实质上没有响应磋商文件的要求，磋商小组将予以拒绝，供应商不得通过修改或撤销不合要求的偏离或保留而使其成为实质性响应的文件。</w:t>
      </w:r>
    </w:p>
    <w:p w14:paraId="1C3151C6">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i w:val="0"/>
          <w:iCs w:val="0"/>
          <w:color w:val="auto"/>
          <w:sz w:val="24"/>
          <w:szCs w:val="24"/>
          <w:highlight w:val="none"/>
        </w:rPr>
      </w:pPr>
      <w:bookmarkStart w:id="134" w:name="_Toc513029234"/>
      <w:bookmarkStart w:id="135" w:name="_Toc20823306"/>
      <w:bookmarkStart w:id="136" w:name="_Toc16938550"/>
      <w:r>
        <w:rPr>
          <w:rFonts w:hint="eastAsia" w:ascii="宋体" w:hAnsi="宋体" w:eastAsia="宋体" w:cs="宋体"/>
          <w:i w:val="0"/>
          <w:iCs w:val="0"/>
          <w:color w:val="auto"/>
          <w:sz w:val="24"/>
          <w:szCs w:val="24"/>
          <w:highlight w:val="none"/>
        </w:rPr>
        <w:t>2</w:t>
      </w:r>
      <w:r>
        <w:rPr>
          <w:rFonts w:hint="eastAsia" w:ascii="宋体" w:hAnsi="宋体" w:cs="宋体"/>
          <w:i w:val="0"/>
          <w:iCs w:val="0"/>
          <w:color w:val="auto"/>
          <w:sz w:val="24"/>
          <w:szCs w:val="24"/>
          <w:highlight w:val="none"/>
          <w:lang w:val="en-US" w:eastAsia="zh-CN"/>
        </w:rPr>
        <w:t>5</w:t>
      </w:r>
      <w:r>
        <w:rPr>
          <w:rFonts w:hint="eastAsia" w:ascii="宋体" w:hAnsi="宋体" w:eastAsia="宋体" w:cs="宋体"/>
          <w:i w:val="0"/>
          <w:iCs w:val="0"/>
          <w:color w:val="auto"/>
          <w:sz w:val="24"/>
          <w:szCs w:val="24"/>
          <w:highlight w:val="none"/>
        </w:rPr>
        <w:t>.6供应商在项目评审全过程中应保持通讯畅通，并安排专人与</w:t>
      </w:r>
      <w:r>
        <w:rPr>
          <w:rFonts w:hint="eastAsia" w:ascii="宋体" w:hAnsi="宋体" w:eastAsia="宋体" w:cs="宋体"/>
          <w:i w:val="0"/>
          <w:iCs w:val="0"/>
          <w:color w:val="auto"/>
          <w:sz w:val="24"/>
          <w:szCs w:val="24"/>
          <w:highlight w:val="none"/>
          <w:lang w:eastAsia="zh-CN"/>
        </w:rPr>
        <w:t>招标代理公司</w:t>
      </w:r>
      <w:r>
        <w:rPr>
          <w:rFonts w:hint="eastAsia" w:ascii="宋体" w:hAnsi="宋体" w:eastAsia="宋体" w:cs="宋体"/>
          <w:i w:val="0"/>
          <w:iCs w:val="0"/>
          <w:color w:val="auto"/>
          <w:sz w:val="24"/>
          <w:szCs w:val="24"/>
          <w:highlight w:val="none"/>
        </w:rPr>
        <w:t>及磋商小组联系。</w:t>
      </w:r>
    </w:p>
    <w:p w14:paraId="129AC00E">
      <w:pPr>
        <w:keepNext/>
        <w:keepLines/>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3"/>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w:t>
      </w:r>
      <w:r>
        <w:rPr>
          <w:rFonts w:hint="eastAsia" w:ascii="宋体" w:hAnsi="宋体" w:cs="宋体"/>
          <w:i w:val="0"/>
          <w:iCs w:val="0"/>
          <w:color w:val="auto"/>
          <w:sz w:val="24"/>
          <w:szCs w:val="24"/>
          <w:highlight w:val="none"/>
          <w:lang w:val="en-US" w:eastAsia="zh-CN"/>
        </w:rPr>
        <w:t>6</w:t>
      </w:r>
      <w:r>
        <w:rPr>
          <w:rFonts w:hint="eastAsia" w:ascii="宋体" w:hAnsi="宋体" w:eastAsia="宋体" w:cs="宋体"/>
          <w:i w:val="0"/>
          <w:iCs w:val="0"/>
          <w:color w:val="auto"/>
          <w:sz w:val="24"/>
          <w:szCs w:val="24"/>
          <w:highlight w:val="none"/>
        </w:rPr>
        <w:t>、</w:t>
      </w:r>
      <w:bookmarkEnd w:id="134"/>
      <w:bookmarkEnd w:id="135"/>
      <w:bookmarkEnd w:id="136"/>
      <w:r>
        <w:rPr>
          <w:rFonts w:hint="eastAsia" w:ascii="宋体" w:hAnsi="宋体" w:eastAsia="宋体" w:cs="宋体"/>
          <w:i w:val="0"/>
          <w:iCs w:val="0"/>
          <w:color w:val="auto"/>
          <w:sz w:val="24"/>
          <w:szCs w:val="24"/>
          <w:highlight w:val="none"/>
        </w:rPr>
        <w:t>磋商程序及评审方法和评审标准</w:t>
      </w:r>
    </w:p>
    <w:p w14:paraId="5C6F8230">
      <w:pPr>
        <w:pageBreakBefore w:val="0"/>
        <w:widowControl w:val="0"/>
        <w:tabs>
          <w:tab w:val="left" w:pos="900"/>
        </w:tabs>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w:t>
      </w:r>
      <w:r>
        <w:rPr>
          <w:rFonts w:hint="eastAsia" w:ascii="宋体" w:hAnsi="宋体" w:cs="宋体"/>
          <w:i w:val="0"/>
          <w:iCs w:val="0"/>
          <w:color w:val="auto"/>
          <w:sz w:val="24"/>
          <w:szCs w:val="24"/>
          <w:highlight w:val="none"/>
          <w:lang w:val="en-US" w:eastAsia="zh-CN"/>
        </w:rPr>
        <w:t>6</w:t>
      </w:r>
      <w:r>
        <w:rPr>
          <w:rFonts w:hint="eastAsia" w:ascii="宋体" w:hAnsi="宋体" w:eastAsia="宋体" w:cs="宋体"/>
          <w:i w:val="0"/>
          <w:iCs w:val="0"/>
          <w:color w:val="auto"/>
          <w:sz w:val="24"/>
          <w:szCs w:val="24"/>
          <w:highlight w:val="none"/>
        </w:rPr>
        <w:t>.1磋商程序</w:t>
      </w:r>
    </w:p>
    <w:p w14:paraId="421319AF">
      <w:pPr>
        <w:pageBreakBefore w:val="0"/>
        <w:widowControl w:val="0"/>
        <w:tabs>
          <w:tab w:val="left" w:pos="900"/>
        </w:tabs>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w:t>
      </w:r>
      <w:r>
        <w:rPr>
          <w:rFonts w:hint="eastAsia" w:ascii="宋体" w:hAnsi="宋体" w:cs="宋体"/>
          <w:i w:val="0"/>
          <w:iCs w:val="0"/>
          <w:color w:val="auto"/>
          <w:sz w:val="24"/>
          <w:szCs w:val="24"/>
          <w:highlight w:val="none"/>
          <w:lang w:val="en-US" w:eastAsia="zh-CN"/>
        </w:rPr>
        <w:t>6</w:t>
      </w:r>
      <w:r>
        <w:rPr>
          <w:rFonts w:hint="eastAsia" w:ascii="宋体" w:hAnsi="宋体" w:eastAsia="宋体" w:cs="宋体"/>
          <w:i w:val="0"/>
          <w:iCs w:val="0"/>
          <w:color w:val="auto"/>
          <w:sz w:val="24"/>
          <w:szCs w:val="24"/>
          <w:highlight w:val="none"/>
        </w:rPr>
        <w:t>.1.1对于通过资格审查和符合性审查的供应商，磋商小组将集中与单一供应商分别进行磋商。磋商小组通过苏采云系统向供应商发布“磋商函”，供应商应当按照要求在苏采云系统提交“磋商响应函”并加盖CA电子公章。</w:t>
      </w:r>
    </w:p>
    <w:p w14:paraId="76E73077">
      <w:pPr>
        <w:pageBreakBefore w:val="0"/>
        <w:widowControl w:val="0"/>
        <w:tabs>
          <w:tab w:val="left" w:pos="900"/>
        </w:tabs>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在磋商过程中，磋商小组可能根据磋商文件和磋商情况实质性变动的内容有：采购需求中的技术、服务要求以及合同草案条款。对磋商文件作出的实质性变动是磋商文件的有效组成部分，磋商小组将在苏采云系统中通知所有参加磋商的供应商。供应商应当按照磋商文件的变动情况和磋商小组的要求在苏采云系统中重新提交响应文件，并加盖CA电子公章。</w:t>
      </w:r>
    </w:p>
    <w:p w14:paraId="03F407A6">
      <w:pPr>
        <w:pageBreakBefore w:val="0"/>
        <w:widowControl w:val="0"/>
        <w:tabs>
          <w:tab w:val="left" w:pos="900"/>
        </w:tabs>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 xml:space="preserve"> 2</w:t>
      </w:r>
      <w:r>
        <w:rPr>
          <w:rFonts w:hint="eastAsia" w:ascii="宋体" w:hAnsi="宋体" w:cs="宋体"/>
          <w:i w:val="0"/>
          <w:iCs w:val="0"/>
          <w:color w:val="auto"/>
          <w:sz w:val="24"/>
          <w:szCs w:val="24"/>
          <w:highlight w:val="none"/>
          <w:lang w:val="en-US" w:eastAsia="zh-CN"/>
        </w:rPr>
        <w:t>6</w:t>
      </w:r>
      <w:r>
        <w:rPr>
          <w:rFonts w:hint="eastAsia" w:ascii="宋体" w:hAnsi="宋体" w:eastAsia="宋体" w:cs="宋体"/>
          <w:i w:val="0"/>
          <w:iCs w:val="0"/>
          <w:color w:val="auto"/>
          <w:sz w:val="24"/>
          <w:szCs w:val="24"/>
          <w:highlight w:val="none"/>
        </w:rPr>
        <w:t>.1.2磋商文件能够详细列明采购标的的技术、服务要求的，磋商结束后，磋商小组将在苏采云系统向所有实质性响应的供应商发布“最后报价要求函”及最后报价格式表，要求所有实质性响应的供应商在规定时间内提交最后报价。</w:t>
      </w:r>
    </w:p>
    <w:p w14:paraId="33EB2A74">
      <w:pPr>
        <w:pageBreakBefore w:val="0"/>
        <w:widowControl w:val="0"/>
        <w:tabs>
          <w:tab w:val="left" w:pos="900"/>
        </w:tabs>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磋商文件不能详细列明采购标的的技术、服务要求，需经磋商由供应商提供最终设计方案或解决方案的，磋商结束后，磋商小组将按照少数服从多数的原则投票推荐3家以上供应商的设计方案或者解决方案，在苏采云系统中向其发布“最后报价要求函”及最后报价格式表，要求其在规定时间内提交最后报价。</w:t>
      </w:r>
    </w:p>
    <w:p w14:paraId="142D749B">
      <w:pPr>
        <w:pageBreakBefore w:val="0"/>
        <w:widowControl w:val="0"/>
        <w:tabs>
          <w:tab w:val="left" w:pos="900"/>
        </w:tabs>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最后报价是供应商响应文件的有效组成部分。符合《政府采购竞争性磋商采购方式理暂行办法》第三条第一款第四项及《财政部关于竞争性磋商采购方式管理暂行办法有关问题的补充通知》（财库[2015]124号）规定情形的，提交最后报价的供应商可以为2家。</w:t>
      </w:r>
    </w:p>
    <w:p w14:paraId="6241DE68">
      <w:pPr>
        <w:pageBreakBefore w:val="0"/>
        <w:widowControl w:val="0"/>
        <w:tabs>
          <w:tab w:val="left" w:pos="900"/>
        </w:tabs>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w:t>
      </w:r>
      <w:r>
        <w:rPr>
          <w:rFonts w:hint="eastAsia" w:ascii="宋体" w:hAnsi="宋体" w:cs="宋体"/>
          <w:i w:val="0"/>
          <w:iCs w:val="0"/>
          <w:color w:val="auto"/>
          <w:sz w:val="24"/>
          <w:szCs w:val="24"/>
          <w:highlight w:val="none"/>
          <w:lang w:val="en-US" w:eastAsia="zh-CN"/>
        </w:rPr>
        <w:t>6</w:t>
      </w:r>
      <w:r>
        <w:rPr>
          <w:rFonts w:hint="eastAsia" w:ascii="宋体" w:hAnsi="宋体" w:eastAsia="宋体" w:cs="宋体"/>
          <w:i w:val="0"/>
          <w:iCs w:val="0"/>
          <w:color w:val="auto"/>
          <w:sz w:val="24"/>
          <w:szCs w:val="24"/>
          <w:highlight w:val="none"/>
        </w:rPr>
        <w:t>.1.3供应商未在磋商小组规定的时间内在苏采云系统中提交最后报价的视为放弃磋商，其响应文件按无效响应处理，最后报价格式表须加盖CA电子公章,否则视为未提交最后报价。已提交响应文件的供应商，在提交最后报价之前，可以根据磋商情况退出磋商，并在苏采云系统中提交“退出磋商函”并加盖CA电子公章。</w:t>
      </w:r>
    </w:p>
    <w:p w14:paraId="2EB51552">
      <w:pPr>
        <w:pageBreakBefore w:val="0"/>
        <w:widowControl w:val="0"/>
        <w:tabs>
          <w:tab w:val="left" w:pos="900"/>
        </w:tabs>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.2.2评审标准</w:t>
      </w:r>
    </w:p>
    <w:p w14:paraId="61FB8EFD">
      <w:pPr>
        <w:pageBreakBefore w:val="0"/>
        <w:widowControl w:val="0"/>
        <w:tabs>
          <w:tab w:val="left" w:pos="900"/>
        </w:tabs>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i w:val="0"/>
          <w:iCs w:val="0"/>
          <w:color w:val="auto"/>
          <w:sz w:val="24"/>
          <w:szCs w:val="24"/>
          <w:highlight w:val="none"/>
        </w:rPr>
      </w:pPr>
      <w:r>
        <w:rPr>
          <w:rFonts w:hint="eastAsia" w:ascii="宋体" w:hAnsi="宋体" w:eastAsia="宋体" w:cs="宋体"/>
          <w:color w:val="auto"/>
          <w:sz w:val="24"/>
          <w:szCs w:val="24"/>
          <w:highlight w:val="none"/>
        </w:rPr>
        <w:t>见本磋商文件第五章规定。</w:t>
      </w:r>
    </w:p>
    <w:p w14:paraId="13B88830">
      <w:pPr>
        <w:pageBreakBefore w:val="0"/>
        <w:widowControl w:val="0"/>
        <w:tabs>
          <w:tab w:val="left" w:pos="900"/>
        </w:tabs>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w:t>
      </w:r>
      <w:r>
        <w:rPr>
          <w:rFonts w:hint="eastAsia" w:ascii="宋体" w:hAnsi="宋体" w:cs="宋体"/>
          <w:i w:val="0"/>
          <w:iCs w:val="0"/>
          <w:color w:val="auto"/>
          <w:sz w:val="24"/>
          <w:szCs w:val="24"/>
          <w:highlight w:val="none"/>
          <w:lang w:val="en-US" w:eastAsia="zh-CN"/>
        </w:rPr>
        <w:t>6</w:t>
      </w:r>
      <w:r>
        <w:rPr>
          <w:rFonts w:hint="eastAsia" w:ascii="宋体" w:hAnsi="宋体" w:eastAsia="宋体" w:cs="宋体"/>
          <w:i w:val="0"/>
          <w:iCs w:val="0"/>
          <w:color w:val="auto"/>
          <w:sz w:val="24"/>
          <w:szCs w:val="24"/>
          <w:highlight w:val="none"/>
        </w:rPr>
        <w:t>.3采购活动终止的情况</w:t>
      </w:r>
    </w:p>
    <w:p w14:paraId="49A6B1EE">
      <w:pPr>
        <w:pageBreakBefore w:val="0"/>
        <w:widowControl w:val="0"/>
        <w:tabs>
          <w:tab w:val="left" w:pos="900"/>
        </w:tabs>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出现下列情形之一的，本次竞争性磋商采购活动将被终止：</w:t>
      </w:r>
    </w:p>
    <w:p w14:paraId="6C5A64A8">
      <w:pPr>
        <w:pageBreakBefore w:val="0"/>
        <w:widowControl w:val="0"/>
        <w:tabs>
          <w:tab w:val="left" w:pos="900"/>
        </w:tabs>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w:t>
      </w:r>
      <w:r>
        <w:rPr>
          <w:rFonts w:hint="eastAsia" w:ascii="宋体" w:hAnsi="宋体" w:cs="宋体"/>
          <w:i w:val="0"/>
          <w:iCs w:val="0"/>
          <w:color w:val="auto"/>
          <w:sz w:val="24"/>
          <w:szCs w:val="24"/>
          <w:highlight w:val="none"/>
          <w:lang w:val="en-US" w:eastAsia="zh-CN"/>
        </w:rPr>
        <w:t>6</w:t>
      </w:r>
      <w:r>
        <w:rPr>
          <w:rFonts w:hint="eastAsia" w:ascii="宋体" w:hAnsi="宋体" w:eastAsia="宋体" w:cs="宋体"/>
          <w:i w:val="0"/>
          <w:iCs w:val="0"/>
          <w:color w:val="auto"/>
          <w:sz w:val="24"/>
          <w:szCs w:val="24"/>
          <w:highlight w:val="none"/>
        </w:rPr>
        <w:t>.3.1因情况变化，不再符合规定的竞争性磋商采购方式适用情形的。</w:t>
      </w:r>
    </w:p>
    <w:p w14:paraId="2C7819A0">
      <w:pPr>
        <w:pageBreakBefore w:val="0"/>
        <w:widowControl w:val="0"/>
        <w:tabs>
          <w:tab w:val="left" w:pos="900"/>
        </w:tabs>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w:t>
      </w:r>
      <w:r>
        <w:rPr>
          <w:rFonts w:hint="eastAsia" w:ascii="宋体" w:hAnsi="宋体" w:cs="宋体"/>
          <w:i w:val="0"/>
          <w:iCs w:val="0"/>
          <w:color w:val="auto"/>
          <w:sz w:val="24"/>
          <w:szCs w:val="24"/>
          <w:highlight w:val="none"/>
          <w:lang w:val="en-US" w:eastAsia="zh-CN"/>
        </w:rPr>
        <w:t>6</w:t>
      </w:r>
      <w:r>
        <w:rPr>
          <w:rFonts w:hint="eastAsia" w:ascii="宋体" w:hAnsi="宋体" w:eastAsia="宋体" w:cs="宋体"/>
          <w:i w:val="0"/>
          <w:iCs w:val="0"/>
          <w:color w:val="auto"/>
          <w:sz w:val="24"/>
          <w:szCs w:val="24"/>
          <w:highlight w:val="none"/>
        </w:rPr>
        <w:t>.3.2出现影响采购公正的违法、违规行为的。</w:t>
      </w:r>
    </w:p>
    <w:p w14:paraId="4025781A">
      <w:pPr>
        <w:pageBreakBefore w:val="0"/>
        <w:widowControl w:val="0"/>
        <w:tabs>
          <w:tab w:val="left" w:pos="900"/>
        </w:tabs>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w:t>
      </w:r>
      <w:r>
        <w:rPr>
          <w:rFonts w:hint="eastAsia" w:ascii="宋体" w:hAnsi="宋体" w:cs="宋体"/>
          <w:i w:val="0"/>
          <w:iCs w:val="0"/>
          <w:color w:val="auto"/>
          <w:sz w:val="24"/>
          <w:szCs w:val="24"/>
          <w:highlight w:val="none"/>
          <w:lang w:val="en-US" w:eastAsia="zh-CN"/>
        </w:rPr>
        <w:t>6</w:t>
      </w:r>
      <w:r>
        <w:rPr>
          <w:rFonts w:hint="eastAsia" w:ascii="宋体" w:hAnsi="宋体" w:eastAsia="宋体" w:cs="宋体"/>
          <w:i w:val="0"/>
          <w:iCs w:val="0"/>
          <w:color w:val="auto"/>
          <w:sz w:val="24"/>
          <w:szCs w:val="24"/>
          <w:highlight w:val="none"/>
        </w:rPr>
        <w:t>.3.3除本磋商文件第二章第2</w:t>
      </w:r>
      <w:r>
        <w:rPr>
          <w:rFonts w:hint="eastAsia" w:ascii="宋体" w:hAnsi="宋体" w:eastAsia="宋体" w:cs="宋体"/>
          <w:i w:val="0"/>
          <w:iCs w:val="0"/>
          <w:color w:val="auto"/>
          <w:sz w:val="24"/>
          <w:szCs w:val="24"/>
          <w:highlight w:val="none"/>
          <w:lang w:val="en-US" w:eastAsia="zh-CN"/>
        </w:rPr>
        <w:t>3</w:t>
      </w:r>
      <w:r>
        <w:rPr>
          <w:rFonts w:hint="eastAsia" w:ascii="宋体" w:hAnsi="宋体" w:eastAsia="宋体" w:cs="宋体"/>
          <w:i w:val="0"/>
          <w:iCs w:val="0"/>
          <w:color w:val="auto"/>
          <w:sz w:val="24"/>
          <w:szCs w:val="24"/>
          <w:highlight w:val="none"/>
        </w:rPr>
        <w:t>.1.2条第三款规定的情形外，在采购过程中符合要求的供应商或者最后报价未超过采购预算的供应商不足3家的。</w:t>
      </w:r>
    </w:p>
    <w:p w14:paraId="03E82115">
      <w:pPr>
        <w:pageBreakBefore w:val="0"/>
        <w:widowControl w:val="0"/>
        <w:tabs>
          <w:tab w:val="left" w:pos="900"/>
        </w:tabs>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w:t>
      </w:r>
      <w:r>
        <w:rPr>
          <w:rFonts w:hint="eastAsia" w:ascii="宋体" w:hAnsi="宋体" w:cs="宋体"/>
          <w:i w:val="0"/>
          <w:iCs w:val="0"/>
          <w:color w:val="auto"/>
          <w:sz w:val="24"/>
          <w:szCs w:val="24"/>
          <w:highlight w:val="none"/>
          <w:lang w:val="en-US" w:eastAsia="zh-CN"/>
        </w:rPr>
        <w:t>6</w:t>
      </w:r>
      <w:r>
        <w:rPr>
          <w:rFonts w:hint="eastAsia" w:ascii="宋体" w:hAnsi="宋体" w:eastAsia="宋体" w:cs="宋体"/>
          <w:i w:val="0"/>
          <w:iCs w:val="0"/>
          <w:color w:val="auto"/>
          <w:sz w:val="24"/>
          <w:szCs w:val="24"/>
          <w:highlight w:val="none"/>
        </w:rPr>
        <w:t>.3.4在苏采云系统规定时间内成功解密电子响应文件的供应商不足3家的。</w:t>
      </w:r>
    </w:p>
    <w:p w14:paraId="48184F45">
      <w:pPr>
        <w:keepNext/>
        <w:keepLines/>
        <w:pageBreakBefore w:val="0"/>
        <w:widowControl w:val="0"/>
        <w:kinsoku/>
        <w:wordWrap/>
        <w:overflowPunct/>
        <w:topLinePunct w:val="0"/>
        <w:autoSpaceDE/>
        <w:autoSpaceDN/>
        <w:bidi w:val="0"/>
        <w:adjustRightInd w:val="0"/>
        <w:snapToGrid w:val="0"/>
        <w:spacing w:line="360" w:lineRule="auto"/>
        <w:ind w:firstLine="482" w:firstLineChars="200"/>
        <w:textAlignment w:val="auto"/>
        <w:outlineLvl w:val="2"/>
        <w:rPr>
          <w:rFonts w:hint="eastAsia" w:ascii="宋体" w:hAnsi="宋体" w:eastAsia="宋体" w:cs="宋体"/>
          <w:b/>
          <w:bCs/>
          <w:i w:val="0"/>
          <w:iCs w:val="0"/>
          <w:color w:val="auto"/>
          <w:sz w:val="24"/>
          <w:szCs w:val="24"/>
          <w:highlight w:val="none"/>
        </w:rPr>
      </w:pPr>
      <w:bookmarkStart w:id="137" w:name="_Toc16938551"/>
      <w:bookmarkStart w:id="138" w:name="_Toc120614219"/>
      <w:bookmarkStart w:id="139" w:name="_Toc20823307"/>
      <w:bookmarkStart w:id="140" w:name="_Toc513029235"/>
      <w:r>
        <w:rPr>
          <w:rFonts w:hint="eastAsia" w:ascii="宋体" w:hAnsi="宋体" w:eastAsia="宋体" w:cs="宋体"/>
          <w:b/>
          <w:bCs/>
          <w:i w:val="0"/>
          <w:iCs w:val="0"/>
          <w:color w:val="auto"/>
          <w:sz w:val="24"/>
          <w:szCs w:val="24"/>
          <w:highlight w:val="none"/>
        </w:rPr>
        <w:t>六、</w:t>
      </w:r>
      <w:bookmarkEnd w:id="137"/>
      <w:bookmarkEnd w:id="138"/>
      <w:bookmarkEnd w:id="139"/>
      <w:bookmarkEnd w:id="140"/>
      <w:r>
        <w:rPr>
          <w:rFonts w:hint="eastAsia" w:ascii="宋体" w:hAnsi="宋体" w:eastAsia="宋体" w:cs="宋体"/>
          <w:b/>
          <w:bCs/>
          <w:i w:val="0"/>
          <w:iCs w:val="0"/>
          <w:color w:val="auto"/>
          <w:sz w:val="24"/>
          <w:szCs w:val="24"/>
          <w:highlight w:val="none"/>
        </w:rPr>
        <w:t>成交</w:t>
      </w:r>
    </w:p>
    <w:p w14:paraId="3A2D81D6">
      <w:pPr>
        <w:keepNext/>
        <w:keepLines/>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3"/>
        <w:rPr>
          <w:rFonts w:hint="eastAsia" w:ascii="宋体" w:hAnsi="宋体" w:eastAsia="宋体" w:cs="宋体"/>
          <w:bCs/>
          <w:i w:val="0"/>
          <w:iCs w:val="0"/>
          <w:color w:val="auto"/>
          <w:sz w:val="24"/>
          <w:szCs w:val="24"/>
          <w:highlight w:val="none"/>
        </w:rPr>
      </w:pPr>
      <w:bookmarkStart w:id="141" w:name="_Toc513029238"/>
      <w:bookmarkStart w:id="142" w:name="_Toc20823310"/>
      <w:bookmarkStart w:id="143" w:name="_Toc16938554"/>
      <w:r>
        <w:rPr>
          <w:rFonts w:hint="eastAsia" w:ascii="宋体" w:hAnsi="宋体" w:eastAsia="宋体" w:cs="宋体"/>
          <w:bCs/>
          <w:i w:val="0"/>
          <w:iCs w:val="0"/>
          <w:color w:val="auto"/>
          <w:sz w:val="24"/>
          <w:szCs w:val="24"/>
          <w:highlight w:val="none"/>
        </w:rPr>
        <w:t>2</w:t>
      </w:r>
      <w:r>
        <w:rPr>
          <w:rFonts w:hint="eastAsia" w:ascii="宋体" w:hAnsi="宋体" w:eastAsia="宋体" w:cs="宋体"/>
          <w:bCs/>
          <w:i w:val="0"/>
          <w:iCs w:val="0"/>
          <w:color w:val="auto"/>
          <w:sz w:val="24"/>
          <w:szCs w:val="24"/>
          <w:highlight w:val="none"/>
          <w:lang w:val="en-US" w:eastAsia="zh-CN"/>
        </w:rPr>
        <w:t>4</w:t>
      </w:r>
      <w:r>
        <w:rPr>
          <w:rFonts w:hint="eastAsia" w:ascii="宋体" w:hAnsi="宋体" w:eastAsia="宋体" w:cs="宋体"/>
          <w:bCs/>
          <w:i w:val="0"/>
          <w:iCs w:val="0"/>
          <w:color w:val="auto"/>
          <w:sz w:val="24"/>
          <w:szCs w:val="24"/>
          <w:highlight w:val="none"/>
        </w:rPr>
        <w:t>、</w:t>
      </w:r>
      <w:bookmarkEnd w:id="141"/>
      <w:r>
        <w:rPr>
          <w:rFonts w:hint="eastAsia" w:ascii="宋体" w:hAnsi="宋体" w:eastAsia="宋体" w:cs="宋体"/>
          <w:bCs/>
          <w:i w:val="0"/>
          <w:iCs w:val="0"/>
          <w:color w:val="auto"/>
          <w:sz w:val="24"/>
          <w:szCs w:val="24"/>
          <w:highlight w:val="none"/>
        </w:rPr>
        <w:t>确定</w:t>
      </w:r>
      <w:bookmarkEnd w:id="142"/>
      <w:bookmarkEnd w:id="143"/>
      <w:r>
        <w:rPr>
          <w:rFonts w:hint="eastAsia" w:ascii="宋体" w:hAnsi="宋体" w:eastAsia="宋体" w:cs="宋体"/>
          <w:bCs/>
          <w:i w:val="0"/>
          <w:iCs w:val="0"/>
          <w:color w:val="auto"/>
          <w:sz w:val="24"/>
          <w:szCs w:val="24"/>
          <w:highlight w:val="none"/>
        </w:rPr>
        <w:t>成交单位</w:t>
      </w:r>
    </w:p>
    <w:p w14:paraId="111C9BFD">
      <w:pPr>
        <w:pageBreakBefore w:val="0"/>
        <w:widowControl w:val="0"/>
        <w:tabs>
          <w:tab w:val="left" w:pos="900"/>
        </w:tabs>
        <w:spacing w:line="360" w:lineRule="auto"/>
        <w:ind w:firstLine="480"/>
        <w:rPr>
          <w:rFonts w:hint="eastAsia" w:ascii="宋体" w:hAnsi="宋体" w:eastAsia="宋体" w:cs="宋体"/>
          <w:color w:val="auto"/>
          <w:sz w:val="24"/>
          <w:szCs w:val="21"/>
          <w:highlight w:val="none"/>
        </w:rPr>
      </w:pPr>
      <w:bookmarkStart w:id="144" w:name="_Toc200451960"/>
      <w:r>
        <w:rPr>
          <w:rFonts w:hint="eastAsia" w:ascii="宋体" w:hAnsi="宋体" w:eastAsia="宋体" w:cs="宋体"/>
          <w:bCs/>
          <w:color w:val="auto"/>
          <w:sz w:val="24"/>
          <w:szCs w:val="21"/>
          <w:highlight w:val="none"/>
        </w:rPr>
        <w:t>2</w:t>
      </w:r>
      <w:r>
        <w:rPr>
          <w:rFonts w:hint="eastAsia" w:ascii="宋体" w:hAnsi="宋体" w:eastAsia="宋体" w:cs="宋体"/>
          <w:bCs/>
          <w:color w:val="auto"/>
          <w:sz w:val="24"/>
          <w:szCs w:val="21"/>
          <w:highlight w:val="none"/>
          <w:lang w:val="en-US" w:eastAsia="zh-CN"/>
        </w:rPr>
        <w:t>7</w:t>
      </w:r>
      <w:r>
        <w:rPr>
          <w:rFonts w:hint="eastAsia" w:ascii="宋体" w:hAnsi="宋体" w:eastAsia="宋体" w:cs="宋体"/>
          <w:bCs/>
          <w:color w:val="auto"/>
          <w:sz w:val="24"/>
          <w:szCs w:val="21"/>
          <w:highlight w:val="none"/>
        </w:rPr>
        <w:t>.1磋商小组根据综合评分情况，按照评审得分由高到低顺序推荐3名成交候选供应商，并编写评审报告。评审得分相同的，按照最后报价由低到高的顺序推荐。评审得分且最后报价相同的，按照技术指标优劣顺序推荐</w:t>
      </w:r>
      <w:r>
        <w:rPr>
          <w:rFonts w:hint="eastAsia" w:ascii="宋体" w:hAnsi="宋体" w:eastAsia="宋体" w:cs="宋体"/>
          <w:color w:val="auto"/>
          <w:sz w:val="24"/>
          <w:szCs w:val="21"/>
          <w:highlight w:val="none"/>
        </w:rPr>
        <w:t>。</w:t>
      </w:r>
    </w:p>
    <w:p w14:paraId="40073498">
      <w:pPr>
        <w:pageBreakBefore w:val="0"/>
        <w:widowControl w:val="0"/>
        <w:spacing w:line="360" w:lineRule="auto"/>
        <w:ind w:firstLine="480"/>
        <w:rPr>
          <w:rFonts w:hint="eastAsia" w:ascii="宋体" w:hAnsi="宋体" w:eastAsia="宋体" w:cs="宋体"/>
          <w:bCs/>
          <w:color w:val="auto"/>
          <w:sz w:val="24"/>
          <w:szCs w:val="21"/>
          <w:highlight w:val="none"/>
        </w:rPr>
      </w:pPr>
      <w:r>
        <w:rPr>
          <w:rFonts w:hint="eastAsia" w:ascii="宋体" w:hAnsi="宋体" w:eastAsia="宋体" w:cs="宋体"/>
          <w:bCs/>
          <w:color w:val="auto"/>
          <w:sz w:val="24"/>
          <w:szCs w:val="21"/>
          <w:highlight w:val="none"/>
        </w:rPr>
        <w:t>2</w:t>
      </w:r>
      <w:r>
        <w:rPr>
          <w:rFonts w:hint="eastAsia" w:ascii="宋体" w:hAnsi="宋体" w:eastAsia="宋体" w:cs="宋体"/>
          <w:bCs/>
          <w:color w:val="auto"/>
          <w:sz w:val="24"/>
          <w:szCs w:val="21"/>
          <w:highlight w:val="none"/>
          <w:lang w:val="en-US" w:eastAsia="zh-CN"/>
        </w:rPr>
        <w:t>7</w:t>
      </w:r>
      <w:r>
        <w:rPr>
          <w:rFonts w:hint="eastAsia" w:ascii="宋体" w:hAnsi="宋体" w:eastAsia="宋体" w:cs="宋体"/>
          <w:bCs/>
          <w:color w:val="auto"/>
          <w:sz w:val="24"/>
          <w:szCs w:val="21"/>
          <w:highlight w:val="none"/>
        </w:rPr>
        <w:t>.2采购人从评审报告提出的成交候选供应商中，按照排序由高到低的原则确定成交供应商。采购人确定成交供应商后，</w:t>
      </w:r>
      <w:r>
        <w:rPr>
          <w:rFonts w:hint="eastAsia" w:ascii="宋体" w:hAnsi="宋体" w:eastAsia="宋体" w:cs="宋体"/>
          <w:bCs/>
          <w:color w:val="auto"/>
          <w:sz w:val="24"/>
          <w:szCs w:val="24"/>
          <w:highlight w:val="none"/>
        </w:rPr>
        <w:t>采购</w:t>
      </w:r>
      <w:r>
        <w:rPr>
          <w:rFonts w:hint="eastAsia" w:ascii="宋体" w:hAnsi="宋体" w:eastAsia="宋体" w:cs="宋体"/>
          <w:bCs/>
          <w:color w:val="auto"/>
          <w:sz w:val="24"/>
          <w:szCs w:val="24"/>
          <w:highlight w:val="none"/>
          <w:lang w:val="en-US" w:eastAsia="zh-CN"/>
        </w:rPr>
        <w:t>代理机构</w:t>
      </w:r>
      <w:r>
        <w:rPr>
          <w:rFonts w:hint="eastAsia" w:ascii="宋体" w:hAnsi="宋体" w:eastAsia="宋体" w:cs="宋体"/>
          <w:bCs/>
          <w:color w:val="auto"/>
          <w:sz w:val="24"/>
          <w:szCs w:val="21"/>
          <w:highlight w:val="none"/>
        </w:rPr>
        <w:t>将在“江苏政府采购网”发布成交结果公告，公告期限为1个工作日。</w:t>
      </w:r>
    </w:p>
    <w:p w14:paraId="27870FB3">
      <w:pPr>
        <w:pageBreakBefore w:val="0"/>
        <w:widowControl w:val="0"/>
        <w:spacing w:line="360" w:lineRule="auto"/>
        <w:ind w:firstLine="480"/>
        <w:rPr>
          <w:rFonts w:hint="eastAsia" w:ascii="宋体" w:hAnsi="宋体" w:eastAsia="宋体" w:cs="宋体"/>
          <w:bCs/>
          <w:color w:val="auto"/>
          <w:sz w:val="24"/>
          <w:szCs w:val="21"/>
          <w:highlight w:val="none"/>
        </w:rPr>
      </w:pPr>
      <w:r>
        <w:rPr>
          <w:rFonts w:hint="eastAsia" w:ascii="宋体" w:hAnsi="宋体" w:eastAsia="宋体" w:cs="宋体"/>
          <w:bCs/>
          <w:color w:val="auto"/>
          <w:sz w:val="24"/>
          <w:szCs w:val="21"/>
          <w:highlight w:val="none"/>
        </w:rPr>
        <w:t>2</w:t>
      </w:r>
      <w:r>
        <w:rPr>
          <w:rFonts w:hint="eastAsia" w:ascii="宋体" w:hAnsi="宋体" w:eastAsia="宋体" w:cs="宋体"/>
          <w:bCs/>
          <w:color w:val="auto"/>
          <w:sz w:val="24"/>
          <w:szCs w:val="21"/>
          <w:highlight w:val="none"/>
          <w:lang w:val="en-US" w:eastAsia="zh-CN"/>
        </w:rPr>
        <w:t>7</w:t>
      </w:r>
      <w:r>
        <w:rPr>
          <w:rFonts w:hint="eastAsia" w:ascii="宋体" w:hAnsi="宋体" w:eastAsia="宋体" w:cs="宋体"/>
          <w:bCs/>
          <w:color w:val="auto"/>
          <w:sz w:val="24"/>
          <w:szCs w:val="21"/>
          <w:highlight w:val="none"/>
        </w:rPr>
        <w:t>.3若有充分证据证明，成交供应商出现下列情况之一的，一经查实，将被取消成交资格：</w:t>
      </w:r>
    </w:p>
    <w:p w14:paraId="31401A19">
      <w:pPr>
        <w:pageBreakBefore w:val="0"/>
        <w:widowControl w:val="0"/>
        <w:spacing w:line="360" w:lineRule="auto"/>
        <w:ind w:firstLine="480"/>
        <w:rPr>
          <w:rFonts w:hint="eastAsia" w:ascii="宋体" w:hAnsi="宋体" w:eastAsia="宋体" w:cs="宋体"/>
          <w:bCs/>
          <w:color w:val="auto"/>
          <w:sz w:val="24"/>
          <w:szCs w:val="21"/>
          <w:highlight w:val="none"/>
        </w:rPr>
      </w:pPr>
      <w:r>
        <w:rPr>
          <w:rFonts w:hint="eastAsia" w:ascii="宋体" w:hAnsi="宋体" w:eastAsia="宋体" w:cs="宋体"/>
          <w:bCs/>
          <w:color w:val="auto"/>
          <w:sz w:val="24"/>
          <w:szCs w:val="21"/>
          <w:highlight w:val="none"/>
        </w:rPr>
        <w:t>2</w:t>
      </w:r>
      <w:r>
        <w:rPr>
          <w:rFonts w:hint="eastAsia" w:ascii="宋体" w:hAnsi="宋体" w:eastAsia="宋体" w:cs="宋体"/>
          <w:bCs/>
          <w:color w:val="auto"/>
          <w:sz w:val="24"/>
          <w:szCs w:val="21"/>
          <w:highlight w:val="none"/>
          <w:lang w:val="en-US" w:eastAsia="zh-CN"/>
        </w:rPr>
        <w:t>7</w:t>
      </w:r>
      <w:r>
        <w:rPr>
          <w:rFonts w:hint="eastAsia" w:ascii="宋体" w:hAnsi="宋体" w:eastAsia="宋体" w:cs="宋体"/>
          <w:bCs/>
          <w:color w:val="auto"/>
          <w:sz w:val="24"/>
          <w:szCs w:val="21"/>
          <w:highlight w:val="none"/>
        </w:rPr>
        <w:t>.3.1提供虚假材料谋取成交的。</w:t>
      </w:r>
    </w:p>
    <w:p w14:paraId="2DB70B2E">
      <w:pPr>
        <w:pageBreakBefore w:val="0"/>
        <w:widowControl w:val="0"/>
        <w:spacing w:line="360" w:lineRule="auto"/>
        <w:ind w:firstLine="480"/>
        <w:rPr>
          <w:rFonts w:hint="eastAsia" w:ascii="宋体" w:hAnsi="宋体" w:eastAsia="宋体" w:cs="宋体"/>
          <w:bCs/>
          <w:color w:val="auto"/>
          <w:sz w:val="24"/>
          <w:szCs w:val="21"/>
          <w:highlight w:val="none"/>
        </w:rPr>
      </w:pPr>
      <w:r>
        <w:rPr>
          <w:rFonts w:hint="eastAsia" w:ascii="宋体" w:hAnsi="宋体" w:eastAsia="宋体" w:cs="宋体"/>
          <w:bCs/>
          <w:color w:val="auto"/>
          <w:sz w:val="24"/>
          <w:szCs w:val="21"/>
          <w:highlight w:val="none"/>
        </w:rPr>
        <w:t>2</w:t>
      </w:r>
      <w:r>
        <w:rPr>
          <w:rFonts w:hint="eastAsia" w:ascii="宋体" w:hAnsi="宋体" w:eastAsia="宋体" w:cs="宋体"/>
          <w:bCs/>
          <w:color w:val="auto"/>
          <w:sz w:val="24"/>
          <w:szCs w:val="21"/>
          <w:highlight w:val="none"/>
          <w:lang w:val="en-US" w:eastAsia="zh-CN"/>
        </w:rPr>
        <w:t>7</w:t>
      </w:r>
      <w:r>
        <w:rPr>
          <w:rFonts w:hint="eastAsia" w:ascii="宋体" w:hAnsi="宋体" w:eastAsia="宋体" w:cs="宋体"/>
          <w:bCs/>
          <w:color w:val="auto"/>
          <w:sz w:val="24"/>
          <w:szCs w:val="21"/>
          <w:highlight w:val="none"/>
        </w:rPr>
        <w:t>.3.2与评审专家、采购人、其他供应商或者</w:t>
      </w:r>
      <w:r>
        <w:rPr>
          <w:rFonts w:hint="eastAsia" w:ascii="宋体" w:hAnsi="宋体" w:eastAsia="宋体" w:cs="宋体"/>
          <w:bCs/>
          <w:color w:val="auto"/>
          <w:sz w:val="24"/>
          <w:szCs w:val="24"/>
          <w:highlight w:val="none"/>
        </w:rPr>
        <w:t>采购</w:t>
      </w:r>
      <w:r>
        <w:rPr>
          <w:rFonts w:hint="eastAsia" w:ascii="宋体" w:hAnsi="宋体" w:eastAsia="宋体" w:cs="宋体"/>
          <w:bCs/>
          <w:color w:val="auto"/>
          <w:sz w:val="24"/>
          <w:szCs w:val="24"/>
          <w:highlight w:val="none"/>
          <w:lang w:val="en-US" w:eastAsia="zh-CN"/>
        </w:rPr>
        <w:t>代理机构</w:t>
      </w:r>
      <w:r>
        <w:rPr>
          <w:rFonts w:hint="eastAsia" w:ascii="宋体" w:hAnsi="宋体" w:eastAsia="宋体" w:cs="宋体"/>
          <w:bCs/>
          <w:color w:val="auto"/>
          <w:sz w:val="24"/>
          <w:szCs w:val="21"/>
          <w:highlight w:val="none"/>
        </w:rPr>
        <w:t>工作人员恶意串通的。</w:t>
      </w:r>
    </w:p>
    <w:p w14:paraId="139DEBD6">
      <w:pPr>
        <w:pageBreakBefore w:val="0"/>
        <w:widowControl w:val="0"/>
        <w:spacing w:line="360" w:lineRule="auto"/>
        <w:ind w:firstLine="480"/>
        <w:rPr>
          <w:rFonts w:hint="eastAsia" w:ascii="宋体" w:hAnsi="宋体" w:eastAsia="宋体" w:cs="宋体"/>
          <w:bCs/>
          <w:color w:val="auto"/>
          <w:sz w:val="24"/>
          <w:szCs w:val="21"/>
          <w:highlight w:val="none"/>
        </w:rPr>
      </w:pPr>
      <w:r>
        <w:rPr>
          <w:rFonts w:hint="eastAsia" w:ascii="宋体" w:hAnsi="宋体" w:eastAsia="宋体" w:cs="宋体"/>
          <w:bCs/>
          <w:color w:val="auto"/>
          <w:sz w:val="24"/>
          <w:szCs w:val="21"/>
          <w:highlight w:val="none"/>
        </w:rPr>
        <w:t>2</w:t>
      </w:r>
      <w:r>
        <w:rPr>
          <w:rFonts w:hint="eastAsia" w:ascii="宋体" w:hAnsi="宋体" w:eastAsia="宋体" w:cs="宋体"/>
          <w:bCs/>
          <w:color w:val="auto"/>
          <w:sz w:val="24"/>
          <w:szCs w:val="21"/>
          <w:highlight w:val="none"/>
          <w:lang w:val="en-US" w:eastAsia="zh-CN"/>
        </w:rPr>
        <w:t>7</w:t>
      </w:r>
      <w:r>
        <w:rPr>
          <w:rFonts w:hint="eastAsia" w:ascii="宋体" w:hAnsi="宋体" w:eastAsia="宋体" w:cs="宋体"/>
          <w:bCs/>
          <w:color w:val="auto"/>
          <w:sz w:val="24"/>
          <w:szCs w:val="21"/>
          <w:highlight w:val="none"/>
        </w:rPr>
        <w:t>.3.3向评审专家、采购人或</w:t>
      </w:r>
      <w:r>
        <w:rPr>
          <w:rFonts w:hint="eastAsia" w:ascii="宋体" w:hAnsi="宋体" w:eastAsia="宋体" w:cs="宋体"/>
          <w:bCs/>
          <w:color w:val="auto"/>
          <w:sz w:val="24"/>
          <w:szCs w:val="24"/>
          <w:highlight w:val="none"/>
        </w:rPr>
        <w:t>采购</w:t>
      </w:r>
      <w:r>
        <w:rPr>
          <w:rFonts w:hint="eastAsia" w:ascii="宋体" w:hAnsi="宋体" w:eastAsia="宋体" w:cs="宋体"/>
          <w:bCs/>
          <w:color w:val="auto"/>
          <w:sz w:val="24"/>
          <w:szCs w:val="24"/>
          <w:highlight w:val="none"/>
          <w:lang w:val="en-US" w:eastAsia="zh-CN"/>
        </w:rPr>
        <w:t>代理机构</w:t>
      </w:r>
      <w:r>
        <w:rPr>
          <w:rFonts w:hint="eastAsia" w:ascii="宋体" w:hAnsi="宋体" w:eastAsia="宋体" w:cs="宋体"/>
          <w:bCs/>
          <w:color w:val="auto"/>
          <w:sz w:val="24"/>
          <w:szCs w:val="21"/>
          <w:highlight w:val="none"/>
        </w:rPr>
        <w:t>工作人员行贿或者提供其他不正当利益的。</w:t>
      </w:r>
    </w:p>
    <w:p w14:paraId="16F0DF49">
      <w:pPr>
        <w:pageBreakBefore w:val="0"/>
        <w:widowControl w:val="0"/>
        <w:spacing w:line="360" w:lineRule="auto"/>
        <w:ind w:firstLine="480"/>
        <w:rPr>
          <w:rFonts w:hint="eastAsia" w:ascii="宋体" w:hAnsi="宋体" w:eastAsia="宋体" w:cs="宋体"/>
          <w:bCs/>
          <w:color w:val="auto"/>
          <w:sz w:val="24"/>
          <w:szCs w:val="21"/>
          <w:highlight w:val="none"/>
        </w:rPr>
      </w:pPr>
      <w:r>
        <w:rPr>
          <w:rFonts w:hint="eastAsia" w:ascii="宋体" w:hAnsi="宋体" w:eastAsia="宋体" w:cs="宋体"/>
          <w:bCs/>
          <w:color w:val="auto"/>
          <w:sz w:val="24"/>
          <w:szCs w:val="21"/>
          <w:highlight w:val="none"/>
        </w:rPr>
        <w:t>2</w:t>
      </w:r>
      <w:r>
        <w:rPr>
          <w:rFonts w:hint="eastAsia" w:ascii="宋体" w:hAnsi="宋体" w:eastAsia="宋体" w:cs="宋体"/>
          <w:bCs/>
          <w:color w:val="auto"/>
          <w:sz w:val="24"/>
          <w:szCs w:val="21"/>
          <w:highlight w:val="none"/>
          <w:lang w:val="en-US" w:eastAsia="zh-CN"/>
        </w:rPr>
        <w:t>7</w:t>
      </w:r>
      <w:r>
        <w:rPr>
          <w:rFonts w:hint="eastAsia" w:ascii="宋体" w:hAnsi="宋体" w:eastAsia="宋体" w:cs="宋体"/>
          <w:bCs/>
          <w:color w:val="auto"/>
          <w:sz w:val="24"/>
          <w:szCs w:val="21"/>
          <w:highlight w:val="none"/>
        </w:rPr>
        <w:t>.3.4恶意竞争，最后报价明显低于其自身合理成本且又无法提供证明的。</w:t>
      </w:r>
    </w:p>
    <w:p w14:paraId="66CB630C">
      <w:pPr>
        <w:pageBreakBefore w:val="0"/>
        <w:widowControl w:val="0"/>
        <w:spacing w:line="360" w:lineRule="auto"/>
        <w:ind w:firstLine="480"/>
        <w:rPr>
          <w:rFonts w:hint="eastAsia" w:ascii="宋体" w:hAnsi="宋体" w:eastAsia="宋体" w:cs="宋体"/>
          <w:bCs/>
          <w:color w:val="auto"/>
          <w:sz w:val="24"/>
          <w:szCs w:val="21"/>
          <w:highlight w:val="none"/>
        </w:rPr>
      </w:pPr>
      <w:r>
        <w:rPr>
          <w:rFonts w:hint="eastAsia" w:ascii="宋体" w:hAnsi="宋体" w:eastAsia="宋体" w:cs="宋体"/>
          <w:bCs/>
          <w:color w:val="auto"/>
          <w:sz w:val="24"/>
          <w:szCs w:val="21"/>
          <w:highlight w:val="none"/>
        </w:rPr>
        <w:t>2</w:t>
      </w:r>
      <w:r>
        <w:rPr>
          <w:rFonts w:hint="eastAsia" w:ascii="宋体" w:hAnsi="宋体" w:eastAsia="宋体" w:cs="宋体"/>
          <w:bCs/>
          <w:color w:val="auto"/>
          <w:sz w:val="24"/>
          <w:szCs w:val="21"/>
          <w:highlight w:val="none"/>
          <w:lang w:val="en-US" w:eastAsia="zh-CN"/>
        </w:rPr>
        <w:t>7</w:t>
      </w:r>
      <w:r>
        <w:rPr>
          <w:rFonts w:hint="eastAsia" w:ascii="宋体" w:hAnsi="宋体" w:eastAsia="宋体" w:cs="宋体"/>
          <w:bCs/>
          <w:color w:val="auto"/>
          <w:sz w:val="24"/>
          <w:szCs w:val="21"/>
          <w:highlight w:val="none"/>
        </w:rPr>
        <w:t>.3.5不满足本磋商文件规定的实质性要求，但在评审过程中又未被磋商小组发现的。</w:t>
      </w:r>
    </w:p>
    <w:p w14:paraId="50B502CC">
      <w:pPr>
        <w:pageBreakBefore w:val="0"/>
        <w:widowControl w:val="0"/>
        <w:spacing w:line="360" w:lineRule="auto"/>
        <w:ind w:firstLine="480"/>
        <w:rPr>
          <w:rFonts w:hint="eastAsia" w:ascii="宋体" w:hAnsi="宋体" w:eastAsia="宋体" w:cs="宋体"/>
          <w:bCs/>
          <w:color w:val="auto"/>
          <w:sz w:val="24"/>
          <w:szCs w:val="21"/>
          <w:highlight w:val="none"/>
        </w:rPr>
      </w:pPr>
      <w:r>
        <w:rPr>
          <w:rFonts w:hint="eastAsia" w:ascii="宋体" w:hAnsi="宋体" w:eastAsia="宋体" w:cs="宋体"/>
          <w:bCs/>
          <w:color w:val="auto"/>
          <w:sz w:val="24"/>
          <w:szCs w:val="21"/>
          <w:highlight w:val="none"/>
        </w:rPr>
        <w:t>2</w:t>
      </w:r>
      <w:r>
        <w:rPr>
          <w:rFonts w:hint="eastAsia" w:ascii="宋体" w:hAnsi="宋体" w:eastAsia="宋体" w:cs="宋体"/>
          <w:bCs/>
          <w:color w:val="auto"/>
          <w:sz w:val="24"/>
          <w:szCs w:val="21"/>
          <w:highlight w:val="none"/>
          <w:lang w:val="en-US" w:eastAsia="zh-CN"/>
        </w:rPr>
        <w:t>7</w:t>
      </w:r>
      <w:r>
        <w:rPr>
          <w:rFonts w:hint="eastAsia" w:ascii="宋体" w:hAnsi="宋体" w:eastAsia="宋体" w:cs="宋体"/>
          <w:bCs/>
          <w:color w:val="auto"/>
          <w:sz w:val="24"/>
          <w:szCs w:val="21"/>
          <w:highlight w:val="none"/>
        </w:rPr>
        <w:t>.3.6成交后无正当理由拒不与采购人签订政府采购合同或者未按照磋商文件确定的事项签订政府采购合同的。</w:t>
      </w:r>
    </w:p>
    <w:p w14:paraId="5DE9F503">
      <w:pPr>
        <w:keepNext/>
        <w:keepLines/>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3"/>
        <w:rPr>
          <w:rFonts w:hint="eastAsia" w:ascii="宋体" w:hAnsi="宋体" w:eastAsia="宋体" w:cs="宋体"/>
          <w:bCs/>
          <w:color w:val="auto"/>
          <w:sz w:val="24"/>
          <w:szCs w:val="21"/>
          <w:highlight w:val="none"/>
        </w:rPr>
      </w:pPr>
      <w:r>
        <w:rPr>
          <w:rFonts w:hint="eastAsia" w:ascii="宋体" w:hAnsi="宋体" w:eastAsia="宋体" w:cs="宋体"/>
          <w:bCs/>
          <w:color w:val="auto"/>
          <w:sz w:val="24"/>
          <w:szCs w:val="21"/>
          <w:highlight w:val="none"/>
        </w:rPr>
        <w:t>2</w:t>
      </w:r>
      <w:r>
        <w:rPr>
          <w:rFonts w:hint="eastAsia" w:ascii="宋体" w:hAnsi="宋体" w:eastAsia="宋体" w:cs="宋体"/>
          <w:bCs/>
          <w:color w:val="auto"/>
          <w:sz w:val="24"/>
          <w:szCs w:val="21"/>
          <w:highlight w:val="none"/>
          <w:lang w:val="en-US" w:eastAsia="zh-CN"/>
        </w:rPr>
        <w:t>7</w:t>
      </w:r>
      <w:r>
        <w:rPr>
          <w:rFonts w:hint="eastAsia" w:ascii="宋体" w:hAnsi="宋体" w:eastAsia="宋体" w:cs="宋体"/>
          <w:bCs/>
          <w:color w:val="auto"/>
          <w:sz w:val="24"/>
          <w:szCs w:val="21"/>
          <w:highlight w:val="none"/>
        </w:rPr>
        <w:t>.3.7将政府采购合同转包的。</w:t>
      </w:r>
    </w:p>
    <w:p w14:paraId="634F943C">
      <w:pPr>
        <w:keepNext/>
        <w:keepLines/>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3"/>
        <w:rPr>
          <w:rFonts w:hint="eastAsia" w:ascii="宋体" w:hAnsi="宋体" w:eastAsia="宋体" w:cs="宋体"/>
          <w:bCs/>
          <w:i w:val="0"/>
          <w:iCs w:val="0"/>
          <w:color w:val="auto"/>
          <w:sz w:val="24"/>
          <w:szCs w:val="24"/>
          <w:highlight w:val="none"/>
        </w:rPr>
      </w:pPr>
      <w:r>
        <w:rPr>
          <w:rFonts w:hint="eastAsia" w:ascii="宋体" w:hAnsi="宋体" w:eastAsia="宋体" w:cs="宋体"/>
          <w:bCs/>
          <w:i w:val="0"/>
          <w:iCs w:val="0"/>
          <w:color w:val="auto"/>
          <w:sz w:val="24"/>
          <w:szCs w:val="24"/>
          <w:highlight w:val="none"/>
        </w:rPr>
        <w:t>2</w:t>
      </w:r>
      <w:r>
        <w:rPr>
          <w:rFonts w:hint="eastAsia" w:ascii="宋体" w:hAnsi="宋体" w:cs="宋体"/>
          <w:bCs/>
          <w:i w:val="0"/>
          <w:iCs w:val="0"/>
          <w:color w:val="auto"/>
          <w:sz w:val="24"/>
          <w:szCs w:val="24"/>
          <w:highlight w:val="none"/>
          <w:lang w:val="en-US" w:eastAsia="zh-CN"/>
        </w:rPr>
        <w:t>8</w:t>
      </w:r>
      <w:r>
        <w:rPr>
          <w:rFonts w:hint="eastAsia" w:ascii="宋体" w:hAnsi="宋体" w:eastAsia="宋体" w:cs="宋体"/>
          <w:bCs/>
          <w:i w:val="0"/>
          <w:iCs w:val="0"/>
          <w:color w:val="auto"/>
          <w:sz w:val="24"/>
          <w:szCs w:val="24"/>
          <w:highlight w:val="none"/>
        </w:rPr>
        <w:t>、质疑处理</w:t>
      </w:r>
      <w:bookmarkEnd w:id="144"/>
    </w:p>
    <w:p w14:paraId="413AAC8D">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w:t>
      </w:r>
      <w:r>
        <w:rPr>
          <w:rFonts w:hint="eastAsia" w:ascii="宋体" w:hAnsi="宋体" w:cs="宋体"/>
          <w:i w:val="0"/>
          <w:iCs w:val="0"/>
          <w:color w:val="auto"/>
          <w:sz w:val="24"/>
          <w:szCs w:val="24"/>
          <w:highlight w:val="none"/>
          <w:lang w:val="en-US" w:eastAsia="zh-CN"/>
        </w:rPr>
        <w:t>8</w:t>
      </w:r>
      <w:r>
        <w:rPr>
          <w:rFonts w:hint="eastAsia" w:ascii="宋体" w:hAnsi="宋体" w:eastAsia="宋体" w:cs="宋体"/>
          <w:i w:val="0"/>
          <w:iCs w:val="0"/>
          <w:color w:val="auto"/>
          <w:sz w:val="24"/>
          <w:szCs w:val="24"/>
          <w:highlight w:val="none"/>
        </w:rPr>
        <w:t>.1 提出质疑的供应商应当是参与所质疑项目采购活动的供应商。潜在供应商依法获取其可质疑的采购文件的，可以对采购文件提出质疑。</w:t>
      </w:r>
    </w:p>
    <w:p w14:paraId="0B73174A">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w:t>
      </w:r>
      <w:r>
        <w:rPr>
          <w:rFonts w:hint="eastAsia" w:ascii="宋体" w:hAnsi="宋体" w:cs="宋体"/>
          <w:i w:val="0"/>
          <w:iCs w:val="0"/>
          <w:color w:val="auto"/>
          <w:sz w:val="24"/>
          <w:szCs w:val="24"/>
          <w:highlight w:val="none"/>
          <w:lang w:val="en-US" w:eastAsia="zh-CN"/>
        </w:rPr>
        <w:t>8</w:t>
      </w:r>
      <w:r>
        <w:rPr>
          <w:rFonts w:hint="eastAsia" w:ascii="宋体" w:hAnsi="宋体" w:eastAsia="宋体" w:cs="宋体"/>
          <w:i w:val="0"/>
          <w:iCs w:val="0"/>
          <w:color w:val="auto"/>
          <w:sz w:val="24"/>
          <w:szCs w:val="24"/>
          <w:highlight w:val="none"/>
        </w:rPr>
        <w:t>.2供应商认为采购文件、采购过程和采购结果使自己的权益受到损害的，可以在知道或应知其权益受到损害之日起七个工作日内，以书面形式根据下述29.4条款的规定向</w:t>
      </w:r>
      <w:r>
        <w:rPr>
          <w:rFonts w:hint="eastAsia" w:ascii="宋体" w:hAnsi="宋体" w:eastAsia="宋体" w:cs="宋体"/>
          <w:i w:val="0"/>
          <w:iCs w:val="0"/>
          <w:color w:val="auto"/>
          <w:sz w:val="24"/>
          <w:szCs w:val="24"/>
          <w:highlight w:val="none"/>
          <w:lang w:eastAsia="zh-CN"/>
        </w:rPr>
        <w:t>招标代理公司</w:t>
      </w:r>
      <w:r>
        <w:rPr>
          <w:rFonts w:hint="eastAsia" w:ascii="宋体" w:hAnsi="宋体" w:eastAsia="宋体" w:cs="宋体"/>
          <w:i w:val="0"/>
          <w:iCs w:val="0"/>
          <w:color w:val="auto"/>
          <w:sz w:val="24"/>
          <w:szCs w:val="24"/>
          <w:highlight w:val="none"/>
        </w:rPr>
        <w:t>或采购人提出质疑。上述应知其权益受到损害之日，是指：</w:t>
      </w:r>
    </w:p>
    <w:p w14:paraId="3CFCF89A">
      <w:pPr>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w:t>
      </w:r>
      <w:r>
        <w:rPr>
          <w:rFonts w:hint="eastAsia" w:ascii="宋体" w:hAnsi="宋体" w:cs="宋体"/>
          <w:i w:val="0"/>
          <w:iCs w:val="0"/>
          <w:color w:val="auto"/>
          <w:sz w:val="24"/>
          <w:szCs w:val="24"/>
          <w:highlight w:val="none"/>
          <w:lang w:val="en-US" w:eastAsia="zh-CN"/>
        </w:rPr>
        <w:t>8</w:t>
      </w:r>
      <w:r>
        <w:rPr>
          <w:rFonts w:hint="eastAsia" w:ascii="宋体" w:hAnsi="宋体" w:eastAsia="宋体" w:cs="宋体"/>
          <w:i w:val="0"/>
          <w:iCs w:val="0"/>
          <w:color w:val="auto"/>
          <w:sz w:val="24"/>
          <w:szCs w:val="24"/>
          <w:highlight w:val="none"/>
        </w:rPr>
        <w:t>.2.1对可以质疑的采购文件提出质疑的，为收到采购文件之日或者采购文件公告期限届满之日。</w:t>
      </w:r>
      <w:r>
        <w:rPr>
          <w:rFonts w:hint="eastAsia" w:ascii="宋体" w:hAnsi="宋体" w:eastAsia="宋体" w:cs="宋体"/>
          <w:i w:val="0"/>
          <w:iCs w:val="0"/>
          <w:color w:val="auto"/>
          <w:sz w:val="24"/>
          <w:szCs w:val="24"/>
          <w:highlight w:val="none"/>
        </w:rPr>
        <w:br w:type="textWrapping" w:clear="all"/>
      </w:r>
      <w:r>
        <w:rPr>
          <w:rFonts w:hint="eastAsia" w:ascii="宋体" w:hAnsi="宋体" w:eastAsia="宋体" w:cs="宋体"/>
          <w:i w:val="0"/>
          <w:iCs w:val="0"/>
          <w:color w:val="auto"/>
          <w:sz w:val="24"/>
          <w:szCs w:val="24"/>
          <w:highlight w:val="none"/>
        </w:rPr>
        <w:t>　　2</w:t>
      </w:r>
      <w:r>
        <w:rPr>
          <w:rFonts w:hint="eastAsia" w:ascii="宋体" w:hAnsi="宋体" w:cs="宋体"/>
          <w:i w:val="0"/>
          <w:iCs w:val="0"/>
          <w:color w:val="auto"/>
          <w:sz w:val="24"/>
          <w:szCs w:val="24"/>
          <w:highlight w:val="none"/>
          <w:lang w:val="en-US" w:eastAsia="zh-CN"/>
        </w:rPr>
        <w:t>8</w:t>
      </w:r>
      <w:r>
        <w:rPr>
          <w:rFonts w:hint="eastAsia" w:ascii="宋体" w:hAnsi="宋体" w:eastAsia="宋体" w:cs="宋体"/>
          <w:i w:val="0"/>
          <w:iCs w:val="0"/>
          <w:color w:val="auto"/>
          <w:sz w:val="24"/>
          <w:szCs w:val="24"/>
          <w:highlight w:val="none"/>
        </w:rPr>
        <w:t>.2.2对采购过程提出质疑的，为各采购程序环节结束之日。</w:t>
      </w:r>
      <w:r>
        <w:rPr>
          <w:rFonts w:hint="eastAsia" w:ascii="宋体" w:hAnsi="宋体" w:eastAsia="宋体" w:cs="宋体"/>
          <w:i w:val="0"/>
          <w:iCs w:val="0"/>
          <w:color w:val="auto"/>
          <w:sz w:val="24"/>
          <w:szCs w:val="24"/>
          <w:highlight w:val="none"/>
        </w:rPr>
        <w:br w:type="textWrapping" w:clear="all"/>
      </w:r>
      <w:r>
        <w:rPr>
          <w:rFonts w:hint="eastAsia" w:ascii="宋体" w:hAnsi="宋体" w:eastAsia="宋体" w:cs="宋体"/>
          <w:i w:val="0"/>
          <w:iCs w:val="0"/>
          <w:color w:val="auto"/>
          <w:sz w:val="24"/>
          <w:szCs w:val="24"/>
          <w:highlight w:val="none"/>
        </w:rPr>
        <w:t>　　2</w:t>
      </w:r>
      <w:r>
        <w:rPr>
          <w:rFonts w:hint="eastAsia" w:ascii="宋体" w:hAnsi="宋体" w:cs="宋体"/>
          <w:i w:val="0"/>
          <w:iCs w:val="0"/>
          <w:color w:val="auto"/>
          <w:sz w:val="24"/>
          <w:szCs w:val="24"/>
          <w:highlight w:val="none"/>
          <w:lang w:val="en-US" w:eastAsia="zh-CN"/>
        </w:rPr>
        <w:t>8</w:t>
      </w:r>
      <w:r>
        <w:rPr>
          <w:rFonts w:hint="eastAsia" w:ascii="宋体" w:hAnsi="宋体" w:eastAsia="宋体" w:cs="宋体"/>
          <w:i w:val="0"/>
          <w:iCs w:val="0"/>
          <w:color w:val="auto"/>
          <w:sz w:val="24"/>
          <w:szCs w:val="24"/>
          <w:highlight w:val="none"/>
        </w:rPr>
        <w:t>.2.3对成交结果提出质疑的，为成交结果公告期限届满之日。</w:t>
      </w:r>
    </w:p>
    <w:p w14:paraId="723AC39C">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供应商应当在法定质疑期内一次性提出针对同一采购程序环节的质疑。供应商如在法定期限内对同一采购程序环节提出多次质疑的，</w:t>
      </w:r>
      <w:r>
        <w:rPr>
          <w:rFonts w:hint="eastAsia" w:ascii="宋体" w:hAnsi="宋体" w:eastAsia="宋体" w:cs="宋体"/>
          <w:i w:val="0"/>
          <w:iCs w:val="0"/>
          <w:color w:val="auto"/>
          <w:sz w:val="24"/>
          <w:szCs w:val="24"/>
          <w:highlight w:val="none"/>
          <w:lang w:eastAsia="zh-CN"/>
        </w:rPr>
        <w:t>招标代理公司</w:t>
      </w:r>
      <w:r>
        <w:rPr>
          <w:rFonts w:hint="eastAsia" w:ascii="宋体" w:hAnsi="宋体" w:eastAsia="宋体" w:cs="宋体"/>
          <w:i w:val="0"/>
          <w:iCs w:val="0"/>
          <w:color w:val="auto"/>
          <w:sz w:val="24"/>
          <w:szCs w:val="24"/>
          <w:highlight w:val="none"/>
        </w:rPr>
        <w:t>、采购人将只对供应商第一次质疑作出答复。</w:t>
      </w:r>
    </w:p>
    <w:p w14:paraId="36DEE40F">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w:t>
      </w:r>
      <w:r>
        <w:rPr>
          <w:rFonts w:hint="eastAsia" w:ascii="宋体" w:hAnsi="宋体" w:cs="宋体"/>
          <w:i w:val="0"/>
          <w:iCs w:val="0"/>
          <w:color w:val="auto"/>
          <w:sz w:val="24"/>
          <w:szCs w:val="24"/>
          <w:highlight w:val="none"/>
          <w:lang w:val="en-US" w:eastAsia="zh-CN"/>
        </w:rPr>
        <w:t>8</w:t>
      </w:r>
      <w:r>
        <w:rPr>
          <w:rFonts w:hint="eastAsia" w:ascii="宋体" w:hAnsi="宋体" w:eastAsia="宋体" w:cs="宋体"/>
          <w:i w:val="0"/>
          <w:iCs w:val="0"/>
          <w:color w:val="auto"/>
          <w:sz w:val="24"/>
          <w:szCs w:val="24"/>
          <w:highlight w:val="none"/>
        </w:rPr>
        <w:t>.3质疑函必须按照本磋商文件中《质疑函范本》要求的格式和内容进行填写。供应商如组成联合体参加磋商，则《质疑函范本》中要求签字、盖章、加盖公章之处，联合体各方均须按要求签字、盖章、加盖公章。</w:t>
      </w:r>
    </w:p>
    <w:p w14:paraId="446505CF">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i w:val="0"/>
          <w:iCs w:val="0"/>
          <w:color w:val="auto"/>
          <w:sz w:val="24"/>
          <w:szCs w:val="24"/>
          <w:highlight w:val="none"/>
        </w:rPr>
      </w:pPr>
      <w:r>
        <w:rPr>
          <w:rFonts w:hint="eastAsia" w:ascii="宋体" w:hAnsi="宋体" w:eastAsia="宋体" w:cs="宋体"/>
          <w:i w:val="0"/>
          <w:iCs w:val="0"/>
          <w:color w:val="auto"/>
          <w:sz w:val="24"/>
          <w:szCs w:val="24"/>
          <w:highlight w:val="none"/>
        </w:rPr>
        <w:t>2</w:t>
      </w:r>
      <w:r>
        <w:rPr>
          <w:rFonts w:hint="eastAsia" w:ascii="宋体" w:hAnsi="宋体" w:cs="宋体"/>
          <w:i w:val="0"/>
          <w:iCs w:val="0"/>
          <w:color w:val="auto"/>
          <w:sz w:val="24"/>
          <w:szCs w:val="24"/>
          <w:highlight w:val="none"/>
          <w:lang w:val="en-US" w:eastAsia="zh-CN"/>
        </w:rPr>
        <w:t>8</w:t>
      </w:r>
      <w:r>
        <w:rPr>
          <w:rFonts w:hint="eastAsia" w:ascii="宋体" w:hAnsi="宋体" w:eastAsia="宋体" w:cs="宋体"/>
          <w:i w:val="0"/>
          <w:iCs w:val="0"/>
          <w:color w:val="auto"/>
          <w:sz w:val="24"/>
          <w:szCs w:val="24"/>
          <w:highlight w:val="none"/>
        </w:rPr>
        <w:t>.4 供应商（含潜在供应商）对采购方式、采购需求、供应商资格条件、评审方法与评审标准、合同文本的询问、质疑请向采购人提出，由采购人负责答复。供应商对其他事项的询问、质疑请向</w:t>
      </w:r>
      <w:r>
        <w:rPr>
          <w:rFonts w:hint="eastAsia" w:ascii="宋体" w:hAnsi="宋体" w:eastAsia="宋体" w:cs="宋体"/>
          <w:i w:val="0"/>
          <w:iCs w:val="0"/>
          <w:color w:val="auto"/>
          <w:sz w:val="24"/>
          <w:szCs w:val="24"/>
          <w:highlight w:val="none"/>
          <w:lang w:val="en-US" w:eastAsia="zh-CN"/>
        </w:rPr>
        <w:t>代理单位</w:t>
      </w:r>
      <w:r>
        <w:rPr>
          <w:rFonts w:hint="eastAsia" w:ascii="宋体" w:hAnsi="宋体" w:eastAsia="宋体" w:cs="宋体"/>
          <w:i w:val="0"/>
          <w:iCs w:val="0"/>
          <w:color w:val="auto"/>
          <w:sz w:val="24"/>
          <w:szCs w:val="24"/>
          <w:highlight w:val="none"/>
        </w:rPr>
        <w:t>提出，由</w:t>
      </w:r>
      <w:r>
        <w:rPr>
          <w:rFonts w:hint="eastAsia" w:ascii="宋体" w:hAnsi="宋体" w:eastAsia="宋体" w:cs="宋体"/>
          <w:i w:val="0"/>
          <w:iCs w:val="0"/>
          <w:color w:val="auto"/>
          <w:sz w:val="24"/>
          <w:szCs w:val="24"/>
          <w:highlight w:val="none"/>
          <w:lang w:val="en-US" w:eastAsia="zh-CN"/>
        </w:rPr>
        <w:t>代理单位</w:t>
      </w:r>
      <w:r>
        <w:rPr>
          <w:rFonts w:hint="eastAsia" w:ascii="宋体" w:hAnsi="宋体" w:eastAsia="宋体" w:cs="宋体"/>
          <w:i w:val="0"/>
          <w:iCs w:val="0"/>
          <w:color w:val="auto"/>
          <w:sz w:val="24"/>
          <w:szCs w:val="24"/>
          <w:highlight w:val="none"/>
        </w:rPr>
        <w:t>负责答复。</w:t>
      </w:r>
    </w:p>
    <w:p w14:paraId="2C26F8BC">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采购人及</w:t>
      </w:r>
      <w:r>
        <w:rPr>
          <w:rFonts w:hint="eastAsia" w:ascii="宋体" w:hAnsi="宋体" w:eastAsia="宋体" w:cs="宋体"/>
          <w:i w:val="0"/>
          <w:iCs w:val="0"/>
          <w:color w:val="auto"/>
          <w:sz w:val="24"/>
          <w:szCs w:val="24"/>
          <w:highlight w:val="none"/>
          <w:lang w:val="en-US" w:eastAsia="zh-CN"/>
        </w:rPr>
        <w:t>代理单位</w:t>
      </w:r>
      <w:r>
        <w:rPr>
          <w:rFonts w:hint="eastAsia" w:ascii="宋体" w:hAnsi="宋体" w:eastAsia="宋体" w:cs="宋体"/>
          <w:i w:val="0"/>
          <w:iCs w:val="0"/>
          <w:color w:val="auto"/>
          <w:sz w:val="24"/>
          <w:szCs w:val="24"/>
          <w:highlight w:val="none"/>
        </w:rPr>
        <w:t>只接收以纸质原件形式送达的质疑,建议供应商尽量通过邮寄方式提交质疑（采购人和</w:t>
      </w:r>
      <w:r>
        <w:rPr>
          <w:rFonts w:hint="eastAsia" w:ascii="宋体" w:hAnsi="宋体" w:eastAsia="宋体" w:cs="宋体"/>
          <w:i w:val="0"/>
          <w:iCs w:val="0"/>
          <w:color w:val="auto"/>
          <w:sz w:val="24"/>
          <w:szCs w:val="24"/>
          <w:highlight w:val="none"/>
          <w:lang w:val="en-US" w:eastAsia="zh-CN"/>
        </w:rPr>
        <w:t>代理单位</w:t>
      </w:r>
      <w:r>
        <w:rPr>
          <w:rFonts w:hint="eastAsia" w:ascii="宋体" w:hAnsi="宋体" w:eastAsia="宋体" w:cs="宋体"/>
          <w:i w:val="0"/>
          <w:iCs w:val="0"/>
          <w:color w:val="auto"/>
          <w:sz w:val="24"/>
          <w:szCs w:val="24"/>
          <w:highlight w:val="none"/>
        </w:rPr>
        <w:t>不接受未填写快递运单的快件）。</w:t>
      </w:r>
    </w:p>
    <w:p w14:paraId="449D762A">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采购人质疑接收人及联系方式见本磋商文件第一章。</w:t>
      </w:r>
    </w:p>
    <w:p w14:paraId="1FD2C64C">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w:t>
      </w:r>
      <w:r>
        <w:rPr>
          <w:rFonts w:hint="eastAsia" w:ascii="宋体" w:hAnsi="宋体" w:cs="宋体"/>
          <w:i w:val="0"/>
          <w:iCs w:val="0"/>
          <w:color w:val="auto"/>
          <w:sz w:val="24"/>
          <w:szCs w:val="24"/>
          <w:highlight w:val="none"/>
          <w:lang w:val="en-US" w:eastAsia="zh-CN"/>
        </w:rPr>
        <w:t>8</w:t>
      </w:r>
      <w:r>
        <w:rPr>
          <w:rFonts w:hint="eastAsia" w:ascii="宋体" w:hAnsi="宋体" w:eastAsia="宋体" w:cs="宋体"/>
          <w:i w:val="0"/>
          <w:iCs w:val="0"/>
          <w:color w:val="auto"/>
          <w:sz w:val="24"/>
          <w:szCs w:val="24"/>
          <w:highlight w:val="none"/>
        </w:rPr>
        <w:t>.5 以下情形的质疑不予受理</w:t>
      </w:r>
    </w:p>
    <w:p w14:paraId="6E6A0C22">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w:t>
      </w:r>
      <w:r>
        <w:rPr>
          <w:rFonts w:hint="eastAsia" w:ascii="宋体" w:hAnsi="宋体" w:cs="宋体"/>
          <w:i w:val="0"/>
          <w:iCs w:val="0"/>
          <w:color w:val="auto"/>
          <w:sz w:val="24"/>
          <w:szCs w:val="24"/>
          <w:highlight w:val="none"/>
          <w:lang w:val="en-US" w:eastAsia="zh-CN"/>
        </w:rPr>
        <w:t>8</w:t>
      </w:r>
      <w:r>
        <w:rPr>
          <w:rFonts w:hint="eastAsia" w:ascii="宋体" w:hAnsi="宋体" w:eastAsia="宋体" w:cs="宋体"/>
          <w:i w:val="0"/>
          <w:iCs w:val="0"/>
          <w:color w:val="auto"/>
          <w:sz w:val="24"/>
          <w:szCs w:val="24"/>
          <w:highlight w:val="none"/>
        </w:rPr>
        <w:t>.5.1 内容不符合《政府采购质疑和投诉办法》第十二条规定的质疑。</w:t>
      </w:r>
    </w:p>
    <w:p w14:paraId="4D59825A">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w:t>
      </w:r>
      <w:r>
        <w:rPr>
          <w:rFonts w:hint="eastAsia" w:ascii="宋体" w:hAnsi="宋体" w:cs="宋体"/>
          <w:i w:val="0"/>
          <w:iCs w:val="0"/>
          <w:color w:val="auto"/>
          <w:sz w:val="24"/>
          <w:szCs w:val="24"/>
          <w:highlight w:val="none"/>
          <w:lang w:val="en-US" w:eastAsia="zh-CN"/>
        </w:rPr>
        <w:t>8</w:t>
      </w:r>
      <w:r>
        <w:rPr>
          <w:rFonts w:hint="eastAsia" w:ascii="宋体" w:hAnsi="宋体" w:eastAsia="宋体" w:cs="宋体"/>
          <w:i w:val="0"/>
          <w:iCs w:val="0"/>
          <w:color w:val="auto"/>
          <w:sz w:val="24"/>
          <w:szCs w:val="24"/>
          <w:highlight w:val="none"/>
        </w:rPr>
        <w:t>.5.2 超出政府采购法定期限的质疑。</w:t>
      </w:r>
    </w:p>
    <w:p w14:paraId="4740D76C">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w:t>
      </w:r>
      <w:r>
        <w:rPr>
          <w:rFonts w:hint="eastAsia" w:ascii="宋体" w:hAnsi="宋体" w:cs="宋体"/>
          <w:i w:val="0"/>
          <w:iCs w:val="0"/>
          <w:color w:val="auto"/>
          <w:sz w:val="24"/>
          <w:szCs w:val="24"/>
          <w:highlight w:val="none"/>
          <w:lang w:val="en-US" w:eastAsia="zh-CN"/>
        </w:rPr>
        <w:t>8</w:t>
      </w:r>
      <w:r>
        <w:rPr>
          <w:rFonts w:hint="eastAsia" w:ascii="宋体" w:hAnsi="宋体" w:eastAsia="宋体" w:cs="宋体"/>
          <w:i w:val="0"/>
          <w:iCs w:val="0"/>
          <w:color w:val="auto"/>
          <w:sz w:val="24"/>
          <w:szCs w:val="24"/>
          <w:highlight w:val="none"/>
        </w:rPr>
        <w:t>.5.3 以传真、电子邮件等方式递交的非原件形式的质疑。</w:t>
      </w:r>
    </w:p>
    <w:p w14:paraId="685257EE">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w:t>
      </w:r>
      <w:r>
        <w:rPr>
          <w:rFonts w:hint="eastAsia" w:ascii="宋体" w:hAnsi="宋体" w:cs="宋体"/>
          <w:i w:val="0"/>
          <w:iCs w:val="0"/>
          <w:color w:val="auto"/>
          <w:sz w:val="24"/>
          <w:szCs w:val="24"/>
          <w:highlight w:val="none"/>
          <w:lang w:val="en-US" w:eastAsia="zh-CN"/>
        </w:rPr>
        <w:t>8</w:t>
      </w:r>
      <w:r>
        <w:rPr>
          <w:rFonts w:hint="eastAsia" w:ascii="宋体" w:hAnsi="宋体" w:eastAsia="宋体" w:cs="宋体"/>
          <w:i w:val="0"/>
          <w:iCs w:val="0"/>
          <w:color w:val="auto"/>
          <w:sz w:val="24"/>
          <w:szCs w:val="24"/>
          <w:highlight w:val="none"/>
        </w:rPr>
        <w:t>.5.4 未参加磋商活动的供应商或在磋商活动中自身权益未受到损害的供应商所提出的质疑。</w:t>
      </w:r>
    </w:p>
    <w:p w14:paraId="4D04F34E">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w:t>
      </w:r>
      <w:r>
        <w:rPr>
          <w:rFonts w:hint="eastAsia" w:ascii="宋体" w:hAnsi="宋体" w:cs="宋体"/>
          <w:i w:val="0"/>
          <w:iCs w:val="0"/>
          <w:color w:val="auto"/>
          <w:sz w:val="24"/>
          <w:szCs w:val="24"/>
          <w:highlight w:val="none"/>
          <w:lang w:val="en-US" w:eastAsia="zh-CN"/>
        </w:rPr>
        <w:t>8</w:t>
      </w:r>
      <w:r>
        <w:rPr>
          <w:rFonts w:hint="eastAsia" w:ascii="宋体" w:hAnsi="宋体" w:eastAsia="宋体" w:cs="宋体"/>
          <w:i w:val="0"/>
          <w:iCs w:val="0"/>
          <w:color w:val="auto"/>
          <w:sz w:val="24"/>
          <w:szCs w:val="24"/>
          <w:highlight w:val="none"/>
        </w:rPr>
        <w:t>.5.5供应商组成联合体参加磋商，联合体中任何一方或多方未按要求签字、盖章、加盖公章的质疑。</w:t>
      </w:r>
    </w:p>
    <w:p w14:paraId="7D44453D">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w:t>
      </w:r>
      <w:r>
        <w:rPr>
          <w:rFonts w:hint="eastAsia" w:ascii="宋体" w:hAnsi="宋体" w:cs="宋体"/>
          <w:i w:val="0"/>
          <w:iCs w:val="0"/>
          <w:color w:val="auto"/>
          <w:sz w:val="24"/>
          <w:szCs w:val="24"/>
          <w:highlight w:val="none"/>
          <w:lang w:val="en-US" w:eastAsia="zh-CN"/>
        </w:rPr>
        <w:t>8</w:t>
      </w:r>
      <w:r>
        <w:rPr>
          <w:rFonts w:hint="eastAsia" w:ascii="宋体" w:hAnsi="宋体" w:eastAsia="宋体" w:cs="宋体"/>
          <w:i w:val="0"/>
          <w:iCs w:val="0"/>
          <w:color w:val="auto"/>
          <w:sz w:val="24"/>
          <w:szCs w:val="24"/>
          <w:highlight w:val="none"/>
        </w:rPr>
        <w:t>.6 供应商提出书面质疑必须有理、有据，不得捏造事实、提供虚假材料进行恶意质疑。否则，一经查实，</w:t>
      </w:r>
      <w:r>
        <w:rPr>
          <w:rFonts w:hint="eastAsia" w:ascii="宋体" w:hAnsi="宋体" w:eastAsia="宋体" w:cs="宋体"/>
          <w:i w:val="0"/>
          <w:iCs w:val="0"/>
          <w:color w:val="auto"/>
          <w:sz w:val="24"/>
          <w:szCs w:val="24"/>
          <w:highlight w:val="none"/>
          <w:lang w:eastAsia="zh-CN"/>
        </w:rPr>
        <w:t>招标代理公司</w:t>
      </w:r>
      <w:r>
        <w:rPr>
          <w:rFonts w:hint="eastAsia" w:ascii="宋体" w:hAnsi="宋体" w:eastAsia="宋体" w:cs="宋体"/>
          <w:i w:val="0"/>
          <w:iCs w:val="0"/>
          <w:color w:val="auto"/>
          <w:sz w:val="24"/>
          <w:szCs w:val="24"/>
          <w:highlight w:val="none"/>
        </w:rPr>
        <w:t>有权依据政府采购的有关规定，报请政府采购监管部门对该供应商进行相应的行政处罚和记录该供应商的失信信息。</w:t>
      </w:r>
    </w:p>
    <w:p w14:paraId="3AC29A80">
      <w:pPr>
        <w:keepNext/>
        <w:keepLines/>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3"/>
        <w:rPr>
          <w:rFonts w:hint="eastAsia" w:ascii="宋体" w:hAnsi="宋体" w:eastAsia="宋体" w:cs="宋体"/>
          <w:bCs/>
          <w:i w:val="0"/>
          <w:iCs w:val="0"/>
          <w:color w:val="auto"/>
          <w:sz w:val="24"/>
          <w:szCs w:val="24"/>
          <w:highlight w:val="none"/>
        </w:rPr>
      </w:pPr>
      <w:r>
        <w:rPr>
          <w:rFonts w:hint="eastAsia" w:ascii="宋体" w:hAnsi="宋体" w:cs="宋体"/>
          <w:bCs/>
          <w:i w:val="0"/>
          <w:iCs w:val="0"/>
          <w:color w:val="auto"/>
          <w:sz w:val="24"/>
          <w:szCs w:val="24"/>
          <w:highlight w:val="none"/>
          <w:lang w:val="en-US" w:eastAsia="zh-CN"/>
        </w:rPr>
        <w:t>29</w:t>
      </w:r>
      <w:r>
        <w:rPr>
          <w:rFonts w:hint="eastAsia" w:ascii="宋体" w:hAnsi="宋体" w:eastAsia="宋体" w:cs="宋体"/>
          <w:bCs/>
          <w:i w:val="0"/>
          <w:iCs w:val="0"/>
          <w:color w:val="auto"/>
          <w:sz w:val="24"/>
          <w:szCs w:val="24"/>
          <w:highlight w:val="none"/>
        </w:rPr>
        <w:t>、成交通知书</w:t>
      </w:r>
    </w:p>
    <w:p w14:paraId="0E73739E">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i w:val="0"/>
          <w:iCs w:val="0"/>
          <w:color w:val="auto"/>
          <w:sz w:val="24"/>
          <w:szCs w:val="24"/>
          <w:highlight w:val="none"/>
        </w:rPr>
      </w:pPr>
      <w:r>
        <w:rPr>
          <w:rFonts w:hint="eastAsia" w:ascii="宋体" w:hAnsi="宋体" w:cs="宋体"/>
          <w:i w:val="0"/>
          <w:iCs w:val="0"/>
          <w:color w:val="auto"/>
          <w:sz w:val="24"/>
          <w:szCs w:val="24"/>
          <w:highlight w:val="none"/>
          <w:lang w:val="en-US" w:eastAsia="zh-CN"/>
        </w:rPr>
        <w:t>29</w:t>
      </w:r>
      <w:r>
        <w:rPr>
          <w:rFonts w:hint="eastAsia" w:ascii="宋体" w:hAnsi="宋体" w:eastAsia="宋体" w:cs="宋体"/>
          <w:i w:val="0"/>
          <w:iCs w:val="0"/>
          <w:color w:val="auto"/>
          <w:sz w:val="24"/>
          <w:szCs w:val="24"/>
          <w:highlight w:val="none"/>
        </w:rPr>
        <w:t>.1成交结果确定后，</w:t>
      </w:r>
      <w:r>
        <w:rPr>
          <w:rFonts w:hint="eastAsia" w:ascii="宋体" w:hAnsi="宋体" w:eastAsia="宋体" w:cs="宋体"/>
          <w:i w:val="0"/>
          <w:iCs w:val="0"/>
          <w:color w:val="auto"/>
          <w:sz w:val="24"/>
          <w:szCs w:val="24"/>
          <w:highlight w:val="none"/>
          <w:lang w:val="en-US" w:eastAsia="zh-CN"/>
        </w:rPr>
        <w:t>招标人</w:t>
      </w:r>
      <w:r>
        <w:rPr>
          <w:rFonts w:hint="eastAsia" w:ascii="宋体" w:hAnsi="宋体" w:eastAsia="宋体" w:cs="宋体"/>
          <w:i w:val="0"/>
          <w:iCs w:val="0"/>
          <w:color w:val="auto"/>
          <w:sz w:val="24"/>
          <w:szCs w:val="24"/>
          <w:highlight w:val="none"/>
        </w:rPr>
        <w:t>将向成交供应商发出成交通知书。请成交供应商在成交结果公告届满之日起30日内,使用CA数字证书登录苏采云系统及时下载成交通知书。因系统存储空间有限，自成交结果公告届满之日起30日后，苏采云系统不再保证提供下载成交通知书服务,因未及时下载而造成的不利后果由成交供应商自行承担。</w:t>
      </w:r>
    </w:p>
    <w:p w14:paraId="067AC77B">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i w:val="0"/>
          <w:iCs w:val="0"/>
          <w:color w:val="auto"/>
          <w:sz w:val="24"/>
          <w:szCs w:val="24"/>
          <w:highlight w:val="none"/>
        </w:rPr>
      </w:pPr>
      <w:r>
        <w:rPr>
          <w:rFonts w:hint="eastAsia" w:ascii="宋体" w:hAnsi="宋体" w:cs="宋体"/>
          <w:i w:val="0"/>
          <w:iCs w:val="0"/>
          <w:color w:val="auto"/>
          <w:sz w:val="24"/>
          <w:szCs w:val="24"/>
          <w:highlight w:val="none"/>
          <w:lang w:val="en-US" w:eastAsia="zh-CN"/>
        </w:rPr>
        <w:t>29</w:t>
      </w:r>
      <w:r>
        <w:rPr>
          <w:rFonts w:hint="eastAsia" w:ascii="宋体" w:hAnsi="宋体" w:eastAsia="宋体" w:cs="宋体"/>
          <w:i w:val="0"/>
          <w:iCs w:val="0"/>
          <w:color w:val="auto"/>
          <w:sz w:val="24"/>
          <w:szCs w:val="24"/>
          <w:highlight w:val="none"/>
        </w:rPr>
        <w:t>.2成交通知书将是合同的一个组成部分。对采购人和成交供应商均具有法律效力。成交通知书发出后，采购人改变成交结果的，或者成交供应商放弃成交项目的，应当依法承担法律责任。</w:t>
      </w:r>
    </w:p>
    <w:p w14:paraId="6F11DF05">
      <w:pPr>
        <w:keepNext/>
        <w:keepLines/>
        <w:pageBreakBefore w:val="0"/>
        <w:widowControl w:val="0"/>
        <w:kinsoku/>
        <w:wordWrap/>
        <w:overflowPunct/>
        <w:topLinePunct w:val="0"/>
        <w:autoSpaceDE/>
        <w:autoSpaceDN/>
        <w:bidi w:val="0"/>
        <w:adjustRightInd w:val="0"/>
        <w:snapToGrid w:val="0"/>
        <w:spacing w:line="360" w:lineRule="auto"/>
        <w:ind w:firstLine="482" w:firstLineChars="200"/>
        <w:textAlignment w:val="auto"/>
        <w:outlineLvl w:val="2"/>
        <w:rPr>
          <w:rFonts w:hint="eastAsia" w:ascii="宋体" w:hAnsi="宋体" w:eastAsia="宋体" w:cs="宋体"/>
          <w:b/>
          <w:bCs/>
          <w:i w:val="0"/>
          <w:iCs w:val="0"/>
          <w:color w:val="auto"/>
          <w:sz w:val="24"/>
          <w:szCs w:val="24"/>
          <w:highlight w:val="none"/>
        </w:rPr>
      </w:pPr>
      <w:bookmarkStart w:id="145" w:name="_Toc20823308"/>
      <w:bookmarkStart w:id="146" w:name="_Toc16938552"/>
      <w:bookmarkStart w:id="147" w:name="_Toc120614220"/>
      <w:bookmarkStart w:id="148" w:name="_Toc513029236"/>
      <w:r>
        <w:rPr>
          <w:rFonts w:hint="eastAsia" w:ascii="宋体" w:hAnsi="宋体" w:eastAsia="宋体" w:cs="宋体"/>
          <w:b/>
          <w:bCs/>
          <w:i w:val="0"/>
          <w:iCs w:val="0"/>
          <w:color w:val="auto"/>
          <w:sz w:val="24"/>
          <w:szCs w:val="24"/>
          <w:highlight w:val="none"/>
        </w:rPr>
        <w:t>七、授予合同</w:t>
      </w:r>
      <w:bookmarkEnd w:id="145"/>
      <w:bookmarkEnd w:id="146"/>
      <w:bookmarkEnd w:id="147"/>
      <w:bookmarkEnd w:id="148"/>
    </w:p>
    <w:p w14:paraId="58809706">
      <w:pPr>
        <w:keepNext/>
        <w:keepLines/>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3"/>
        <w:rPr>
          <w:rFonts w:hint="eastAsia" w:ascii="宋体" w:hAnsi="宋体" w:eastAsia="宋体" w:cs="宋体"/>
          <w:bCs/>
          <w:i w:val="0"/>
          <w:iCs w:val="0"/>
          <w:color w:val="auto"/>
          <w:sz w:val="24"/>
          <w:szCs w:val="24"/>
          <w:highlight w:val="none"/>
        </w:rPr>
      </w:pPr>
      <w:bookmarkStart w:id="149" w:name="_Toc20823309"/>
      <w:bookmarkStart w:id="150" w:name="_Toc16938553"/>
      <w:bookmarkStart w:id="151" w:name="_Toc513029237"/>
      <w:r>
        <w:rPr>
          <w:rFonts w:hint="eastAsia" w:ascii="宋体" w:hAnsi="宋体" w:cs="宋体"/>
          <w:bCs/>
          <w:i w:val="0"/>
          <w:iCs w:val="0"/>
          <w:color w:val="auto"/>
          <w:sz w:val="24"/>
          <w:szCs w:val="24"/>
          <w:highlight w:val="none"/>
          <w:lang w:val="en-US" w:eastAsia="zh-CN"/>
        </w:rPr>
        <w:t>30</w:t>
      </w:r>
      <w:r>
        <w:rPr>
          <w:rFonts w:hint="eastAsia" w:ascii="宋体" w:hAnsi="宋体" w:cs="宋体"/>
          <w:bCs/>
          <w:i w:val="0"/>
          <w:iCs w:val="0"/>
          <w:color w:val="auto"/>
          <w:sz w:val="24"/>
          <w:szCs w:val="24"/>
          <w:highlight w:val="none"/>
          <w:lang w:eastAsia="zh-CN"/>
        </w:rPr>
        <w:t>、</w:t>
      </w:r>
      <w:r>
        <w:rPr>
          <w:rFonts w:hint="eastAsia" w:ascii="宋体" w:hAnsi="宋体" w:eastAsia="宋体" w:cs="宋体"/>
          <w:bCs/>
          <w:i w:val="0"/>
          <w:iCs w:val="0"/>
          <w:color w:val="auto"/>
          <w:sz w:val="24"/>
          <w:szCs w:val="24"/>
          <w:highlight w:val="none"/>
        </w:rPr>
        <w:t>签订合同</w:t>
      </w:r>
    </w:p>
    <w:p w14:paraId="2A78434C">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i w:val="0"/>
          <w:iCs w:val="0"/>
          <w:color w:val="auto"/>
          <w:sz w:val="24"/>
          <w:szCs w:val="24"/>
          <w:highlight w:val="none"/>
        </w:rPr>
      </w:pPr>
      <w:r>
        <w:rPr>
          <w:rFonts w:hint="eastAsia" w:ascii="宋体" w:hAnsi="宋体" w:cs="宋体"/>
          <w:bCs/>
          <w:i w:val="0"/>
          <w:iCs w:val="0"/>
          <w:color w:val="auto"/>
          <w:sz w:val="24"/>
          <w:szCs w:val="24"/>
          <w:highlight w:val="none"/>
          <w:lang w:val="en-US" w:eastAsia="zh-CN"/>
        </w:rPr>
        <w:t>30</w:t>
      </w:r>
      <w:r>
        <w:rPr>
          <w:rFonts w:hint="eastAsia" w:ascii="宋体" w:hAnsi="宋体" w:eastAsia="宋体" w:cs="宋体"/>
          <w:i w:val="0"/>
          <w:iCs w:val="0"/>
          <w:color w:val="auto"/>
          <w:sz w:val="24"/>
          <w:szCs w:val="24"/>
          <w:highlight w:val="none"/>
        </w:rPr>
        <w:t>.l成交供应商应当在成交通知书发出之日起三十日内，按照磋商文件确定的事项与采购人签订政府采购合同。</w:t>
      </w:r>
    </w:p>
    <w:p w14:paraId="1978D314">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i w:val="0"/>
          <w:iCs w:val="0"/>
          <w:color w:val="auto"/>
          <w:sz w:val="24"/>
          <w:szCs w:val="24"/>
          <w:highlight w:val="none"/>
        </w:rPr>
      </w:pPr>
      <w:r>
        <w:rPr>
          <w:rFonts w:hint="eastAsia" w:ascii="宋体" w:hAnsi="宋体" w:cs="宋体"/>
          <w:i w:val="0"/>
          <w:iCs w:val="0"/>
          <w:color w:val="auto"/>
          <w:sz w:val="24"/>
          <w:szCs w:val="24"/>
          <w:highlight w:val="none"/>
          <w:lang w:val="en-US" w:eastAsia="zh-CN"/>
        </w:rPr>
        <w:t>30</w:t>
      </w:r>
      <w:r>
        <w:rPr>
          <w:rFonts w:hint="eastAsia" w:ascii="宋体" w:hAnsi="宋体" w:eastAsia="宋体" w:cs="宋体"/>
          <w:i w:val="0"/>
          <w:iCs w:val="0"/>
          <w:color w:val="auto"/>
          <w:sz w:val="24"/>
          <w:szCs w:val="24"/>
          <w:highlight w:val="none"/>
        </w:rPr>
        <w:t>.2磋商文件、成交供应商的响应文件及磋商过程中有关澄清、承诺文件均应作为合同附件。</w:t>
      </w:r>
    </w:p>
    <w:p w14:paraId="0207DEC4">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3</w:t>
      </w:r>
      <w:r>
        <w:rPr>
          <w:rFonts w:hint="eastAsia" w:ascii="宋体" w:hAnsi="宋体" w:cs="宋体"/>
          <w:i w:val="0"/>
          <w:iCs w:val="0"/>
          <w:color w:val="auto"/>
          <w:sz w:val="24"/>
          <w:szCs w:val="24"/>
          <w:highlight w:val="none"/>
          <w:lang w:val="en-US" w:eastAsia="zh-CN"/>
        </w:rPr>
        <w:t>0</w:t>
      </w:r>
      <w:r>
        <w:rPr>
          <w:rFonts w:hint="eastAsia" w:ascii="宋体" w:hAnsi="宋体" w:eastAsia="宋体" w:cs="宋体"/>
          <w:i w:val="0"/>
          <w:iCs w:val="0"/>
          <w:color w:val="auto"/>
          <w:sz w:val="24"/>
          <w:szCs w:val="24"/>
          <w:highlight w:val="none"/>
        </w:rPr>
        <w:t>.3 签订合同后，</w:t>
      </w:r>
      <w:r>
        <w:rPr>
          <w:rFonts w:hint="eastAsia" w:ascii="宋体" w:hAnsi="宋体" w:eastAsia="宋体" w:cs="宋体"/>
          <w:i w:val="0"/>
          <w:iCs w:val="0"/>
          <w:color w:val="auto"/>
          <w:sz w:val="24"/>
          <w:szCs w:val="24"/>
          <w:highlight w:val="none"/>
          <w:u w:val="single"/>
        </w:rPr>
        <w:t>成交供应商不得将合同标的进行转包</w:t>
      </w:r>
      <w:r>
        <w:rPr>
          <w:rFonts w:hint="eastAsia" w:ascii="宋体" w:hAnsi="宋体" w:eastAsia="宋体" w:cs="宋体"/>
          <w:i w:val="0"/>
          <w:iCs w:val="0"/>
          <w:color w:val="auto"/>
          <w:sz w:val="24"/>
          <w:szCs w:val="24"/>
          <w:highlight w:val="none"/>
        </w:rPr>
        <w:t>。未经采购人同意，成交供应商也不得采用分包形式履行合同,否则采购人有权终止合同。转包或分包造成采购人损失的，成交供应商应承担相应赔偿责任。</w:t>
      </w:r>
    </w:p>
    <w:p w14:paraId="0E6A7BFE">
      <w:pPr>
        <w:keepNext/>
        <w:keepLines/>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3"/>
        <w:rPr>
          <w:rFonts w:hint="eastAsia" w:ascii="宋体" w:hAnsi="宋体" w:eastAsia="宋体" w:cs="宋体"/>
          <w:bCs/>
          <w:i w:val="0"/>
          <w:iCs w:val="0"/>
          <w:color w:val="auto"/>
          <w:sz w:val="24"/>
          <w:szCs w:val="24"/>
          <w:highlight w:val="none"/>
        </w:rPr>
      </w:pPr>
      <w:r>
        <w:rPr>
          <w:rFonts w:hint="eastAsia" w:ascii="宋体" w:hAnsi="宋体" w:cs="宋体"/>
          <w:bCs/>
          <w:i w:val="0"/>
          <w:iCs w:val="0"/>
          <w:color w:val="auto"/>
          <w:sz w:val="24"/>
          <w:szCs w:val="24"/>
          <w:highlight w:val="none"/>
          <w:lang w:val="en-US" w:eastAsia="zh-CN"/>
        </w:rPr>
        <w:t>31</w:t>
      </w:r>
      <w:r>
        <w:rPr>
          <w:rFonts w:hint="eastAsia" w:ascii="宋体" w:hAnsi="宋体" w:eastAsia="宋体" w:cs="宋体"/>
          <w:bCs/>
          <w:i w:val="0"/>
          <w:iCs w:val="0"/>
          <w:color w:val="auto"/>
          <w:sz w:val="24"/>
          <w:szCs w:val="24"/>
          <w:highlight w:val="none"/>
        </w:rPr>
        <w:t>、标的物的追加</w:t>
      </w:r>
    </w:p>
    <w:p w14:paraId="0251F9FF">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3</w:t>
      </w:r>
      <w:r>
        <w:rPr>
          <w:rFonts w:hint="eastAsia" w:ascii="宋体" w:hAnsi="宋体" w:cs="宋体"/>
          <w:i w:val="0"/>
          <w:iCs w:val="0"/>
          <w:color w:val="auto"/>
          <w:sz w:val="24"/>
          <w:szCs w:val="24"/>
          <w:highlight w:val="none"/>
          <w:lang w:val="en-US" w:eastAsia="zh-CN"/>
        </w:rPr>
        <w:t>1</w:t>
      </w:r>
      <w:r>
        <w:rPr>
          <w:rFonts w:hint="eastAsia" w:ascii="宋体" w:hAnsi="宋体" w:eastAsia="宋体" w:cs="宋体"/>
          <w:i w:val="0"/>
          <w:iCs w:val="0"/>
          <w:color w:val="auto"/>
          <w:sz w:val="24"/>
          <w:szCs w:val="24"/>
          <w:highlight w:val="none"/>
        </w:rPr>
        <w:t>.1政府采购合同履行中，采购人需追加与合同标的相同的货物、服务（包含与货物相关的服务及与服务相关的货物）的，在不改变合同其他条款的前提下，可以与成交供应商协商签订补充合同，但所有补充合同的采购金额不超过原合同金额10%。</w:t>
      </w:r>
      <w:bookmarkEnd w:id="149"/>
      <w:bookmarkEnd w:id="150"/>
      <w:bookmarkEnd w:id="151"/>
    </w:p>
    <w:p w14:paraId="1EAFC42E">
      <w:pPr>
        <w:keepNext/>
        <w:keepLines/>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3"/>
        <w:rPr>
          <w:rFonts w:hint="eastAsia" w:ascii="宋体" w:hAnsi="宋体" w:eastAsia="宋体" w:cs="宋体"/>
          <w:bCs/>
          <w:i w:val="0"/>
          <w:iCs w:val="0"/>
          <w:color w:val="auto"/>
          <w:sz w:val="24"/>
          <w:szCs w:val="24"/>
          <w:highlight w:val="none"/>
        </w:rPr>
      </w:pPr>
      <w:r>
        <w:rPr>
          <w:rFonts w:hint="eastAsia" w:ascii="宋体" w:hAnsi="宋体" w:eastAsia="宋体" w:cs="宋体"/>
          <w:bCs/>
          <w:i w:val="0"/>
          <w:iCs w:val="0"/>
          <w:color w:val="auto"/>
          <w:sz w:val="24"/>
          <w:szCs w:val="24"/>
          <w:highlight w:val="none"/>
          <w:lang w:val="en-US" w:eastAsia="zh-CN"/>
        </w:rPr>
        <w:t>32.</w:t>
      </w:r>
      <w:r>
        <w:rPr>
          <w:rFonts w:hint="eastAsia" w:ascii="宋体" w:hAnsi="宋体" w:eastAsia="宋体" w:cs="宋体"/>
          <w:bCs/>
          <w:i w:val="0"/>
          <w:iCs w:val="0"/>
          <w:color w:val="auto"/>
          <w:sz w:val="24"/>
          <w:szCs w:val="24"/>
          <w:highlight w:val="none"/>
        </w:rPr>
        <w:t>履约保证金</w:t>
      </w:r>
    </w:p>
    <w:p w14:paraId="2A8AFD2E">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Cs/>
          <w:i w:val="0"/>
          <w:iCs w:val="0"/>
          <w:color w:val="auto"/>
          <w:sz w:val="24"/>
          <w:szCs w:val="24"/>
          <w:highlight w:val="none"/>
        </w:rPr>
      </w:pPr>
      <w:r>
        <w:rPr>
          <w:rFonts w:hint="eastAsia" w:ascii="宋体" w:hAnsi="宋体" w:eastAsia="宋体" w:cs="宋体"/>
          <w:bCs/>
          <w:i w:val="0"/>
          <w:iCs w:val="0"/>
          <w:color w:val="auto"/>
          <w:sz w:val="24"/>
          <w:szCs w:val="24"/>
          <w:highlight w:val="none"/>
          <w:lang w:val="en-US" w:eastAsia="zh-CN"/>
        </w:rPr>
        <w:t>32.1</w:t>
      </w:r>
      <w:r>
        <w:rPr>
          <w:rFonts w:hint="eastAsia" w:ascii="宋体" w:hAnsi="宋体" w:eastAsia="宋体" w:cs="宋体"/>
          <w:bCs/>
          <w:i w:val="0"/>
          <w:iCs w:val="0"/>
          <w:color w:val="auto"/>
          <w:sz w:val="24"/>
          <w:szCs w:val="24"/>
          <w:highlight w:val="none"/>
        </w:rPr>
        <w:t>中标供应商在收到中标通知书后，在签订合同前向采购人缴纳履约保证金。本项目履约保证金为合同总额的10%，履约保证金应当以支票、汇票、本票或者金融机构、担保机构出具的保函</w:t>
      </w:r>
      <w:r>
        <w:rPr>
          <w:rFonts w:hint="eastAsia" w:ascii="宋体" w:hAnsi="宋体" w:cs="宋体"/>
          <w:bCs/>
          <w:i w:val="0"/>
          <w:iCs w:val="0"/>
          <w:color w:val="auto"/>
          <w:sz w:val="24"/>
          <w:szCs w:val="24"/>
          <w:highlight w:val="none"/>
          <w:lang w:eastAsia="zh-CN"/>
        </w:rPr>
        <w:t>（</w:t>
      </w:r>
      <w:r>
        <w:rPr>
          <w:rFonts w:hint="eastAsia" w:ascii="宋体" w:hAnsi="宋体" w:eastAsia="宋体" w:cs="宋体"/>
          <w:bCs/>
          <w:color w:val="auto"/>
          <w:sz w:val="24"/>
          <w:szCs w:val="24"/>
          <w:highlight w:val="none"/>
          <w:lang w:val="en-US" w:eastAsia="zh-CN"/>
        </w:rPr>
        <w:t>需为不可撤销的见索即付独立保函</w:t>
      </w:r>
      <w:r>
        <w:rPr>
          <w:rFonts w:hint="eastAsia" w:ascii="宋体" w:hAnsi="宋体" w:cs="宋体"/>
          <w:bCs/>
          <w:i w:val="0"/>
          <w:iCs w:val="0"/>
          <w:color w:val="auto"/>
          <w:sz w:val="24"/>
          <w:szCs w:val="24"/>
          <w:highlight w:val="none"/>
          <w:lang w:eastAsia="zh-CN"/>
        </w:rPr>
        <w:t>）</w:t>
      </w:r>
      <w:r>
        <w:rPr>
          <w:rFonts w:hint="eastAsia" w:ascii="宋体" w:hAnsi="宋体" w:eastAsia="宋体" w:cs="宋体"/>
          <w:bCs/>
          <w:i w:val="0"/>
          <w:iCs w:val="0"/>
          <w:color w:val="auto"/>
          <w:sz w:val="24"/>
          <w:szCs w:val="24"/>
          <w:highlight w:val="none"/>
        </w:rPr>
        <w:t>等非现金形式提交</w:t>
      </w:r>
      <w:r>
        <w:rPr>
          <w:rFonts w:hint="eastAsia" w:ascii="宋体" w:hAnsi="宋体" w:cs="宋体"/>
          <w:bCs/>
          <w:color w:val="auto"/>
          <w:sz w:val="24"/>
          <w:szCs w:val="24"/>
          <w:highlight w:val="none"/>
          <w:lang w:eastAsia="zh-CN"/>
        </w:rPr>
        <w:t>（</w:t>
      </w:r>
      <w:r>
        <w:rPr>
          <w:rFonts w:hint="eastAsia" w:ascii="宋体" w:hAnsi="宋体" w:cs="宋体"/>
          <w:bCs/>
          <w:color w:val="auto"/>
          <w:sz w:val="24"/>
          <w:szCs w:val="24"/>
          <w:highlight w:val="none"/>
          <w:lang w:val="en-US" w:eastAsia="zh-CN"/>
        </w:rPr>
        <w:t>若</w:t>
      </w:r>
      <w:r>
        <w:rPr>
          <w:rFonts w:hint="eastAsia" w:ascii="宋体" w:hAnsi="宋体" w:eastAsia="宋体" w:cs="宋体"/>
          <w:bCs/>
          <w:color w:val="auto"/>
          <w:sz w:val="24"/>
          <w:szCs w:val="24"/>
          <w:highlight w:val="none"/>
        </w:rPr>
        <w:t>履约保证金</w:t>
      </w:r>
      <w:r>
        <w:rPr>
          <w:rFonts w:hint="eastAsia" w:ascii="宋体" w:hAnsi="宋体" w:eastAsia="宋体" w:cs="宋体"/>
          <w:bCs/>
          <w:color w:val="auto"/>
          <w:sz w:val="24"/>
          <w:szCs w:val="24"/>
          <w:highlight w:val="none"/>
          <w:lang w:val="en-US" w:eastAsia="zh-CN"/>
        </w:rPr>
        <w:t>采用保函形式提交的，</w:t>
      </w:r>
      <w:r>
        <w:rPr>
          <w:rFonts w:hint="eastAsia" w:ascii="宋体" w:hAnsi="宋体" w:cs="宋体"/>
          <w:bCs/>
          <w:color w:val="auto"/>
          <w:sz w:val="24"/>
          <w:szCs w:val="24"/>
          <w:highlight w:val="none"/>
          <w:lang w:eastAsia="zh-CN"/>
        </w:rPr>
        <w:t>保函担保有效期开具时间为合同约定工期基础延长</w:t>
      </w:r>
      <w:r>
        <w:rPr>
          <w:rFonts w:hint="eastAsia" w:ascii="宋体" w:hAnsi="宋体" w:cs="宋体"/>
          <w:bCs/>
          <w:color w:val="auto"/>
          <w:sz w:val="24"/>
          <w:szCs w:val="24"/>
          <w:highlight w:val="none"/>
          <w:lang w:val="en-US" w:eastAsia="zh-CN"/>
        </w:rPr>
        <w:t>一</w:t>
      </w:r>
      <w:r>
        <w:rPr>
          <w:rFonts w:hint="eastAsia" w:ascii="宋体" w:hAnsi="宋体" w:cs="宋体"/>
          <w:bCs/>
          <w:color w:val="auto"/>
          <w:sz w:val="24"/>
          <w:szCs w:val="24"/>
          <w:highlight w:val="none"/>
          <w:lang w:eastAsia="zh-CN"/>
        </w:rPr>
        <w:t>个月）</w:t>
      </w:r>
      <w:r>
        <w:rPr>
          <w:rFonts w:hint="eastAsia" w:ascii="宋体" w:hAnsi="宋体" w:eastAsia="宋体" w:cs="宋体"/>
          <w:bCs/>
          <w:i w:val="0"/>
          <w:iCs w:val="0"/>
          <w:color w:val="auto"/>
          <w:sz w:val="24"/>
          <w:szCs w:val="24"/>
          <w:highlight w:val="none"/>
          <w:lang w:eastAsia="zh-CN"/>
        </w:rPr>
        <w:t>，</w:t>
      </w:r>
      <w:r>
        <w:rPr>
          <w:rFonts w:hint="eastAsia" w:ascii="宋体" w:hAnsi="宋体" w:eastAsia="宋体" w:cs="宋体"/>
          <w:bCs/>
          <w:i w:val="0"/>
          <w:iCs w:val="0"/>
          <w:color w:val="auto"/>
          <w:sz w:val="24"/>
          <w:szCs w:val="24"/>
          <w:highlight w:val="none"/>
        </w:rPr>
        <w:t>逾期视为乙方自动放弃</w:t>
      </w:r>
      <w:r>
        <w:rPr>
          <w:rFonts w:hint="eastAsia" w:ascii="宋体" w:hAnsi="宋体" w:eastAsia="宋体" w:cs="宋体"/>
          <w:bCs/>
          <w:i w:val="0"/>
          <w:iCs w:val="0"/>
          <w:color w:val="auto"/>
          <w:sz w:val="24"/>
          <w:szCs w:val="24"/>
          <w:highlight w:val="none"/>
          <w:lang w:eastAsia="zh-CN"/>
        </w:rPr>
        <w:t>成交</w:t>
      </w:r>
      <w:r>
        <w:rPr>
          <w:rFonts w:hint="eastAsia" w:ascii="宋体" w:hAnsi="宋体" w:eastAsia="宋体" w:cs="宋体"/>
          <w:bCs/>
          <w:i w:val="0"/>
          <w:iCs w:val="0"/>
          <w:color w:val="auto"/>
          <w:sz w:val="24"/>
          <w:szCs w:val="24"/>
          <w:highlight w:val="none"/>
        </w:rPr>
        <w:t>资格，甲方有权按照相关程序另行确定</w:t>
      </w:r>
      <w:r>
        <w:rPr>
          <w:rFonts w:hint="eastAsia" w:ascii="宋体" w:hAnsi="宋体" w:eastAsia="宋体" w:cs="宋体"/>
          <w:bCs/>
          <w:i w:val="0"/>
          <w:iCs w:val="0"/>
          <w:color w:val="auto"/>
          <w:sz w:val="24"/>
          <w:szCs w:val="24"/>
          <w:highlight w:val="none"/>
          <w:lang w:eastAsia="zh-CN"/>
        </w:rPr>
        <w:t>成交</w:t>
      </w:r>
      <w:r>
        <w:rPr>
          <w:rFonts w:hint="eastAsia" w:ascii="宋体" w:hAnsi="宋体" w:eastAsia="宋体" w:cs="宋体"/>
          <w:bCs/>
          <w:i w:val="0"/>
          <w:iCs w:val="0"/>
          <w:color w:val="auto"/>
          <w:sz w:val="24"/>
          <w:szCs w:val="24"/>
          <w:highlight w:val="none"/>
        </w:rPr>
        <w:t>供应商。</w:t>
      </w:r>
    </w:p>
    <w:p w14:paraId="61E22024">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Cs/>
          <w:i w:val="0"/>
          <w:iCs w:val="0"/>
          <w:color w:val="auto"/>
          <w:sz w:val="24"/>
          <w:szCs w:val="24"/>
          <w:highlight w:val="none"/>
        </w:rPr>
      </w:pPr>
      <w:r>
        <w:rPr>
          <w:rFonts w:hint="eastAsia" w:ascii="宋体" w:hAnsi="宋体" w:eastAsia="宋体" w:cs="宋体"/>
          <w:bCs/>
          <w:i w:val="0"/>
          <w:iCs w:val="0"/>
          <w:color w:val="auto"/>
          <w:sz w:val="24"/>
          <w:szCs w:val="24"/>
          <w:highlight w:val="none"/>
          <w:lang w:val="en-US" w:eastAsia="zh-CN"/>
        </w:rPr>
        <w:t>32.2</w:t>
      </w:r>
      <w:r>
        <w:rPr>
          <w:rFonts w:hint="eastAsia" w:ascii="宋体" w:hAnsi="宋体" w:eastAsia="宋体" w:cs="宋体"/>
          <w:bCs/>
          <w:i w:val="0"/>
          <w:iCs w:val="0"/>
          <w:color w:val="auto"/>
          <w:sz w:val="24"/>
          <w:szCs w:val="24"/>
          <w:highlight w:val="none"/>
        </w:rPr>
        <w:t>履约保证金用以约束供应商在合同履行中的行为，弥补合同执行中由于自身行为可能给采购人带来的各种损失。如果</w:t>
      </w:r>
      <w:r>
        <w:rPr>
          <w:rFonts w:hint="eastAsia" w:ascii="宋体" w:hAnsi="宋体" w:eastAsia="宋体" w:cs="宋体"/>
          <w:bCs/>
          <w:i w:val="0"/>
          <w:iCs w:val="0"/>
          <w:color w:val="auto"/>
          <w:sz w:val="24"/>
          <w:szCs w:val="24"/>
          <w:highlight w:val="none"/>
          <w:lang w:eastAsia="zh-CN"/>
        </w:rPr>
        <w:t>成交</w:t>
      </w:r>
      <w:r>
        <w:rPr>
          <w:rFonts w:hint="eastAsia" w:ascii="宋体" w:hAnsi="宋体" w:eastAsia="宋体" w:cs="宋体"/>
          <w:bCs/>
          <w:i w:val="0"/>
          <w:iCs w:val="0"/>
          <w:color w:val="auto"/>
          <w:sz w:val="24"/>
          <w:szCs w:val="24"/>
          <w:highlight w:val="none"/>
        </w:rPr>
        <w:t>供应商未缴纳履约保证金，采购人有权取消本次采购中标决定。</w:t>
      </w:r>
    </w:p>
    <w:p w14:paraId="36294CBE">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eastAsia="宋体"/>
          <w:i w:val="0"/>
          <w:iCs w:val="0"/>
          <w:color w:val="auto"/>
          <w:sz w:val="24"/>
          <w:szCs w:val="24"/>
          <w:highlight w:val="none"/>
          <w:lang w:val="en-US" w:eastAsia="zh-CN"/>
        </w:rPr>
      </w:pPr>
      <w:r>
        <w:rPr>
          <w:rFonts w:hint="eastAsia" w:ascii="宋体" w:hAnsi="宋体" w:eastAsia="宋体" w:cs="宋体"/>
          <w:bCs/>
          <w:i w:val="0"/>
          <w:iCs w:val="0"/>
          <w:color w:val="auto"/>
          <w:sz w:val="24"/>
          <w:szCs w:val="24"/>
          <w:highlight w:val="none"/>
          <w:lang w:val="en-US" w:eastAsia="zh-CN"/>
        </w:rPr>
        <w:t>32.3</w:t>
      </w:r>
      <w:r>
        <w:rPr>
          <w:rFonts w:hint="eastAsia" w:ascii="宋体" w:hAnsi="宋体" w:eastAsia="宋体" w:cs="宋体"/>
          <w:bCs/>
          <w:i w:val="0"/>
          <w:iCs w:val="0"/>
          <w:color w:val="auto"/>
          <w:sz w:val="24"/>
          <w:szCs w:val="24"/>
          <w:highlight w:val="none"/>
        </w:rPr>
        <w:t>履约保证金的退还：</w:t>
      </w:r>
      <w:r>
        <w:rPr>
          <w:rFonts w:hint="eastAsia" w:ascii="宋体" w:hAnsi="宋体" w:eastAsia="宋体" w:cs="宋体"/>
          <w:color w:val="auto"/>
          <w:sz w:val="24"/>
          <w:szCs w:val="24"/>
          <w:highlight w:val="none"/>
        </w:rPr>
        <w:t>合同履行结束后，</w:t>
      </w:r>
      <w:r>
        <w:rPr>
          <w:rFonts w:hint="eastAsia" w:ascii="宋体" w:hAnsi="宋体" w:eastAsia="宋体" w:cs="宋体"/>
          <w:color w:val="auto"/>
          <w:sz w:val="24"/>
          <w:szCs w:val="24"/>
          <w:highlight w:val="none"/>
          <w:lang w:eastAsia="zh-CN"/>
        </w:rPr>
        <w:t>成交</w:t>
      </w:r>
      <w:r>
        <w:rPr>
          <w:rFonts w:hint="eastAsia" w:ascii="宋体" w:hAnsi="宋体" w:eastAsia="宋体" w:cs="宋体"/>
          <w:color w:val="auto"/>
          <w:sz w:val="24"/>
          <w:szCs w:val="24"/>
          <w:highlight w:val="none"/>
        </w:rPr>
        <w:t>供应商办理履约保证金退还手续。采购人逾期退还履约保证金的，按照同期银行活期存款利率承担违约责任</w:t>
      </w:r>
      <w:r>
        <w:rPr>
          <w:rFonts w:hint="eastAsia" w:ascii="宋体" w:hAnsi="宋体" w:eastAsia="宋体" w:cs="宋体"/>
          <w:color w:val="auto"/>
          <w:sz w:val="24"/>
          <w:szCs w:val="24"/>
          <w:highlight w:val="none"/>
          <w:lang w:eastAsia="zh-CN"/>
        </w:rPr>
        <w:t>。</w:t>
      </w:r>
    </w:p>
    <w:p w14:paraId="6D78D6FF">
      <w:pPr>
        <w:keepNext/>
        <w:keepLines/>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3"/>
        <w:rPr>
          <w:rFonts w:hint="eastAsia" w:ascii="宋体" w:hAnsi="宋体" w:eastAsia="宋体" w:cs="宋体"/>
          <w:bCs/>
          <w:i w:val="0"/>
          <w:iCs w:val="0"/>
          <w:color w:val="auto"/>
          <w:sz w:val="24"/>
          <w:szCs w:val="24"/>
          <w:highlight w:val="none"/>
        </w:rPr>
      </w:pPr>
      <w:bookmarkStart w:id="152" w:name="_Toc479757207"/>
      <w:bookmarkStart w:id="153" w:name="_Toc513029242"/>
      <w:bookmarkStart w:id="154" w:name="_Toc16938558"/>
      <w:bookmarkStart w:id="155" w:name="_Toc120614221"/>
      <w:bookmarkStart w:id="156" w:name="_Toc20823314"/>
      <w:r>
        <w:rPr>
          <w:rFonts w:hint="eastAsia" w:ascii="宋体" w:hAnsi="宋体" w:cs="宋体"/>
          <w:bCs/>
          <w:i w:val="0"/>
          <w:iCs w:val="0"/>
          <w:color w:val="auto"/>
          <w:sz w:val="24"/>
          <w:szCs w:val="24"/>
          <w:highlight w:val="none"/>
          <w:lang w:val="en-US" w:eastAsia="zh-CN"/>
        </w:rPr>
        <w:t>33</w:t>
      </w:r>
      <w:r>
        <w:rPr>
          <w:rFonts w:hint="eastAsia" w:ascii="宋体" w:hAnsi="宋体" w:eastAsia="宋体" w:cs="宋体"/>
          <w:bCs/>
          <w:i w:val="0"/>
          <w:iCs w:val="0"/>
          <w:color w:val="auto"/>
          <w:sz w:val="24"/>
          <w:szCs w:val="24"/>
          <w:highlight w:val="none"/>
        </w:rPr>
        <w:t>、政府采购履约资金扶持政策</w:t>
      </w:r>
    </w:p>
    <w:p w14:paraId="62CC8124">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Cs/>
          <w:i w:val="0"/>
          <w:iCs w:val="0"/>
          <w:color w:val="auto"/>
          <w:sz w:val="24"/>
          <w:szCs w:val="24"/>
          <w:highlight w:val="none"/>
          <w:lang w:val="en-US" w:eastAsia="zh-CN"/>
        </w:rPr>
      </w:pPr>
      <w:r>
        <w:rPr>
          <w:rFonts w:hint="eastAsia" w:ascii="宋体" w:hAnsi="宋体" w:eastAsia="宋体" w:cs="宋体"/>
          <w:bCs/>
          <w:i w:val="0"/>
          <w:iCs w:val="0"/>
          <w:color w:val="auto"/>
          <w:sz w:val="24"/>
          <w:szCs w:val="24"/>
          <w:highlight w:val="none"/>
          <w:lang w:val="en-US" w:eastAsia="zh-CN"/>
        </w:rPr>
        <w:t>33.1成交供应商可凭政府采购合同办理融资贷款，详情请见江苏政府采购网“政采贷”专栏。</w:t>
      </w:r>
    </w:p>
    <w:p w14:paraId="715EA6E8">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Cs/>
          <w:i w:val="0"/>
          <w:iCs w:val="0"/>
          <w:color w:val="auto"/>
          <w:sz w:val="24"/>
          <w:szCs w:val="24"/>
          <w:highlight w:val="none"/>
          <w:lang w:val="en-US" w:eastAsia="zh-CN"/>
        </w:rPr>
      </w:pPr>
      <w:r>
        <w:rPr>
          <w:rFonts w:hint="eastAsia" w:ascii="宋体" w:hAnsi="宋体" w:eastAsia="宋体" w:cs="宋体"/>
          <w:bCs/>
          <w:i w:val="0"/>
          <w:iCs w:val="0"/>
          <w:color w:val="auto"/>
          <w:sz w:val="24"/>
          <w:szCs w:val="24"/>
          <w:highlight w:val="none"/>
          <w:lang w:val="en-US" w:eastAsia="zh-CN"/>
        </w:rPr>
        <w:t>34、履约验收</w:t>
      </w:r>
    </w:p>
    <w:p w14:paraId="573364E0">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Cs/>
          <w:i w:val="0"/>
          <w:iCs w:val="0"/>
          <w:color w:val="auto"/>
          <w:sz w:val="24"/>
          <w:szCs w:val="24"/>
          <w:highlight w:val="none"/>
          <w:lang w:val="en-US" w:eastAsia="zh-CN"/>
        </w:rPr>
      </w:pPr>
      <w:r>
        <w:rPr>
          <w:rFonts w:hint="eastAsia" w:ascii="宋体" w:hAnsi="宋体" w:eastAsia="宋体" w:cs="宋体"/>
          <w:bCs/>
          <w:i w:val="0"/>
          <w:iCs w:val="0"/>
          <w:color w:val="auto"/>
          <w:sz w:val="24"/>
          <w:szCs w:val="24"/>
          <w:highlight w:val="none"/>
          <w:lang w:val="en-US" w:eastAsia="zh-CN"/>
        </w:rPr>
        <w:t>34.1.履约验收的基本要求：中标供应商应按照合同约定的时间、质量、数量等要求完成本项目。本项目将严格按照项目需求中的质量和技术要求和标准进行履约验收。</w:t>
      </w:r>
    </w:p>
    <w:p w14:paraId="580A0FF0">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Cs/>
          <w:i w:val="0"/>
          <w:iCs w:val="0"/>
          <w:color w:val="auto"/>
          <w:sz w:val="24"/>
          <w:szCs w:val="24"/>
          <w:highlight w:val="none"/>
          <w:lang w:val="en-US" w:eastAsia="zh-CN"/>
        </w:rPr>
      </w:pPr>
      <w:r>
        <w:rPr>
          <w:rFonts w:hint="eastAsia" w:ascii="宋体" w:hAnsi="宋体" w:eastAsia="宋体" w:cs="宋体"/>
          <w:bCs/>
          <w:i w:val="0"/>
          <w:iCs w:val="0"/>
          <w:color w:val="auto"/>
          <w:sz w:val="24"/>
          <w:szCs w:val="24"/>
          <w:highlight w:val="none"/>
          <w:lang w:val="en-US" w:eastAsia="zh-CN"/>
        </w:rPr>
        <w:t>34.2.履约验收的实施主体：由采购人作为实施主体，负责组织开展本项目的履约验收工作。也可根据实际需要委托具有相关专业资质和能力的第三方机构协助开展验收工作。</w:t>
      </w:r>
    </w:p>
    <w:p w14:paraId="7699E21A">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Cs/>
          <w:i w:val="0"/>
          <w:iCs w:val="0"/>
          <w:color w:val="auto"/>
          <w:sz w:val="24"/>
          <w:szCs w:val="24"/>
          <w:highlight w:val="none"/>
          <w:lang w:val="en-US" w:eastAsia="zh-CN"/>
        </w:rPr>
      </w:pPr>
      <w:r>
        <w:rPr>
          <w:rFonts w:hint="eastAsia" w:ascii="宋体" w:hAnsi="宋体" w:eastAsia="宋体" w:cs="宋体"/>
          <w:bCs/>
          <w:i w:val="0"/>
          <w:iCs w:val="0"/>
          <w:color w:val="auto"/>
          <w:sz w:val="24"/>
          <w:szCs w:val="24"/>
          <w:highlight w:val="none"/>
          <w:lang w:val="en-US" w:eastAsia="zh-CN"/>
        </w:rPr>
        <w:t>34.3.履约验收的时间方式：政府采购合同约定的履约验收条件达到时，采购人应当在30 个工作日内启动履约验收工作，并向供应商发出《政府采购履约验收通知单》（见附件）</w:t>
      </w:r>
    </w:p>
    <w:p w14:paraId="51C9388E">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Cs/>
          <w:i w:val="0"/>
          <w:iCs w:val="0"/>
          <w:color w:val="auto"/>
          <w:sz w:val="24"/>
          <w:szCs w:val="24"/>
          <w:highlight w:val="none"/>
          <w:lang w:val="en-US" w:eastAsia="zh-CN"/>
        </w:rPr>
      </w:pPr>
      <w:r>
        <w:rPr>
          <w:rFonts w:hint="eastAsia" w:ascii="宋体" w:hAnsi="宋体" w:eastAsia="宋体" w:cs="宋体"/>
          <w:bCs/>
          <w:i w:val="0"/>
          <w:iCs w:val="0"/>
          <w:color w:val="auto"/>
          <w:sz w:val="24"/>
          <w:szCs w:val="24"/>
          <w:highlight w:val="none"/>
          <w:lang w:val="en-US" w:eastAsia="zh-CN"/>
        </w:rPr>
        <w:t>34.4.履约验收的内容：</w:t>
      </w:r>
      <w:r>
        <w:rPr>
          <w:rFonts w:hint="eastAsia" w:ascii="宋体" w:hAnsi="宋体" w:eastAsia="宋体" w:cs="宋体"/>
          <w:b w:val="0"/>
          <w:bCs w:val="0"/>
          <w:color w:val="auto"/>
          <w:sz w:val="24"/>
          <w:szCs w:val="24"/>
          <w:highlight w:val="none"/>
        </w:rPr>
        <w:t>涵盖实施项目的完整性，包含项目需求中的质量和技术要求和施工图、工程量清单中的施工标准。</w:t>
      </w:r>
      <w:r>
        <w:rPr>
          <w:rFonts w:hint="eastAsia" w:ascii="宋体" w:hAnsi="宋体" w:eastAsia="宋体" w:cs="宋体"/>
          <w:b w:val="0"/>
          <w:bCs w:val="0"/>
          <w:color w:val="auto"/>
          <w:sz w:val="24"/>
          <w:szCs w:val="24"/>
          <w:highlight w:val="none"/>
          <w:lang w:val="en-US" w:eastAsia="zh-CN"/>
        </w:rPr>
        <w:t>验收过程中提出的整改意见，供应商须无条件配合，否则视为未按合同要求履行，整改不到位或无法整改的，验收不予通过。验收结束后，验收小组出具验收书，由验收双方共同签署。</w:t>
      </w:r>
    </w:p>
    <w:p w14:paraId="0F751E9D">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Cs/>
          <w:i w:val="0"/>
          <w:iCs w:val="0"/>
          <w:color w:val="auto"/>
          <w:sz w:val="24"/>
          <w:szCs w:val="24"/>
          <w:highlight w:val="none"/>
          <w:lang w:val="en-US" w:eastAsia="zh-CN"/>
        </w:rPr>
      </w:pPr>
      <w:r>
        <w:rPr>
          <w:rFonts w:hint="eastAsia" w:ascii="宋体" w:hAnsi="宋体" w:eastAsia="宋体" w:cs="宋体"/>
          <w:bCs/>
          <w:i w:val="0"/>
          <w:iCs w:val="0"/>
          <w:color w:val="auto"/>
          <w:sz w:val="24"/>
          <w:szCs w:val="24"/>
          <w:highlight w:val="none"/>
          <w:lang w:val="en-US" w:eastAsia="zh-CN"/>
        </w:rPr>
        <w:t>34.5.履约验收的标准：按国家工程竣工验收有关规定的验收要求。</w:t>
      </w:r>
    </w:p>
    <w:p w14:paraId="711E1098">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Cs/>
          <w:i w:val="0"/>
          <w:iCs w:val="0"/>
          <w:color w:val="auto"/>
          <w:sz w:val="24"/>
          <w:szCs w:val="24"/>
          <w:highlight w:val="none"/>
          <w:lang w:val="en-US" w:eastAsia="zh-CN"/>
        </w:rPr>
      </w:pPr>
      <w:r>
        <w:rPr>
          <w:rFonts w:hint="eastAsia" w:ascii="宋体" w:hAnsi="宋体" w:eastAsia="宋体" w:cs="宋体"/>
          <w:bCs/>
          <w:i w:val="0"/>
          <w:iCs w:val="0"/>
          <w:color w:val="auto"/>
          <w:sz w:val="24"/>
          <w:szCs w:val="24"/>
          <w:highlight w:val="none"/>
          <w:lang w:val="en-US" w:eastAsia="zh-CN"/>
        </w:rPr>
        <w:t>3</w:t>
      </w:r>
      <w:r>
        <w:rPr>
          <w:rFonts w:hint="eastAsia" w:ascii="宋体" w:hAnsi="宋体" w:cs="宋体"/>
          <w:bCs/>
          <w:i w:val="0"/>
          <w:iCs w:val="0"/>
          <w:color w:val="auto"/>
          <w:sz w:val="24"/>
          <w:szCs w:val="24"/>
          <w:highlight w:val="none"/>
          <w:lang w:val="en-US" w:eastAsia="zh-CN"/>
        </w:rPr>
        <w:t>4</w:t>
      </w:r>
      <w:r>
        <w:rPr>
          <w:rFonts w:hint="eastAsia" w:ascii="宋体" w:hAnsi="宋体" w:eastAsia="宋体" w:cs="宋体"/>
          <w:bCs/>
          <w:i w:val="0"/>
          <w:iCs w:val="0"/>
          <w:color w:val="auto"/>
          <w:sz w:val="24"/>
          <w:szCs w:val="24"/>
          <w:highlight w:val="none"/>
          <w:lang w:val="en-US" w:eastAsia="zh-CN"/>
        </w:rPr>
        <w:t>.6采购人、供应商应当对验收小组出具的验收意见进行确认，并形成验收证明。</w:t>
      </w:r>
    </w:p>
    <w:p w14:paraId="341A6B62">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35、政府采购履约资金扶持政策</w:t>
      </w:r>
    </w:p>
    <w:p w14:paraId="38EA9483">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35.1根据《关于深入开展南通市政府采购线上合同信用融资工作的通知》（通财购〔2022〕68号），对政府采购中标供应商提出“政采贷”融资申请的，采购人应当依法按时在“苏采云”系统中录入并公开政府采购合同信息，勾选“融资贷款”选项，并在合同签订、验收付款、账号维护等环节提供必要便利，持续降低参与政府采购的中小企业融资成本。中标供应商如需获得合同信用融资支持，可凭政府采购合同办理“政采贷”融资贷款，详情请见江苏省政府采购网-政采贷专栏。</w:t>
      </w:r>
    </w:p>
    <w:p w14:paraId="05C3EC6B">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sectPr>
          <w:footerReference r:id="rId9" w:type="first"/>
          <w:footerReference r:id="rId8" w:type="default"/>
          <w:pgSz w:w="11906" w:h="16838"/>
          <w:pgMar w:top="1418" w:right="1555" w:bottom="1418" w:left="1531" w:header="851" w:footer="992" w:gutter="0"/>
          <w:lnNumType w:countBy="0" w:distance="360"/>
          <w:cols w:space="720" w:num="1"/>
          <w:titlePg/>
          <w:docGrid w:linePitch="360" w:charSpace="0"/>
        </w:sectPr>
      </w:pPr>
      <w:r>
        <w:rPr>
          <w:rFonts w:hint="eastAsia" w:ascii="宋体" w:hAnsi="宋体" w:eastAsia="宋体" w:cs="宋体"/>
          <w:b w:val="0"/>
          <w:bCs w:val="0"/>
          <w:color w:val="auto"/>
          <w:sz w:val="24"/>
          <w:szCs w:val="24"/>
          <w:highlight w:val="none"/>
          <w:lang w:val="en-US" w:eastAsia="zh-CN"/>
        </w:rPr>
        <w:t>35.2履约保证金以履约保函（保险）形式向采购人缴纳的，按照《关于在全省政府采购领域推行电子履约保函（保险）的通知》，登录江苏政府采购网，选择“保险保函”模块，进行相关操作。供应商可登陆江苏政府采购网“资料下载”栏目下载“政府采购电子履约（保函）保险操作手册。</w:t>
      </w:r>
    </w:p>
    <w:p w14:paraId="65F8CB60">
      <w:pPr>
        <w:pageBreakBefore w:val="0"/>
        <w:widowControl w:val="0"/>
        <w:spacing w:line="360" w:lineRule="auto"/>
        <w:jc w:val="center"/>
        <w:rPr>
          <w:rFonts w:hint="eastAsia" w:ascii="宋体" w:hAnsi="宋体" w:eastAsia="宋体" w:cs="宋体"/>
          <w:bCs/>
          <w:color w:val="auto"/>
          <w:sz w:val="44"/>
          <w:szCs w:val="28"/>
          <w:highlight w:val="none"/>
        </w:rPr>
      </w:pPr>
      <w:r>
        <w:rPr>
          <w:rFonts w:hint="eastAsia" w:ascii="宋体" w:hAnsi="宋体" w:eastAsia="宋体" w:cs="宋体"/>
          <w:bCs/>
          <w:color w:val="auto"/>
          <w:sz w:val="44"/>
          <w:szCs w:val="28"/>
          <w:highlight w:val="none"/>
        </w:rPr>
        <w:t>第三章  合同</w:t>
      </w:r>
      <w:bookmarkEnd w:id="152"/>
      <w:bookmarkEnd w:id="153"/>
      <w:bookmarkEnd w:id="154"/>
      <w:bookmarkEnd w:id="155"/>
      <w:bookmarkEnd w:id="156"/>
      <w:r>
        <w:rPr>
          <w:rFonts w:hint="eastAsia" w:ascii="宋体" w:hAnsi="宋体" w:eastAsia="宋体" w:cs="宋体"/>
          <w:bCs/>
          <w:color w:val="auto"/>
          <w:sz w:val="44"/>
          <w:szCs w:val="28"/>
          <w:highlight w:val="none"/>
        </w:rPr>
        <w:t>文本</w:t>
      </w:r>
    </w:p>
    <w:p w14:paraId="03B3B935">
      <w:pPr>
        <w:spacing w:line="500" w:lineRule="exact"/>
        <w:ind w:firstLine="480"/>
        <w:rPr>
          <w:rFonts w:hint="eastAsia" w:ascii="宋体" w:hAnsi="宋体" w:eastAsia="宋体"/>
          <w:color w:val="auto"/>
          <w:sz w:val="24"/>
          <w:szCs w:val="24"/>
          <w:highlight w:val="none"/>
          <w:lang w:eastAsia="zh-CN"/>
        </w:rPr>
      </w:pPr>
      <w:bookmarkStart w:id="157" w:name="_Hlt16619350"/>
      <w:bookmarkStart w:id="158" w:name="_Toc16938590"/>
      <w:bookmarkStart w:id="159" w:name="_Toc20823346"/>
      <w:bookmarkStart w:id="160" w:name="_Toc120614244"/>
      <w:bookmarkStart w:id="161" w:name="_Toc479757211"/>
      <w:bookmarkStart w:id="162" w:name="_Toc462564139"/>
      <w:r>
        <w:rPr>
          <w:rFonts w:hint="eastAsia" w:ascii="宋体" w:hAnsi="宋体" w:eastAsia="宋体"/>
          <w:color w:val="auto"/>
          <w:sz w:val="24"/>
          <w:szCs w:val="24"/>
          <w:highlight w:val="none"/>
        </w:rPr>
        <w:t>以下为成交后</w:t>
      </w:r>
      <w:r>
        <w:rPr>
          <w:rFonts w:hint="eastAsia" w:ascii="宋体" w:hAnsi="宋体" w:eastAsia="宋体"/>
          <w:color w:val="auto"/>
          <w:sz w:val="24"/>
          <w:szCs w:val="24"/>
          <w:highlight w:val="none"/>
          <w:lang w:eastAsia="zh-CN"/>
        </w:rPr>
        <w:t>签订</w:t>
      </w:r>
      <w:r>
        <w:rPr>
          <w:rFonts w:hint="eastAsia" w:ascii="宋体" w:hAnsi="宋体" w:eastAsia="宋体"/>
          <w:color w:val="auto"/>
          <w:sz w:val="24"/>
          <w:szCs w:val="24"/>
          <w:highlight w:val="none"/>
        </w:rPr>
        <w:t>本项目合同的通用条款，成交供应商不得提出实质性的修改</w:t>
      </w:r>
      <w:r>
        <w:rPr>
          <w:rFonts w:hint="eastAsia" w:ascii="宋体" w:hAnsi="宋体" w:eastAsia="宋体"/>
          <w:color w:val="auto"/>
          <w:sz w:val="24"/>
          <w:szCs w:val="24"/>
          <w:highlight w:val="none"/>
          <w:lang w:eastAsia="zh-CN"/>
        </w:rPr>
        <w:t>。</w:t>
      </w:r>
    </w:p>
    <w:p w14:paraId="6B550DB5">
      <w:pPr>
        <w:ind w:firstLine="2560"/>
        <w:jc w:val="left"/>
        <w:rPr>
          <w:rFonts w:hint="eastAsia" w:ascii="Times New Roman" w:hAnsi="Times New Roman" w:eastAsia="仿宋_GB2312"/>
          <w:color w:val="auto"/>
          <w:sz w:val="32"/>
          <w:szCs w:val="24"/>
          <w:highlight w:val="none"/>
        </w:rPr>
      </w:pPr>
      <w:bookmarkStart w:id="163" w:name="_Hlt16619369"/>
      <w:bookmarkEnd w:id="163"/>
    </w:p>
    <w:p w14:paraId="54A17FCB">
      <w:pPr>
        <w:ind w:firstLine="2560"/>
        <w:jc w:val="left"/>
        <w:rPr>
          <w:rFonts w:hint="default" w:ascii="Times New Roman" w:hAnsi="Times New Roman" w:eastAsia="仿宋_GB2312"/>
          <w:color w:val="auto"/>
          <w:sz w:val="32"/>
          <w:szCs w:val="24"/>
          <w:highlight w:val="none"/>
        </w:rPr>
      </w:pPr>
      <w:r>
        <w:rPr>
          <w:rFonts w:hint="eastAsia" w:ascii="Times New Roman" w:hAnsi="Times New Roman" w:eastAsia="仿宋_GB2312"/>
          <w:color w:val="auto"/>
          <w:sz w:val="32"/>
          <w:szCs w:val="24"/>
          <w:highlight w:val="none"/>
        </w:rPr>
        <w:t>（GF—2017</w:t>
      </w:r>
      <w:r>
        <w:rPr>
          <w:rFonts w:hint="default" w:ascii="Times New Roman" w:hAnsi="Times New Roman" w:eastAsia="仿宋_GB2312"/>
          <w:color w:val="auto"/>
          <w:sz w:val="32"/>
          <w:szCs w:val="24"/>
          <w:highlight w:val="none"/>
        </w:rPr>
        <w:t>—</w:t>
      </w:r>
      <w:r>
        <w:rPr>
          <w:rFonts w:hint="eastAsia" w:ascii="Times New Roman" w:hAnsi="Times New Roman" w:eastAsia="仿宋_GB2312"/>
          <w:color w:val="auto"/>
          <w:sz w:val="32"/>
          <w:szCs w:val="24"/>
          <w:highlight w:val="none"/>
        </w:rPr>
        <w:t>0201）</w:t>
      </w:r>
    </w:p>
    <w:p w14:paraId="1044D24E">
      <w:pPr>
        <w:jc w:val="center"/>
        <w:rPr>
          <w:rFonts w:hint="default" w:ascii="Times New Roman" w:hAnsi="Times New Roman" w:eastAsia="华文中宋"/>
          <w:b/>
          <w:color w:val="auto"/>
          <w:sz w:val="52"/>
          <w:szCs w:val="24"/>
          <w:highlight w:val="none"/>
        </w:rPr>
      </w:pPr>
    </w:p>
    <w:p w14:paraId="383FFEF8">
      <w:pPr>
        <w:rPr>
          <w:rFonts w:hint="default" w:ascii="Times New Roman" w:hAnsi="Times New Roman" w:eastAsia="华文中宋"/>
          <w:b/>
          <w:color w:val="auto"/>
          <w:sz w:val="52"/>
          <w:szCs w:val="24"/>
          <w:highlight w:val="none"/>
        </w:rPr>
      </w:pPr>
    </w:p>
    <w:p w14:paraId="7369CFEC">
      <w:pPr>
        <w:rPr>
          <w:rFonts w:hint="default" w:ascii="Times New Roman" w:hAnsi="Times New Roman" w:eastAsia="华文中宋"/>
          <w:b/>
          <w:color w:val="auto"/>
          <w:sz w:val="52"/>
          <w:szCs w:val="24"/>
          <w:highlight w:val="none"/>
        </w:rPr>
      </w:pPr>
    </w:p>
    <w:p w14:paraId="77C5533C">
      <w:pPr>
        <w:jc w:val="center"/>
        <w:rPr>
          <w:rFonts w:hint="default" w:ascii="Times New Roman" w:hAnsi="Times New Roman" w:eastAsia="华文中宋"/>
          <w:b/>
          <w:color w:val="auto"/>
          <w:sz w:val="52"/>
          <w:szCs w:val="24"/>
          <w:highlight w:val="none"/>
        </w:rPr>
      </w:pPr>
    </w:p>
    <w:p w14:paraId="09C921C6">
      <w:pPr>
        <w:jc w:val="center"/>
        <w:rPr>
          <w:rFonts w:hint="default" w:ascii="Times New Roman" w:hAnsi="Times New Roman" w:eastAsia="华文中宋"/>
          <w:b/>
          <w:color w:val="auto"/>
          <w:sz w:val="72"/>
          <w:szCs w:val="24"/>
          <w:highlight w:val="none"/>
        </w:rPr>
      </w:pPr>
      <w:r>
        <w:rPr>
          <w:rFonts w:hint="eastAsia" w:ascii="Times New Roman" w:hAnsi="Times New Roman" w:eastAsia="华文中宋"/>
          <w:b/>
          <w:color w:val="auto"/>
          <w:sz w:val="72"/>
          <w:szCs w:val="24"/>
          <w:highlight w:val="none"/>
        </w:rPr>
        <w:t>建设工程施工合同</w:t>
      </w:r>
    </w:p>
    <w:p w14:paraId="29C6C72A">
      <w:pPr>
        <w:jc w:val="center"/>
        <w:rPr>
          <w:rFonts w:hint="default" w:ascii="Times New Roman" w:hAnsi="Times New Roman" w:eastAsia="华文中宋"/>
          <w:b/>
          <w:color w:val="auto"/>
          <w:sz w:val="52"/>
          <w:szCs w:val="24"/>
          <w:highlight w:val="none"/>
        </w:rPr>
      </w:pPr>
      <w:r>
        <w:rPr>
          <w:rFonts w:hint="eastAsia" w:ascii="Times New Roman" w:hAnsi="Times New Roman" w:eastAsia="华文中宋"/>
          <w:b/>
          <w:color w:val="auto"/>
          <w:sz w:val="52"/>
          <w:szCs w:val="24"/>
          <w:highlight w:val="none"/>
        </w:rPr>
        <w:t>（示范文本）</w:t>
      </w:r>
    </w:p>
    <w:p w14:paraId="3131E530">
      <w:pPr>
        <w:jc w:val="center"/>
        <w:rPr>
          <w:rFonts w:hint="default" w:ascii="Times New Roman" w:hAnsi="Times New Roman" w:eastAsia="华文中宋"/>
          <w:b/>
          <w:color w:val="auto"/>
          <w:sz w:val="52"/>
          <w:szCs w:val="24"/>
          <w:highlight w:val="none"/>
        </w:rPr>
      </w:pPr>
    </w:p>
    <w:p w14:paraId="5883F165">
      <w:pPr>
        <w:rPr>
          <w:rFonts w:hint="default"/>
          <w:b/>
          <w:color w:val="auto"/>
          <w:sz w:val="28"/>
          <w:szCs w:val="24"/>
          <w:highlight w:val="none"/>
        </w:rPr>
      </w:pPr>
    </w:p>
    <w:p w14:paraId="3C047CDE">
      <w:pPr>
        <w:rPr>
          <w:rFonts w:hint="default"/>
          <w:b/>
          <w:color w:val="auto"/>
          <w:sz w:val="28"/>
          <w:szCs w:val="24"/>
          <w:highlight w:val="none"/>
        </w:rPr>
      </w:pPr>
    </w:p>
    <w:p w14:paraId="41F74D80">
      <w:pPr>
        <w:rPr>
          <w:rFonts w:hint="default"/>
          <w:b/>
          <w:color w:val="auto"/>
          <w:sz w:val="28"/>
          <w:szCs w:val="24"/>
          <w:highlight w:val="none"/>
        </w:rPr>
      </w:pPr>
    </w:p>
    <w:p w14:paraId="1CD4D009">
      <w:pPr>
        <w:rPr>
          <w:rFonts w:hint="default"/>
          <w:b/>
          <w:color w:val="auto"/>
          <w:sz w:val="28"/>
          <w:szCs w:val="24"/>
          <w:highlight w:val="none"/>
        </w:rPr>
      </w:pPr>
    </w:p>
    <w:p w14:paraId="2EF76337">
      <w:pPr>
        <w:rPr>
          <w:rFonts w:hint="default"/>
          <w:b/>
          <w:color w:val="auto"/>
          <w:sz w:val="28"/>
          <w:szCs w:val="24"/>
          <w:highlight w:val="none"/>
        </w:rPr>
      </w:pPr>
    </w:p>
    <w:p w14:paraId="307C536D">
      <w:pPr>
        <w:ind w:right="2719" w:firstLine="2738"/>
        <w:jc w:val="both"/>
        <w:rPr>
          <w:rFonts w:hint="default"/>
          <w:b/>
          <w:color w:val="auto"/>
          <w:sz w:val="32"/>
          <w:szCs w:val="24"/>
          <w:highlight w:val="none"/>
        </w:rPr>
      </w:pPr>
      <w:r>
        <w:rPr>
          <w:rFonts w:hint="default"/>
          <w:color w:val="auto"/>
          <w:sz w:val="21"/>
          <w:szCs w:val="24"/>
          <w:highlight w:val="none"/>
        </w:rPr>
        <mc:AlternateContent>
          <mc:Choice Requires="wps">
            <w:drawing>
              <wp:anchor distT="0" distB="0" distL="114300" distR="114300" simplePos="0" relativeHeight="251659264" behindDoc="0" locked="0" layoutInCell="1" allowOverlap="1">
                <wp:simplePos x="0" y="0"/>
                <wp:positionH relativeFrom="column">
                  <wp:posOffset>3980180</wp:posOffset>
                </wp:positionH>
                <wp:positionV relativeFrom="paragraph">
                  <wp:posOffset>141605</wp:posOffset>
                </wp:positionV>
                <wp:extent cx="723900" cy="457200"/>
                <wp:effectExtent l="4445" t="4445" r="14604" b="14604"/>
                <wp:wrapNone/>
                <wp:docPr id="8" name="文本框 4"/>
                <wp:cNvGraphicFramePr/>
                <a:graphic xmlns:a="http://schemas.openxmlformats.org/drawingml/2006/main">
                  <a:graphicData uri="http://schemas.microsoft.com/office/word/2010/wordprocessingShape">
                    <wps:wsp>
                      <wps:cNvSpPr txBox="1"/>
                      <wps:spPr bwMode="auto">
                        <a:xfrm>
                          <a:off x="0" y="0"/>
                          <a:ext cx="723900" cy="457200"/>
                        </a:xfrm>
                        <a:prstGeom prst="rect">
                          <a:avLst/>
                        </a:prstGeom>
                        <a:noFill/>
                        <a:ln w="9525" cap="flat" cmpd="sng">
                          <a:solidFill>
                            <a:srgbClr val="FFFFFF"/>
                          </a:solidFill>
                          <a:prstDash val="solid"/>
                          <a:miter/>
                          <a:headEnd type="none" w="med" len="med"/>
                          <a:tailEnd type="none" w="med" len="med"/>
                        </a:ln>
                      </wps:spPr>
                      <wps:txbx>
                        <w:txbxContent>
                          <w:p w14:paraId="40FD254B">
                            <w:pPr>
                              <w:rPr>
                                <w:rFonts w:hint="default"/>
                                <w:b/>
                                <w:sz w:val="32"/>
                                <w:szCs w:val="24"/>
                              </w:rPr>
                            </w:pPr>
                            <w:r>
                              <w:rPr>
                                <w:rFonts w:hint="eastAsia" w:eastAsia="宋体"/>
                                <w:b/>
                                <w:sz w:val="32"/>
                                <w:szCs w:val="24"/>
                              </w:rPr>
                              <w:t>制定</w:t>
                            </w:r>
                          </w:p>
                        </w:txbxContent>
                      </wps:txbx>
                      <wps:bodyPr upright="1"/>
                    </wps:wsp>
                  </a:graphicData>
                </a:graphic>
              </wp:anchor>
            </w:drawing>
          </mc:Choice>
          <mc:Fallback>
            <w:pict>
              <v:shape id="文本框 4" o:spid="_x0000_s1026" o:spt="202" type="#_x0000_t202" style="position:absolute;left:0pt;margin-left:313.4pt;margin-top:11.15pt;height:36pt;width:57pt;z-index:251659264;mso-width-relative:page;mso-height-relative:page;" filled="f" stroked="t" coordsize="21600,21600" o:gfxdata="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D5F3iNkAAAAJAQAADwAAAAAAAAAB&#10;ACAAAAAiAAAAZHJzL2Rvd25yZXYueG1sUEsBAhQAFAAAAAgAh07iQHjw16APAgAAGgQAAA4AAAAA&#10;AAAAAQAgAAAAKAEAAGRycy9lMm9Eb2MueG1sUEsFBgAAAAAGAAYAWQEAAKkFAAAAAA==&#10;">
                <v:fill on="f" focussize="0,0"/>
                <v:stroke color="#FFFFFF" joinstyle="miter"/>
                <v:imagedata o:title=""/>
                <o:lock v:ext="edit" aspectratio="f"/>
                <v:textbox>
                  <w:txbxContent>
                    <w:p w14:paraId="40FD254B">
                      <w:pPr>
                        <w:rPr>
                          <w:rFonts w:hint="default"/>
                          <w:b/>
                          <w:sz w:val="32"/>
                          <w:szCs w:val="24"/>
                        </w:rPr>
                      </w:pPr>
                      <w:r>
                        <w:rPr>
                          <w:rFonts w:hint="eastAsia" w:eastAsia="宋体"/>
                          <w:b/>
                          <w:sz w:val="32"/>
                          <w:szCs w:val="24"/>
                        </w:rPr>
                        <w:t>制定</w:t>
                      </w:r>
                    </w:p>
                  </w:txbxContent>
                </v:textbox>
              </v:shape>
            </w:pict>
          </mc:Fallback>
        </mc:AlternateContent>
      </w:r>
      <w:r>
        <w:rPr>
          <w:rFonts w:hint="eastAsia" w:eastAsia="宋体"/>
          <w:b/>
          <w:color w:val="auto"/>
          <w:sz w:val="32"/>
          <w:szCs w:val="24"/>
          <w:highlight w:val="none"/>
        </w:rPr>
        <w:t>住房城乡建设部</w:t>
      </w:r>
    </w:p>
    <w:p w14:paraId="1D667643">
      <w:pPr>
        <w:ind w:right="2719" w:firstLine="2750"/>
        <w:jc w:val="both"/>
        <w:rPr>
          <w:rFonts w:hint="default"/>
          <w:b/>
          <w:color w:val="auto"/>
          <w:sz w:val="32"/>
          <w:szCs w:val="24"/>
          <w:highlight w:val="none"/>
        </w:rPr>
      </w:pPr>
      <w:r>
        <w:rPr>
          <w:rFonts w:hint="eastAsia" w:eastAsia="宋体"/>
          <w:b/>
          <w:color w:val="auto"/>
          <w:sz w:val="32"/>
          <w:szCs w:val="24"/>
          <w:highlight w:val="none"/>
        </w:rPr>
        <w:t>国家工商行政管理总局</w:t>
      </w:r>
    </w:p>
    <w:p w14:paraId="4B848C43">
      <w:pPr>
        <w:rPr>
          <w:rFonts w:hint="default"/>
          <w:b/>
          <w:color w:val="auto"/>
          <w:sz w:val="21"/>
          <w:szCs w:val="24"/>
          <w:highlight w:val="none"/>
        </w:rPr>
      </w:pPr>
    </w:p>
    <w:p w14:paraId="71057D82">
      <w:pPr>
        <w:pStyle w:val="6"/>
        <w:jc w:val="center"/>
        <w:rPr>
          <w:rFonts w:hint="eastAsia" w:ascii="宋体" w:hAnsi="宋体" w:eastAsia="宋体"/>
          <w:b w:val="0"/>
          <w:color w:val="auto"/>
          <w:sz w:val="24"/>
          <w:szCs w:val="24"/>
          <w:highlight w:val="none"/>
        </w:rPr>
      </w:pPr>
      <w:r>
        <w:rPr>
          <w:rFonts w:hint="default"/>
          <w:b w:val="0"/>
          <w:color w:val="auto"/>
          <w:sz w:val="32"/>
          <w:szCs w:val="24"/>
          <w:highlight w:val="none"/>
        </w:rPr>
        <w:br w:type="page" w:clear="all"/>
      </w:r>
      <w:bookmarkStart w:id="164" w:name="_Toc26644"/>
      <w:r>
        <w:rPr>
          <w:rFonts w:hint="eastAsia" w:ascii="宋体" w:hAnsi="宋体" w:eastAsia="宋体"/>
          <w:color w:val="auto"/>
          <w:sz w:val="24"/>
          <w:szCs w:val="24"/>
          <w:highlight w:val="none"/>
        </w:rPr>
        <w:t>第一部分 合同协议书</w:t>
      </w:r>
      <w:bookmarkEnd w:id="164"/>
    </w:p>
    <w:p w14:paraId="6FCE60C6">
      <w:pPr>
        <w:spacing w:line="360" w:lineRule="auto"/>
        <w:rPr>
          <w:rFonts w:hint="eastAsia" w:ascii="宋体" w:hAnsi="宋体" w:eastAsia="宋体"/>
          <w:b/>
          <w:color w:val="auto"/>
          <w:sz w:val="24"/>
          <w:szCs w:val="24"/>
          <w:highlight w:val="none"/>
          <w:u w:val="single"/>
        </w:rPr>
      </w:pPr>
      <w:r>
        <w:rPr>
          <w:rFonts w:hint="eastAsia" w:ascii="宋体" w:hAnsi="宋体" w:eastAsia="宋体"/>
          <w:b/>
          <w:color w:val="auto"/>
          <w:sz w:val="24"/>
          <w:szCs w:val="24"/>
          <w:highlight w:val="none"/>
        </w:rPr>
        <w:t>发包人（全称）：</w:t>
      </w:r>
      <w:r>
        <w:rPr>
          <w:rFonts w:hint="eastAsia" w:ascii="宋体" w:hAnsi="宋体"/>
          <w:b/>
          <w:color w:val="auto"/>
          <w:sz w:val="24"/>
          <w:szCs w:val="24"/>
          <w:highlight w:val="none"/>
          <w:u w:val="single"/>
          <w:lang w:eastAsia="zh-CN"/>
        </w:rPr>
        <w:t>南通市通州区东社镇人民政府</w:t>
      </w:r>
      <w:r>
        <w:rPr>
          <w:rFonts w:hint="eastAsia" w:ascii="宋体" w:hAnsi="宋体" w:eastAsia="宋体"/>
          <w:b/>
          <w:color w:val="auto"/>
          <w:sz w:val="24"/>
          <w:szCs w:val="24"/>
          <w:highlight w:val="none"/>
          <w:u w:val="single"/>
        </w:rPr>
        <w:t xml:space="preserve">  </w:t>
      </w:r>
    </w:p>
    <w:p w14:paraId="5027FFD3">
      <w:pPr>
        <w:spacing w:line="360" w:lineRule="auto"/>
        <w:rPr>
          <w:rFonts w:hint="eastAsia" w:ascii="宋体" w:hAnsi="宋体" w:eastAsia="宋体"/>
          <w:b/>
          <w:color w:val="auto"/>
          <w:sz w:val="24"/>
          <w:szCs w:val="24"/>
          <w:highlight w:val="none"/>
          <w:u w:val="single"/>
        </w:rPr>
      </w:pPr>
      <w:r>
        <w:rPr>
          <w:rFonts w:hint="eastAsia" w:ascii="宋体" w:hAnsi="宋体" w:eastAsia="宋体"/>
          <w:b/>
          <w:color w:val="auto"/>
          <w:sz w:val="24"/>
          <w:szCs w:val="24"/>
          <w:highlight w:val="none"/>
        </w:rPr>
        <w:t>承包人（全称）</w:t>
      </w:r>
      <w:r>
        <w:rPr>
          <w:rFonts w:hint="eastAsia" w:ascii="宋体" w:hAnsi="宋体"/>
          <w:b/>
          <w:color w:val="auto"/>
          <w:sz w:val="24"/>
          <w:szCs w:val="24"/>
          <w:highlight w:val="none"/>
          <w:lang w:eastAsia="zh-CN"/>
        </w:rPr>
        <w:t>（</w:t>
      </w:r>
      <w:r>
        <w:rPr>
          <w:rFonts w:hint="eastAsia" w:ascii="宋体" w:hAnsi="宋体"/>
          <w:b/>
          <w:color w:val="auto"/>
          <w:sz w:val="24"/>
          <w:szCs w:val="24"/>
          <w:highlight w:val="none"/>
          <w:lang w:val="en-US" w:eastAsia="zh-CN"/>
        </w:rPr>
        <w:t>包号</w:t>
      </w:r>
      <w:r>
        <w:rPr>
          <w:rFonts w:hint="eastAsia" w:ascii="宋体" w:hAnsi="宋体"/>
          <w:b/>
          <w:color w:val="auto"/>
          <w:sz w:val="24"/>
          <w:szCs w:val="24"/>
          <w:highlight w:val="none"/>
          <w:lang w:eastAsia="zh-CN"/>
        </w:rPr>
        <w:t>）</w:t>
      </w:r>
      <w:r>
        <w:rPr>
          <w:rFonts w:hint="eastAsia" w:ascii="宋体" w:hAnsi="宋体" w:eastAsia="宋体"/>
          <w:b/>
          <w:color w:val="auto"/>
          <w:sz w:val="24"/>
          <w:szCs w:val="24"/>
          <w:highlight w:val="none"/>
        </w:rPr>
        <w:t>：</w:t>
      </w:r>
      <w:r>
        <w:rPr>
          <w:rFonts w:hint="eastAsia" w:ascii="宋体" w:hAnsi="宋体" w:eastAsia="宋体"/>
          <w:b/>
          <w:color w:val="auto"/>
          <w:sz w:val="24"/>
          <w:szCs w:val="24"/>
          <w:highlight w:val="none"/>
          <w:u w:val="single"/>
        </w:rPr>
        <w:t xml:space="preserve">                            </w:t>
      </w:r>
    </w:p>
    <w:p w14:paraId="1EB73050">
      <w:pPr>
        <w:spacing w:line="440" w:lineRule="exact"/>
        <w:ind w:firstLine="420"/>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根据《中华人民共和国民法典》《中华人民共和国建筑法》及有关法律规定，遵循平等、自愿、公平和诚实信用的原则，双方就</w:t>
      </w:r>
      <w:r>
        <w:rPr>
          <w:rFonts w:hint="eastAsia" w:ascii="宋体" w:hAnsi="宋体" w:eastAsia="宋体"/>
          <w:color w:val="auto"/>
          <w:sz w:val="24"/>
          <w:szCs w:val="24"/>
          <w:highlight w:val="none"/>
          <w:u w:val="single"/>
        </w:rPr>
        <w:t xml:space="preserve"> </w:t>
      </w:r>
      <w:r>
        <w:rPr>
          <w:rFonts w:hint="eastAsia" w:ascii="宋体" w:hAnsi="宋体"/>
          <w:color w:val="auto"/>
          <w:sz w:val="24"/>
          <w:szCs w:val="24"/>
          <w:highlight w:val="none"/>
          <w:u w:val="single"/>
          <w:lang w:eastAsia="zh-CN"/>
        </w:rPr>
        <w:t>南通市通州区东社镇社北路道路工程</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施工及有关事项协商一致，共同达成如下协议：</w:t>
      </w:r>
    </w:p>
    <w:p w14:paraId="268D3336">
      <w:pPr>
        <w:pStyle w:val="7"/>
        <w:spacing w:before="120" w:after="120" w:line="440" w:lineRule="exact"/>
        <w:rPr>
          <w:rFonts w:hint="eastAsia" w:ascii="宋体" w:hAnsi="宋体"/>
          <w:color w:val="auto"/>
          <w:sz w:val="24"/>
          <w:szCs w:val="24"/>
          <w:highlight w:val="none"/>
        </w:rPr>
      </w:pPr>
      <w:r>
        <w:rPr>
          <w:rFonts w:hint="eastAsia" w:ascii="宋体" w:hAnsi="宋体"/>
          <w:color w:val="auto"/>
          <w:sz w:val="24"/>
          <w:szCs w:val="24"/>
          <w:highlight w:val="none"/>
        </w:rPr>
        <w:t xml:space="preserve">   </w:t>
      </w:r>
      <w:r>
        <w:rPr>
          <w:rFonts w:hint="eastAsia" w:ascii="宋体" w:hAnsi="宋体"/>
          <w:b w:val="0"/>
          <w:color w:val="auto"/>
          <w:sz w:val="24"/>
          <w:szCs w:val="24"/>
          <w:highlight w:val="none"/>
        </w:rPr>
        <w:t xml:space="preserve"> </w:t>
      </w:r>
      <w:bookmarkStart w:id="165" w:name="_Toc351203481"/>
      <w:r>
        <w:rPr>
          <w:rFonts w:hint="eastAsia" w:ascii="宋体" w:hAnsi="宋体"/>
          <w:b w:val="0"/>
          <w:color w:val="auto"/>
          <w:sz w:val="24"/>
          <w:szCs w:val="24"/>
          <w:highlight w:val="none"/>
        </w:rPr>
        <w:t>一、工程概况</w:t>
      </w:r>
      <w:bookmarkEnd w:id="165"/>
    </w:p>
    <w:p w14:paraId="4433CC7A">
      <w:pPr>
        <w:spacing w:line="440" w:lineRule="exact"/>
        <w:ind w:firstLine="411"/>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rPr>
        <w:t>1.工程名称：</w:t>
      </w:r>
      <w:r>
        <w:rPr>
          <w:rFonts w:hint="eastAsia" w:ascii="宋体" w:hAnsi="宋体"/>
          <w:color w:val="auto"/>
          <w:sz w:val="24"/>
          <w:szCs w:val="24"/>
          <w:highlight w:val="none"/>
          <w:u w:val="single"/>
          <w:lang w:eastAsia="zh-CN"/>
        </w:rPr>
        <w:t>南通市通州区东社镇社北路道路工程</w:t>
      </w:r>
      <w:r>
        <w:rPr>
          <w:rFonts w:hint="eastAsia" w:ascii="宋体" w:hAnsi="宋体" w:eastAsia="宋体"/>
          <w:color w:val="auto"/>
          <w:sz w:val="24"/>
          <w:szCs w:val="24"/>
          <w:highlight w:val="none"/>
        </w:rPr>
        <w:t>。</w:t>
      </w:r>
    </w:p>
    <w:p w14:paraId="29FAD32F">
      <w:pPr>
        <w:spacing w:line="440" w:lineRule="exact"/>
        <w:ind w:firstLine="411"/>
        <w:rPr>
          <w:rFonts w:hint="eastAsia" w:ascii="宋体" w:hAnsi="宋体" w:eastAsia="宋体"/>
          <w:color w:val="auto"/>
          <w:sz w:val="24"/>
          <w:szCs w:val="24"/>
          <w:highlight w:val="none"/>
        </w:rPr>
      </w:pPr>
      <w:r>
        <w:rPr>
          <w:rFonts w:hint="eastAsia" w:ascii="宋体" w:hAnsi="宋体" w:eastAsia="宋体"/>
          <w:color w:val="auto"/>
          <w:sz w:val="24"/>
          <w:szCs w:val="24"/>
          <w:highlight w:val="none"/>
        </w:rPr>
        <w:t>2.工程地点：</w:t>
      </w:r>
      <w:r>
        <w:rPr>
          <w:rFonts w:hint="eastAsia" w:ascii="宋体" w:hAnsi="宋体"/>
          <w:color w:val="auto"/>
          <w:sz w:val="24"/>
          <w:szCs w:val="24"/>
          <w:highlight w:val="none"/>
          <w:u w:val="single"/>
          <w:lang w:eastAsia="zh-CN"/>
        </w:rPr>
        <w:t>通州区东社镇</w:t>
      </w:r>
      <w:r>
        <w:rPr>
          <w:rFonts w:hint="eastAsia" w:ascii="宋体" w:hAnsi="宋体" w:eastAsia="宋体"/>
          <w:color w:val="auto"/>
          <w:sz w:val="24"/>
          <w:szCs w:val="24"/>
          <w:highlight w:val="none"/>
        </w:rPr>
        <w:t>。</w:t>
      </w:r>
    </w:p>
    <w:p w14:paraId="6C7DD1A0">
      <w:pPr>
        <w:spacing w:line="440" w:lineRule="exact"/>
        <w:ind w:firstLine="411"/>
        <w:rPr>
          <w:rFonts w:hint="eastAsia" w:ascii="宋体" w:hAnsi="宋体" w:eastAsia="宋体"/>
          <w:color w:val="auto"/>
          <w:sz w:val="24"/>
          <w:szCs w:val="24"/>
          <w:highlight w:val="none"/>
        </w:rPr>
      </w:pPr>
      <w:r>
        <w:rPr>
          <w:rFonts w:hint="eastAsia" w:ascii="宋体" w:hAnsi="宋体" w:eastAsia="宋体"/>
          <w:color w:val="auto"/>
          <w:sz w:val="24"/>
          <w:szCs w:val="24"/>
          <w:highlight w:val="none"/>
        </w:rPr>
        <w:t>3.工程立项批准文号：</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w:t>
      </w:r>
    </w:p>
    <w:p w14:paraId="0F5C5489">
      <w:pPr>
        <w:spacing w:line="440" w:lineRule="exact"/>
        <w:ind w:firstLine="411"/>
        <w:rPr>
          <w:rFonts w:hint="eastAsia" w:ascii="宋体" w:hAnsi="宋体" w:eastAsia="宋体"/>
          <w:color w:val="auto"/>
          <w:sz w:val="24"/>
          <w:szCs w:val="24"/>
          <w:highlight w:val="none"/>
        </w:rPr>
      </w:pPr>
      <w:r>
        <w:rPr>
          <w:rFonts w:hint="eastAsia" w:ascii="宋体" w:hAnsi="宋体" w:eastAsia="宋体"/>
          <w:color w:val="auto"/>
          <w:sz w:val="24"/>
          <w:szCs w:val="24"/>
          <w:highlight w:val="none"/>
        </w:rPr>
        <w:t>4.资金来源：</w:t>
      </w:r>
      <w:r>
        <w:rPr>
          <w:rFonts w:hint="eastAsia" w:ascii="宋体" w:hAnsi="宋体" w:eastAsia="宋体"/>
          <w:color w:val="auto"/>
          <w:sz w:val="24"/>
          <w:szCs w:val="24"/>
          <w:highlight w:val="none"/>
          <w:u w:val="single"/>
        </w:rPr>
        <w:t xml:space="preserve"> </w:t>
      </w:r>
      <w:r>
        <w:rPr>
          <w:rFonts w:hint="eastAsia" w:ascii="宋体" w:hAnsi="宋体"/>
          <w:color w:val="auto"/>
          <w:sz w:val="24"/>
          <w:szCs w:val="24"/>
          <w:highlight w:val="none"/>
          <w:u w:val="single"/>
          <w:lang w:val="en-US" w:eastAsia="zh-CN"/>
        </w:rPr>
        <w:t>镇财政资金</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w:t>
      </w:r>
    </w:p>
    <w:p w14:paraId="1011FC02">
      <w:pPr>
        <w:spacing w:line="440" w:lineRule="exact"/>
        <w:ind w:firstLine="411"/>
        <w:rPr>
          <w:rFonts w:hint="eastAsia" w:ascii="宋体" w:hAnsi="宋体" w:eastAsia="宋体"/>
          <w:color w:val="auto"/>
          <w:sz w:val="24"/>
          <w:szCs w:val="24"/>
          <w:highlight w:val="none"/>
        </w:rPr>
      </w:pPr>
      <w:r>
        <w:rPr>
          <w:rFonts w:hint="eastAsia" w:ascii="宋体" w:hAnsi="宋体" w:eastAsia="宋体"/>
          <w:color w:val="auto"/>
          <w:sz w:val="24"/>
          <w:szCs w:val="24"/>
          <w:highlight w:val="none"/>
        </w:rPr>
        <w:t>5.工程内容：</w:t>
      </w:r>
      <w:r>
        <w:rPr>
          <w:rFonts w:hint="eastAsia" w:ascii="宋体" w:hAnsi="宋体" w:eastAsia="宋体"/>
          <w:color w:val="auto"/>
          <w:sz w:val="24"/>
          <w:szCs w:val="24"/>
          <w:highlight w:val="none"/>
          <w:u w:val="single"/>
        </w:rPr>
        <w:t>详见竞争性</w:t>
      </w:r>
      <w:r>
        <w:rPr>
          <w:rFonts w:hint="eastAsia" w:ascii="宋体" w:hAnsi="宋体" w:eastAsia="宋体"/>
          <w:color w:val="auto"/>
          <w:sz w:val="24"/>
          <w:szCs w:val="24"/>
          <w:highlight w:val="none"/>
          <w:u w:val="single"/>
          <w:lang w:val="en-US" w:eastAsia="zh-CN"/>
        </w:rPr>
        <w:t>磋商</w:t>
      </w:r>
      <w:r>
        <w:rPr>
          <w:rFonts w:hint="eastAsia" w:ascii="宋体" w:hAnsi="宋体" w:eastAsia="宋体"/>
          <w:color w:val="auto"/>
          <w:sz w:val="24"/>
          <w:szCs w:val="24"/>
          <w:highlight w:val="none"/>
          <w:u w:val="single"/>
        </w:rPr>
        <w:t>文件、工程量清单</w:t>
      </w:r>
      <w:r>
        <w:rPr>
          <w:rFonts w:hint="eastAsia" w:ascii="宋体" w:hAnsi="宋体" w:eastAsia="宋体"/>
          <w:color w:val="auto"/>
          <w:sz w:val="24"/>
          <w:szCs w:val="24"/>
          <w:highlight w:val="none"/>
          <w:u w:val="single"/>
          <w:lang w:eastAsia="zh-CN"/>
        </w:rPr>
        <w:t>、</w:t>
      </w:r>
      <w:r>
        <w:rPr>
          <w:rFonts w:hint="eastAsia" w:ascii="宋体" w:hAnsi="宋体"/>
          <w:color w:val="auto"/>
          <w:sz w:val="24"/>
          <w:szCs w:val="24"/>
          <w:highlight w:val="none"/>
          <w:u w:val="single"/>
          <w:lang w:eastAsia="zh-CN"/>
        </w:rPr>
        <w:t>施工要求</w:t>
      </w:r>
      <w:r>
        <w:rPr>
          <w:rFonts w:hint="eastAsia" w:ascii="宋体" w:hAnsi="宋体" w:eastAsia="宋体"/>
          <w:color w:val="auto"/>
          <w:sz w:val="24"/>
          <w:szCs w:val="24"/>
          <w:highlight w:val="none"/>
          <w:u w:val="single"/>
        </w:rPr>
        <w:t xml:space="preserve">所含内容 </w:t>
      </w:r>
      <w:r>
        <w:rPr>
          <w:rFonts w:hint="eastAsia" w:ascii="宋体" w:hAnsi="宋体" w:eastAsia="宋体"/>
          <w:color w:val="auto"/>
          <w:sz w:val="24"/>
          <w:szCs w:val="24"/>
          <w:highlight w:val="none"/>
        </w:rPr>
        <w:t>。</w:t>
      </w:r>
    </w:p>
    <w:p w14:paraId="44825C89">
      <w:pPr>
        <w:spacing w:line="440" w:lineRule="exact"/>
        <w:ind w:firstLine="411"/>
        <w:rPr>
          <w:rFonts w:hint="eastAsia" w:ascii="宋体" w:hAnsi="宋体" w:eastAsia="宋体"/>
          <w:color w:val="auto"/>
          <w:sz w:val="24"/>
          <w:szCs w:val="24"/>
          <w:highlight w:val="none"/>
        </w:rPr>
      </w:pPr>
      <w:r>
        <w:rPr>
          <w:rFonts w:hint="eastAsia" w:ascii="宋体" w:hAnsi="宋体" w:eastAsia="宋体"/>
          <w:color w:val="auto"/>
          <w:sz w:val="24"/>
          <w:szCs w:val="24"/>
          <w:highlight w:val="none"/>
        </w:rPr>
        <w:t>群体工程应附《承包人承揽工程项目一览表》（附件1）。</w:t>
      </w:r>
    </w:p>
    <w:p w14:paraId="7D2E7FB0">
      <w:pPr>
        <w:spacing w:line="440" w:lineRule="exact"/>
        <w:ind w:firstLine="411"/>
        <w:rPr>
          <w:rFonts w:hint="eastAsia" w:ascii="宋体" w:hAnsi="宋体" w:eastAsia="宋体"/>
          <w:color w:val="auto"/>
          <w:sz w:val="24"/>
          <w:szCs w:val="24"/>
          <w:highlight w:val="none"/>
        </w:rPr>
      </w:pPr>
      <w:r>
        <w:rPr>
          <w:rFonts w:hint="eastAsia" w:ascii="宋体" w:hAnsi="宋体" w:eastAsia="宋体"/>
          <w:color w:val="auto"/>
          <w:sz w:val="24"/>
          <w:szCs w:val="24"/>
          <w:highlight w:val="none"/>
        </w:rPr>
        <w:t>6.工程承包范围：</w:t>
      </w:r>
    </w:p>
    <w:p w14:paraId="09E93280">
      <w:pPr>
        <w:spacing w:line="440" w:lineRule="exact"/>
        <w:ind w:firstLine="405"/>
        <w:rPr>
          <w:rFonts w:hint="default" w:ascii="Times New Roman" w:hAnsi="Times New Roman" w:eastAsia="幼圆"/>
          <w:color w:val="auto"/>
          <w:sz w:val="24"/>
          <w:szCs w:val="24"/>
          <w:highlight w:val="none"/>
        </w:rPr>
      </w:pPr>
      <w:r>
        <w:rPr>
          <w:rFonts w:hint="eastAsia" w:ascii="宋体" w:hAnsi="宋体" w:eastAsia="宋体"/>
          <w:color w:val="auto"/>
          <w:sz w:val="24"/>
          <w:szCs w:val="24"/>
          <w:highlight w:val="none"/>
          <w:u w:val="single"/>
        </w:rPr>
        <w:t xml:space="preserve">  竞争性</w:t>
      </w:r>
      <w:r>
        <w:rPr>
          <w:rFonts w:hint="eastAsia" w:ascii="宋体" w:hAnsi="宋体" w:eastAsia="宋体"/>
          <w:color w:val="auto"/>
          <w:sz w:val="24"/>
          <w:szCs w:val="24"/>
          <w:highlight w:val="none"/>
          <w:u w:val="single"/>
          <w:lang w:val="en-US" w:eastAsia="zh-CN"/>
        </w:rPr>
        <w:t>磋商</w:t>
      </w:r>
      <w:r>
        <w:rPr>
          <w:rFonts w:hint="eastAsia" w:ascii="宋体" w:hAnsi="宋体" w:eastAsia="宋体"/>
          <w:color w:val="auto"/>
          <w:sz w:val="24"/>
          <w:szCs w:val="24"/>
          <w:highlight w:val="none"/>
          <w:u w:val="single"/>
        </w:rPr>
        <w:t>文件、工程量清单</w:t>
      </w:r>
      <w:r>
        <w:rPr>
          <w:rFonts w:hint="eastAsia" w:ascii="宋体" w:hAnsi="宋体"/>
          <w:color w:val="auto"/>
          <w:sz w:val="24"/>
          <w:szCs w:val="24"/>
          <w:highlight w:val="none"/>
          <w:u w:val="single"/>
          <w:lang w:eastAsia="zh-CN"/>
        </w:rPr>
        <w:t>、施工要求</w:t>
      </w:r>
      <w:r>
        <w:rPr>
          <w:rFonts w:hint="eastAsia" w:ascii="宋体" w:hAnsi="宋体" w:eastAsia="宋体"/>
          <w:color w:val="auto"/>
          <w:sz w:val="24"/>
          <w:szCs w:val="24"/>
          <w:highlight w:val="none"/>
          <w:u w:val="single"/>
        </w:rPr>
        <w:t xml:space="preserve">所含内容  </w:t>
      </w:r>
      <w:r>
        <w:rPr>
          <w:rFonts w:hint="eastAsia" w:ascii="宋体" w:hAnsi="宋体" w:eastAsia="宋体"/>
          <w:color w:val="auto"/>
          <w:sz w:val="24"/>
          <w:szCs w:val="24"/>
          <w:highlight w:val="none"/>
        </w:rPr>
        <w:t>。</w:t>
      </w:r>
    </w:p>
    <w:p w14:paraId="02599A36">
      <w:pPr>
        <w:pStyle w:val="7"/>
        <w:spacing w:before="120" w:after="120" w:line="440" w:lineRule="exact"/>
        <w:rPr>
          <w:rFonts w:hint="eastAsia" w:ascii="宋体" w:hAnsi="宋体"/>
          <w:b w:val="0"/>
          <w:color w:val="auto"/>
          <w:sz w:val="24"/>
          <w:szCs w:val="24"/>
          <w:highlight w:val="none"/>
        </w:rPr>
      </w:pPr>
      <w:r>
        <w:rPr>
          <w:rFonts w:hint="default" w:ascii="Times New Roman" w:hAnsi="Times New Roman"/>
          <w:b w:val="0"/>
          <w:color w:val="auto"/>
          <w:sz w:val="24"/>
          <w:szCs w:val="24"/>
          <w:highlight w:val="none"/>
        </w:rPr>
        <w:t xml:space="preserve">  </w:t>
      </w:r>
      <w:r>
        <w:rPr>
          <w:rFonts w:hint="eastAsia" w:ascii="宋体" w:hAnsi="宋体"/>
          <w:b w:val="0"/>
          <w:color w:val="auto"/>
          <w:sz w:val="24"/>
          <w:szCs w:val="24"/>
          <w:highlight w:val="none"/>
        </w:rPr>
        <w:t xml:space="preserve"> </w:t>
      </w:r>
      <w:bookmarkStart w:id="166" w:name="_Toc351203482"/>
      <w:r>
        <w:rPr>
          <w:rFonts w:hint="eastAsia" w:ascii="宋体" w:hAnsi="宋体"/>
          <w:b w:val="0"/>
          <w:color w:val="auto"/>
          <w:sz w:val="24"/>
          <w:szCs w:val="24"/>
          <w:highlight w:val="none"/>
        </w:rPr>
        <w:t>二、合同工期</w:t>
      </w:r>
      <w:bookmarkEnd w:id="166"/>
    </w:p>
    <w:p w14:paraId="19666B88">
      <w:pPr>
        <w:spacing w:line="440" w:lineRule="exact"/>
        <w:ind w:firstLine="459"/>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5月底</w:t>
      </w:r>
      <w:r>
        <w:rPr>
          <w:rFonts w:hint="eastAsia" w:ascii="宋体" w:hAnsi="宋体" w:eastAsia="宋体" w:cs="Times New Roman"/>
          <w:color w:val="auto"/>
          <w:sz w:val="24"/>
          <w:szCs w:val="24"/>
          <w:highlight w:val="none"/>
          <w:lang w:val="en-US" w:eastAsia="zh-CN"/>
        </w:rPr>
        <w:t>前</w:t>
      </w:r>
      <w:r>
        <w:rPr>
          <w:rFonts w:hint="eastAsia" w:ascii="宋体" w:hAnsi="宋体" w:eastAsia="宋体" w:cs="Times New Roman"/>
          <w:color w:val="auto"/>
          <w:sz w:val="24"/>
          <w:szCs w:val="24"/>
          <w:highlight w:val="none"/>
        </w:rPr>
        <w:t>完工。</w:t>
      </w:r>
    </w:p>
    <w:p w14:paraId="5CA72868">
      <w:pPr>
        <w:spacing w:line="440" w:lineRule="exact"/>
        <w:ind w:firstLine="459"/>
        <w:rPr>
          <w:rFonts w:hint="eastAsia" w:ascii="宋体" w:hAnsi="宋体" w:eastAsia="宋体"/>
          <w:color w:val="auto"/>
          <w:sz w:val="24"/>
          <w:szCs w:val="24"/>
          <w:highlight w:val="none"/>
        </w:rPr>
      </w:pPr>
      <w:r>
        <w:rPr>
          <w:rFonts w:hint="eastAsia" w:ascii="宋体" w:hAnsi="宋体" w:eastAsia="宋体"/>
          <w:color w:val="auto"/>
          <w:sz w:val="24"/>
          <w:szCs w:val="24"/>
          <w:highlight w:val="none"/>
        </w:rPr>
        <w:t>计划开工日期：</w:t>
      </w:r>
      <w:r>
        <w:rPr>
          <w:rFonts w:hint="eastAsia" w:ascii="宋体" w:hAnsi="宋体" w:eastAsia="宋体"/>
          <w:color w:val="auto"/>
          <w:sz w:val="24"/>
          <w:szCs w:val="24"/>
          <w:highlight w:val="none"/>
          <w:u w:val="single"/>
        </w:rPr>
        <w:t xml:space="preserve"> </w:t>
      </w:r>
      <w:r>
        <w:rPr>
          <w:rFonts w:hint="eastAsia" w:ascii="宋体" w:hAnsi="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年</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月</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日。</w:t>
      </w:r>
    </w:p>
    <w:p w14:paraId="1094DBE0">
      <w:pPr>
        <w:spacing w:line="440" w:lineRule="exact"/>
        <w:ind w:firstLine="459"/>
        <w:rPr>
          <w:rFonts w:hint="eastAsia" w:ascii="宋体" w:hAnsi="宋体" w:eastAsia="宋体"/>
          <w:color w:val="auto"/>
          <w:sz w:val="24"/>
          <w:szCs w:val="24"/>
          <w:highlight w:val="none"/>
        </w:rPr>
      </w:pPr>
      <w:r>
        <w:rPr>
          <w:rFonts w:hint="eastAsia" w:ascii="宋体" w:hAnsi="宋体" w:eastAsia="宋体"/>
          <w:color w:val="auto"/>
          <w:sz w:val="24"/>
          <w:szCs w:val="24"/>
          <w:highlight w:val="none"/>
        </w:rPr>
        <w:t>计划竣工日期：</w:t>
      </w:r>
      <w:r>
        <w:rPr>
          <w:rFonts w:hint="eastAsia" w:ascii="宋体" w:hAnsi="宋体" w:eastAsia="宋体"/>
          <w:color w:val="auto"/>
          <w:sz w:val="24"/>
          <w:szCs w:val="24"/>
          <w:highlight w:val="none"/>
          <w:u w:val="single"/>
        </w:rPr>
        <w:t xml:space="preserve">  </w:t>
      </w:r>
      <w:r>
        <w:rPr>
          <w:rFonts w:hint="eastAsia" w:ascii="宋体" w:hAnsi="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rPr>
        <w:t>年</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月</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日。</w:t>
      </w:r>
    </w:p>
    <w:p w14:paraId="7E05A9A1">
      <w:pPr>
        <w:spacing w:line="440" w:lineRule="exact"/>
        <w:ind w:firstLine="459"/>
        <w:rPr>
          <w:rFonts w:hint="eastAsia" w:ascii="宋体" w:hAnsi="宋体" w:eastAsia="宋体" w:cs="Times New Roman"/>
          <w:color w:val="auto"/>
          <w:sz w:val="24"/>
          <w:szCs w:val="24"/>
          <w:highlight w:val="none"/>
        </w:rPr>
      </w:pPr>
      <w:bookmarkStart w:id="167" w:name="_Toc351203483"/>
      <w:r>
        <w:rPr>
          <w:rFonts w:hint="eastAsia" w:ascii="宋体" w:hAnsi="宋体" w:eastAsia="宋体" w:cs="Times New Roman"/>
          <w:color w:val="auto"/>
          <w:sz w:val="24"/>
          <w:szCs w:val="24"/>
          <w:highlight w:val="none"/>
        </w:rPr>
        <w:t>工期总日历天数：</w:t>
      </w:r>
      <w:r>
        <w:rPr>
          <w:rFonts w:hint="eastAsia" w:ascii="宋体" w:hAnsi="宋体" w:eastAsia="宋体" w:cs="Times New Roman"/>
          <w:color w:val="auto"/>
          <w:sz w:val="24"/>
          <w:szCs w:val="24"/>
          <w:highlight w:val="none"/>
          <w:u w:val="single"/>
          <w:lang w:val="en-US" w:eastAsia="zh-CN"/>
        </w:rPr>
        <w:t xml:space="preserve">  </w:t>
      </w:r>
      <w:r>
        <w:rPr>
          <w:rFonts w:hint="eastAsia" w:ascii="宋体" w:hAnsi="宋体" w:cs="Times New Roman"/>
          <w:color w:val="auto"/>
          <w:sz w:val="24"/>
          <w:szCs w:val="24"/>
          <w:highlight w:val="none"/>
          <w:u w:val="single"/>
          <w:lang w:val="en-US" w:eastAsia="zh-CN"/>
        </w:rPr>
        <w:t>90</w:t>
      </w:r>
      <w:r>
        <w:rPr>
          <w:rFonts w:hint="eastAsia" w:ascii="宋体" w:hAnsi="宋体" w:eastAsia="宋体" w:cs="Times New Roman"/>
          <w:color w:val="auto"/>
          <w:sz w:val="24"/>
          <w:szCs w:val="24"/>
          <w:highlight w:val="none"/>
          <w:u w:val="single"/>
          <w:lang w:val="en-US" w:eastAsia="zh-CN"/>
        </w:rPr>
        <w:t xml:space="preserve"> </w:t>
      </w:r>
      <w:r>
        <w:rPr>
          <w:rFonts w:hint="eastAsia" w:ascii="宋体" w:hAnsi="宋体" w:eastAsia="宋体" w:cs="Times New Roman"/>
          <w:color w:val="auto"/>
          <w:sz w:val="24"/>
          <w:szCs w:val="24"/>
          <w:highlight w:val="none"/>
          <w:u w:val="single"/>
        </w:rPr>
        <w:t>日历天</w:t>
      </w:r>
      <w:r>
        <w:rPr>
          <w:rFonts w:hint="eastAsia" w:ascii="宋体" w:hAnsi="宋体" w:eastAsia="宋体" w:cs="Times New Roman"/>
          <w:color w:val="auto"/>
          <w:sz w:val="24"/>
          <w:szCs w:val="24"/>
          <w:highlight w:val="none"/>
        </w:rPr>
        <w:t>。</w:t>
      </w:r>
    </w:p>
    <w:p w14:paraId="6AF3E163">
      <w:pPr>
        <w:pStyle w:val="7"/>
        <w:spacing w:before="120" w:after="120" w:line="440" w:lineRule="exact"/>
        <w:ind w:firstLine="240" w:firstLineChars="100"/>
        <w:rPr>
          <w:rFonts w:hint="eastAsia" w:ascii="宋体" w:hAnsi="宋体"/>
          <w:color w:val="auto"/>
          <w:sz w:val="24"/>
          <w:szCs w:val="24"/>
          <w:highlight w:val="none"/>
        </w:rPr>
      </w:pPr>
      <w:r>
        <w:rPr>
          <w:rFonts w:hint="eastAsia" w:ascii="宋体" w:hAnsi="宋体"/>
          <w:b w:val="0"/>
          <w:color w:val="auto"/>
          <w:sz w:val="24"/>
          <w:szCs w:val="24"/>
          <w:highlight w:val="none"/>
        </w:rPr>
        <w:t>三、质量标准</w:t>
      </w:r>
      <w:bookmarkEnd w:id="167"/>
    </w:p>
    <w:p w14:paraId="4A119CA4">
      <w:pPr>
        <w:spacing w:line="440" w:lineRule="exact"/>
        <w:ind w:firstLine="459"/>
        <w:rPr>
          <w:rFonts w:hint="default" w:ascii="宋体" w:hAnsi="宋体" w:eastAsia="宋体"/>
          <w:color w:val="auto"/>
          <w:sz w:val="24"/>
          <w:szCs w:val="24"/>
          <w:highlight w:val="none"/>
          <w:lang w:val="en-US" w:eastAsia="zh-CN"/>
        </w:rPr>
      </w:pPr>
      <w:r>
        <w:rPr>
          <w:rFonts w:hint="eastAsia" w:ascii="宋体" w:hAnsi="宋体" w:eastAsia="宋体"/>
          <w:color w:val="auto"/>
          <w:sz w:val="24"/>
          <w:szCs w:val="24"/>
          <w:highlight w:val="none"/>
        </w:rPr>
        <w:t>工程质量符合</w:t>
      </w:r>
      <w:r>
        <w:rPr>
          <w:rFonts w:hint="eastAsia" w:ascii="宋体" w:hAnsi="宋体" w:eastAsia="宋体"/>
          <w:color w:val="auto"/>
          <w:sz w:val="24"/>
          <w:szCs w:val="24"/>
          <w:highlight w:val="none"/>
          <w:u w:val="single"/>
        </w:rPr>
        <w:t>合格</w:t>
      </w:r>
      <w:r>
        <w:rPr>
          <w:rFonts w:hint="eastAsia" w:ascii="宋体" w:hAnsi="宋体" w:eastAsia="宋体"/>
          <w:color w:val="auto"/>
          <w:sz w:val="24"/>
          <w:szCs w:val="24"/>
          <w:highlight w:val="none"/>
        </w:rPr>
        <w:t>标准</w:t>
      </w:r>
      <w:r>
        <w:rPr>
          <w:rFonts w:hint="eastAsia" w:ascii="宋体" w:hAnsi="宋体"/>
          <w:color w:val="auto"/>
          <w:sz w:val="24"/>
          <w:szCs w:val="24"/>
          <w:highlight w:val="none"/>
          <w:lang w:eastAsia="zh-CN"/>
        </w:rPr>
        <w:t>。</w:t>
      </w:r>
      <w:r>
        <w:rPr>
          <w:rFonts w:hint="eastAsia" w:ascii="宋体" w:hAnsi="宋体"/>
          <w:color w:val="auto"/>
          <w:sz w:val="24"/>
          <w:szCs w:val="24"/>
          <w:highlight w:val="none"/>
          <w:lang w:val="en-US" w:eastAsia="zh-CN"/>
        </w:rPr>
        <w:t>质保期三年。（其中绿化一级养护两年。）</w:t>
      </w:r>
    </w:p>
    <w:p w14:paraId="308348E9">
      <w:pPr>
        <w:pStyle w:val="7"/>
        <w:spacing w:before="120" w:after="120" w:line="440" w:lineRule="exact"/>
        <w:rPr>
          <w:rFonts w:hint="eastAsia" w:ascii="宋体" w:hAnsi="宋体"/>
          <w:color w:val="auto"/>
          <w:sz w:val="24"/>
          <w:szCs w:val="24"/>
          <w:highlight w:val="none"/>
        </w:rPr>
      </w:pPr>
      <w:r>
        <w:rPr>
          <w:rFonts w:hint="eastAsia" w:ascii="宋体" w:hAnsi="宋体"/>
          <w:color w:val="auto"/>
          <w:sz w:val="24"/>
          <w:szCs w:val="24"/>
          <w:highlight w:val="none"/>
        </w:rPr>
        <w:t xml:space="preserve">   </w:t>
      </w:r>
      <w:r>
        <w:rPr>
          <w:rFonts w:hint="eastAsia" w:ascii="宋体" w:hAnsi="宋体"/>
          <w:b w:val="0"/>
          <w:color w:val="auto"/>
          <w:sz w:val="24"/>
          <w:szCs w:val="24"/>
          <w:highlight w:val="none"/>
        </w:rPr>
        <w:t xml:space="preserve"> </w:t>
      </w:r>
      <w:bookmarkStart w:id="168" w:name="_Toc351203484"/>
      <w:r>
        <w:rPr>
          <w:rFonts w:hint="eastAsia" w:ascii="宋体" w:hAnsi="宋体"/>
          <w:b w:val="0"/>
          <w:color w:val="auto"/>
          <w:sz w:val="24"/>
          <w:szCs w:val="24"/>
          <w:highlight w:val="none"/>
        </w:rPr>
        <w:t>四、签约合同价与合同价格形式</w:t>
      </w:r>
      <w:bookmarkEnd w:id="168"/>
      <w:r>
        <w:rPr>
          <w:rFonts w:hint="eastAsia" w:ascii="宋体" w:hAnsi="宋体"/>
          <w:b w:val="0"/>
          <w:color w:val="auto"/>
          <w:sz w:val="24"/>
          <w:szCs w:val="24"/>
          <w:highlight w:val="none"/>
        </w:rPr>
        <w:tab/>
      </w:r>
    </w:p>
    <w:p w14:paraId="1D75AF69">
      <w:pPr>
        <w:spacing w:line="440" w:lineRule="exact"/>
        <w:ind w:firstLine="420"/>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1.签约合同价为：</w:t>
      </w:r>
    </w:p>
    <w:p w14:paraId="14A18AC7">
      <w:pPr>
        <w:spacing w:line="440" w:lineRule="exact"/>
        <w:ind w:firstLine="525"/>
        <w:rPr>
          <w:rFonts w:hint="eastAsia" w:ascii="宋体" w:hAnsi="宋体" w:eastAsia="宋体"/>
          <w:color w:val="auto"/>
          <w:sz w:val="24"/>
          <w:szCs w:val="24"/>
          <w:highlight w:val="none"/>
        </w:rPr>
      </w:pPr>
      <w:r>
        <w:rPr>
          <w:rFonts w:hint="eastAsia" w:ascii="宋体" w:hAnsi="宋体" w:eastAsia="宋体"/>
          <w:color w:val="auto"/>
          <w:sz w:val="24"/>
          <w:szCs w:val="24"/>
          <w:highlight w:val="none"/>
        </w:rPr>
        <w:t>人民币（大写）</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lang w:eastAsia="zh-CN"/>
        </w:rPr>
        <w:t>（</w:t>
      </w:r>
      <w:r>
        <w:rPr>
          <w:rFonts w:hint="eastAsia" w:ascii="宋体" w:hAnsi="宋体" w:eastAsia="宋体"/>
          <w:color w:val="auto"/>
          <w:sz w:val="24"/>
          <w:szCs w:val="24"/>
          <w:highlight w:val="none"/>
        </w:rPr>
        <w:t>¥</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元</w:t>
      </w:r>
      <w:r>
        <w:rPr>
          <w:rFonts w:hint="eastAsia" w:ascii="宋体" w:hAnsi="宋体" w:eastAsia="宋体"/>
          <w:color w:val="auto"/>
          <w:sz w:val="24"/>
          <w:szCs w:val="24"/>
          <w:highlight w:val="none"/>
          <w:lang w:eastAsia="zh-CN"/>
        </w:rPr>
        <w:t>）</w:t>
      </w:r>
      <w:r>
        <w:rPr>
          <w:rFonts w:hint="eastAsia" w:ascii="宋体" w:hAnsi="宋体" w:eastAsia="宋体"/>
          <w:color w:val="auto"/>
          <w:sz w:val="24"/>
          <w:szCs w:val="24"/>
          <w:highlight w:val="none"/>
        </w:rPr>
        <w:t>；</w:t>
      </w:r>
    </w:p>
    <w:p w14:paraId="0F8CA279">
      <w:pPr>
        <w:spacing w:line="440" w:lineRule="exact"/>
        <w:ind w:firstLine="420"/>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其中：</w:t>
      </w:r>
    </w:p>
    <w:p w14:paraId="214309F5">
      <w:pPr>
        <w:spacing w:line="440" w:lineRule="exact"/>
        <w:ind w:firstLine="420"/>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w:t>
      </w:r>
      <w:r>
        <w:rPr>
          <w:rFonts w:hint="eastAsia" w:ascii="宋体" w:hAnsi="宋体" w:eastAsia="宋体"/>
          <w:color w:val="auto"/>
          <w:sz w:val="24"/>
          <w:szCs w:val="24"/>
          <w:highlight w:val="none"/>
          <w:lang w:eastAsia="zh-CN"/>
        </w:rPr>
        <w:t>安全生产文明施工</w:t>
      </w:r>
      <w:r>
        <w:rPr>
          <w:rFonts w:hint="eastAsia" w:ascii="宋体" w:hAnsi="宋体" w:eastAsia="宋体"/>
          <w:color w:val="auto"/>
          <w:sz w:val="24"/>
          <w:szCs w:val="24"/>
          <w:highlight w:val="none"/>
        </w:rPr>
        <w:t>：</w:t>
      </w:r>
    </w:p>
    <w:p w14:paraId="531801A1">
      <w:pPr>
        <w:spacing w:line="440" w:lineRule="exact"/>
        <w:ind w:firstLine="945"/>
        <w:rPr>
          <w:rFonts w:hint="eastAsia" w:ascii="宋体" w:hAnsi="宋体" w:eastAsia="宋体"/>
          <w:color w:val="auto"/>
          <w:sz w:val="24"/>
          <w:szCs w:val="24"/>
          <w:highlight w:val="none"/>
        </w:rPr>
      </w:pPr>
      <w:r>
        <w:rPr>
          <w:rFonts w:hint="eastAsia" w:ascii="宋体" w:hAnsi="宋体" w:eastAsia="宋体"/>
          <w:color w:val="auto"/>
          <w:sz w:val="24"/>
          <w:szCs w:val="24"/>
          <w:highlight w:val="none"/>
        </w:rPr>
        <w:t>人民币（大写）</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 xml:space="preserve"> </w:t>
      </w:r>
      <w:r>
        <w:rPr>
          <w:rFonts w:hint="eastAsia" w:ascii="宋体" w:hAnsi="宋体" w:eastAsia="宋体"/>
          <w:color w:val="auto"/>
          <w:sz w:val="24"/>
          <w:szCs w:val="24"/>
          <w:highlight w:val="none"/>
          <w:lang w:eastAsia="zh-CN"/>
        </w:rPr>
        <w:t>（</w:t>
      </w:r>
      <w:r>
        <w:rPr>
          <w:rFonts w:hint="eastAsia" w:ascii="宋体" w:hAnsi="宋体" w:eastAsia="宋体"/>
          <w:color w:val="auto"/>
          <w:sz w:val="24"/>
          <w:szCs w:val="24"/>
          <w:highlight w:val="none"/>
        </w:rPr>
        <w:t>¥</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元</w:t>
      </w:r>
      <w:r>
        <w:rPr>
          <w:rFonts w:hint="eastAsia" w:ascii="宋体" w:hAnsi="宋体" w:eastAsia="宋体"/>
          <w:color w:val="auto"/>
          <w:sz w:val="24"/>
          <w:szCs w:val="24"/>
          <w:highlight w:val="none"/>
          <w:lang w:eastAsia="zh-CN"/>
        </w:rPr>
        <w:t>）</w:t>
      </w:r>
      <w:r>
        <w:rPr>
          <w:rFonts w:hint="eastAsia" w:ascii="宋体" w:hAnsi="宋体" w:eastAsia="宋体"/>
          <w:color w:val="auto"/>
          <w:sz w:val="24"/>
          <w:szCs w:val="24"/>
          <w:highlight w:val="none"/>
        </w:rPr>
        <w:t>；</w:t>
      </w:r>
    </w:p>
    <w:p w14:paraId="2709F8AA">
      <w:pPr>
        <w:spacing w:line="440" w:lineRule="exact"/>
        <w:ind w:firstLine="420"/>
        <w:rPr>
          <w:rFonts w:hint="eastAsia" w:ascii="宋体" w:hAnsi="宋体" w:eastAsia="宋体"/>
          <w:color w:val="auto"/>
          <w:sz w:val="24"/>
          <w:szCs w:val="24"/>
          <w:highlight w:val="none"/>
        </w:rPr>
      </w:pPr>
      <w:r>
        <w:rPr>
          <w:rFonts w:hint="eastAsia" w:ascii="宋体" w:hAnsi="宋体" w:eastAsia="宋体"/>
          <w:color w:val="auto"/>
          <w:sz w:val="24"/>
          <w:szCs w:val="24"/>
          <w:highlight w:val="none"/>
        </w:rPr>
        <w:t>（2）材料和工程设备暂估价金额：</w:t>
      </w:r>
    </w:p>
    <w:p w14:paraId="713D87D0">
      <w:pPr>
        <w:spacing w:line="440" w:lineRule="exact"/>
        <w:ind w:firstLine="945"/>
        <w:rPr>
          <w:rFonts w:hint="eastAsia" w:ascii="宋体" w:hAnsi="宋体" w:eastAsia="宋体"/>
          <w:color w:val="auto"/>
          <w:sz w:val="24"/>
          <w:szCs w:val="24"/>
          <w:highlight w:val="none"/>
        </w:rPr>
      </w:pPr>
      <w:r>
        <w:rPr>
          <w:rFonts w:hint="eastAsia" w:ascii="宋体" w:hAnsi="宋体" w:eastAsia="宋体"/>
          <w:color w:val="auto"/>
          <w:sz w:val="24"/>
          <w:szCs w:val="24"/>
          <w:highlight w:val="none"/>
        </w:rPr>
        <w:t>人民币（大写）</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 xml:space="preserve"> </w:t>
      </w:r>
      <w:r>
        <w:rPr>
          <w:rFonts w:hint="eastAsia" w:ascii="宋体" w:hAnsi="宋体" w:eastAsia="宋体"/>
          <w:color w:val="auto"/>
          <w:sz w:val="24"/>
          <w:szCs w:val="24"/>
          <w:highlight w:val="none"/>
          <w:lang w:eastAsia="zh-CN"/>
        </w:rPr>
        <w:t>（</w:t>
      </w:r>
      <w:r>
        <w:rPr>
          <w:rFonts w:hint="eastAsia" w:ascii="宋体" w:hAnsi="宋体" w:eastAsia="宋体"/>
          <w:color w:val="auto"/>
          <w:sz w:val="24"/>
          <w:szCs w:val="24"/>
          <w:highlight w:val="none"/>
        </w:rPr>
        <w:t>¥</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元</w:t>
      </w:r>
      <w:r>
        <w:rPr>
          <w:rFonts w:hint="eastAsia" w:ascii="宋体" w:hAnsi="宋体" w:eastAsia="宋体"/>
          <w:color w:val="auto"/>
          <w:sz w:val="24"/>
          <w:szCs w:val="24"/>
          <w:highlight w:val="none"/>
          <w:lang w:eastAsia="zh-CN"/>
        </w:rPr>
        <w:t>）</w:t>
      </w:r>
      <w:r>
        <w:rPr>
          <w:rFonts w:hint="eastAsia" w:ascii="宋体" w:hAnsi="宋体" w:eastAsia="宋体"/>
          <w:color w:val="auto"/>
          <w:sz w:val="24"/>
          <w:szCs w:val="24"/>
          <w:highlight w:val="none"/>
        </w:rPr>
        <w:t>；</w:t>
      </w:r>
    </w:p>
    <w:p w14:paraId="3A8CC431">
      <w:pPr>
        <w:spacing w:line="440" w:lineRule="exact"/>
        <w:ind w:firstLine="420"/>
        <w:rPr>
          <w:rFonts w:hint="eastAsia" w:ascii="宋体" w:hAnsi="宋体" w:eastAsia="宋体"/>
          <w:color w:val="auto"/>
          <w:sz w:val="24"/>
          <w:szCs w:val="24"/>
          <w:highlight w:val="none"/>
        </w:rPr>
      </w:pPr>
      <w:r>
        <w:rPr>
          <w:rFonts w:hint="eastAsia" w:ascii="宋体" w:hAnsi="宋体" w:eastAsia="宋体"/>
          <w:color w:val="auto"/>
          <w:sz w:val="24"/>
          <w:szCs w:val="24"/>
          <w:highlight w:val="none"/>
        </w:rPr>
        <w:t>（3）专业工程暂估价金额：</w:t>
      </w:r>
    </w:p>
    <w:p w14:paraId="2D237421">
      <w:pPr>
        <w:spacing w:line="440" w:lineRule="exact"/>
        <w:ind w:firstLine="945"/>
        <w:rPr>
          <w:rFonts w:hint="eastAsia" w:ascii="宋体" w:hAnsi="宋体" w:eastAsia="宋体"/>
          <w:color w:val="auto"/>
          <w:sz w:val="24"/>
          <w:szCs w:val="24"/>
          <w:highlight w:val="none"/>
        </w:rPr>
      </w:pPr>
      <w:r>
        <w:rPr>
          <w:rFonts w:hint="eastAsia" w:ascii="宋体" w:hAnsi="宋体" w:eastAsia="宋体"/>
          <w:color w:val="auto"/>
          <w:sz w:val="24"/>
          <w:szCs w:val="24"/>
          <w:highlight w:val="none"/>
        </w:rPr>
        <w:t>人民币（大写）</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 xml:space="preserve"> </w:t>
      </w:r>
      <w:r>
        <w:rPr>
          <w:rFonts w:hint="eastAsia" w:ascii="宋体" w:hAnsi="宋体" w:eastAsia="宋体"/>
          <w:color w:val="auto"/>
          <w:sz w:val="24"/>
          <w:szCs w:val="24"/>
          <w:highlight w:val="none"/>
          <w:lang w:eastAsia="zh-CN"/>
        </w:rPr>
        <w:t>（</w:t>
      </w:r>
      <w:r>
        <w:rPr>
          <w:rFonts w:hint="eastAsia" w:ascii="宋体" w:hAnsi="宋体" w:eastAsia="宋体"/>
          <w:color w:val="auto"/>
          <w:sz w:val="24"/>
          <w:szCs w:val="24"/>
          <w:highlight w:val="none"/>
        </w:rPr>
        <w:t>¥</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元</w:t>
      </w:r>
      <w:r>
        <w:rPr>
          <w:rFonts w:hint="eastAsia" w:ascii="宋体" w:hAnsi="宋体" w:eastAsia="宋体"/>
          <w:color w:val="auto"/>
          <w:sz w:val="24"/>
          <w:szCs w:val="24"/>
          <w:highlight w:val="none"/>
          <w:lang w:eastAsia="zh-CN"/>
        </w:rPr>
        <w:t>）</w:t>
      </w:r>
      <w:r>
        <w:rPr>
          <w:rFonts w:hint="eastAsia" w:ascii="宋体" w:hAnsi="宋体" w:eastAsia="宋体"/>
          <w:color w:val="auto"/>
          <w:sz w:val="24"/>
          <w:szCs w:val="24"/>
          <w:highlight w:val="none"/>
        </w:rPr>
        <w:t>；</w:t>
      </w:r>
    </w:p>
    <w:p w14:paraId="63D4F3EC">
      <w:pPr>
        <w:spacing w:line="440" w:lineRule="exact"/>
        <w:ind w:firstLine="420"/>
        <w:rPr>
          <w:rFonts w:hint="eastAsia" w:ascii="宋体" w:hAnsi="宋体" w:eastAsia="宋体"/>
          <w:color w:val="auto"/>
          <w:sz w:val="24"/>
          <w:szCs w:val="24"/>
          <w:highlight w:val="none"/>
        </w:rPr>
      </w:pPr>
      <w:r>
        <w:rPr>
          <w:rFonts w:hint="eastAsia" w:ascii="宋体" w:hAnsi="宋体" w:eastAsia="宋体"/>
          <w:color w:val="auto"/>
          <w:sz w:val="24"/>
          <w:szCs w:val="24"/>
          <w:highlight w:val="none"/>
        </w:rPr>
        <w:t>（4）暂列金额：</w:t>
      </w:r>
    </w:p>
    <w:p w14:paraId="43C67F01">
      <w:pPr>
        <w:spacing w:line="440" w:lineRule="exact"/>
        <w:ind w:firstLine="945"/>
        <w:rPr>
          <w:rFonts w:hint="eastAsia" w:ascii="宋体" w:hAnsi="宋体" w:eastAsia="宋体"/>
          <w:color w:val="auto"/>
          <w:sz w:val="24"/>
          <w:szCs w:val="24"/>
          <w:highlight w:val="none"/>
        </w:rPr>
      </w:pPr>
      <w:r>
        <w:rPr>
          <w:rFonts w:hint="eastAsia" w:ascii="宋体" w:hAnsi="宋体" w:eastAsia="宋体"/>
          <w:color w:val="auto"/>
          <w:sz w:val="24"/>
          <w:szCs w:val="24"/>
          <w:highlight w:val="none"/>
        </w:rPr>
        <w:t>人民币（大写）</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 xml:space="preserve"> </w:t>
      </w:r>
      <w:r>
        <w:rPr>
          <w:rFonts w:hint="eastAsia" w:ascii="宋体" w:hAnsi="宋体" w:eastAsia="宋体"/>
          <w:color w:val="auto"/>
          <w:sz w:val="24"/>
          <w:szCs w:val="24"/>
          <w:highlight w:val="none"/>
          <w:lang w:eastAsia="zh-CN"/>
        </w:rPr>
        <w:t>（</w:t>
      </w:r>
      <w:r>
        <w:rPr>
          <w:rFonts w:hint="eastAsia" w:ascii="宋体" w:hAnsi="宋体" w:eastAsia="宋体"/>
          <w:color w:val="auto"/>
          <w:sz w:val="24"/>
          <w:szCs w:val="24"/>
          <w:highlight w:val="none"/>
        </w:rPr>
        <w:t>¥</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元</w:t>
      </w:r>
      <w:r>
        <w:rPr>
          <w:rFonts w:hint="eastAsia" w:ascii="宋体" w:hAnsi="宋体" w:eastAsia="宋体"/>
          <w:color w:val="auto"/>
          <w:sz w:val="24"/>
          <w:szCs w:val="24"/>
          <w:highlight w:val="none"/>
          <w:lang w:eastAsia="zh-CN"/>
        </w:rPr>
        <w:t>）</w:t>
      </w:r>
      <w:r>
        <w:rPr>
          <w:rFonts w:hint="eastAsia" w:ascii="宋体" w:hAnsi="宋体" w:eastAsia="宋体"/>
          <w:color w:val="auto"/>
          <w:sz w:val="24"/>
          <w:szCs w:val="24"/>
          <w:highlight w:val="none"/>
        </w:rPr>
        <w:t>。</w:t>
      </w:r>
    </w:p>
    <w:p w14:paraId="1E48D608">
      <w:pPr>
        <w:numPr>
          <w:ilvl w:val="0"/>
          <w:numId w:val="5"/>
        </w:numPr>
        <w:spacing w:line="440" w:lineRule="exact"/>
        <w:ind w:firstLine="420"/>
        <w:rPr>
          <w:rFonts w:hint="default"/>
          <w:color w:val="auto"/>
          <w:sz w:val="24"/>
          <w:szCs w:val="24"/>
          <w:highlight w:val="none"/>
          <w:lang w:val="en-US"/>
        </w:rPr>
      </w:pPr>
      <w:r>
        <w:rPr>
          <w:rFonts w:hint="eastAsia" w:ascii="宋体" w:hAnsi="宋体" w:eastAsia="宋体"/>
          <w:color w:val="auto"/>
          <w:sz w:val="24"/>
          <w:szCs w:val="24"/>
          <w:highlight w:val="none"/>
        </w:rPr>
        <w:t>合同价格形式：</w:t>
      </w:r>
      <w:r>
        <w:rPr>
          <w:rFonts w:hint="eastAsia" w:ascii="宋体" w:hAnsi="宋体" w:eastAsia="宋体"/>
          <w:color w:val="auto"/>
          <w:sz w:val="24"/>
          <w:szCs w:val="24"/>
          <w:highlight w:val="none"/>
          <w:u w:val="single"/>
        </w:rPr>
        <w:t>固定单价合同</w:t>
      </w:r>
      <w:r>
        <w:rPr>
          <w:rFonts w:hint="eastAsia" w:ascii="宋体" w:hAnsi="宋体" w:eastAsia="宋体"/>
          <w:color w:val="auto"/>
          <w:sz w:val="24"/>
          <w:szCs w:val="24"/>
          <w:highlight w:val="none"/>
        </w:rPr>
        <w:t>。</w:t>
      </w:r>
    </w:p>
    <w:p w14:paraId="709DD27D">
      <w:pPr>
        <w:pStyle w:val="7"/>
        <w:spacing w:before="120" w:after="120" w:line="440" w:lineRule="exact"/>
        <w:rPr>
          <w:rFonts w:hint="eastAsia" w:ascii="宋体" w:hAnsi="宋体"/>
          <w:b w:val="0"/>
          <w:color w:val="auto"/>
          <w:sz w:val="24"/>
          <w:szCs w:val="24"/>
          <w:highlight w:val="none"/>
        </w:rPr>
      </w:pPr>
      <w:r>
        <w:rPr>
          <w:rFonts w:hint="default" w:ascii="Times New Roman" w:hAnsi="Times New Roman"/>
          <w:color w:val="auto"/>
          <w:sz w:val="24"/>
          <w:szCs w:val="24"/>
          <w:highlight w:val="none"/>
        </w:rPr>
        <w:t xml:space="preserve">   </w:t>
      </w:r>
      <w:r>
        <w:rPr>
          <w:rFonts w:hint="eastAsia" w:ascii="宋体" w:hAnsi="宋体"/>
          <w:b w:val="0"/>
          <w:color w:val="auto"/>
          <w:sz w:val="24"/>
          <w:szCs w:val="24"/>
          <w:highlight w:val="none"/>
        </w:rPr>
        <w:t xml:space="preserve"> </w:t>
      </w:r>
      <w:bookmarkStart w:id="169" w:name="_Toc351203485"/>
      <w:r>
        <w:rPr>
          <w:rFonts w:hint="eastAsia" w:ascii="宋体" w:hAnsi="宋体"/>
          <w:b w:val="0"/>
          <w:color w:val="auto"/>
          <w:sz w:val="24"/>
          <w:szCs w:val="24"/>
          <w:highlight w:val="none"/>
        </w:rPr>
        <w:t>五、</w:t>
      </w:r>
      <w:bookmarkEnd w:id="169"/>
      <w:r>
        <w:rPr>
          <w:rFonts w:hint="eastAsia" w:ascii="宋体" w:hAnsi="宋体"/>
          <w:b w:val="0"/>
          <w:color w:val="auto"/>
          <w:sz w:val="24"/>
          <w:szCs w:val="24"/>
          <w:highlight w:val="none"/>
        </w:rPr>
        <w:t>项目经理</w:t>
      </w:r>
    </w:p>
    <w:p w14:paraId="747647E7">
      <w:pPr>
        <w:spacing w:line="440" w:lineRule="exact"/>
        <w:ind w:firstLine="420"/>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承包人项目经理：</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w:t>
      </w:r>
    </w:p>
    <w:p w14:paraId="04D4DB33">
      <w:pPr>
        <w:pStyle w:val="7"/>
        <w:spacing w:before="120" w:after="120" w:line="440" w:lineRule="exact"/>
        <w:rPr>
          <w:rFonts w:hint="eastAsia" w:ascii="宋体" w:hAnsi="宋体"/>
          <w:color w:val="auto"/>
          <w:sz w:val="24"/>
          <w:szCs w:val="24"/>
          <w:highlight w:val="none"/>
        </w:rPr>
      </w:pPr>
      <w:r>
        <w:rPr>
          <w:rFonts w:hint="eastAsia" w:ascii="宋体" w:hAnsi="宋体"/>
          <w:color w:val="auto"/>
          <w:sz w:val="24"/>
          <w:szCs w:val="24"/>
          <w:highlight w:val="none"/>
        </w:rPr>
        <w:t xml:space="preserve">   </w:t>
      </w:r>
      <w:r>
        <w:rPr>
          <w:rFonts w:hint="eastAsia" w:ascii="宋体" w:hAnsi="宋体"/>
          <w:b w:val="0"/>
          <w:color w:val="auto"/>
          <w:sz w:val="24"/>
          <w:szCs w:val="24"/>
          <w:highlight w:val="none"/>
        </w:rPr>
        <w:t xml:space="preserve"> </w:t>
      </w:r>
      <w:bookmarkStart w:id="170" w:name="_Toc351203486"/>
      <w:r>
        <w:rPr>
          <w:rFonts w:hint="eastAsia" w:ascii="宋体" w:hAnsi="宋体"/>
          <w:b w:val="0"/>
          <w:color w:val="auto"/>
          <w:sz w:val="24"/>
          <w:szCs w:val="24"/>
          <w:highlight w:val="none"/>
        </w:rPr>
        <w:t>六、合同文件构成</w:t>
      </w:r>
      <w:bookmarkEnd w:id="170"/>
    </w:p>
    <w:p w14:paraId="40B75C9C">
      <w:pPr>
        <w:spacing w:line="440" w:lineRule="exact"/>
        <w:ind w:firstLine="420"/>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本协议书与下列文件一起构成合同文件：</w:t>
      </w:r>
    </w:p>
    <w:p w14:paraId="364412A4">
      <w:pPr>
        <w:spacing w:line="440" w:lineRule="exact"/>
        <w:ind w:firstLine="420"/>
        <w:jc w:val="left"/>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w:t>
      </w:r>
      <w:r>
        <w:rPr>
          <w:rFonts w:hint="eastAsia" w:ascii="宋体" w:hAnsi="宋体" w:eastAsia="宋体"/>
          <w:color w:val="auto"/>
          <w:sz w:val="24"/>
          <w:szCs w:val="24"/>
          <w:highlight w:val="none"/>
          <w:lang w:val="en-US" w:eastAsia="zh-CN"/>
        </w:rPr>
        <w:t>成交</w:t>
      </w:r>
      <w:r>
        <w:rPr>
          <w:rFonts w:hint="eastAsia" w:ascii="宋体" w:hAnsi="宋体" w:eastAsia="宋体"/>
          <w:color w:val="auto"/>
          <w:sz w:val="24"/>
          <w:szCs w:val="24"/>
          <w:highlight w:val="none"/>
        </w:rPr>
        <w:t>通知书（如果有）；</w:t>
      </w:r>
    </w:p>
    <w:p w14:paraId="3ADB9E6C">
      <w:pPr>
        <w:spacing w:line="440" w:lineRule="exact"/>
        <w:ind w:firstLine="420"/>
        <w:jc w:val="left"/>
        <w:rPr>
          <w:rFonts w:hint="eastAsia" w:ascii="宋体" w:hAnsi="宋体" w:eastAsia="宋体"/>
          <w:color w:val="auto"/>
          <w:sz w:val="24"/>
          <w:szCs w:val="24"/>
          <w:highlight w:val="none"/>
        </w:rPr>
      </w:pPr>
      <w:r>
        <w:rPr>
          <w:rFonts w:hint="eastAsia" w:ascii="宋体" w:hAnsi="宋体" w:eastAsia="宋体"/>
          <w:color w:val="auto"/>
          <w:sz w:val="24"/>
          <w:szCs w:val="24"/>
          <w:highlight w:val="none"/>
        </w:rPr>
        <w:t xml:space="preserve">（2）投标函及其附录（如果有）； </w:t>
      </w:r>
    </w:p>
    <w:p w14:paraId="01E79458">
      <w:pPr>
        <w:spacing w:line="440" w:lineRule="exact"/>
        <w:ind w:firstLine="420"/>
        <w:jc w:val="left"/>
        <w:rPr>
          <w:rFonts w:hint="eastAsia" w:ascii="宋体" w:hAnsi="宋体" w:eastAsia="宋体"/>
          <w:color w:val="auto"/>
          <w:sz w:val="24"/>
          <w:szCs w:val="24"/>
          <w:highlight w:val="none"/>
        </w:rPr>
      </w:pPr>
      <w:r>
        <w:rPr>
          <w:rFonts w:hint="eastAsia" w:ascii="宋体" w:hAnsi="宋体" w:eastAsia="宋体"/>
          <w:color w:val="auto"/>
          <w:sz w:val="24"/>
          <w:szCs w:val="24"/>
          <w:highlight w:val="none"/>
        </w:rPr>
        <w:t>（3）专用合同条款及其附件；</w:t>
      </w:r>
    </w:p>
    <w:p w14:paraId="5C2F2224">
      <w:pPr>
        <w:spacing w:line="440" w:lineRule="exact"/>
        <w:ind w:firstLine="420"/>
        <w:jc w:val="left"/>
        <w:rPr>
          <w:rFonts w:hint="eastAsia" w:ascii="宋体" w:hAnsi="宋体" w:eastAsia="宋体"/>
          <w:color w:val="auto"/>
          <w:sz w:val="24"/>
          <w:szCs w:val="24"/>
          <w:highlight w:val="none"/>
        </w:rPr>
      </w:pPr>
      <w:r>
        <w:rPr>
          <w:rFonts w:hint="eastAsia" w:ascii="宋体" w:hAnsi="宋体" w:eastAsia="宋体"/>
          <w:color w:val="auto"/>
          <w:sz w:val="24"/>
          <w:szCs w:val="24"/>
          <w:highlight w:val="none"/>
        </w:rPr>
        <w:t>（4）通用合同条款；</w:t>
      </w:r>
    </w:p>
    <w:p w14:paraId="683BB0DC">
      <w:pPr>
        <w:spacing w:line="440" w:lineRule="exact"/>
        <w:ind w:firstLine="420"/>
        <w:jc w:val="left"/>
        <w:rPr>
          <w:rFonts w:hint="eastAsia" w:ascii="宋体" w:hAnsi="宋体" w:eastAsia="宋体"/>
          <w:color w:val="auto"/>
          <w:sz w:val="24"/>
          <w:szCs w:val="24"/>
          <w:highlight w:val="none"/>
        </w:rPr>
      </w:pPr>
      <w:r>
        <w:rPr>
          <w:rFonts w:hint="eastAsia" w:ascii="宋体" w:hAnsi="宋体" w:eastAsia="宋体"/>
          <w:color w:val="auto"/>
          <w:sz w:val="24"/>
          <w:szCs w:val="24"/>
          <w:highlight w:val="none"/>
        </w:rPr>
        <w:t>（5）技术标准和要求；</w:t>
      </w:r>
    </w:p>
    <w:p w14:paraId="705B6B77">
      <w:pPr>
        <w:spacing w:line="440" w:lineRule="exact"/>
        <w:ind w:firstLine="420"/>
        <w:jc w:val="left"/>
        <w:rPr>
          <w:rFonts w:hint="eastAsia" w:ascii="宋体" w:hAnsi="宋体" w:eastAsia="宋体"/>
          <w:color w:val="auto"/>
          <w:sz w:val="24"/>
          <w:szCs w:val="24"/>
          <w:highlight w:val="none"/>
        </w:rPr>
      </w:pPr>
      <w:r>
        <w:rPr>
          <w:rFonts w:hint="eastAsia" w:ascii="宋体" w:hAnsi="宋体" w:eastAsia="宋体"/>
          <w:color w:val="auto"/>
          <w:sz w:val="24"/>
          <w:szCs w:val="24"/>
          <w:highlight w:val="none"/>
        </w:rPr>
        <w:t>（6）图纸；</w:t>
      </w:r>
    </w:p>
    <w:p w14:paraId="41C3D66D">
      <w:pPr>
        <w:spacing w:line="440" w:lineRule="exact"/>
        <w:ind w:firstLine="420"/>
        <w:jc w:val="left"/>
        <w:rPr>
          <w:rFonts w:hint="eastAsia" w:ascii="宋体" w:hAnsi="宋体" w:eastAsia="宋体"/>
          <w:color w:val="auto"/>
          <w:sz w:val="24"/>
          <w:szCs w:val="24"/>
          <w:highlight w:val="none"/>
        </w:rPr>
      </w:pPr>
      <w:r>
        <w:rPr>
          <w:rFonts w:hint="eastAsia" w:ascii="宋体" w:hAnsi="宋体" w:eastAsia="宋体"/>
          <w:color w:val="auto"/>
          <w:sz w:val="24"/>
          <w:szCs w:val="24"/>
          <w:highlight w:val="none"/>
        </w:rPr>
        <w:t>（7）已标价工程量清单或预算书；</w:t>
      </w:r>
    </w:p>
    <w:p w14:paraId="6A7AA159">
      <w:pPr>
        <w:spacing w:line="440" w:lineRule="exact"/>
        <w:ind w:firstLine="420"/>
        <w:jc w:val="left"/>
        <w:rPr>
          <w:rFonts w:hint="eastAsia" w:ascii="宋体" w:hAnsi="宋体" w:eastAsia="宋体"/>
          <w:color w:val="auto"/>
          <w:sz w:val="24"/>
          <w:szCs w:val="24"/>
          <w:highlight w:val="none"/>
        </w:rPr>
      </w:pPr>
      <w:r>
        <w:rPr>
          <w:rFonts w:hint="eastAsia" w:ascii="宋体" w:hAnsi="宋体" w:eastAsia="宋体"/>
          <w:color w:val="auto"/>
          <w:sz w:val="24"/>
          <w:szCs w:val="24"/>
          <w:highlight w:val="none"/>
        </w:rPr>
        <w:t>（8）其他合同文件。</w:t>
      </w:r>
    </w:p>
    <w:p w14:paraId="4E954CE5">
      <w:pPr>
        <w:spacing w:line="440" w:lineRule="exact"/>
        <w:ind w:firstLine="420"/>
        <w:jc w:val="left"/>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在合同订立及履行过程中形成的与合同有关的文件均构成合同文件组成部分。</w:t>
      </w:r>
    </w:p>
    <w:p w14:paraId="3066B358">
      <w:pPr>
        <w:spacing w:line="440" w:lineRule="exact"/>
        <w:ind w:firstLine="420"/>
        <w:jc w:val="left"/>
        <w:rPr>
          <w:rFonts w:hint="eastAsia" w:ascii="宋体" w:hAnsi="宋体" w:eastAsia="宋体"/>
          <w:color w:val="auto"/>
          <w:sz w:val="24"/>
          <w:szCs w:val="24"/>
          <w:highlight w:val="none"/>
        </w:rPr>
      </w:pPr>
      <w:r>
        <w:rPr>
          <w:rFonts w:hint="eastAsia" w:ascii="宋体" w:hAnsi="宋体" w:eastAsia="宋体"/>
          <w:color w:val="auto"/>
          <w:sz w:val="24"/>
          <w:szCs w:val="24"/>
          <w:highlight w:val="none"/>
        </w:rPr>
        <w:t>上述各项合同文件包括合同当事人就该项合同文件所作出的补充和修改，属于同一类内容的文件，应以最新签署的为准。专用合同条款及其附件须经合同当事人签字或盖章。</w:t>
      </w:r>
    </w:p>
    <w:p w14:paraId="15CEA209">
      <w:pPr>
        <w:pStyle w:val="7"/>
        <w:spacing w:before="120" w:after="120" w:line="440" w:lineRule="exact"/>
        <w:rPr>
          <w:rFonts w:hint="eastAsia" w:ascii="宋体" w:hAnsi="宋体"/>
          <w:b w:val="0"/>
          <w:color w:val="auto"/>
          <w:sz w:val="24"/>
          <w:szCs w:val="24"/>
          <w:highlight w:val="none"/>
        </w:rPr>
      </w:pPr>
      <w:r>
        <w:rPr>
          <w:rFonts w:hint="eastAsia" w:ascii="宋体" w:hAnsi="宋体"/>
          <w:b w:val="0"/>
          <w:color w:val="auto"/>
          <w:sz w:val="24"/>
          <w:szCs w:val="24"/>
          <w:highlight w:val="none"/>
        </w:rPr>
        <w:t xml:space="preserve">    </w:t>
      </w:r>
      <w:bookmarkStart w:id="171" w:name="_Toc351203487"/>
      <w:r>
        <w:rPr>
          <w:rFonts w:hint="eastAsia" w:ascii="宋体" w:hAnsi="宋体"/>
          <w:b w:val="0"/>
          <w:color w:val="auto"/>
          <w:sz w:val="24"/>
          <w:szCs w:val="24"/>
          <w:highlight w:val="none"/>
        </w:rPr>
        <w:t>七、承诺</w:t>
      </w:r>
      <w:bookmarkEnd w:id="171"/>
    </w:p>
    <w:p w14:paraId="5FCF4A44">
      <w:pPr>
        <w:spacing w:line="440" w:lineRule="exact"/>
        <w:ind w:firstLine="420"/>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1.发包人承诺按照法律规定履行项目审批手续、筹集工程建设资金并按照合同约定的期限和方式支付合同价款。</w:t>
      </w:r>
    </w:p>
    <w:p w14:paraId="4A7D3875">
      <w:pPr>
        <w:spacing w:line="440" w:lineRule="exact"/>
        <w:ind w:firstLine="420"/>
        <w:rPr>
          <w:rFonts w:hint="eastAsia" w:ascii="宋体" w:hAnsi="宋体" w:eastAsia="宋体"/>
          <w:color w:val="auto"/>
          <w:sz w:val="24"/>
          <w:szCs w:val="24"/>
          <w:highlight w:val="none"/>
        </w:rPr>
      </w:pPr>
      <w:r>
        <w:rPr>
          <w:rFonts w:hint="eastAsia" w:ascii="宋体" w:hAnsi="宋体" w:eastAsia="宋体"/>
          <w:color w:val="auto"/>
          <w:sz w:val="24"/>
          <w:szCs w:val="24"/>
          <w:highlight w:val="none"/>
        </w:rPr>
        <w:t>2.承包人承诺按照法律规定及合同约定组织完成工程施工，确保工程质量和安全，不进行转包及违法分包，并在缺陷责任期及保修期内承担相应的工程维修责任。</w:t>
      </w:r>
    </w:p>
    <w:p w14:paraId="4EC80E32">
      <w:pPr>
        <w:spacing w:line="440" w:lineRule="exact"/>
        <w:ind w:firstLine="420"/>
        <w:rPr>
          <w:rFonts w:hint="eastAsia" w:ascii="宋体" w:hAnsi="宋体" w:eastAsia="宋体"/>
          <w:color w:val="auto"/>
          <w:sz w:val="24"/>
          <w:szCs w:val="24"/>
          <w:highlight w:val="none"/>
        </w:rPr>
      </w:pPr>
      <w:r>
        <w:rPr>
          <w:rFonts w:hint="eastAsia" w:ascii="宋体" w:hAnsi="宋体" w:eastAsia="宋体"/>
          <w:color w:val="auto"/>
          <w:sz w:val="24"/>
          <w:szCs w:val="24"/>
          <w:highlight w:val="none"/>
        </w:rPr>
        <w:t>3.发包人和承包人通过招投标形式签订合同的，双方理解并承诺不再就同一工程另行签订与合同实质性内容相背离的协议。</w:t>
      </w:r>
    </w:p>
    <w:p w14:paraId="0338A06D">
      <w:pPr>
        <w:spacing w:line="440" w:lineRule="exact"/>
        <w:rPr>
          <w:rFonts w:hint="eastAsia" w:ascii="宋体" w:hAnsi="宋体" w:eastAsia="宋体"/>
          <w:color w:val="auto"/>
          <w:sz w:val="24"/>
          <w:szCs w:val="24"/>
          <w:highlight w:val="none"/>
        </w:rPr>
      </w:pPr>
      <w:bookmarkStart w:id="172" w:name="_Toc351203488"/>
      <w:r>
        <w:rPr>
          <w:rFonts w:hint="eastAsia" w:ascii="Times New Roman" w:hAnsi="Times New Roman" w:eastAsia="黑体"/>
          <w:b/>
          <w:color w:val="auto"/>
          <w:sz w:val="24"/>
          <w:szCs w:val="24"/>
          <w:highlight w:val="none"/>
        </w:rPr>
        <w:t xml:space="preserve">   </w:t>
      </w:r>
      <w:r>
        <w:rPr>
          <w:rFonts w:hint="eastAsia" w:ascii="宋体" w:hAnsi="宋体" w:eastAsia="宋体"/>
          <w:b/>
          <w:color w:val="auto"/>
          <w:sz w:val="24"/>
          <w:szCs w:val="24"/>
          <w:highlight w:val="none"/>
        </w:rPr>
        <w:t xml:space="preserve"> 八、词语含义</w:t>
      </w:r>
      <w:bookmarkEnd w:id="172"/>
    </w:p>
    <w:p w14:paraId="5A868FD5">
      <w:pPr>
        <w:spacing w:line="440" w:lineRule="exact"/>
        <w:ind w:firstLine="420"/>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本协议书中词语含义与第二部分通用合同条款中赋予的含义相同。</w:t>
      </w:r>
    </w:p>
    <w:p w14:paraId="0F36CF84">
      <w:pPr>
        <w:pStyle w:val="7"/>
        <w:spacing w:before="120" w:after="120" w:line="440" w:lineRule="exact"/>
        <w:rPr>
          <w:rFonts w:hint="eastAsia" w:ascii="宋体" w:hAnsi="宋体"/>
          <w:color w:val="auto"/>
          <w:sz w:val="24"/>
          <w:szCs w:val="24"/>
          <w:highlight w:val="none"/>
        </w:rPr>
      </w:pPr>
      <w:r>
        <w:rPr>
          <w:rFonts w:hint="eastAsia" w:ascii="宋体" w:hAnsi="宋体"/>
          <w:color w:val="auto"/>
          <w:sz w:val="24"/>
          <w:szCs w:val="24"/>
          <w:highlight w:val="none"/>
        </w:rPr>
        <w:t xml:space="preserve">  </w:t>
      </w:r>
      <w:r>
        <w:rPr>
          <w:rFonts w:hint="eastAsia" w:ascii="宋体" w:hAnsi="宋体"/>
          <w:b w:val="0"/>
          <w:color w:val="auto"/>
          <w:sz w:val="24"/>
          <w:szCs w:val="24"/>
          <w:highlight w:val="none"/>
        </w:rPr>
        <w:t xml:space="preserve">  </w:t>
      </w:r>
      <w:bookmarkStart w:id="173" w:name="_Toc351203489"/>
      <w:r>
        <w:rPr>
          <w:rFonts w:hint="eastAsia" w:ascii="宋体" w:hAnsi="宋体"/>
          <w:b w:val="0"/>
          <w:color w:val="auto"/>
          <w:sz w:val="24"/>
          <w:szCs w:val="24"/>
          <w:highlight w:val="none"/>
        </w:rPr>
        <w:t>九、签订时间</w:t>
      </w:r>
      <w:bookmarkEnd w:id="173"/>
    </w:p>
    <w:p w14:paraId="73A15F80">
      <w:pPr>
        <w:spacing w:line="440" w:lineRule="exact"/>
        <w:ind w:firstLine="420"/>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本合同于</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年</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月</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日签订。</w:t>
      </w:r>
    </w:p>
    <w:p w14:paraId="7E5AC1D3">
      <w:pPr>
        <w:pStyle w:val="7"/>
        <w:spacing w:before="120" w:after="120" w:line="440" w:lineRule="exact"/>
        <w:rPr>
          <w:rFonts w:hint="eastAsia" w:ascii="宋体" w:hAnsi="宋体"/>
          <w:color w:val="auto"/>
          <w:sz w:val="24"/>
          <w:szCs w:val="24"/>
          <w:highlight w:val="none"/>
        </w:rPr>
      </w:pPr>
      <w:r>
        <w:rPr>
          <w:rFonts w:hint="eastAsia" w:ascii="宋体" w:hAnsi="宋体"/>
          <w:color w:val="auto"/>
          <w:sz w:val="24"/>
          <w:szCs w:val="24"/>
          <w:highlight w:val="none"/>
        </w:rPr>
        <w:t xml:space="preserve">    </w:t>
      </w:r>
      <w:bookmarkStart w:id="174" w:name="_Toc351203490"/>
      <w:r>
        <w:rPr>
          <w:rFonts w:hint="eastAsia" w:ascii="宋体" w:hAnsi="宋体"/>
          <w:b w:val="0"/>
          <w:color w:val="auto"/>
          <w:sz w:val="24"/>
          <w:szCs w:val="24"/>
          <w:highlight w:val="none"/>
        </w:rPr>
        <w:t>十、签订地点</w:t>
      </w:r>
      <w:bookmarkEnd w:id="174"/>
    </w:p>
    <w:p w14:paraId="62692497">
      <w:pPr>
        <w:spacing w:line="440" w:lineRule="exact"/>
        <w:ind w:firstLine="420"/>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本合同在</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签订。</w:t>
      </w:r>
    </w:p>
    <w:p w14:paraId="578EC8A0">
      <w:pPr>
        <w:pStyle w:val="7"/>
        <w:spacing w:before="120" w:after="120" w:line="440" w:lineRule="exact"/>
        <w:rPr>
          <w:rFonts w:hint="eastAsia" w:ascii="宋体" w:hAnsi="宋体"/>
          <w:color w:val="auto"/>
          <w:sz w:val="24"/>
          <w:szCs w:val="24"/>
          <w:highlight w:val="none"/>
        </w:rPr>
      </w:pPr>
      <w:r>
        <w:rPr>
          <w:rFonts w:hint="eastAsia" w:ascii="宋体" w:hAnsi="宋体"/>
          <w:color w:val="auto"/>
          <w:sz w:val="24"/>
          <w:szCs w:val="24"/>
          <w:highlight w:val="none"/>
        </w:rPr>
        <w:t xml:space="preserve">    </w:t>
      </w:r>
      <w:bookmarkStart w:id="175" w:name="_Toc351203491"/>
      <w:r>
        <w:rPr>
          <w:rFonts w:hint="eastAsia" w:ascii="宋体" w:hAnsi="宋体"/>
          <w:b w:val="0"/>
          <w:color w:val="auto"/>
          <w:sz w:val="24"/>
          <w:szCs w:val="24"/>
          <w:highlight w:val="none"/>
        </w:rPr>
        <w:t>十一、补充协议</w:t>
      </w:r>
      <w:bookmarkEnd w:id="175"/>
    </w:p>
    <w:p w14:paraId="65136203">
      <w:pPr>
        <w:spacing w:line="440" w:lineRule="exact"/>
        <w:ind w:firstLine="420"/>
        <w:rPr>
          <w:rFonts w:hint="eastAsia" w:ascii="宋体" w:hAnsi="宋体" w:eastAsia="宋体"/>
          <w:b/>
          <w:color w:val="auto"/>
          <w:sz w:val="24"/>
          <w:szCs w:val="24"/>
          <w:highlight w:val="none"/>
        </w:rPr>
      </w:pPr>
      <w:r>
        <w:rPr>
          <w:rFonts w:hint="eastAsia" w:ascii="宋体" w:hAnsi="宋体" w:eastAsia="宋体"/>
          <w:color w:val="auto"/>
          <w:sz w:val="24"/>
          <w:szCs w:val="24"/>
          <w:highlight w:val="none"/>
        </w:rPr>
        <w:t>合同未尽事宜，合同当事人另行签订补充协议，补充协议是合同的组成部分。</w:t>
      </w:r>
    </w:p>
    <w:p w14:paraId="3B196917">
      <w:pPr>
        <w:pStyle w:val="7"/>
        <w:spacing w:before="120" w:after="120" w:line="440" w:lineRule="exact"/>
        <w:rPr>
          <w:rFonts w:hint="eastAsia" w:ascii="宋体" w:hAnsi="宋体"/>
          <w:color w:val="auto"/>
          <w:sz w:val="24"/>
          <w:szCs w:val="24"/>
          <w:highlight w:val="none"/>
        </w:rPr>
      </w:pPr>
      <w:r>
        <w:rPr>
          <w:rFonts w:hint="eastAsia" w:ascii="宋体" w:hAnsi="宋体"/>
          <w:color w:val="auto"/>
          <w:sz w:val="24"/>
          <w:szCs w:val="24"/>
          <w:highlight w:val="none"/>
        </w:rPr>
        <w:t xml:space="preserve">    </w:t>
      </w:r>
      <w:bookmarkStart w:id="176" w:name="_Toc351203492"/>
      <w:r>
        <w:rPr>
          <w:rFonts w:hint="eastAsia" w:ascii="宋体" w:hAnsi="宋体"/>
          <w:b w:val="0"/>
          <w:color w:val="auto"/>
          <w:sz w:val="24"/>
          <w:szCs w:val="24"/>
          <w:highlight w:val="none"/>
        </w:rPr>
        <w:t>十二、合同生效</w:t>
      </w:r>
      <w:bookmarkEnd w:id="176"/>
    </w:p>
    <w:p w14:paraId="554A9A1E">
      <w:pPr>
        <w:spacing w:line="440" w:lineRule="exact"/>
        <w:ind w:firstLine="420"/>
        <w:rPr>
          <w:rFonts w:hint="default" w:ascii="Times New Roman" w:hAnsi="Times New Roman" w:eastAsia="仿宋_GB2312"/>
          <w:color w:val="auto"/>
          <w:sz w:val="24"/>
          <w:szCs w:val="24"/>
          <w:highlight w:val="none"/>
        </w:rPr>
      </w:pPr>
      <w:r>
        <w:rPr>
          <w:rFonts w:hint="eastAsia" w:ascii="宋体" w:hAnsi="宋体" w:eastAsia="宋体"/>
          <w:color w:val="auto"/>
          <w:sz w:val="24"/>
          <w:szCs w:val="24"/>
          <w:highlight w:val="none"/>
        </w:rPr>
        <w:t>本合同自</w:t>
      </w:r>
      <w:r>
        <w:rPr>
          <w:rFonts w:hint="eastAsia" w:ascii="宋体" w:hAnsi="宋体" w:eastAsia="宋体"/>
          <w:color w:val="auto"/>
          <w:sz w:val="24"/>
          <w:szCs w:val="24"/>
          <w:highlight w:val="none"/>
          <w:u w:val="single"/>
        </w:rPr>
        <w:t>双方法定代表人或委托代表人签字并</w:t>
      </w:r>
      <w:r>
        <w:rPr>
          <w:rFonts w:hint="eastAsia" w:ascii="宋体" w:hAnsi="宋体" w:eastAsia="宋体"/>
          <w:color w:val="auto"/>
          <w:sz w:val="24"/>
          <w:szCs w:val="24"/>
          <w:highlight w:val="none"/>
          <w:u w:val="single"/>
          <w:lang w:eastAsia="zh-CN"/>
        </w:rPr>
        <w:t>加盖</w:t>
      </w:r>
      <w:r>
        <w:rPr>
          <w:rFonts w:hint="eastAsia" w:ascii="宋体" w:hAnsi="宋体" w:eastAsia="宋体"/>
          <w:color w:val="auto"/>
          <w:sz w:val="24"/>
          <w:szCs w:val="24"/>
          <w:highlight w:val="none"/>
          <w:u w:val="single"/>
        </w:rPr>
        <w:t>法人公章</w:t>
      </w:r>
      <w:r>
        <w:rPr>
          <w:rFonts w:hint="eastAsia" w:ascii="宋体" w:hAnsi="宋体" w:eastAsia="宋体"/>
          <w:color w:val="auto"/>
          <w:sz w:val="24"/>
          <w:szCs w:val="24"/>
          <w:highlight w:val="none"/>
        </w:rPr>
        <w:t>生效。</w:t>
      </w:r>
    </w:p>
    <w:p w14:paraId="2BFA1737">
      <w:pPr>
        <w:pStyle w:val="7"/>
        <w:spacing w:before="120" w:after="120" w:line="440" w:lineRule="exact"/>
        <w:rPr>
          <w:rFonts w:hint="eastAsia" w:ascii="宋体" w:hAnsi="宋体"/>
          <w:color w:val="auto"/>
          <w:sz w:val="24"/>
          <w:szCs w:val="24"/>
          <w:highlight w:val="none"/>
        </w:rPr>
      </w:pPr>
      <w:r>
        <w:rPr>
          <w:rFonts w:hint="default" w:ascii="Times New Roman" w:hAnsi="Times New Roman"/>
          <w:color w:val="auto"/>
          <w:sz w:val="24"/>
          <w:szCs w:val="24"/>
          <w:highlight w:val="none"/>
        </w:rPr>
        <w:t xml:space="preserve">   </w:t>
      </w:r>
      <w:r>
        <w:rPr>
          <w:rFonts w:hint="eastAsia" w:ascii="宋体" w:hAnsi="宋体"/>
          <w:color w:val="auto"/>
          <w:sz w:val="24"/>
          <w:szCs w:val="24"/>
          <w:highlight w:val="none"/>
        </w:rPr>
        <w:t xml:space="preserve"> </w:t>
      </w:r>
      <w:bookmarkStart w:id="177" w:name="_Toc351203493"/>
      <w:r>
        <w:rPr>
          <w:rFonts w:hint="eastAsia" w:ascii="宋体" w:hAnsi="宋体"/>
          <w:b w:val="0"/>
          <w:color w:val="auto"/>
          <w:sz w:val="24"/>
          <w:szCs w:val="24"/>
          <w:highlight w:val="none"/>
        </w:rPr>
        <w:t>十三、合同份数</w:t>
      </w:r>
      <w:bookmarkEnd w:id="177"/>
    </w:p>
    <w:p w14:paraId="2F4A2EF4">
      <w:pPr>
        <w:spacing w:line="440" w:lineRule="exact"/>
        <w:ind w:firstLine="420"/>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本合同一式</w:t>
      </w:r>
      <w:r>
        <w:rPr>
          <w:rFonts w:hint="eastAsia" w:ascii="宋体" w:hAnsi="宋体" w:eastAsia="宋体"/>
          <w:color w:val="auto"/>
          <w:sz w:val="24"/>
          <w:szCs w:val="24"/>
          <w:highlight w:val="none"/>
          <w:u w:val="single"/>
        </w:rPr>
        <w:t>捌</w:t>
      </w:r>
      <w:r>
        <w:rPr>
          <w:rFonts w:hint="eastAsia" w:ascii="宋体" w:hAnsi="宋体" w:eastAsia="宋体"/>
          <w:color w:val="auto"/>
          <w:sz w:val="24"/>
          <w:szCs w:val="24"/>
          <w:highlight w:val="none"/>
        </w:rPr>
        <w:t>份，均具有同等法律效力，发包人执</w:t>
      </w:r>
      <w:r>
        <w:rPr>
          <w:rFonts w:hint="eastAsia" w:ascii="宋体" w:hAnsi="宋体" w:eastAsia="宋体"/>
          <w:color w:val="auto"/>
          <w:sz w:val="24"/>
          <w:szCs w:val="24"/>
          <w:highlight w:val="none"/>
          <w:u w:val="single"/>
        </w:rPr>
        <w:t>肆</w:t>
      </w:r>
      <w:r>
        <w:rPr>
          <w:rFonts w:hint="eastAsia" w:ascii="宋体" w:hAnsi="宋体" w:eastAsia="宋体"/>
          <w:color w:val="auto"/>
          <w:sz w:val="24"/>
          <w:szCs w:val="24"/>
          <w:highlight w:val="none"/>
        </w:rPr>
        <w:t>份，承包人执</w:t>
      </w:r>
      <w:r>
        <w:rPr>
          <w:rFonts w:hint="eastAsia" w:ascii="宋体" w:hAnsi="宋体" w:eastAsia="宋体"/>
          <w:color w:val="auto"/>
          <w:sz w:val="24"/>
          <w:szCs w:val="24"/>
          <w:highlight w:val="none"/>
          <w:u w:val="single"/>
        </w:rPr>
        <w:t>肆</w:t>
      </w:r>
      <w:r>
        <w:rPr>
          <w:rFonts w:hint="eastAsia" w:ascii="宋体" w:hAnsi="宋体" w:eastAsia="宋体"/>
          <w:color w:val="auto"/>
          <w:sz w:val="24"/>
          <w:szCs w:val="24"/>
          <w:highlight w:val="none"/>
        </w:rPr>
        <w:t>份。</w:t>
      </w:r>
    </w:p>
    <w:p w14:paraId="510EC567">
      <w:pPr>
        <w:spacing w:line="440" w:lineRule="exact"/>
        <w:rPr>
          <w:rFonts w:hint="eastAsia" w:ascii="Times New Roman" w:hAnsi="Times New Roman" w:eastAsia="仿宋_GB2312"/>
          <w:color w:val="auto"/>
          <w:sz w:val="24"/>
          <w:szCs w:val="24"/>
          <w:highlight w:val="none"/>
        </w:rPr>
      </w:pPr>
    </w:p>
    <w:p w14:paraId="36B91833">
      <w:pPr>
        <w:spacing w:line="440" w:lineRule="exact"/>
        <w:rPr>
          <w:rFonts w:hint="eastAsia" w:ascii="宋体" w:hAnsi="宋体" w:eastAsia="宋体"/>
          <w:color w:val="auto"/>
          <w:sz w:val="24"/>
          <w:szCs w:val="24"/>
          <w:highlight w:val="none"/>
        </w:rPr>
      </w:pPr>
      <w:r>
        <w:rPr>
          <w:rFonts w:hint="eastAsia" w:ascii="宋体" w:hAnsi="宋体" w:eastAsia="宋体"/>
          <w:color w:val="auto"/>
          <w:sz w:val="24"/>
          <w:szCs w:val="24"/>
          <w:highlight w:val="none"/>
        </w:rPr>
        <w:t xml:space="preserve">发包人：  </w:t>
      </w:r>
      <w:r>
        <w:rPr>
          <w:rFonts w:hint="eastAsia" w:ascii="宋体" w:hAnsi="宋体" w:eastAsia="宋体"/>
          <w:color w:val="auto"/>
          <w:sz w:val="24"/>
          <w:szCs w:val="24"/>
          <w:highlight w:val="none"/>
          <w:lang w:eastAsia="zh-CN"/>
        </w:rPr>
        <w:t>（</w:t>
      </w:r>
      <w:r>
        <w:rPr>
          <w:rFonts w:hint="eastAsia" w:ascii="宋体" w:hAnsi="宋体" w:eastAsia="宋体"/>
          <w:color w:val="auto"/>
          <w:sz w:val="24"/>
          <w:szCs w:val="24"/>
          <w:highlight w:val="none"/>
        </w:rPr>
        <w:t>公章</w:t>
      </w:r>
      <w:r>
        <w:rPr>
          <w:rFonts w:hint="eastAsia" w:ascii="宋体" w:hAnsi="宋体" w:eastAsia="宋体"/>
          <w:color w:val="auto"/>
          <w:sz w:val="24"/>
          <w:szCs w:val="24"/>
          <w:highlight w:val="none"/>
          <w:lang w:eastAsia="zh-CN"/>
        </w:rPr>
        <w:t>）</w:t>
      </w:r>
      <w:r>
        <w:rPr>
          <w:rFonts w:hint="eastAsia" w:ascii="宋体" w:hAnsi="宋体" w:eastAsia="宋体"/>
          <w:color w:val="auto"/>
          <w:sz w:val="24"/>
          <w:szCs w:val="24"/>
          <w:highlight w:val="none"/>
        </w:rPr>
        <w:t xml:space="preserve">                      承包人：  </w:t>
      </w:r>
      <w:r>
        <w:rPr>
          <w:rFonts w:hint="eastAsia" w:ascii="宋体" w:hAnsi="宋体" w:eastAsia="宋体"/>
          <w:color w:val="auto"/>
          <w:sz w:val="24"/>
          <w:szCs w:val="24"/>
          <w:highlight w:val="none"/>
          <w:lang w:eastAsia="zh-CN"/>
        </w:rPr>
        <w:t>（</w:t>
      </w:r>
      <w:r>
        <w:rPr>
          <w:rFonts w:hint="eastAsia" w:ascii="宋体" w:hAnsi="宋体" w:eastAsia="宋体"/>
          <w:color w:val="auto"/>
          <w:sz w:val="24"/>
          <w:szCs w:val="24"/>
          <w:highlight w:val="none"/>
        </w:rPr>
        <w:t>公章</w:t>
      </w:r>
      <w:r>
        <w:rPr>
          <w:rFonts w:hint="eastAsia" w:ascii="宋体" w:hAnsi="宋体" w:eastAsia="宋体"/>
          <w:color w:val="auto"/>
          <w:sz w:val="24"/>
          <w:szCs w:val="24"/>
          <w:highlight w:val="none"/>
          <w:lang w:eastAsia="zh-CN"/>
        </w:rPr>
        <w:t>）</w:t>
      </w:r>
    </w:p>
    <w:p w14:paraId="2F485ED7">
      <w:pPr>
        <w:spacing w:line="440" w:lineRule="exact"/>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rPr>
        <w:t xml:space="preserve">                                 </w:t>
      </w:r>
    </w:p>
    <w:p w14:paraId="624B2CD6">
      <w:pPr>
        <w:spacing w:line="440" w:lineRule="exact"/>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法定代表人或其委托代理人：            法定代表人或其委托代理人：</w:t>
      </w:r>
    </w:p>
    <w:p w14:paraId="6F4D473B">
      <w:pPr>
        <w:spacing w:line="440" w:lineRule="exact"/>
        <w:rPr>
          <w:rFonts w:hint="eastAsia" w:ascii="宋体" w:hAnsi="宋体" w:eastAsia="宋体"/>
          <w:color w:val="auto"/>
          <w:sz w:val="24"/>
          <w:szCs w:val="24"/>
          <w:highlight w:val="none"/>
        </w:rPr>
      </w:pPr>
      <w:r>
        <w:rPr>
          <w:rFonts w:hint="eastAsia" w:ascii="宋体" w:hAnsi="宋体" w:eastAsia="宋体"/>
          <w:color w:val="auto"/>
          <w:sz w:val="24"/>
          <w:szCs w:val="24"/>
          <w:highlight w:val="none"/>
        </w:rPr>
        <w:t>（签字）                               （签字）</w:t>
      </w:r>
    </w:p>
    <w:p w14:paraId="4A93A9A7">
      <w:pPr>
        <w:spacing w:line="440" w:lineRule="exact"/>
        <w:rPr>
          <w:rFonts w:hint="eastAsia" w:ascii="宋体" w:hAnsi="宋体" w:eastAsia="宋体"/>
          <w:color w:val="auto"/>
          <w:sz w:val="24"/>
          <w:szCs w:val="24"/>
          <w:highlight w:val="none"/>
          <w:u w:val="single"/>
        </w:rPr>
      </w:pPr>
    </w:p>
    <w:p w14:paraId="043F13AC">
      <w:pPr>
        <w:tabs>
          <w:tab w:val="left" w:pos="4410"/>
        </w:tabs>
        <w:spacing w:line="440" w:lineRule="exact"/>
        <w:rPr>
          <w:rFonts w:hint="eastAsia" w:ascii="宋体" w:hAnsi="宋体" w:eastAsia="宋体"/>
          <w:color w:val="auto"/>
          <w:sz w:val="24"/>
          <w:szCs w:val="24"/>
          <w:highlight w:val="none"/>
        </w:rPr>
      </w:pPr>
      <w:r>
        <w:rPr>
          <w:rFonts w:hint="eastAsia" w:ascii="宋体" w:hAnsi="宋体" w:eastAsia="宋体"/>
          <w:color w:val="auto"/>
          <w:sz w:val="24"/>
          <w:szCs w:val="24"/>
          <w:highlight w:val="none"/>
        </w:rPr>
        <w:t>组织机构代码：</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 xml:space="preserve">          组织机构代码：</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 xml:space="preserve"> </w:t>
      </w:r>
    </w:p>
    <w:p w14:paraId="272EF57C">
      <w:pPr>
        <w:spacing w:line="440" w:lineRule="exact"/>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地  址：</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 xml:space="preserve">          地  址：</w:t>
      </w:r>
      <w:r>
        <w:rPr>
          <w:rFonts w:hint="eastAsia" w:ascii="宋体" w:hAnsi="宋体" w:eastAsia="宋体"/>
          <w:color w:val="auto"/>
          <w:sz w:val="24"/>
          <w:szCs w:val="24"/>
          <w:highlight w:val="none"/>
          <w:u w:val="single"/>
        </w:rPr>
        <w:t xml:space="preserve">                         </w:t>
      </w:r>
    </w:p>
    <w:p w14:paraId="72DEBFD9">
      <w:pPr>
        <w:spacing w:line="440" w:lineRule="exact"/>
        <w:rPr>
          <w:rFonts w:hint="eastAsia" w:ascii="宋体" w:hAnsi="宋体" w:eastAsia="宋体"/>
          <w:color w:val="auto"/>
          <w:sz w:val="24"/>
          <w:szCs w:val="24"/>
          <w:highlight w:val="none"/>
        </w:rPr>
      </w:pPr>
      <w:r>
        <w:rPr>
          <w:rFonts w:hint="eastAsia" w:ascii="宋体" w:hAnsi="宋体" w:eastAsia="宋体"/>
          <w:color w:val="auto"/>
          <w:sz w:val="24"/>
          <w:szCs w:val="24"/>
          <w:highlight w:val="none"/>
        </w:rPr>
        <w:t>邮政编码：</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 xml:space="preserve">          邮政编码：</w:t>
      </w:r>
      <w:r>
        <w:rPr>
          <w:rFonts w:hint="eastAsia" w:ascii="宋体" w:hAnsi="宋体" w:eastAsia="宋体"/>
          <w:color w:val="auto"/>
          <w:sz w:val="24"/>
          <w:szCs w:val="24"/>
          <w:highlight w:val="none"/>
          <w:u w:val="single"/>
        </w:rPr>
        <w:t xml:space="preserve">                       </w:t>
      </w:r>
    </w:p>
    <w:p w14:paraId="54D44C4C">
      <w:pPr>
        <w:spacing w:line="440" w:lineRule="exact"/>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法定代表人：</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 xml:space="preserve">          法定代表人：</w:t>
      </w:r>
      <w:r>
        <w:rPr>
          <w:rFonts w:hint="eastAsia" w:ascii="宋体" w:hAnsi="宋体" w:eastAsia="宋体"/>
          <w:color w:val="auto"/>
          <w:sz w:val="24"/>
          <w:szCs w:val="24"/>
          <w:highlight w:val="none"/>
          <w:u w:val="single"/>
        </w:rPr>
        <w:t xml:space="preserve">                     </w:t>
      </w:r>
    </w:p>
    <w:p w14:paraId="739335E3">
      <w:pPr>
        <w:spacing w:line="440" w:lineRule="exact"/>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委托代理人：</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 xml:space="preserve">           委托代理人：</w:t>
      </w:r>
      <w:r>
        <w:rPr>
          <w:rFonts w:hint="eastAsia" w:ascii="宋体" w:hAnsi="宋体" w:eastAsia="宋体"/>
          <w:color w:val="auto"/>
          <w:sz w:val="24"/>
          <w:szCs w:val="24"/>
          <w:highlight w:val="none"/>
          <w:u w:val="single"/>
        </w:rPr>
        <w:t xml:space="preserve">                     </w:t>
      </w:r>
    </w:p>
    <w:p w14:paraId="43DD9610">
      <w:pPr>
        <w:spacing w:line="440" w:lineRule="exact"/>
        <w:rPr>
          <w:rFonts w:hint="eastAsia" w:ascii="宋体" w:hAnsi="宋体" w:eastAsia="宋体"/>
          <w:color w:val="auto"/>
          <w:sz w:val="24"/>
          <w:szCs w:val="24"/>
          <w:highlight w:val="none"/>
        </w:rPr>
      </w:pPr>
      <w:r>
        <w:rPr>
          <w:rFonts w:hint="eastAsia" w:ascii="宋体" w:hAnsi="宋体" w:eastAsia="宋体"/>
          <w:color w:val="auto"/>
          <w:sz w:val="24"/>
          <w:szCs w:val="24"/>
          <w:highlight w:val="none"/>
        </w:rPr>
        <w:t>电  话：</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 xml:space="preserve">           电  话：</w:t>
      </w:r>
      <w:r>
        <w:rPr>
          <w:rFonts w:hint="eastAsia" w:ascii="宋体" w:hAnsi="宋体" w:eastAsia="宋体"/>
          <w:color w:val="auto"/>
          <w:sz w:val="24"/>
          <w:szCs w:val="24"/>
          <w:highlight w:val="none"/>
          <w:u w:val="single"/>
        </w:rPr>
        <w:t xml:space="preserve">                         </w:t>
      </w:r>
    </w:p>
    <w:p w14:paraId="212BF946">
      <w:pPr>
        <w:spacing w:line="440" w:lineRule="exact"/>
        <w:rPr>
          <w:rFonts w:hint="eastAsia" w:ascii="宋体" w:hAnsi="宋体" w:eastAsia="宋体"/>
          <w:color w:val="auto"/>
          <w:sz w:val="24"/>
          <w:szCs w:val="24"/>
          <w:highlight w:val="none"/>
        </w:rPr>
      </w:pPr>
      <w:r>
        <w:rPr>
          <w:rFonts w:hint="eastAsia" w:ascii="宋体" w:hAnsi="宋体" w:eastAsia="宋体"/>
          <w:color w:val="auto"/>
          <w:sz w:val="24"/>
          <w:szCs w:val="24"/>
          <w:highlight w:val="none"/>
        </w:rPr>
        <w:t>传  真：</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 xml:space="preserve">           传  真：</w:t>
      </w:r>
      <w:r>
        <w:rPr>
          <w:rFonts w:hint="eastAsia" w:ascii="宋体" w:hAnsi="宋体" w:eastAsia="宋体"/>
          <w:color w:val="auto"/>
          <w:sz w:val="24"/>
          <w:szCs w:val="24"/>
          <w:highlight w:val="none"/>
          <w:u w:val="single"/>
        </w:rPr>
        <w:t xml:space="preserve">                         </w:t>
      </w:r>
    </w:p>
    <w:p w14:paraId="119B559F">
      <w:pPr>
        <w:spacing w:line="440" w:lineRule="exact"/>
        <w:rPr>
          <w:rFonts w:hint="eastAsia" w:ascii="宋体" w:hAnsi="宋体" w:eastAsia="宋体"/>
          <w:color w:val="auto"/>
          <w:sz w:val="24"/>
          <w:szCs w:val="24"/>
          <w:highlight w:val="none"/>
        </w:rPr>
      </w:pPr>
      <w:r>
        <w:rPr>
          <w:rFonts w:hint="eastAsia" w:ascii="宋体" w:hAnsi="宋体" w:eastAsia="宋体"/>
          <w:color w:val="auto"/>
          <w:sz w:val="24"/>
          <w:szCs w:val="24"/>
          <w:highlight w:val="none"/>
        </w:rPr>
        <w:t>电子信箱：</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 xml:space="preserve">           电子信箱：</w:t>
      </w:r>
      <w:r>
        <w:rPr>
          <w:rFonts w:hint="eastAsia" w:ascii="宋体" w:hAnsi="宋体" w:eastAsia="宋体"/>
          <w:color w:val="auto"/>
          <w:sz w:val="24"/>
          <w:szCs w:val="24"/>
          <w:highlight w:val="none"/>
          <w:u w:val="single"/>
        </w:rPr>
        <w:t xml:space="preserve">                       </w:t>
      </w:r>
    </w:p>
    <w:p w14:paraId="2E399286">
      <w:pPr>
        <w:spacing w:line="440" w:lineRule="exact"/>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开户银行：</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 xml:space="preserve">           开户银行：</w:t>
      </w:r>
      <w:r>
        <w:rPr>
          <w:rFonts w:hint="eastAsia" w:ascii="宋体" w:hAnsi="宋体" w:eastAsia="宋体"/>
          <w:color w:val="auto"/>
          <w:sz w:val="24"/>
          <w:szCs w:val="24"/>
          <w:highlight w:val="none"/>
          <w:u w:val="single"/>
        </w:rPr>
        <w:t xml:space="preserve">                       </w:t>
      </w:r>
    </w:p>
    <w:p w14:paraId="06FB7CAB">
      <w:pPr>
        <w:spacing w:line="440" w:lineRule="exact"/>
        <w:rPr>
          <w:rFonts w:hint="default" w:ascii="Times New Roman" w:hAnsi="Times New Roman" w:eastAsia="仿宋_GB2312"/>
          <w:color w:val="auto"/>
          <w:sz w:val="24"/>
          <w:szCs w:val="24"/>
          <w:highlight w:val="none"/>
        </w:rPr>
      </w:pPr>
      <w:r>
        <w:rPr>
          <w:rFonts w:hint="eastAsia" w:ascii="宋体" w:hAnsi="宋体" w:eastAsia="宋体"/>
          <w:color w:val="auto"/>
          <w:sz w:val="24"/>
          <w:szCs w:val="24"/>
          <w:highlight w:val="none"/>
        </w:rPr>
        <w:t>账  号：</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 xml:space="preserve">           账  号：</w:t>
      </w:r>
      <w:r>
        <w:rPr>
          <w:rFonts w:hint="eastAsia" w:ascii="宋体" w:hAnsi="宋体" w:eastAsia="宋体"/>
          <w:color w:val="auto"/>
          <w:sz w:val="24"/>
          <w:szCs w:val="24"/>
          <w:highlight w:val="none"/>
          <w:u w:val="single"/>
        </w:rPr>
        <w:t xml:space="preserve">                    </w:t>
      </w:r>
      <w:r>
        <w:rPr>
          <w:rFonts w:hint="eastAsia" w:ascii="Times New Roman" w:hAnsi="Times New Roman" w:eastAsia="仿宋_GB2312"/>
          <w:color w:val="auto"/>
          <w:sz w:val="24"/>
          <w:szCs w:val="24"/>
          <w:highlight w:val="none"/>
          <w:u w:val="single"/>
        </w:rPr>
        <w:t xml:space="preserve"> </w:t>
      </w:r>
      <w:r>
        <w:rPr>
          <w:rFonts w:hint="default" w:ascii="Times New Roman" w:hAnsi="Times New Roman" w:eastAsia="仿宋_GB2312"/>
          <w:color w:val="auto"/>
          <w:sz w:val="24"/>
          <w:szCs w:val="24"/>
          <w:highlight w:val="none"/>
          <w:u w:val="single"/>
        </w:rPr>
        <w:t xml:space="preserve">  </w:t>
      </w:r>
      <w:r>
        <w:rPr>
          <w:rFonts w:hint="eastAsia" w:ascii="Times New Roman" w:hAnsi="Times New Roman" w:eastAsia="仿宋_GB2312"/>
          <w:color w:val="auto"/>
          <w:sz w:val="24"/>
          <w:szCs w:val="24"/>
          <w:highlight w:val="none"/>
          <w:u w:val="single"/>
        </w:rPr>
        <w:t xml:space="preserve"> </w:t>
      </w:r>
    </w:p>
    <w:p w14:paraId="1E42DF3D">
      <w:pPr>
        <w:pStyle w:val="6"/>
        <w:jc w:val="center"/>
        <w:rPr>
          <w:rFonts w:hint="eastAsia" w:ascii="华文中宋" w:hAnsi="华文中宋" w:eastAsia="华文中宋"/>
          <w:color w:val="auto"/>
          <w:sz w:val="24"/>
          <w:szCs w:val="24"/>
          <w:highlight w:val="none"/>
        </w:rPr>
      </w:pPr>
      <w:r>
        <w:rPr>
          <w:rFonts w:hint="default" w:ascii="Times New Roman" w:hAnsi="Times New Roman" w:eastAsia="仿宋_GB2312"/>
          <w:color w:val="auto"/>
          <w:sz w:val="24"/>
          <w:szCs w:val="24"/>
          <w:highlight w:val="none"/>
        </w:rPr>
        <w:br w:type="page" w:clear="all"/>
      </w:r>
      <w:bookmarkStart w:id="178" w:name="_Toc28167"/>
      <w:bookmarkStart w:id="179" w:name="_Toc351203494"/>
      <w:r>
        <w:rPr>
          <w:rFonts w:hint="eastAsia" w:ascii="宋体" w:hAnsi="宋体" w:eastAsia="宋体"/>
          <w:color w:val="auto"/>
          <w:sz w:val="24"/>
          <w:szCs w:val="24"/>
          <w:highlight w:val="none"/>
        </w:rPr>
        <w:t>第二部分 通用合同条款</w:t>
      </w:r>
      <w:bookmarkEnd w:id="178"/>
      <w:bookmarkEnd w:id="179"/>
      <w:bookmarkStart w:id="180" w:name="_Toc337558727"/>
      <w:bookmarkEnd w:id="180"/>
    </w:p>
    <w:p w14:paraId="351A02F4">
      <w:pPr>
        <w:spacing w:line="360" w:lineRule="auto"/>
        <w:jc w:val="left"/>
        <w:rPr>
          <w:rFonts w:hint="eastAsia" w:ascii="宋体" w:hAnsi="宋体" w:eastAsia="宋体"/>
          <w:color w:val="auto"/>
          <w:sz w:val="24"/>
          <w:szCs w:val="24"/>
          <w:highlight w:val="none"/>
        </w:rPr>
      </w:pPr>
      <w:r>
        <w:rPr>
          <w:rFonts w:hint="eastAsia" w:ascii="宋体" w:hAnsi="宋体" w:eastAsia="宋体"/>
          <w:color w:val="auto"/>
          <w:sz w:val="24"/>
          <w:szCs w:val="24"/>
          <w:highlight w:val="none"/>
        </w:rPr>
        <w:t>略 详见（GF—2017—0201）</w:t>
      </w:r>
      <w:bookmarkStart w:id="181" w:name="_Toc351203632"/>
    </w:p>
    <w:p w14:paraId="27E823E8">
      <w:pPr>
        <w:jc w:val="center"/>
        <w:rPr>
          <w:rFonts w:hint="eastAsia" w:ascii="宋体" w:hAnsi="宋体" w:eastAsia="宋体"/>
          <w:color w:val="auto"/>
          <w:sz w:val="24"/>
          <w:szCs w:val="24"/>
          <w:highlight w:val="none"/>
        </w:rPr>
      </w:pPr>
      <w:bookmarkStart w:id="182" w:name="_Toc25770"/>
    </w:p>
    <w:p w14:paraId="1A54B83E">
      <w:pPr>
        <w:jc w:val="center"/>
        <w:rPr>
          <w:rFonts w:hint="eastAsia" w:ascii="宋体" w:hAnsi="宋体" w:eastAsia="宋体"/>
          <w:color w:val="auto"/>
          <w:sz w:val="24"/>
          <w:szCs w:val="24"/>
          <w:highlight w:val="none"/>
        </w:rPr>
      </w:pPr>
      <w:r>
        <w:rPr>
          <w:rFonts w:hint="eastAsia" w:ascii="宋体" w:hAnsi="宋体" w:eastAsia="宋体"/>
          <w:color w:val="auto"/>
          <w:sz w:val="24"/>
          <w:szCs w:val="24"/>
          <w:highlight w:val="none"/>
        </w:rPr>
        <w:t>第三部分 专用合同条款</w:t>
      </w:r>
      <w:bookmarkEnd w:id="181"/>
      <w:bookmarkEnd w:id="182"/>
    </w:p>
    <w:p w14:paraId="16E6A662">
      <w:pPr>
        <w:pStyle w:val="7"/>
        <w:pageBreakBefore w:val="0"/>
        <w:kinsoku/>
        <w:wordWrap/>
        <w:overflowPunct/>
        <w:topLinePunct w:val="0"/>
        <w:autoSpaceDE/>
        <w:autoSpaceDN/>
        <w:bidi w:val="0"/>
        <w:adjustRightInd w:val="0"/>
        <w:snapToGrid w:val="0"/>
        <w:spacing w:before="0" w:after="0" w:line="360" w:lineRule="auto"/>
        <w:ind w:left="0"/>
        <w:textAlignment w:val="auto"/>
        <w:rPr>
          <w:rFonts w:hint="eastAsia" w:ascii="宋体" w:hAnsi="宋体"/>
          <w:color w:val="auto"/>
          <w:sz w:val="24"/>
          <w:szCs w:val="24"/>
          <w:highlight w:val="none"/>
        </w:rPr>
      </w:pPr>
      <w:bookmarkStart w:id="183" w:name="_Toc351203633"/>
      <w:r>
        <w:rPr>
          <w:rFonts w:hint="eastAsia" w:ascii="宋体" w:hAnsi="宋体"/>
          <w:color w:val="auto"/>
          <w:sz w:val="24"/>
          <w:szCs w:val="24"/>
          <w:highlight w:val="none"/>
        </w:rPr>
        <w:t>1</w:t>
      </w:r>
      <w:bookmarkStart w:id="184" w:name="_Toc297048342"/>
      <w:bookmarkStart w:id="185" w:name="_Toc292559866"/>
      <w:bookmarkStart w:id="186" w:name="_Toc296891196"/>
      <w:bookmarkStart w:id="187" w:name="_Toc296890984"/>
      <w:bookmarkStart w:id="188" w:name="_Toc296346657"/>
      <w:bookmarkStart w:id="189" w:name="_Toc296503156"/>
      <w:bookmarkStart w:id="190" w:name="_Toc297120456"/>
      <w:bookmarkStart w:id="191" w:name="_Toc296944495"/>
      <w:bookmarkStart w:id="192" w:name="_Toc292559361"/>
      <w:bookmarkStart w:id="193" w:name="_Toc296347155"/>
      <w:r>
        <w:rPr>
          <w:rFonts w:hint="eastAsia" w:ascii="宋体" w:hAnsi="宋体"/>
          <w:color w:val="auto"/>
          <w:sz w:val="24"/>
          <w:szCs w:val="24"/>
          <w:highlight w:val="none"/>
        </w:rPr>
        <w:t>. 一般约定</w:t>
      </w:r>
      <w:bookmarkEnd w:id="183"/>
      <w:bookmarkEnd w:id="184"/>
      <w:bookmarkEnd w:id="185"/>
      <w:bookmarkEnd w:id="186"/>
      <w:bookmarkEnd w:id="187"/>
      <w:bookmarkEnd w:id="188"/>
      <w:bookmarkEnd w:id="189"/>
      <w:bookmarkEnd w:id="190"/>
      <w:bookmarkEnd w:id="191"/>
      <w:bookmarkEnd w:id="192"/>
      <w:bookmarkEnd w:id="193"/>
    </w:p>
    <w:p w14:paraId="02265B55">
      <w:pPr>
        <w:pageBreakBefore w:val="0"/>
        <w:kinsoku/>
        <w:wordWrap/>
        <w:overflowPunct/>
        <w:topLinePunct w:val="0"/>
        <w:autoSpaceDE/>
        <w:autoSpaceDN/>
        <w:bidi w:val="0"/>
        <w:adjustRightInd w:val="0"/>
        <w:snapToGrid w:val="0"/>
        <w:spacing w:line="360" w:lineRule="auto"/>
        <w:ind w:left="0" w:firstLine="422"/>
        <w:textAlignment w:val="auto"/>
        <w:outlineLvl w:val="0"/>
        <w:rPr>
          <w:rFonts w:hint="eastAsia" w:ascii="宋体" w:hAnsi="宋体" w:eastAsia="宋体"/>
          <w:b/>
          <w:color w:val="auto"/>
          <w:sz w:val="24"/>
          <w:szCs w:val="24"/>
          <w:highlight w:val="none"/>
        </w:rPr>
      </w:pPr>
      <w:bookmarkStart w:id="194" w:name="_Toc7931"/>
      <w:r>
        <w:rPr>
          <w:rFonts w:hint="eastAsia" w:ascii="宋体" w:hAnsi="宋体" w:eastAsia="宋体"/>
          <w:b/>
          <w:color w:val="auto"/>
          <w:sz w:val="24"/>
          <w:szCs w:val="24"/>
          <w:highlight w:val="none"/>
        </w:rPr>
        <w:t>1.1 词语定义</w:t>
      </w:r>
      <w:bookmarkEnd w:id="194"/>
    </w:p>
    <w:p w14:paraId="57E38C23">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1.1.1合同</w:t>
      </w:r>
    </w:p>
    <w:p w14:paraId="3AFFA1D8">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rPr>
        <w:t>1.1.1.10其他合同文件包括：</w:t>
      </w:r>
      <w:r>
        <w:rPr>
          <w:rFonts w:hint="eastAsia" w:ascii="宋体" w:hAnsi="宋体" w:eastAsia="宋体"/>
          <w:color w:val="auto"/>
          <w:sz w:val="24"/>
          <w:szCs w:val="24"/>
          <w:highlight w:val="none"/>
          <w:u w:val="single"/>
        </w:rPr>
        <w:t>经监理工程师、发包人代表签字并经发包人盖章确认的涉及工期、质量、价款调整内容的签证单、联系函、技术核定单等。</w:t>
      </w:r>
    </w:p>
    <w:p w14:paraId="090DEB98">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1.1.2 合同当事人及其他相关方</w:t>
      </w:r>
    </w:p>
    <w:p w14:paraId="2F171F56">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1.1.2.4监理人：</w:t>
      </w:r>
    </w:p>
    <w:p w14:paraId="4C71A925">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名    称：</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w:t>
      </w:r>
    </w:p>
    <w:p w14:paraId="5EE76655">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资质类别和等级：</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w:t>
      </w:r>
    </w:p>
    <w:p w14:paraId="5C6B6FAE">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联系电话：</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w:t>
      </w:r>
    </w:p>
    <w:p w14:paraId="5FBA6972">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电子信箱：</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w:t>
      </w:r>
    </w:p>
    <w:p w14:paraId="2C53D6DB">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通信地址：</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w:t>
      </w:r>
    </w:p>
    <w:p w14:paraId="1E628B27">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1.1.2.5 设计人：</w:t>
      </w:r>
    </w:p>
    <w:p w14:paraId="5C85DD82">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名    称：</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w:t>
      </w:r>
    </w:p>
    <w:p w14:paraId="5C2BBE99">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资质类别和等级：</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w:t>
      </w:r>
    </w:p>
    <w:p w14:paraId="0FC39DDC">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联系电话：</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w:t>
      </w:r>
    </w:p>
    <w:p w14:paraId="6B94D557">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电子信箱：</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w:t>
      </w:r>
    </w:p>
    <w:p w14:paraId="5C103663">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通信地址：</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w:t>
      </w:r>
    </w:p>
    <w:p w14:paraId="48FE18E2">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1.1.3 工程和设备</w:t>
      </w:r>
    </w:p>
    <w:p w14:paraId="12363BC3">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1.1.3.7 作为施工现场组成部分的其他场所包括：</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w:t>
      </w:r>
    </w:p>
    <w:p w14:paraId="0CB43272">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1.1.3.9 永久占地包括：</w:t>
      </w:r>
      <w:r>
        <w:rPr>
          <w:rFonts w:hint="eastAsia" w:ascii="宋体" w:hAnsi="宋体" w:eastAsia="宋体"/>
          <w:color w:val="auto"/>
          <w:sz w:val="24"/>
          <w:szCs w:val="24"/>
          <w:highlight w:val="none"/>
          <w:u w:val="single"/>
        </w:rPr>
        <w:t>发包人项目红线范围内的用地</w:t>
      </w:r>
      <w:r>
        <w:rPr>
          <w:rFonts w:hint="eastAsia" w:ascii="宋体" w:hAnsi="宋体" w:eastAsia="宋体"/>
          <w:color w:val="auto"/>
          <w:sz w:val="24"/>
          <w:szCs w:val="24"/>
          <w:highlight w:val="none"/>
        </w:rPr>
        <w:t>。</w:t>
      </w:r>
    </w:p>
    <w:p w14:paraId="7AE0471A">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1.1.3.10 临时占地包括：</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w:t>
      </w:r>
    </w:p>
    <w:p w14:paraId="08CA84B9">
      <w:pPr>
        <w:pageBreakBefore w:val="0"/>
        <w:kinsoku/>
        <w:wordWrap/>
        <w:overflowPunct/>
        <w:topLinePunct w:val="0"/>
        <w:autoSpaceDE/>
        <w:autoSpaceDN/>
        <w:bidi w:val="0"/>
        <w:adjustRightInd w:val="0"/>
        <w:snapToGrid w:val="0"/>
        <w:spacing w:line="360" w:lineRule="auto"/>
        <w:ind w:left="0" w:firstLine="422"/>
        <w:textAlignment w:val="auto"/>
        <w:rPr>
          <w:rFonts w:hint="eastAsia" w:ascii="宋体" w:hAnsi="宋体" w:eastAsia="宋体"/>
          <w:b/>
          <w:color w:val="auto"/>
          <w:sz w:val="24"/>
          <w:szCs w:val="24"/>
          <w:highlight w:val="none"/>
        </w:rPr>
      </w:pPr>
      <w:r>
        <w:rPr>
          <w:rFonts w:hint="eastAsia" w:ascii="宋体" w:hAnsi="宋体" w:eastAsia="宋体"/>
          <w:b/>
          <w:color w:val="auto"/>
          <w:sz w:val="24"/>
          <w:szCs w:val="24"/>
          <w:highlight w:val="none"/>
        </w:rPr>
        <w:t xml:space="preserve">1.3法律 </w:t>
      </w:r>
    </w:p>
    <w:p w14:paraId="3B235EF6">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rPr>
        <w:t>适用于合同的其他规范性文件：</w:t>
      </w:r>
      <w:r>
        <w:rPr>
          <w:rFonts w:hint="eastAsia" w:ascii="宋体" w:hAnsi="宋体" w:eastAsia="宋体" w:cs="宋体"/>
          <w:b w:val="0"/>
          <w:bCs w:val="0"/>
          <w:color w:val="auto"/>
          <w:sz w:val="21"/>
          <w:szCs w:val="21"/>
          <w:highlight w:val="none"/>
          <w:u w:val="single"/>
        </w:rPr>
        <w:t>《中华人民共和国建筑法》、《中华人民共和国民法典》、《中华人民共和国招标投标法》、《建设工程安全生产管理条例》、《民用建筑节能条例》、七部委第12号令《评标委员会和评标方法暂行规定》、建设部第89号令《房屋建筑和市政基础设施工程施工招标投标管理办法》、七部委第30号令《工程建设项目施工招标投标办法》、国务院第279号令《建设工程质量管理条例》、《江苏省工程建设管理条》、《江苏省建筑市场管理条例》等。</w:t>
      </w:r>
    </w:p>
    <w:p w14:paraId="3EAB51B1">
      <w:pPr>
        <w:pageBreakBefore w:val="0"/>
        <w:kinsoku/>
        <w:wordWrap/>
        <w:overflowPunct/>
        <w:topLinePunct w:val="0"/>
        <w:autoSpaceDE/>
        <w:autoSpaceDN/>
        <w:bidi w:val="0"/>
        <w:adjustRightInd w:val="0"/>
        <w:snapToGrid w:val="0"/>
        <w:spacing w:line="360" w:lineRule="auto"/>
        <w:ind w:left="0" w:firstLine="422"/>
        <w:textAlignment w:val="auto"/>
        <w:rPr>
          <w:rFonts w:hint="eastAsia" w:ascii="宋体" w:hAnsi="宋体" w:eastAsia="宋体"/>
          <w:b/>
          <w:color w:val="auto"/>
          <w:sz w:val="24"/>
          <w:szCs w:val="24"/>
          <w:highlight w:val="none"/>
        </w:rPr>
      </w:pPr>
      <w:r>
        <w:rPr>
          <w:rFonts w:hint="eastAsia" w:ascii="宋体" w:hAnsi="宋体" w:eastAsia="宋体"/>
          <w:b/>
          <w:color w:val="auto"/>
          <w:sz w:val="24"/>
          <w:szCs w:val="24"/>
          <w:highlight w:val="none"/>
        </w:rPr>
        <w:t>1.4 标准和规范</w:t>
      </w:r>
    </w:p>
    <w:p w14:paraId="05FCDD1B">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s="Times New Roman"/>
          <w:color w:val="auto"/>
          <w:sz w:val="24"/>
          <w:szCs w:val="24"/>
          <w:highlight w:val="none"/>
          <w:u w:val="single"/>
        </w:rPr>
      </w:pPr>
      <w:r>
        <w:rPr>
          <w:rFonts w:hint="eastAsia" w:ascii="宋体" w:hAnsi="宋体" w:eastAsia="宋体" w:cs="Times New Roman"/>
          <w:color w:val="auto"/>
          <w:sz w:val="24"/>
          <w:szCs w:val="24"/>
          <w:highlight w:val="none"/>
          <w:u w:val="single"/>
        </w:rPr>
        <w:t>1.4.1适用于工程的标准规范包括：现行建筑工程相关的规范、规程、标准、规定、图集等。</w:t>
      </w:r>
    </w:p>
    <w:p w14:paraId="52FF4618">
      <w:pPr>
        <w:pageBreakBefore w:val="0"/>
        <w:kinsoku/>
        <w:wordWrap/>
        <w:overflowPunct/>
        <w:topLinePunct w:val="0"/>
        <w:autoSpaceDE/>
        <w:autoSpaceDN/>
        <w:bidi w:val="0"/>
        <w:adjustRightInd w:val="0"/>
        <w:snapToGrid w:val="0"/>
        <w:spacing w:line="360" w:lineRule="auto"/>
        <w:ind w:left="0" w:firstLine="420"/>
        <w:textAlignment w:val="auto"/>
        <w:outlineLvl w:val="0"/>
        <w:rPr>
          <w:rFonts w:hint="eastAsia" w:ascii="宋体" w:hAnsi="宋体" w:eastAsia="宋体"/>
          <w:color w:val="auto"/>
          <w:sz w:val="24"/>
          <w:szCs w:val="24"/>
          <w:highlight w:val="none"/>
        </w:rPr>
      </w:pPr>
      <w:bookmarkStart w:id="195" w:name="_Toc21365"/>
      <w:r>
        <w:rPr>
          <w:rFonts w:hint="eastAsia" w:ascii="宋体" w:hAnsi="宋体" w:eastAsia="宋体"/>
          <w:color w:val="auto"/>
          <w:sz w:val="24"/>
          <w:szCs w:val="24"/>
          <w:highlight w:val="none"/>
        </w:rPr>
        <w:t>1.4.2 发包人提供国外标准、规范的名称：</w:t>
      </w:r>
      <w:r>
        <w:rPr>
          <w:rFonts w:hint="eastAsia" w:ascii="宋体" w:hAnsi="宋体" w:eastAsia="宋体"/>
          <w:color w:val="auto"/>
          <w:sz w:val="24"/>
          <w:szCs w:val="24"/>
          <w:highlight w:val="none"/>
          <w:u w:val="single"/>
        </w:rPr>
        <w:t xml:space="preserve">      /     </w:t>
      </w:r>
      <w:r>
        <w:rPr>
          <w:rFonts w:hint="eastAsia" w:ascii="宋体" w:hAnsi="宋体" w:eastAsia="宋体"/>
          <w:color w:val="auto"/>
          <w:sz w:val="24"/>
          <w:szCs w:val="24"/>
          <w:highlight w:val="none"/>
        </w:rPr>
        <w:t>；</w:t>
      </w:r>
      <w:bookmarkEnd w:id="195"/>
    </w:p>
    <w:p w14:paraId="209D7E08">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发包人提供国外标准、规范的份数：</w:t>
      </w:r>
      <w:r>
        <w:rPr>
          <w:rFonts w:hint="eastAsia" w:ascii="宋体" w:hAnsi="宋体" w:eastAsia="宋体"/>
          <w:color w:val="auto"/>
          <w:sz w:val="24"/>
          <w:szCs w:val="24"/>
          <w:highlight w:val="none"/>
          <w:u w:val="single"/>
        </w:rPr>
        <w:t xml:space="preserve">      /           </w:t>
      </w:r>
      <w:r>
        <w:rPr>
          <w:rFonts w:hint="eastAsia" w:ascii="宋体" w:hAnsi="宋体" w:eastAsia="宋体"/>
          <w:color w:val="auto"/>
          <w:sz w:val="24"/>
          <w:szCs w:val="24"/>
          <w:highlight w:val="none"/>
        </w:rPr>
        <w:t>；</w:t>
      </w:r>
    </w:p>
    <w:p w14:paraId="3A4A7962">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发包人提供国外标准、规范的名称：</w:t>
      </w:r>
      <w:r>
        <w:rPr>
          <w:rFonts w:hint="eastAsia" w:ascii="宋体" w:hAnsi="宋体" w:eastAsia="宋体"/>
          <w:color w:val="auto"/>
          <w:sz w:val="24"/>
          <w:szCs w:val="24"/>
          <w:highlight w:val="none"/>
          <w:u w:val="single"/>
        </w:rPr>
        <w:t xml:space="preserve">      /           </w:t>
      </w:r>
      <w:r>
        <w:rPr>
          <w:rFonts w:hint="eastAsia" w:ascii="宋体" w:hAnsi="宋体" w:eastAsia="宋体"/>
          <w:color w:val="auto"/>
          <w:sz w:val="24"/>
          <w:szCs w:val="24"/>
          <w:highlight w:val="none"/>
        </w:rPr>
        <w:t>。</w:t>
      </w:r>
    </w:p>
    <w:p w14:paraId="29F392C4">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1.4.3发包人对工程的技术标准和功能要求的特殊要求：</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w:t>
      </w:r>
    </w:p>
    <w:p w14:paraId="7F8A467F">
      <w:pPr>
        <w:pageBreakBefore w:val="0"/>
        <w:kinsoku/>
        <w:wordWrap/>
        <w:overflowPunct/>
        <w:topLinePunct w:val="0"/>
        <w:autoSpaceDE/>
        <w:autoSpaceDN/>
        <w:bidi w:val="0"/>
        <w:adjustRightInd w:val="0"/>
        <w:snapToGrid w:val="0"/>
        <w:spacing w:line="360" w:lineRule="auto"/>
        <w:ind w:left="0" w:firstLine="422"/>
        <w:textAlignment w:val="auto"/>
        <w:outlineLvl w:val="0"/>
        <w:rPr>
          <w:rFonts w:hint="eastAsia" w:ascii="宋体" w:hAnsi="宋体" w:eastAsia="宋体"/>
          <w:b/>
          <w:color w:val="auto"/>
          <w:sz w:val="24"/>
          <w:szCs w:val="24"/>
          <w:highlight w:val="none"/>
        </w:rPr>
      </w:pPr>
      <w:bookmarkStart w:id="196" w:name="_Toc25091"/>
      <w:r>
        <w:rPr>
          <w:rFonts w:hint="eastAsia" w:ascii="宋体" w:hAnsi="宋体" w:eastAsia="宋体"/>
          <w:b/>
          <w:color w:val="auto"/>
          <w:sz w:val="24"/>
          <w:szCs w:val="24"/>
          <w:highlight w:val="none"/>
        </w:rPr>
        <w:t>1.5 合同文件的优先顺序</w:t>
      </w:r>
      <w:bookmarkEnd w:id="196"/>
    </w:p>
    <w:p w14:paraId="39DE7589">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rPr>
        <w:t>合同文件组成及优先顺序为：</w:t>
      </w:r>
      <w:r>
        <w:rPr>
          <w:rFonts w:hint="eastAsia" w:ascii="宋体" w:hAnsi="宋体" w:eastAsia="宋体"/>
          <w:color w:val="auto"/>
          <w:sz w:val="24"/>
          <w:szCs w:val="24"/>
          <w:highlight w:val="none"/>
          <w:u w:val="single"/>
        </w:rPr>
        <w:t>（1）合同协议书；（2）</w:t>
      </w:r>
      <w:r>
        <w:rPr>
          <w:rFonts w:hint="eastAsia" w:ascii="宋体" w:hAnsi="宋体" w:eastAsia="宋体"/>
          <w:color w:val="auto"/>
          <w:sz w:val="24"/>
          <w:szCs w:val="24"/>
          <w:highlight w:val="none"/>
          <w:u w:val="single"/>
          <w:lang w:val="en-US" w:eastAsia="zh-CN"/>
        </w:rPr>
        <w:t>成交</w:t>
      </w:r>
      <w:r>
        <w:rPr>
          <w:rFonts w:hint="eastAsia" w:ascii="宋体" w:hAnsi="宋体" w:eastAsia="宋体"/>
          <w:color w:val="auto"/>
          <w:sz w:val="24"/>
          <w:szCs w:val="24"/>
          <w:highlight w:val="none"/>
          <w:u w:val="single"/>
        </w:rPr>
        <w:t>通知书；（3）投标函及其附录；（4）专用合同条款及其附件；（5）通用合同条款；（6）技术标准和要求；（7）图纸；（8）已标价的工程量清单或预算书；（9）其他合同文件</w:t>
      </w:r>
      <w:r>
        <w:rPr>
          <w:rFonts w:hint="eastAsia" w:ascii="宋体" w:hAnsi="宋体" w:eastAsia="宋体"/>
          <w:color w:val="auto"/>
          <w:sz w:val="24"/>
          <w:szCs w:val="24"/>
          <w:highlight w:val="none"/>
        </w:rPr>
        <w:t>。</w:t>
      </w:r>
    </w:p>
    <w:p w14:paraId="6EF42283">
      <w:pPr>
        <w:pageBreakBefore w:val="0"/>
        <w:kinsoku/>
        <w:wordWrap/>
        <w:overflowPunct/>
        <w:topLinePunct w:val="0"/>
        <w:autoSpaceDE/>
        <w:autoSpaceDN/>
        <w:bidi w:val="0"/>
        <w:adjustRightInd w:val="0"/>
        <w:snapToGrid w:val="0"/>
        <w:spacing w:line="360" w:lineRule="auto"/>
        <w:ind w:left="0" w:firstLine="422"/>
        <w:textAlignment w:val="auto"/>
        <w:outlineLvl w:val="0"/>
        <w:rPr>
          <w:rFonts w:hint="eastAsia" w:ascii="宋体" w:hAnsi="宋体" w:eastAsia="宋体"/>
          <w:b/>
          <w:color w:val="auto"/>
          <w:sz w:val="24"/>
          <w:szCs w:val="24"/>
          <w:highlight w:val="none"/>
        </w:rPr>
      </w:pPr>
      <w:bookmarkStart w:id="197" w:name="_Toc8793"/>
      <w:r>
        <w:rPr>
          <w:rFonts w:hint="eastAsia" w:ascii="宋体" w:hAnsi="宋体" w:eastAsia="宋体"/>
          <w:b/>
          <w:color w:val="auto"/>
          <w:sz w:val="24"/>
          <w:szCs w:val="24"/>
          <w:highlight w:val="none"/>
        </w:rPr>
        <w:t>1.6 图纸和承包人文件</w:t>
      </w:r>
      <w:bookmarkEnd w:id="197"/>
      <w:r>
        <w:rPr>
          <w:rFonts w:hint="eastAsia" w:ascii="宋体" w:hAnsi="宋体" w:eastAsia="宋体"/>
          <w:b/>
          <w:color w:val="auto"/>
          <w:sz w:val="24"/>
          <w:szCs w:val="24"/>
          <w:highlight w:val="none"/>
        </w:rPr>
        <w:tab/>
      </w:r>
    </w:p>
    <w:p w14:paraId="633E2DA2">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1.6.1 图纸的提供</w:t>
      </w:r>
    </w:p>
    <w:p w14:paraId="6223F571">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发包人向承包人提供图纸的期限：</w:t>
      </w:r>
      <w:r>
        <w:rPr>
          <w:rFonts w:hint="eastAsia" w:ascii="宋体" w:hAnsi="宋体" w:eastAsia="宋体"/>
          <w:color w:val="auto"/>
          <w:sz w:val="24"/>
          <w:szCs w:val="24"/>
          <w:highlight w:val="none"/>
          <w:u w:val="single"/>
        </w:rPr>
        <w:t>工程开工前</w:t>
      </w:r>
      <w:r>
        <w:rPr>
          <w:rFonts w:hint="eastAsia" w:ascii="宋体" w:hAnsi="宋体" w:eastAsia="宋体"/>
          <w:color w:val="auto"/>
          <w:sz w:val="24"/>
          <w:szCs w:val="24"/>
          <w:highlight w:val="none"/>
        </w:rPr>
        <w:t>；</w:t>
      </w:r>
    </w:p>
    <w:p w14:paraId="15D4D1B6">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发包人向承包人提供图纸的数量：</w:t>
      </w:r>
      <w:r>
        <w:rPr>
          <w:rFonts w:hint="eastAsia" w:ascii="宋体" w:hAnsi="宋体" w:eastAsia="宋体"/>
          <w:color w:val="auto"/>
          <w:sz w:val="24"/>
          <w:szCs w:val="24"/>
          <w:highlight w:val="none"/>
          <w:u w:val="single"/>
        </w:rPr>
        <w:t>按工程实际提供</w:t>
      </w:r>
      <w:r>
        <w:rPr>
          <w:rFonts w:hint="eastAsia" w:ascii="宋体" w:hAnsi="宋体" w:eastAsia="宋体"/>
          <w:color w:val="auto"/>
          <w:sz w:val="24"/>
          <w:szCs w:val="24"/>
          <w:highlight w:val="none"/>
        </w:rPr>
        <w:t>；</w:t>
      </w:r>
    </w:p>
    <w:p w14:paraId="21768DE2">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发包人向承包人提供图纸的内容：</w:t>
      </w:r>
      <w:r>
        <w:rPr>
          <w:rFonts w:hint="eastAsia" w:ascii="宋体" w:hAnsi="宋体" w:eastAsia="宋体"/>
          <w:color w:val="auto"/>
          <w:sz w:val="24"/>
          <w:szCs w:val="24"/>
          <w:highlight w:val="none"/>
          <w:u w:val="single"/>
        </w:rPr>
        <w:t>本合同承包范围内的全部工程的图纸</w:t>
      </w:r>
      <w:r>
        <w:rPr>
          <w:rFonts w:hint="eastAsia" w:ascii="宋体" w:hAnsi="宋体" w:eastAsia="宋体"/>
          <w:color w:val="auto"/>
          <w:sz w:val="24"/>
          <w:szCs w:val="24"/>
          <w:highlight w:val="none"/>
        </w:rPr>
        <w:t>。</w:t>
      </w:r>
    </w:p>
    <w:p w14:paraId="0431A003">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1.6.4 承包人文件</w:t>
      </w:r>
    </w:p>
    <w:p w14:paraId="660BCB44">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rPr>
        <w:t>需要由承包人提供的文件，包括：</w:t>
      </w:r>
      <w:r>
        <w:rPr>
          <w:rFonts w:hint="eastAsia" w:ascii="宋体" w:hAnsi="宋体" w:eastAsia="宋体"/>
          <w:color w:val="auto"/>
          <w:sz w:val="24"/>
          <w:szCs w:val="24"/>
          <w:highlight w:val="none"/>
          <w:u w:val="single"/>
        </w:rPr>
        <w:t>开工前7天提供施工组织设计、工程总进度计划，每月25日下午5点前提供详细的施工进度计划、已完工程量报表（含工程变更及签证预算）、承包人自购材料清单、认质认价材料清单、材料进场计划、劳动力等资料。分项的施工组织设计施工方案在该分项开工前7天向发包人提供。专项施工方案等在施工日前15天提交；其它文件如大样图、协调配合图等由承包人根据发包人、监理人要求和本工程的实际需要编制、提交</w:t>
      </w:r>
      <w:r>
        <w:rPr>
          <w:rFonts w:hint="eastAsia" w:ascii="宋体" w:hAnsi="宋体" w:eastAsia="宋体"/>
          <w:color w:val="auto"/>
          <w:sz w:val="24"/>
          <w:szCs w:val="24"/>
          <w:highlight w:val="none"/>
        </w:rPr>
        <w:t>；</w:t>
      </w:r>
    </w:p>
    <w:p w14:paraId="3EB9A736">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承包人提供的文件的期限为：</w:t>
      </w:r>
      <w:r>
        <w:rPr>
          <w:rFonts w:hint="eastAsia" w:ascii="宋体" w:hAnsi="宋体" w:eastAsia="宋体"/>
          <w:color w:val="auto"/>
          <w:sz w:val="24"/>
          <w:szCs w:val="24"/>
          <w:highlight w:val="none"/>
          <w:u w:val="single"/>
        </w:rPr>
        <w:t xml:space="preserve">      同上         </w:t>
      </w:r>
      <w:r>
        <w:rPr>
          <w:rFonts w:hint="eastAsia" w:ascii="宋体" w:hAnsi="宋体" w:eastAsia="宋体"/>
          <w:color w:val="auto"/>
          <w:sz w:val="24"/>
          <w:szCs w:val="24"/>
          <w:highlight w:val="none"/>
        </w:rPr>
        <w:t>；</w:t>
      </w:r>
    </w:p>
    <w:p w14:paraId="06518B5D">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承包人提供的文件的数量为：</w:t>
      </w:r>
      <w:r>
        <w:rPr>
          <w:rFonts w:hint="eastAsia" w:ascii="宋体" w:hAnsi="宋体" w:eastAsia="宋体"/>
          <w:color w:val="auto"/>
          <w:sz w:val="24"/>
          <w:szCs w:val="24"/>
          <w:highlight w:val="none"/>
          <w:u w:val="single"/>
        </w:rPr>
        <w:t xml:space="preserve">      一式四套     </w:t>
      </w:r>
      <w:r>
        <w:rPr>
          <w:rFonts w:hint="eastAsia" w:ascii="宋体" w:hAnsi="宋体" w:eastAsia="宋体"/>
          <w:color w:val="auto"/>
          <w:sz w:val="24"/>
          <w:szCs w:val="24"/>
          <w:highlight w:val="none"/>
        </w:rPr>
        <w:t>；</w:t>
      </w:r>
    </w:p>
    <w:p w14:paraId="0BFBDEBD">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承包人提供的文件的形式为：</w:t>
      </w:r>
      <w:r>
        <w:rPr>
          <w:rFonts w:hint="eastAsia" w:ascii="宋体" w:hAnsi="宋体" w:eastAsia="宋体"/>
          <w:color w:val="auto"/>
          <w:sz w:val="24"/>
          <w:szCs w:val="24"/>
          <w:highlight w:val="none"/>
          <w:u w:val="single"/>
        </w:rPr>
        <w:t xml:space="preserve">   书面版和电子版  </w:t>
      </w:r>
      <w:r>
        <w:rPr>
          <w:rFonts w:hint="eastAsia" w:ascii="宋体" w:hAnsi="宋体" w:eastAsia="宋体"/>
          <w:color w:val="auto"/>
          <w:sz w:val="24"/>
          <w:szCs w:val="24"/>
          <w:highlight w:val="none"/>
        </w:rPr>
        <w:t>；</w:t>
      </w:r>
    </w:p>
    <w:p w14:paraId="17C4E843">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发包人审批承包人文件的期限：</w:t>
      </w:r>
      <w:r>
        <w:rPr>
          <w:rFonts w:hint="eastAsia" w:ascii="宋体" w:hAnsi="宋体" w:eastAsia="宋体"/>
          <w:color w:val="auto"/>
          <w:sz w:val="24"/>
          <w:szCs w:val="24"/>
          <w:highlight w:val="none"/>
          <w:u w:val="single"/>
        </w:rPr>
        <w:t xml:space="preserve"> 书面版和电子版  </w:t>
      </w:r>
      <w:r>
        <w:rPr>
          <w:rFonts w:hint="eastAsia" w:ascii="宋体" w:hAnsi="宋体" w:eastAsia="宋体"/>
          <w:color w:val="auto"/>
          <w:sz w:val="24"/>
          <w:szCs w:val="24"/>
          <w:highlight w:val="none"/>
        </w:rPr>
        <w:t>。</w:t>
      </w:r>
    </w:p>
    <w:p w14:paraId="30847CBD">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1.6.5 现场图纸准备</w:t>
      </w:r>
    </w:p>
    <w:p w14:paraId="6831ED38">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关于现场图纸准备的约定：</w:t>
      </w:r>
      <w:r>
        <w:rPr>
          <w:rFonts w:hint="eastAsia" w:ascii="宋体" w:hAnsi="宋体" w:eastAsia="宋体"/>
          <w:color w:val="auto"/>
          <w:sz w:val="24"/>
          <w:szCs w:val="24"/>
          <w:highlight w:val="none"/>
          <w:u w:val="single"/>
        </w:rPr>
        <w:t>由承包人负责准备现场图纸</w:t>
      </w:r>
      <w:r>
        <w:rPr>
          <w:rFonts w:hint="eastAsia" w:ascii="宋体" w:hAnsi="宋体" w:eastAsia="宋体"/>
          <w:color w:val="auto"/>
          <w:sz w:val="24"/>
          <w:szCs w:val="24"/>
          <w:highlight w:val="none"/>
        </w:rPr>
        <w:t>。</w:t>
      </w:r>
    </w:p>
    <w:p w14:paraId="7525D833">
      <w:pPr>
        <w:pageBreakBefore w:val="0"/>
        <w:kinsoku/>
        <w:wordWrap/>
        <w:overflowPunct/>
        <w:topLinePunct w:val="0"/>
        <w:autoSpaceDE/>
        <w:autoSpaceDN/>
        <w:bidi w:val="0"/>
        <w:adjustRightInd w:val="0"/>
        <w:snapToGrid w:val="0"/>
        <w:spacing w:line="360" w:lineRule="auto"/>
        <w:ind w:left="0" w:firstLine="422"/>
        <w:textAlignment w:val="auto"/>
        <w:outlineLvl w:val="0"/>
        <w:rPr>
          <w:rFonts w:hint="eastAsia" w:ascii="宋体" w:hAnsi="宋体" w:eastAsia="宋体"/>
          <w:b/>
          <w:color w:val="auto"/>
          <w:sz w:val="24"/>
          <w:szCs w:val="24"/>
          <w:highlight w:val="none"/>
        </w:rPr>
      </w:pPr>
      <w:bookmarkStart w:id="198" w:name="_Toc3468"/>
      <w:r>
        <w:rPr>
          <w:rFonts w:hint="eastAsia" w:ascii="宋体" w:hAnsi="宋体" w:eastAsia="宋体"/>
          <w:b/>
          <w:color w:val="auto"/>
          <w:sz w:val="24"/>
          <w:szCs w:val="24"/>
          <w:highlight w:val="none"/>
        </w:rPr>
        <w:t>1.7 联络</w:t>
      </w:r>
      <w:bookmarkEnd w:id="198"/>
    </w:p>
    <w:p w14:paraId="697E236E">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1.7.1发包人和承包人应当在</w:t>
      </w:r>
      <w:r>
        <w:rPr>
          <w:rFonts w:hint="eastAsia" w:ascii="宋体" w:hAnsi="宋体" w:eastAsia="宋体"/>
          <w:color w:val="auto"/>
          <w:sz w:val="24"/>
          <w:szCs w:val="24"/>
          <w:highlight w:val="none"/>
          <w:u w:val="single"/>
        </w:rPr>
        <w:t>3</w:t>
      </w:r>
      <w:r>
        <w:rPr>
          <w:rFonts w:hint="eastAsia" w:ascii="宋体" w:hAnsi="宋体" w:eastAsia="宋体"/>
          <w:color w:val="auto"/>
          <w:sz w:val="24"/>
          <w:szCs w:val="24"/>
          <w:highlight w:val="none"/>
        </w:rPr>
        <w:t>天内将与合同有关的通知、批准、证明、证书、指示、指令、要求、请求、同意、意见、确定和决定等书面函件送达对方当事人。</w:t>
      </w:r>
    </w:p>
    <w:p w14:paraId="5523247D">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1.7.2 发包人接收文件的地点：</w:t>
      </w:r>
      <w:r>
        <w:rPr>
          <w:rFonts w:hint="eastAsia" w:ascii="宋体" w:hAnsi="宋体" w:eastAsia="宋体"/>
          <w:color w:val="auto"/>
          <w:sz w:val="24"/>
          <w:szCs w:val="24"/>
          <w:highlight w:val="none"/>
          <w:u w:val="single"/>
        </w:rPr>
        <w:t>发包人办公室</w:t>
      </w:r>
      <w:r>
        <w:rPr>
          <w:rFonts w:hint="eastAsia" w:ascii="宋体" w:hAnsi="宋体" w:eastAsia="宋体"/>
          <w:color w:val="auto"/>
          <w:sz w:val="24"/>
          <w:szCs w:val="24"/>
          <w:highlight w:val="none"/>
        </w:rPr>
        <w:t>；</w:t>
      </w:r>
    </w:p>
    <w:p w14:paraId="3D2D00C7">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发包人指定的接收人为：</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w:t>
      </w:r>
    </w:p>
    <w:p w14:paraId="3E72B2A2">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承包人接收文件的地点：</w:t>
      </w:r>
      <w:r>
        <w:rPr>
          <w:rFonts w:hint="eastAsia" w:ascii="宋体" w:hAnsi="宋体" w:eastAsia="宋体"/>
          <w:color w:val="auto"/>
          <w:sz w:val="24"/>
          <w:szCs w:val="24"/>
          <w:highlight w:val="none"/>
          <w:u w:val="single"/>
        </w:rPr>
        <w:t>项目现场办公室或承包人住所地</w:t>
      </w:r>
      <w:r>
        <w:rPr>
          <w:rFonts w:hint="eastAsia" w:ascii="宋体" w:hAnsi="宋体" w:eastAsia="宋体"/>
          <w:color w:val="auto"/>
          <w:sz w:val="24"/>
          <w:szCs w:val="24"/>
          <w:highlight w:val="none"/>
        </w:rPr>
        <w:t>；</w:t>
      </w:r>
    </w:p>
    <w:p w14:paraId="24B4D150">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承包人指定的接收人为：</w:t>
      </w:r>
      <w:r>
        <w:rPr>
          <w:rFonts w:hint="eastAsia" w:ascii="宋体" w:hAnsi="宋体" w:eastAsia="宋体"/>
          <w:color w:val="auto"/>
          <w:sz w:val="24"/>
          <w:szCs w:val="24"/>
          <w:highlight w:val="none"/>
          <w:u w:val="single"/>
        </w:rPr>
        <w:t>项目部人员</w:t>
      </w:r>
      <w:r>
        <w:rPr>
          <w:rFonts w:hint="eastAsia" w:ascii="宋体" w:hAnsi="宋体" w:eastAsia="宋体"/>
          <w:color w:val="auto"/>
          <w:sz w:val="24"/>
          <w:szCs w:val="24"/>
          <w:highlight w:val="none"/>
        </w:rPr>
        <w:t>。</w:t>
      </w:r>
    </w:p>
    <w:p w14:paraId="0203C7F3">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监理人接收文件的地点：</w:t>
      </w:r>
      <w:r>
        <w:rPr>
          <w:rFonts w:hint="eastAsia" w:ascii="宋体" w:hAnsi="宋体" w:eastAsia="宋体"/>
          <w:color w:val="auto"/>
          <w:sz w:val="24"/>
          <w:szCs w:val="24"/>
          <w:highlight w:val="none"/>
          <w:u w:val="single"/>
        </w:rPr>
        <w:t>项目现场办公室</w:t>
      </w:r>
      <w:r>
        <w:rPr>
          <w:rFonts w:hint="eastAsia" w:ascii="宋体" w:hAnsi="宋体" w:eastAsia="宋体"/>
          <w:color w:val="auto"/>
          <w:sz w:val="24"/>
          <w:szCs w:val="24"/>
          <w:highlight w:val="none"/>
        </w:rPr>
        <w:t>；</w:t>
      </w:r>
    </w:p>
    <w:p w14:paraId="3E62AC24">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监理人指定的接收人为：</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w:t>
      </w:r>
    </w:p>
    <w:p w14:paraId="13FC3324">
      <w:pPr>
        <w:pageBreakBefore w:val="0"/>
        <w:kinsoku/>
        <w:wordWrap/>
        <w:overflowPunct/>
        <w:topLinePunct w:val="0"/>
        <w:autoSpaceDE/>
        <w:autoSpaceDN/>
        <w:bidi w:val="0"/>
        <w:adjustRightInd w:val="0"/>
        <w:snapToGrid w:val="0"/>
        <w:spacing w:line="360" w:lineRule="auto"/>
        <w:ind w:left="0" w:firstLine="422"/>
        <w:textAlignment w:val="auto"/>
        <w:outlineLvl w:val="0"/>
        <w:rPr>
          <w:rFonts w:hint="eastAsia" w:ascii="宋体" w:hAnsi="宋体" w:eastAsia="宋体"/>
          <w:b/>
          <w:color w:val="auto"/>
          <w:sz w:val="24"/>
          <w:szCs w:val="24"/>
          <w:highlight w:val="none"/>
        </w:rPr>
      </w:pPr>
      <w:bookmarkStart w:id="199" w:name="_Toc14019"/>
      <w:r>
        <w:rPr>
          <w:rFonts w:hint="eastAsia" w:ascii="宋体" w:hAnsi="宋体" w:eastAsia="宋体"/>
          <w:b/>
          <w:color w:val="auto"/>
          <w:sz w:val="24"/>
          <w:szCs w:val="24"/>
          <w:highlight w:val="none"/>
        </w:rPr>
        <w:t>1.10 交通运输</w:t>
      </w:r>
      <w:bookmarkEnd w:id="199"/>
    </w:p>
    <w:p w14:paraId="2BC8A9B9">
      <w:pPr>
        <w:pageBreakBefore w:val="0"/>
        <w:kinsoku/>
        <w:wordWrap/>
        <w:overflowPunct/>
        <w:topLinePunct w:val="0"/>
        <w:autoSpaceDE/>
        <w:autoSpaceDN/>
        <w:bidi w:val="0"/>
        <w:adjustRightInd w:val="0"/>
        <w:snapToGrid w:val="0"/>
        <w:spacing w:line="360" w:lineRule="auto"/>
        <w:ind w:left="0" w:firstLine="420"/>
        <w:textAlignment w:val="auto"/>
        <w:outlineLvl w:val="0"/>
        <w:rPr>
          <w:rFonts w:hint="eastAsia" w:ascii="宋体" w:hAnsi="宋体" w:eastAsia="宋体"/>
          <w:color w:val="auto"/>
          <w:sz w:val="24"/>
          <w:szCs w:val="24"/>
          <w:highlight w:val="none"/>
        </w:rPr>
      </w:pPr>
      <w:bookmarkStart w:id="200" w:name="_Toc27740"/>
      <w:r>
        <w:rPr>
          <w:rFonts w:hint="eastAsia" w:ascii="宋体" w:hAnsi="宋体" w:eastAsia="宋体"/>
          <w:color w:val="auto"/>
          <w:sz w:val="24"/>
          <w:szCs w:val="24"/>
          <w:highlight w:val="none"/>
        </w:rPr>
        <w:t>1</w:t>
      </w:r>
      <w:bookmarkStart w:id="201" w:name="_Toc318581155"/>
      <w:bookmarkStart w:id="202" w:name="_Toc312677986"/>
      <w:bookmarkStart w:id="203" w:name="_Toc300934943"/>
      <w:bookmarkStart w:id="204" w:name="_Toc304295521"/>
      <w:bookmarkStart w:id="205" w:name="_Toc303539100"/>
      <w:r>
        <w:rPr>
          <w:rFonts w:hint="eastAsia" w:ascii="宋体" w:hAnsi="宋体" w:eastAsia="宋体"/>
          <w:color w:val="auto"/>
          <w:sz w:val="24"/>
          <w:szCs w:val="24"/>
          <w:highlight w:val="none"/>
        </w:rPr>
        <w:t>.10.1 出入现场的权利</w:t>
      </w:r>
      <w:bookmarkEnd w:id="200"/>
    </w:p>
    <w:p w14:paraId="5EB91759">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rPr>
        <w:t>关于出入现场的权利的约定：</w:t>
      </w:r>
      <w:r>
        <w:rPr>
          <w:rFonts w:hint="eastAsia" w:ascii="宋体" w:hAnsi="宋体" w:eastAsia="宋体"/>
          <w:color w:val="auto"/>
          <w:sz w:val="24"/>
          <w:szCs w:val="24"/>
          <w:highlight w:val="none"/>
          <w:u w:val="single"/>
        </w:rPr>
        <w:t>承包人已对施工场地现场勘察，由发包人按现状交付承包人施工，且施工场地平整等费用已包含在合同价款中。</w:t>
      </w:r>
      <w:bookmarkEnd w:id="201"/>
      <w:bookmarkEnd w:id="202"/>
      <w:bookmarkEnd w:id="203"/>
      <w:bookmarkEnd w:id="204"/>
      <w:bookmarkEnd w:id="205"/>
    </w:p>
    <w:p w14:paraId="79482A16">
      <w:pPr>
        <w:pageBreakBefore w:val="0"/>
        <w:kinsoku/>
        <w:wordWrap/>
        <w:overflowPunct/>
        <w:topLinePunct w:val="0"/>
        <w:autoSpaceDE/>
        <w:autoSpaceDN/>
        <w:bidi w:val="0"/>
        <w:adjustRightInd w:val="0"/>
        <w:snapToGrid w:val="0"/>
        <w:spacing w:line="360" w:lineRule="auto"/>
        <w:ind w:left="0" w:firstLine="420"/>
        <w:jc w:val="left"/>
        <w:textAlignment w:val="auto"/>
        <w:outlineLvl w:val="0"/>
        <w:rPr>
          <w:rFonts w:hint="eastAsia" w:ascii="宋体" w:hAnsi="宋体" w:eastAsia="宋体"/>
          <w:color w:val="auto"/>
          <w:sz w:val="24"/>
          <w:szCs w:val="24"/>
          <w:highlight w:val="none"/>
        </w:rPr>
      </w:pPr>
      <w:bookmarkStart w:id="206" w:name="_Toc8902"/>
      <w:r>
        <w:rPr>
          <w:rFonts w:hint="eastAsia" w:ascii="宋体" w:hAnsi="宋体" w:eastAsia="宋体"/>
          <w:color w:val="auto"/>
          <w:sz w:val="24"/>
          <w:szCs w:val="24"/>
          <w:highlight w:val="none"/>
        </w:rPr>
        <w:t>1</w:t>
      </w:r>
      <w:bookmarkStart w:id="207" w:name="_Toc300934944"/>
      <w:bookmarkStart w:id="208" w:name="_Toc304295522"/>
      <w:bookmarkStart w:id="209" w:name="_Toc303539101"/>
      <w:bookmarkStart w:id="210" w:name="_Toc312677987"/>
      <w:bookmarkStart w:id="211" w:name="_Toc318581156"/>
      <w:r>
        <w:rPr>
          <w:rFonts w:hint="eastAsia" w:ascii="宋体" w:hAnsi="宋体" w:eastAsia="宋体"/>
          <w:color w:val="auto"/>
          <w:sz w:val="24"/>
          <w:szCs w:val="24"/>
          <w:highlight w:val="none"/>
        </w:rPr>
        <w:t>.10.3 场内交通</w:t>
      </w:r>
      <w:bookmarkEnd w:id="206"/>
    </w:p>
    <w:p w14:paraId="55C86299">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关于场外交通和场内交通的边界的约定：</w:t>
      </w:r>
      <w:r>
        <w:rPr>
          <w:rFonts w:hint="eastAsia" w:ascii="宋体" w:hAnsi="宋体" w:eastAsia="宋体"/>
          <w:color w:val="auto"/>
          <w:sz w:val="24"/>
          <w:szCs w:val="24"/>
          <w:highlight w:val="none"/>
          <w:u w:val="single"/>
        </w:rPr>
        <w:t>发包人的用地红线范围为边界</w:t>
      </w:r>
      <w:r>
        <w:rPr>
          <w:rFonts w:hint="eastAsia" w:ascii="宋体" w:hAnsi="宋体" w:eastAsia="宋体"/>
          <w:color w:val="auto"/>
          <w:sz w:val="24"/>
          <w:szCs w:val="24"/>
          <w:highlight w:val="none"/>
        </w:rPr>
        <w:t>。</w:t>
      </w:r>
    </w:p>
    <w:p w14:paraId="6BCE29E6">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关于发包人向承包人免费提供满足工程施工需要的场内道路和交通设施的约定：</w:t>
      </w:r>
      <w:bookmarkEnd w:id="207"/>
      <w:bookmarkEnd w:id="208"/>
      <w:bookmarkEnd w:id="209"/>
      <w:bookmarkEnd w:id="210"/>
      <w:bookmarkEnd w:id="211"/>
      <w:r>
        <w:rPr>
          <w:rFonts w:hint="eastAsia" w:ascii="宋体" w:hAnsi="宋体" w:eastAsia="宋体"/>
          <w:color w:val="auto"/>
          <w:sz w:val="24"/>
          <w:szCs w:val="24"/>
          <w:highlight w:val="none"/>
          <w:u w:val="single"/>
        </w:rPr>
        <w:t>均由承包人完成，费用已含在约定的合同价款计价方法中</w:t>
      </w:r>
      <w:r>
        <w:rPr>
          <w:rFonts w:hint="eastAsia" w:ascii="宋体" w:hAnsi="宋体" w:eastAsia="宋体"/>
          <w:color w:val="auto"/>
          <w:sz w:val="24"/>
          <w:szCs w:val="24"/>
          <w:highlight w:val="none"/>
        </w:rPr>
        <w:t xml:space="preserve">。  </w:t>
      </w:r>
      <w:bookmarkStart w:id="212" w:name="_Toc318581157"/>
    </w:p>
    <w:p w14:paraId="6D8CA963">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1.10.4超大件和超重件的运输</w:t>
      </w:r>
    </w:p>
    <w:p w14:paraId="1107B40C">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运输超大件或超重件所需的道路和桥梁临时加固改造费用和其他有关费用由</w:t>
      </w:r>
      <w:r>
        <w:rPr>
          <w:rFonts w:hint="eastAsia" w:ascii="宋体" w:hAnsi="宋体" w:eastAsia="宋体"/>
          <w:color w:val="auto"/>
          <w:sz w:val="24"/>
          <w:szCs w:val="24"/>
          <w:highlight w:val="none"/>
          <w:u w:val="single"/>
        </w:rPr>
        <w:t>承包人</w:t>
      </w:r>
      <w:r>
        <w:rPr>
          <w:rFonts w:hint="eastAsia" w:ascii="宋体" w:hAnsi="宋体" w:eastAsia="宋体"/>
          <w:color w:val="auto"/>
          <w:sz w:val="24"/>
          <w:szCs w:val="24"/>
          <w:highlight w:val="none"/>
        </w:rPr>
        <w:t>承担。</w:t>
      </w:r>
      <w:bookmarkEnd w:id="212"/>
    </w:p>
    <w:p w14:paraId="3559A75F">
      <w:pPr>
        <w:pageBreakBefore w:val="0"/>
        <w:kinsoku/>
        <w:wordWrap/>
        <w:overflowPunct/>
        <w:topLinePunct w:val="0"/>
        <w:autoSpaceDE/>
        <w:autoSpaceDN/>
        <w:bidi w:val="0"/>
        <w:adjustRightInd w:val="0"/>
        <w:snapToGrid w:val="0"/>
        <w:spacing w:line="360" w:lineRule="auto"/>
        <w:ind w:left="0" w:firstLine="422"/>
        <w:textAlignment w:val="auto"/>
        <w:outlineLvl w:val="0"/>
        <w:rPr>
          <w:rFonts w:hint="eastAsia" w:ascii="宋体" w:hAnsi="宋体" w:eastAsia="宋体"/>
          <w:b/>
          <w:color w:val="auto"/>
          <w:sz w:val="24"/>
          <w:szCs w:val="24"/>
          <w:highlight w:val="none"/>
        </w:rPr>
      </w:pPr>
      <w:bookmarkStart w:id="213" w:name="_Toc30998"/>
      <w:r>
        <w:rPr>
          <w:rFonts w:hint="eastAsia" w:ascii="宋体" w:hAnsi="宋体" w:eastAsia="宋体"/>
          <w:b/>
          <w:color w:val="auto"/>
          <w:sz w:val="24"/>
          <w:szCs w:val="24"/>
          <w:highlight w:val="none"/>
        </w:rPr>
        <w:t>1.11 知识产权</w:t>
      </w:r>
      <w:bookmarkEnd w:id="213"/>
    </w:p>
    <w:p w14:paraId="67A07776">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1.11.1关于发包人提供给承包人的图纸、发包人为实施工程自行编制或委托编制的技术规范以及反映发包人关于合同要求或其他类似性质的文件的著作权的归属：</w:t>
      </w:r>
      <w:r>
        <w:rPr>
          <w:rFonts w:hint="eastAsia" w:ascii="宋体" w:hAnsi="宋体" w:eastAsia="宋体"/>
          <w:color w:val="auto"/>
          <w:sz w:val="24"/>
          <w:szCs w:val="24"/>
          <w:highlight w:val="none"/>
          <w:u w:val="single"/>
        </w:rPr>
        <w:t>发包人</w:t>
      </w:r>
      <w:r>
        <w:rPr>
          <w:rFonts w:hint="eastAsia" w:ascii="宋体" w:hAnsi="宋体" w:eastAsia="宋体"/>
          <w:color w:val="auto"/>
          <w:sz w:val="24"/>
          <w:szCs w:val="24"/>
          <w:highlight w:val="none"/>
        </w:rPr>
        <w:t>。</w:t>
      </w:r>
    </w:p>
    <w:p w14:paraId="1E3E9856">
      <w:pPr>
        <w:pageBreakBefore w:val="0"/>
        <w:kinsoku/>
        <w:wordWrap/>
        <w:overflowPunct/>
        <w:topLinePunct w:val="0"/>
        <w:autoSpaceDE/>
        <w:autoSpaceDN/>
        <w:bidi w:val="0"/>
        <w:adjustRightInd w:val="0"/>
        <w:snapToGrid w:val="0"/>
        <w:spacing w:line="360" w:lineRule="auto"/>
        <w:ind w:left="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关于发包人提供的上述文件的使用限制的要求：</w:t>
      </w:r>
      <w:r>
        <w:rPr>
          <w:rFonts w:hint="eastAsia" w:ascii="宋体" w:hAnsi="宋体" w:eastAsia="宋体"/>
          <w:color w:val="auto"/>
          <w:sz w:val="24"/>
          <w:szCs w:val="24"/>
          <w:highlight w:val="none"/>
          <w:u w:val="single"/>
        </w:rPr>
        <w:t>/</w:t>
      </w:r>
      <w:r>
        <w:rPr>
          <w:rFonts w:hint="eastAsia" w:ascii="宋体" w:hAnsi="宋体" w:eastAsia="宋体"/>
          <w:color w:val="auto"/>
          <w:sz w:val="24"/>
          <w:szCs w:val="24"/>
          <w:highlight w:val="none"/>
        </w:rPr>
        <w:t>。</w:t>
      </w:r>
    </w:p>
    <w:p w14:paraId="63E47B6B">
      <w:pPr>
        <w:pageBreakBefore w:val="0"/>
        <w:kinsoku/>
        <w:wordWrap/>
        <w:overflowPunct/>
        <w:topLinePunct w:val="0"/>
        <w:autoSpaceDE/>
        <w:autoSpaceDN/>
        <w:bidi w:val="0"/>
        <w:adjustRightInd w:val="0"/>
        <w:snapToGrid w:val="0"/>
        <w:spacing w:line="360" w:lineRule="auto"/>
        <w:ind w:left="0"/>
        <w:textAlignment w:val="auto"/>
        <w:outlineLvl w:val="0"/>
        <w:rPr>
          <w:rFonts w:hint="eastAsia" w:ascii="宋体" w:hAnsi="宋体" w:eastAsia="宋体"/>
          <w:color w:val="auto"/>
          <w:sz w:val="24"/>
          <w:szCs w:val="24"/>
          <w:highlight w:val="none"/>
        </w:rPr>
      </w:pPr>
      <w:bookmarkStart w:id="214" w:name="_Toc19436"/>
      <w:r>
        <w:rPr>
          <w:rFonts w:hint="eastAsia" w:ascii="宋体" w:hAnsi="宋体" w:eastAsia="宋体"/>
          <w:color w:val="auto"/>
          <w:sz w:val="24"/>
          <w:szCs w:val="24"/>
          <w:highlight w:val="none"/>
        </w:rPr>
        <w:t>1.11.2 关于承包人为实施工程所编制文件的著作权的归属：</w:t>
      </w:r>
      <w:r>
        <w:rPr>
          <w:rFonts w:hint="eastAsia" w:ascii="宋体" w:hAnsi="宋体" w:eastAsia="宋体"/>
          <w:color w:val="auto"/>
          <w:sz w:val="24"/>
          <w:szCs w:val="24"/>
          <w:highlight w:val="none"/>
          <w:u w:val="single"/>
        </w:rPr>
        <w:t>发包人</w:t>
      </w:r>
      <w:r>
        <w:rPr>
          <w:rFonts w:hint="eastAsia" w:ascii="宋体" w:hAnsi="宋体" w:eastAsia="宋体"/>
          <w:color w:val="auto"/>
          <w:sz w:val="24"/>
          <w:szCs w:val="24"/>
          <w:highlight w:val="none"/>
        </w:rPr>
        <w:t>。</w:t>
      </w:r>
      <w:bookmarkEnd w:id="214"/>
    </w:p>
    <w:p w14:paraId="030A7CA7">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关于承包人提供的上述文件的使用限制的要求：</w:t>
      </w:r>
      <w:r>
        <w:rPr>
          <w:rFonts w:hint="eastAsia" w:ascii="宋体" w:hAnsi="宋体" w:eastAsia="宋体"/>
          <w:color w:val="auto"/>
          <w:sz w:val="24"/>
          <w:szCs w:val="24"/>
          <w:highlight w:val="none"/>
          <w:u w:val="single"/>
        </w:rPr>
        <w:t>/</w:t>
      </w:r>
      <w:r>
        <w:rPr>
          <w:rFonts w:hint="eastAsia" w:ascii="宋体" w:hAnsi="宋体" w:eastAsia="宋体"/>
          <w:color w:val="auto"/>
          <w:sz w:val="24"/>
          <w:szCs w:val="24"/>
          <w:highlight w:val="none"/>
        </w:rPr>
        <w:t>。</w:t>
      </w:r>
    </w:p>
    <w:p w14:paraId="0C640DB7">
      <w:pPr>
        <w:pageBreakBefore w:val="0"/>
        <w:kinsoku/>
        <w:wordWrap/>
        <w:overflowPunct/>
        <w:topLinePunct w:val="0"/>
        <w:autoSpaceDE/>
        <w:autoSpaceDN/>
        <w:bidi w:val="0"/>
        <w:adjustRightInd w:val="0"/>
        <w:snapToGrid w:val="0"/>
        <w:spacing w:line="360" w:lineRule="auto"/>
        <w:ind w:left="0" w:firstLine="420"/>
        <w:textAlignment w:val="auto"/>
        <w:outlineLvl w:val="0"/>
        <w:rPr>
          <w:rFonts w:hint="eastAsia" w:ascii="宋体" w:hAnsi="宋体" w:eastAsia="宋体"/>
          <w:color w:val="auto"/>
          <w:sz w:val="24"/>
          <w:szCs w:val="24"/>
          <w:highlight w:val="none"/>
        </w:rPr>
      </w:pPr>
      <w:bookmarkStart w:id="215" w:name="_Toc19142"/>
      <w:r>
        <w:rPr>
          <w:rFonts w:hint="eastAsia" w:ascii="宋体" w:hAnsi="宋体" w:eastAsia="宋体"/>
          <w:color w:val="auto"/>
          <w:sz w:val="24"/>
          <w:szCs w:val="24"/>
          <w:highlight w:val="none"/>
        </w:rPr>
        <w:t>1.11.4 承包人在施工过程中所采用的专利、专有技术、技术秘密的使用费的承担方式：</w:t>
      </w:r>
      <w:r>
        <w:rPr>
          <w:rFonts w:hint="eastAsia" w:ascii="宋体" w:hAnsi="宋体" w:eastAsia="宋体"/>
          <w:color w:val="auto"/>
          <w:sz w:val="24"/>
          <w:szCs w:val="24"/>
          <w:highlight w:val="none"/>
          <w:u w:val="single"/>
        </w:rPr>
        <w:t>由承包人承担</w:t>
      </w:r>
      <w:r>
        <w:rPr>
          <w:rFonts w:hint="eastAsia" w:ascii="宋体" w:hAnsi="宋体" w:eastAsia="宋体"/>
          <w:color w:val="auto"/>
          <w:sz w:val="24"/>
          <w:szCs w:val="24"/>
          <w:highlight w:val="none"/>
        </w:rPr>
        <w:t>。</w:t>
      </w:r>
      <w:bookmarkEnd w:id="215"/>
    </w:p>
    <w:p w14:paraId="1E2B05B3">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1.13工程量清单错误的修正</w:t>
      </w:r>
    </w:p>
    <w:p w14:paraId="62EC75AA">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出现工程量清单错误时，是否调整合同价格：</w:t>
      </w:r>
      <w:r>
        <w:rPr>
          <w:rFonts w:hint="eastAsia" w:ascii="宋体" w:hAnsi="宋体" w:eastAsia="宋体"/>
          <w:color w:val="auto"/>
          <w:sz w:val="24"/>
          <w:szCs w:val="24"/>
          <w:highlight w:val="none"/>
          <w:u w:val="single"/>
        </w:rPr>
        <w:t>是</w:t>
      </w:r>
      <w:r>
        <w:rPr>
          <w:rFonts w:hint="eastAsia" w:ascii="宋体" w:hAnsi="宋体" w:eastAsia="宋体"/>
          <w:color w:val="auto"/>
          <w:sz w:val="24"/>
          <w:szCs w:val="24"/>
          <w:highlight w:val="none"/>
        </w:rPr>
        <w:t>。</w:t>
      </w:r>
    </w:p>
    <w:p w14:paraId="43776D12">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允许调整合同价格的工程量偏差范围：</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w:t>
      </w:r>
    </w:p>
    <w:p w14:paraId="6F8C1B28">
      <w:pPr>
        <w:pStyle w:val="7"/>
        <w:pageBreakBefore w:val="0"/>
        <w:kinsoku/>
        <w:wordWrap/>
        <w:overflowPunct/>
        <w:topLinePunct w:val="0"/>
        <w:autoSpaceDE/>
        <w:autoSpaceDN/>
        <w:bidi w:val="0"/>
        <w:adjustRightInd w:val="0"/>
        <w:snapToGrid w:val="0"/>
        <w:spacing w:before="0" w:after="0" w:line="360" w:lineRule="auto"/>
        <w:ind w:left="0"/>
        <w:textAlignment w:val="auto"/>
        <w:rPr>
          <w:rFonts w:hint="eastAsia" w:ascii="宋体" w:hAnsi="宋体"/>
          <w:color w:val="auto"/>
          <w:sz w:val="24"/>
          <w:szCs w:val="24"/>
          <w:highlight w:val="none"/>
        </w:rPr>
      </w:pPr>
      <w:bookmarkStart w:id="216" w:name="_Toc351203634"/>
      <w:r>
        <w:rPr>
          <w:rFonts w:hint="eastAsia" w:ascii="宋体" w:hAnsi="宋体"/>
          <w:color w:val="auto"/>
          <w:sz w:val="24"/>
          <w:szCs w:val="24"/>
          <w:highlight w:val="none"/>
        </w:rPr>
        <w:t>2</w:t>
      </w:r>
      <w:bookmarkStart w:id="217" w:name="_Toc296890985"/>
      <w:bookmarkStart w:id="218" w:name="_Toc296346658"/>
      <w:bookmarkStart w:id="219" w:name="_Toc296503157"/>
      <w:bookmarkStart w:id="220" w:name="_Toc292559362"/>
      <w:bookmarkStart w:id="221" w:name="_Toc292559867"/>
      <w:bookmarkStart w:id="222" w:name="_Toc297048343"/>
      <w:bookmarkStart w:id="223" w:name="_Toc296891197"/>
      <w:bookmarkStart w:id="224" w:name="_Toc296347156"/>
      <w:bookmarkStart w:id="225" w:name="_Toc297120457"/>
      <w:bookmarkStart w:id="226" w:name="_Toc296944496"/>
      <w:r>
        <w:rPr>
          <w:rFonts w:hint="eastAsia" w:ascii="宋体" w:hAnsi="宋体"/>
          <w:color w:val="auto"/>
          <w:sz w:val="24"/>
          <w:szCs w:val="24"/>
          <w:highlight w:val="none"/>
        </w:rPr>
        <w:t>. 发包人</w:t>
      </w:r>
      <w:bookmarkEnd w:id="216"/>
      <w:bookmarkEnd w:id="217"/>
      <w:bookmarkEnd w:id="218"/>
      <w:bookmarkEnd w:id="219"/>
      <w:bookmarkEnd w:id="220"/>
      <w:bookmarkEnd w:id="221"/>
      <w:bookmarkEnd w:id="222"/>
      <w:bookmarkEnd w:id="223"/>
      <w:bookmarkEnd w:id="224"/>
      <w:bookmarkEnd w:id="225"/>
      <w:bookmarkEnd w:id="226"/>
    </w:p>
    <w:p w14:paraId="64D225A0">
      <w:pPr>
        <w:pageBreakBefore w:val="0"/>
        <w:kinsoku/>
        <w:wordWrap/>
        <w:overflowPunct/>
        <w:topLinePunct w:val="0"/>
        <w:autoSpaceDE/>
        <w:autoSpaceDN/>
        <w:bidi w:val="0"/>
        <w:adjustRightInd w:val="0"/>
        <w:snapToGrid w:val="0"/>
        <w:spacing w:line="360" w:lineRule="auto"/>
        <w:ind w:left="0" w:firstLine="422"/>
        <w:textAlignment w:val="auto"/>
        <w:outlineLvl w:val="0"/>
        <w:rPr>
          <w:rFonts w:hint="eastAsia" w:ascii="宋体" w:hAnsi="宋体" w:eastAsia="宋体"/>
          <w:b/>
          <w:color w:val="auto"/>
          <w:sz w:val="24"/>
          <w:szCs w:val="24"/>
          <w:highlight w:val="none"/>
        </w:rPr>
      </w:pPr>
      <w:bookmarkStart w:id="227" w:name="_Toc15891"/>
      <w:r>
        <w:rPr>
          <w:rFonts w:hint="eastAsia" w:ascii="宋体" w:hAnsi="宋体" w:eastAsia="宋体"/>
          <w:b/>
          <w:color w:val="auto"/>
          <w:sz w:val="24"/>
          <w:szCs w:val="24"/>
          <w:highlight w:val="none"/>
        </w:rPr>
        <w:t>2.2 发包人代表</w:t>
      </w:r>
      <w:bookmarkEnd w:id="227"/>
    </w:p>
    <w:p w14:paraId="0D99DA11">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发包人代表：</w:t>
      </w:r>
    </w:p>
    <w:p w14:paraId="22760942">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姓    名：</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w:t>
      </w:r>
    </w:p>
    <w:p w14:paraId="228152A4">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身份证号：</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w:t>
      </w:r>
    </w:p>
    <w:p w14:paraId="5DE7F047">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职    务：</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w:t>
      </w:r>
    </w:p>
    <w:p w14:paraId="7ED0E8B1">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联系电话：</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w:t>
      </w:r>
    </w:p>
    <w:p w14:paraId="6A62C732">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电子信箱：</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w:t>
      </w:r>
    </w:p>
    <w:p w14:paraId="49833E40">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通信地址：</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w:t>
      </w:r>
    </w:p>
    <w:p w14:paraId="046DB394">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rPr>
        <w:t>发包人对发包人代表的授权范围如下：</w:t>
      </w:r>
      <w:r>
        <w:rPr>
          <w:rFonts w:hint="eastAsia" w:ascii="宋体" w:hAnsi="宋体" w:eastAsia="宋体"/>
          <w:color w:val="auto"/>
          <w:sz w:val="24"/>
          <w:szCs w:val="24"/>
          <w:highlight w:val="none"/>
          <w:u w:val="single"/>
        </w:rPr>
        <w:t>代表发包人行使本合同约定的发包人的权力和监理人需要取得发包人批准的权力，督促指导监理工程师行使职权，协调施工现场各方面的关系，协调工程质量，进度和安全文明施工中存在的问题，解决有关设计和技术签证，办理、签认现场经济技术签证，审核工程进度报表。但涉及工期、质量、价款调整的内容必须由发包人盖章确认。</w:t>
      </w:r>
    </w:p>
    <w:p w14:paraId="67A3771D">
      <w:pPr>
        <w:pageBreakBefore w:val="0"/>
        <w:kinsoku/>
        <w:wordWrap/>
        <w:overflowPunct/>
        <w:topLinePunct w:val="0"/>
        <w:autoSpaceDE/>
        <w:autoSpaceDN/>
        <w:bidi w:val="0"/>
        <w:adjustRightInd w:val="0"/>
        <w:snapToGrid w:val="0"/>
        <w:spacing w:line="360" w:lineRule="auto"/>
        <w:ind w:left="0" w:firstLine="422"/>
        <w:textAlignment w:val="auto"/>
        <w:rPr>
          <w:rFonts w:hint="eastAsia" w:ascii="宋体" w:hAnsi="宋体" w:eastAsia="宋体"/>
          <w:b/>
          <w:color w:val="auto"/>
          <w:sz w:val="24"/>
          <w:szCs w:val="24"/>
          <w:highlight w:val="none"/>
        </w:rPr>
      </w:pPr>
      <w:r>
        <w:rPr>
          <w:rFonts w:hint="eastAsia" w:ascii="宋体" w:hAnsi="宋体" w:eastAsia="宋体"/>
          <w:b/>
          <w:color w:val="auto"/>
          <w:sz w:val="24"/>
          <w:szCs w:val="24"/>
          <w:highlight w:val="none"/>
        </w:rPr>
        <w:t>2.4 施工现场、施工条件和基础资料的提供</w:t>
      </w:r>
    </w:p>
    <w:p w14:paraId="212F7532">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2.4.1 提供施工现场</w:t>
      </w:r>
    </w:p>
    <w:p w14:paraId="2CA5E1D4">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关于发包人移交施工现场的期限要求：</w:t>
      </w:r>
      <w:r>
        <w:rPr>
          <w:rFonts w:hint="eastAsia" w:ascii="宋体" w:hAnsi="宋体" w:eastAsia="宋体"/>
          <w:color w:val="auto"/>
          <w:sz w:val="24"/>
          <w:szCs w:val="24"/>
          <w:highlight w:val="none"/>
          <w:u w:val="single"/>
        </w:rPr>
        <w:t>已具备移交条件</w:t>
      </w:r>
      <w:r>
        <w:rPr>
          <w:rFonts w:hint="eastAsia" w:ascii="宋体" w:hAnsi="宋体" w:eastAsia="宋体"/>
          <w:color w:val="auto"/>
          <w:sz w:val="24"/>
          <w:szCs w:val="24"/>
          <w:highlight w:val="none"/>
        </w:rPr>
        <w:t>。</w:t>
      </w:r>
    </w:p>
    <w:p w14:paraId="66382107">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2.4.2 提供施工条件</w:t>
      </w:r>
    </w:p>
    <w:p w14:paraId="68EB65E9">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b/>
          <w:color w:val="auto"/>
          <w:sz w:val="24"/>
          <w:szCs w:val="24"/>
          <w:highlight w:val="none"/>
          <w:u w:val="single"/>
        </w:rPr>
      </w:pPr>
      <w:r>
        <w:rPr>
          <w:rFonts w:hint="eastAsia" w:ascii="宋体" w:hAnsi="宋体" w:eastAsia="宋体"/>
          <w:color w:val="auto"/>
          <w:sz w:val="24"/>
          <w:szCs w:val="24"/>
          <w:highlight w:val="none"/>
        </w:rPr>
        <w:t>关于发包人应负责提供施工所需要的条件，包括：</w:t>
      </w:r>
      <w:r>
        <w:rPr>
          <w:rFonts w:hint="eastAsia" w:ascii="宋体" w:hAnsi="宋体" w:eastAsia="宋体"/>
          <w:color w:val="auto"/>
          <w:sz w:val="24"/>
          <w:szCs w:val="24"/>
          <w:highlight w:val="none"/>
          <w:u w:val="single"/>
        </w:rPr>
        <w:t>（1）现状提交；（2）施工用水、施工用电由发包方指定接驳点，并满足施工要求，接驳点至施工现场段管道/管线、计量设备由承包人自行解决、费用由承包人承担。（3）施工时临时用地由承包人自行解决，且费用已包含在合同价款中。</w:t>
      </w:r>
    </w:p>
    <w:p w14:paraId="59CB7770">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u w:val="single"/>
        </w:rPr>
        <w:t>水准点与坐标控制点以书面形式交给承包人，并于开工前进行现场交验；</w:t>
      </w:r>
    </w:p>
    <w:p w14:paraId="5FBF0320">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u w:val="single"/>
        </w:rPr>
        <w:t>开工前向承包人提供工程地质和地下管线资料，发包人同意由承包人采取保护措施，协调处理施工场地周围地下管线和邻近建筑物、构筑物（含文物保护建筑）、古树名木的保护，费用由承包人承担。</w:t>
      </w:r>
    </w:p>
    <w:p w14:paraId="7C5E29D0">
      <w:pPr>
        <w:pageBreakBefore w:val="0"/>
        <w:kinsoku/>
        <w:wordWrap/>
        <w:overflowPunct/>
        <w:topLinePunct w:val="0"/>
        <w:autoSpaceDE/>
        <w:autoSpaceDN/>
        <w:bidi w:val="0"/>
        <w:adjustRightInd w:val="0"/>
        <w:snapToGrid w:val="0"/>
        <w:spacing w:line="360" w:lineRule="auto"/>
        <w:ind w:left="0" w:firstLine="420"/>
        <w:textAlignment w:val="auto"/>
        <w:outlineLvl w:val="0"/>
        <w:rPr>
          <w:rFonts w:hint="eastAsia" w:ascii="宋体" w:hAnsi="宋体" w:eastAsia="宋体"/>
          <w:color w:val="auto"/>
          <w:sz w:val="24"/>
          <w:szCs w:val="24"/>
          <w:highlight w:val="none"/>
        </w:rPr>
      </w:pPr>
      <w:bookmarkStart w:id="228" w:name="_Toc21199"/>
      <w:r>
        <w:rPr>
          <w:rFonts w:hint="eastAsia" w:ascii="宋体" w:hAnsi="宋体" w:eastAsia="宋体"/>
          <w:color w:val="auto"/>
          <w:sz w:val="24"/>
          <w:szCs w:val="24"/>
          <w:highlight w:val="none"/>
        </w:rPr>
        <w:t>2.5 资金来源证明及支付担保</w:t>
      </w:r>
      <w:bookmarkEnd w:id="228"/>
    </w:p>
    <w:p w14:paraId="34D1965F">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发包人提供资金来源证明的期限要求：</w:t>
      </w:r>
      <w:r>
        <w:rPr>
          <w:rFonts w:hint="eastAsia" w:ascii="宋体" w:hAnsi="宋体" w:eastAsia="宋体"/>
          <w:color w:val="auto"/>
          <w:sz w:val="24"/>
          <w:szCs w:val="24"/>
          <w:highlight w:val="none"/>
          <w:u w:val="single"/>
        </w:rPr>
        <w:t xml:space="preserve">     /              </w:t>
      </w:r>
      <w:r>
        <w:rPr>
          <w:rFonts w:hint="eastAsia" w:ascii="宋体" w:hAnsi="宋体" w:eastAsia="宋体"/>
          <w:color w:val="auto"/>
          <w:sz w:val="24"/>
          <w:szCs w:val="24"/>
          <w:highlight w:val="none"/>
        </w:rPr>
        <w:t>。</w:t>
      </w:r>
    </w:p>
    <w:p w14:paraId="2267F945">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发包人是否提供支付担保：</w:t>
      </w:r>
      <w:r>
        <w:rPr>
          <w:rFonts w:hint="eastAsia" w:ascii="宋体" w:hAnsi="宋体" w:eastAsia="宋体"/>
          <w:color w:val="auto"/>
          <w:sz w:val="24"/>
          <w:szCs w:val="24"/>
          <w:highlight w:val="none"/>
          <w:u w:val="single"/>
        </w:rPr>
        <w:t xml:space="preserve">  无支付担保                  </w:t>
      </w:r>
      <w:r>
        <w:rPr>
          <w:rFonts w:hint="eastAsia" w:ascii="宋体" w:hAnsi="宋体" w:eastAsia="宋体"/>
          <w:color w:val="auto"/>
          <w:sz w:val="24"/>
          <w:szCs w:val="24"/>
          <w:highlight w:val="none"/>
        </w:rPr>
        <w:t>。</w:t>
      </w:r>
    </w:p>
    <w:p w14:paraId="77CDE1C3">
      <w:pPr>
        <w:pageBreakBefore w:val="0"/>
        <w:kinsoku/>
        <w:wordWrap/>
        <w:overflowPunct/>
        <w:topLinePunct w:val="0"/>
        <w:autoSpaceDE/>
        <w:autoSpaceDN/>
        <w:bidi w:val="0"/>
        <w:adjustRightInd w:val="0"/>
        <w:snapToGrid w:val="0"/>
        <w:spacing w:line="360" w:lineRule="auto"/>
        <w:ind w:left="0" w:firstLine="420"/>
        <w:textAlignment w:val="auto"/>
        <w:rPr>
          <w:rFonts w:hint="default" w:ascii="Times New Roman" w:hAnsi="Times New Roman" w:eastAsia="仿宋_GB2312"/>
          <w:color w:val="auto"/>
          <w:sz w:val="24"/>
          <w:szCs w:val="24"/>
          <w:highlight w:val="none"/>
          <w:u w:val="single"/>
        </w:rPr>
      </w:pPr>
      <w:r>
        <w:rPr>
          <w:rFonts w:hint="eastAsia" w:ascii="宋体" w:hAnsi="宋体" w:eastAsia="宋体"/>
          <w:color w:val="auto"/>
          <w:sz w:val="24"/>
          <w:szCs w:val="24"/>
          <w:highlight w:val="none"/>
        </w:rPr>
        <w:t>发包人提供支付担保的形式：</w:t>
      </w:r>
      <w:r>
        <w:rPr>
          <w:rFonts w:hint="eastAsia" w:ascii="宋体" w:hAnsi="宋体" w:eastAsia="宋体"/>
          <w:color w:val="auto"/>
          <w:sz w:val="24"/>
          <w:szCs w:val="24"/>
          <w:highlight w:val="none"/>
          <w:u w:val="single"/>
        </w:rPr>
        <w:t xml:space="preserve">   /                        </w:t>
      </w:r>
      <w:r>
        <w:rPr>
          <w:rFonts w:hint="eastAsia" w:ascii="宋体" w:hAnsi="宋体" w:eastAsia="宋体"/>
          <w:color w:val="auto"/>
          <w:sz w:val="24"/>
          <w:szCs w:val="24"/>
          <w:highlight w:val="none"/>
        </w:rPr>
        <w:t>。</w:t>
      </w:r>
    </w:p>
    <w:p w14:paraId="0AE29F75">
      <w:pPr>
        <w:pStyle w:val="7"/>
        <w:pageBreakBefore w:val="0"/>
        <w:kinsoku/>
        <w:wordWrap/>
        <w:overflowPunct/>
        <w:topLinePunct w:val="0"/>
        <w:autoSpaceDE/>
        <w:autoSpaceDN/>
        <w:bidi w:val="0"/>
        <w:adjustRightInd w:val="0"/>
        <w:snapToGrid w:val="0"/>
        <w:spacing w:before="0" w:after="0" w:line="360" w:lineRule="auto"/>
        <w:ind w:left="0"/>
        <w:textAlignment w:val="auto"/>
        <w:rPr>
          <w:rFonts w:hint="eastAsia" w:ascii="宋体" w:hAnsi="宋体"/>
          <w:color w:val="auto"/>
          <w:sz w:val="24"/>
          <w:szCs w:val="24"/>
          <w:highlight w:val="none"/>
        </w:rPr>
      </w:pPr>
      <w:bookmarkStart w:id="229" w:name="_Toc351203635"/>
      <w:r>
        <w:rPr>
          <w:rFonts w:hint="eastAsia" w:ascii="宋体" w:hAnsi="宋体"/>
          <w:color w:val="auto"/>
          <w:sz w:val="24"/>
          <w:szCs w:val="24"/>
          <w:highlight w:val="none"/>
        </w:rPr>
        <w:t>3</w:t>
      </w:r>
      <w:bookmarkStart w:id="230" w:name="_Toc296944497"/>
      <w:bookmarkStart w:id="231" w:name="_Toc296347157"/>
      <w:bookmarkStart w:id="232" w:name="_Toc296503158"/>
      <w:bookmarkStart w:id="233" w:name="_Toc292559868"/>
      <w:bookmarkStart w:id="234" w:name="_Toc296890986"/>
      <w:bookmarkStart w:id="235" w:name="_Toc296346659"/>
      <w:bookmarkStart w:id="236" w:name="_Toc296891198"/>
      <w:bookmarkStart w:id="237" w:name="_Toc292559363"/>
      <w:bookmarkStart w:id="238" w:name="_Toc297120458"/>
      <w:bookmarkStart w:id="239" w:name="_Toc297048344"/>
      <w:r>
        <w:rPr>
          <w:rFonts w:hint="eastAsia" w:ascii="宋体" w:hAnsi="宋体"/>
          <w:color w:val="auto"/>
          <w:sz w:val="24"/>
          <w:szCs w:val="24"/>
          <w:highlight w:val="none"/>
        </w:rPr>
        <w:t>. 承包人</w:t>
      </w:r>
      <w:bookmarkEnd w:id="229"/>
      <w:bookmarkEnd w:id="230"/>
      <w:bookmarkEnd w:id="231"/>
      <w:bookmarkEnd w:id="232"/>
      <w:bookmarkEnd w:id="233"/>
      <w:bookmarkEnd w:id="234"/>
      <w:bookmarkEnd w:id="235"/>
      <w:bookmarkEnd w:id="236"/>
      <w:bookmarkEnd w:id="237"/>
      <w:bookmarkEnd w:id="238"/>
      <w:bookmarkEnd w:id="239"/>
    </w:p>
    <w:p w14:paraId="4AB69A07">
      <w:pPr>
        <w:pageBreakBefore w:val="0"/>
        <w:kinsoku/>
        <w:wordWrap/>
        <w:overflowPunct/>
        <w:topLinePunct w:val="0"/>
        <w:autoSpaceDE/>
        <w:autoSpaceDN/>
        <w:bidi w:val="0"/>
        <w:adjustRightInd w:val="0"/>
        <w:snapToGrid w:val="0"/>
        <w:spacing w:line="360" w:lineRule="auto"/>
        <w:ind w:left="0" w:firstLine="422"/>
        <w:textAlignment w:val="auto"/>
        <w:rPr>
          <w:rFonts w:hint="eastAsia" w:ascii="宋体" w:hAnsi="宋体" w:eastAsia="宋体"/>
          <w:b/>
          <w:color w:val="auto"/>
          <w:sz w:val="24"/>
          <w:szCs w:val="24"/>
          <w:highlight w:val="none"/>
        </w:rPr>
      </w:pPr>
      <w:r>
        <w:rPr>
          <w:rFonts w:hint="eastAsia" w:ascii="宋体" w:hAnsi="宋体" w:eastAsia="宋体"/>
          <w:b/>
          <w:color w:val="auto"/>
          <w:sz w:val="24"/>
          <w:szCs w:val="24"/>
          <w:highlight w:val="none"/>
        </w:rPr>
        <w:t>3.1 承包人的一般义务</w:t>
      </w:r>
    </w:p>
    <w:p w14:paraId="2ED9872D">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rPr>
        <w:t>（1）承包人提交的竣工资料的内容：</w:t>
      </w:r>
      <w:r>
        <w:rPr>
          <w:rFonts w:hint="eastAsia" w:ascii="宋体" w:hAnsi="宋体" w:eastAsia="宋体"/>
          <w:color w:val="auto"/>
          <w:sz w:val="24"/>
          <w:szCs w:val="24"/>
          <w:highlight w:val="none"/>
          <w:u w:val="single"/>
        </w:rPr>
        <w:t>承包人应按《建设工程文件归档规范》（GB/T50328-201</w:t>
      </w:r>
      <w:r>
        <w:rPr>
          <w:rFonts w:hint="eastAsia" w:ascii="宋体" w:hAnsi="宋体"/>
          <w:color w:val="auto"/>
          <w:sz w:val="24"/>
          <w:szCs w:val="24"/>
          <w:highlight w:val="none"/>
          <w:u w:val="single"/>
          <w:lang w:val="en-US" w:eastAsia="zh-CN"/>
        </w:rPr>
        <w:t>9</w:t>
      </w:r>
      <w:r>
        <w:rPr>
          <w:rFonts w:hint="eastAsia" w:ascii="宋体" w:hAnsi="宋体" w:eastAsia="宋体"/>
          <w:color w:val="auto"/>
          <w:sz w:val="24"/>
          <w:szCs w:val="24"/>
          <w:highlight w:val="none"/>
          <w:u w:val="single"/>
        </w:rPr>
        <w:t>）及建设部建城[2002]221号文关于《市政基础设施工程施工技术文件管理规定》的要求，向发包人提供经过总监理工程师审核认可的完整并符合要求的竣工资料，含竣工图及其它资料。</w:t>
      </w:r>
    </w:p>
    <w:p w14:paraId="17560289">
      <w:pPr>
        <w:pageBreakBefore w:val="0"/>
        <w:kinsoku/>
        <w:wordWrap/>
        <w:overflowPunct/>
        <w:topLinePunct w:val="0"/>
        <w:autoSpaceDE/>
        <w:autoSpaceDN/>
        <w:bidi w:val="0"/>
        <w:adjustRightInd w:val="0"/>
        <w:snapToGrid w:val="0"/>
        <w:spacing w:line="360" w:lineRule="auto"/>
        <w:ind w:left="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承包人需要提交的竣工资料套数：</w:t>
      </w:r>
      <w:r>
        <w:rPr>
          <w:rFonts w:hint="eastAsia" w:ascii="宋体" w:hAnsi="宋体" w:eastAsia="宋体"/>
          <w:color w:val="auto"/>
          <w:sz w:val="24"/>
          <w:szCs w:val="24"/>
          <w:highlight w:val="none"/>
          <w:u w:val="single"/>
        </w:rPr>
        <w:t>三套</w:t>
      </w:r>
      <w:r>
        <w:rPr>
          <w:rFonts w:hint="eastAsia" w:ascii="宋体" w:hAnsi="宋体" w:eastAsia="宋体"/>
          <w:color w:val="auto"/>
          <w:sz w:val="24"/>
          <w:szCs w:val="24"/>
          <w:highlight w:val="none"/>
        </w:rPr>
        <w:t>。</w:t>
      </w:r>
    </w:p>
    <w:p w14:paraId="464CCFD8">
      <w:pPr>
        <w:pageBreakBefore w:val="0"/>
        <w:kinsoku/>
        <w:wordWrap/>
        <w:overflowPunct/>
        <w:topLinePunct w:val="0"/>
        <w:autoSpaceDE/>
        <w:autoSpaceDN/>
        <w:bidi w:val="0"/>
        <w:adjustRightInd w:val="0"/>
        <w:snapToGrid w:val="0"/>
        <w:spacing w:line="360" w:lineRule="auto"/>
        <w:ind w:left="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承包人提交的竣工资料的费用承担：</w:t>
      </w:r>
      <w:r>
        <w:rPr>
          <w:rFonts w:hint="eastAsia" w:ascii="宋体" w:hAnsi="宋体" w:eastAsia="宋体"/>
          <w:color w:val="auto"/>
          <w:sz w:val="24"/>
          <w:szCs w:val="24"/>
          <w:highlight w:val="none"/>
          <w:u w:val="single"/>
        </w:rPr>
        <w:t>由承包人承担</w:t>
      </w:r>
      <w:r>
        <w:rPr>
          <w:rFonts w:hint="eastAsia" w:ascii="宋体" w:hAnsi="宋体" w:eastAsia="宋体"/>
          <w:color w:val="auto"/>
          <w:sz w:val="24"/>
          <w:szCs w:val="24"/>
          <w:highlight w:val="none"/>
        </w:rPr>
        <w:t>。</w:t>
      </w:r>
    </w:p>
    <w:p w14:paraId="161412CC">
      <w:pPr>
        <w:pageBreakBefore w:val="0"/>
        <w:kinsoku/>
        <w:wordWrap/>
        <w:overflowPunct/>
        <w:topLinePunct w:val="0"/>
        <w:autoSpaceDE/>
        <w:autoSpaceDN/>
        <w:bidi w:val="0"/>
        <w:adjustRightInd w:val="0"/>
        <w:snapToGrid w:val="0"/>
        <w:spacing w:line="360" w:lineRule="auto"/>
        <w:ind w:left="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承包人提交的竣工资料移交时间：</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w:t>
      </w:r>
    </w:p>
    <w:p w14:paraId="17D8D8ED">
      <w:pPr>
        <w:pageBreakBefore w:val="0"/>
        <w:kinsoku/>
        <w:wordWrap/>
        <w:overflowPunct/>
        <w:topLinePunct w:val="0"/>
        <w:autoSpaceDE/>
        <w:autoSpaceDN/>
        <w:bidi w:val="0"/>
        <w:adjustRightInd w:val="0"/>
        <w:snapToGrid w:val="0"/>
        <w:spacing w:line="360" w:lineRule="auto"/>
        <w:ind w:left="0" w:firstLine="63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承包人提交的竣工资料形式要求：</w:t>
      </w:r>
      <w:r>
        <w:rPr>
          <w:rFonts w:hint="eastAsia" w:ascii="宋体" w:hAnsi="宋体" w:eastAsia="宋体"/>
          <w:color w:val="auto"/>
          <w:sz w:val="24"/>
          <w:szCs w:val="24"/>
          <w:highlight w:val="none"/>
          <w:u w:val="single"/>
        </w:rPr>
        <w:t>书面及电子文档</w:t>
      </w:r>
      <w:r>
        <w:rPr>
          <w:rFonts w:hint="eastAsia" w:ascii="宋体" w:hAnsi="宋体" w:eastAsia="宋体"/>
          <w:color w:val="auto"/>
          <w:sz w:val="24"/>
          <w:szCs w:val="24"/>
          <w:highlight w:val="none"/>
        </w:rPr>
        <w:t>。</w:t>
      </w:r>
    </w:p>
    <w:p w14:paraId="476007E7">
      <w:pPr>
        <w:pageBreakBefore w:val="0"/>
        <w:widowControl/>
        <w:kinsoku/>
        <w:wordWrap/>
        <w:overflowPunct/>
        <w:topLinePunct w:val="0"/>
        <w:autoSpaceDE/>
        <w:autoSpaceDN/>
        <w:bidi w:val="0"/>
        <w:adjustRightInd w:val="0"/>
        <w:snapToGrid w:val="0"/>
        <w:spacing w:line="360" w:lineRule="auto"/>
        <w:ind w:left="0" w:firstLine="525"/>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（2）承包人应履行的其他义务：</w:t>
      </w:r>
    </w:p>
    <w:p w14:paraId="12EFC743">
      <w:pPr>
        <w:pageBreakBefore w:val="0"/>
        <w:widowControl/>
        <w:kinsoku/>
        <w:wordWrap/>
        <w:overflowPunct/>
        <w:topLinePunct w:val="0"/>
        <w:autoSpaceDE/>
        <w:autoSpaceDN/>
        <w:bidi w:val="0"/>
        <w:adjustRightInd w:val="0"/>
        <w:snapToGrid w:val="0"/>
        <w:spacing w:line="360" w:lineRule="auto"/>
        <w:ind w:left="0" w:firstLine="525"/>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u w:val="single"/>
        </w:rPr>
        <w:t>1</w:t>
      </w:r>
      <w:r>
        <w:rPr>
          <w:rFonts w:hint="eastAsia" w:ascii="宋体" w:hAnsi="宋体" w:eastAsia="宋体"/>
          <w:color w:val="auto"/>
          <w:sz w:val="24"/>
          <w:szCs w:val="24"/>
          <w:highlight w:val="none"/>
          <w:u w:val="single"/>
          <w:lang w:eastAsia="zh-CN"/>
        </w:rPr>
        <w:t>）</w:t>
      </w:r>
      <w:r>
        <w:rPr>
          <w:rFonts w:hint="eastAsia" w:ascii="宋体" w:hAnsi="宋体" w:eastAsia="宋体"/>
          <w:color w:val="auto"/>
          <w:sz w:val="24"/>
          <w:szCs w:val="24"/>
          <w:highlight w:val="none"/>
          <w:u w:val="single"/>
        </w:rPr>
        <w:t>在本合同签订后至开工前，承包人应积极做好开工前的各项准备工作。</w:t>
      </w:r>
    </w:p>
    <w:p w14:paraId="53C78B26">
      <w:pPr>
        <w:pageBreakBefore w:val="0"/>
        <w:widowControl/>
        <w:kinsoku/>
        <w:wordWrap/>
        <w:overflowPunct/>
        <w:topLinePunct w:val="0"/>
        <w:autoSpaceDE/>
        <w:autoSpaceDN/>
        <w:bidi w:val="0"/>
        <w:adjustRightInd w:val="0"/>
        <w:snapToGrid w:val="0"/>
        <w:spacing w:line="360" w:lineRule="auto"/>
        <w:ind w:left="0" w:firstLine="525"/>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u w:val="single"/>
        </w:rPr>
        <w:t>2</w:t>
      </w:r>
      <w:r>
        <w:rPr>
          <w:rFonts w:hint="eastAsia" w:ascii="宋体" w:hAnsi="宋体" w:eastAsia="宋体"/>
          <w:color w:val="auto"/>
          <w:sz w:val="24"/>
          <w:szCs w:val="24"/>
          <w:highlight w:val="none"/>
          <w:u w:val="single"/>
          <w:lang w:eastAsia="zh-CN"/>
        </w:rPr>
        <w:t>）</w:t>
      </w:r>
      <w:r>
        <w:rPr>
          <w:rFonts w:hint="eastAsia" w:ascii="宋体" w:hAnsi="宋体" w:eastAsia="宋体"/>
          <w:color w:val="auto"/>
          <w:sz w:val="24"/>
          <w:szCs w:val="24"/>
          <w:highlight w:val="none"/>
          <w:u w:val="single"/>
        </w:rPr>
        <w:t>场内外道路：场外道路已开通，场地内施工临时道路、硬化等由承包人自行安排，相关费用由承包人承担。</w:t>
      </w:r>
    </w:p>
    <w:p w14:paraId="7FE41F02">
      <w:pPr>
        <w:pageBreakBefore w:val="0"/>
        <w:widowControl/>
        <w:kinsoku/>
        <w:wordWrap/>
        <w:overflowPunct/>
        <w:topLinePunct w:val="0"/>
        <w:autoSpaceDE/>
        <w:autoSpaceDN/>
        <w:bidi w:val="0"/>
        <w:adjustRightInd w:val="0"/>
        <w:snapToGrid w:val="0"/>
        <w:spacing w:line="360" w:lineRule="auto"/>
        <w:ind w:left="0" w:firstLine="525"/>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u w:val="single"/>
        </w:rPr>
        <w:t>3）独立、有效</w:t>
      </w:r>
      <w:r>
        <w:rPr>
          <w:rFonts w:hint="eastAsia" w:ascii="宋体" w:hAnsi="宋体" w:eastAsia="宋体"/>
          <w:color w:val="auto"/>
          <w:sz w:val="24"/>
          <w:szCs w:val="24"/>
          <w:highlight w:val="none"/>
          <w:u w:val="single"/>
          <w:lang w:eastAsia="zh-CN"/>
        </w:rPr>
        <w:t>地</w:t>
      </w:r>
      <w:r>
        <w:rPr>
          <w:rFonts w:hint="eastAsia" w:ascii="宋体" w:hAnsi="宋体" w:eastAsia="宋体"/>
          <w:color w:val="auto"/>
          <w:sz w:val="24"/>
          <w:szCs w:val="24"/>
          <w:highlight w:val="none"/>
          <w:u w:val="single"/>
        </w:rPr>
        <w:t>做好该工程周边群众工作，并充分考虑工程实施范围内外的单位、个人和其他可能出现阻挠施工的情况。若因此发生的机械台班停置费、二次机械进退场费、人员窝工、处理周边群众纠纷等费用和损失等，均由承包人自行考虑，并列入投标报价，工程结算时不作调整。</w:t>
      </w:r>
    </w:p>
    <w:p w14:paraId="6E858B18">
      <w:pPr>
        <w:pageBreakBefore w:val="0"/>
        <w:widowControl/>
        <w:kinsoku/>
        <w:wordWrap/>
        <w:overflowPunct/>
        <w:topLinePunct w:val="0"/>
        <w:autoSpaceDE/>
        <w:autoSpaceDN/>
        <w:bidi w:val="0"/>
        <w:adjustRightInd w:val="0"/>
        <w:snapToGrid w:val="0"/>
        <w:spacing w:line="360" w:lineRule="auto"/>
        <w:ind w:left="0" w:firstLine="525"/>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u w:val="single"/>
        </w:rPr>
        <w:t>4) 应提供计划、报表的名称及完成时间：每周五下午5：00前提供下周计划和本周完成情况统计表，完成工程量价款汇总（一式三份）交监理机构。</w:t>
      </w:r>
    </w:p>
    <w:p w14:paraId="53359314">
      <w:pPr>
        <w:pageBreakBefore w:val="0"/>
        <w:widowControl/>
        <w:kinsoku/>
        <w:wordWrap/>
        <w:overflowPunct/>
        <w:topLinePunct w:val="0"/>
        <w:autoSpaceDE/>
        <w:autoSpaceDN/>
        <w:bidi w:val="0"/>
        <w:adjustRightInd w:val="0"/>
        <w:snapToGrid w:val="0"/>
        <w:spacing w:line="360" w:lineRule="auto"/>
        <w:ind w:left="0" w:firstLine="525"/>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u w:val="single"/>
        </w:rPr>
        <w:t>5) 承担施工安全保卫工作及非夜间施工照明的责任和要求：提供和维修非夜间施工使用的照明、围栏设施、并负责安全保卫；承包人在各种危险部位设置明显的安全警示标志，_安全警示标志必须符合国家标准，如发生安全事故，责任概由承包人承担。</w:t>
      </w:r>
    </w:p>
    <w:p w14:paraId="72660003">
      <w:pPr>
        <w:pageBreakBefore w:val="0"/>
        <w:widowControl/>
        <w:kinsoku/>
        <w:wordWrap/>
        <w:overflowPunct/>
        <w:topLinePunct w:val="0"/>
        <w:autoSpaceDE/>
        <w:autoSpaceDN/>
        <w:bidi w:val="0"/>
        <w:adjustRightInd w:val="0"/>
        <w:snapToGrid w:val="0"/>
        <w:spacing w:line="360" w:lineRule="auto"/>
        <w:ind w:left="0" w:firstLine="514"/>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u w:val="single"/>
        </w:rPr>
        <w:t>6) 向发包人提供的办公用房及设施的要求：无偿提供监理、发包人办公室等办公用房，费用已列入合同价款范围。</w:t>
      </w:r>
    </w:p>
    <w:p w14:paraId="38D83FD0">
      <w:pPr>
        <w:pageBreakBefore w:val="0"/>
        <w:widowControl/>
        <w:kinsoku/>
        <w:wordWrap/>
        <w:overflowPunct/>
        <w:topLinePunct w:val="0"/>
        <w:autoSpaceDE/>
        <w:autoSpaceDN/>
        <w:bidi w:val="0"/>
        <w:adjustRightInd w:val="0"/>
        <w:snapToGrid w:val="0"/>
        <w:spacing w:line="360" w:lineRule="auto"/>
        <w:ind w:left="0" w:firstLine="525"/>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u w:val="single"/>
        </w:rPr>
        <w:t>7) 需承包人办理的有关施工场地交通、环卫环保和施工噪音管理等手续：</w:t>
      </w:r>
    </w:p>
    <w:p w14:paraId="3D7B8193">
      <w:pPr>
        <w:pageBreakBefore w:val="0"/>
        <w:widowControl/>
        <w:kinsoku/>
        <w:wordWrap/>
        <w:overflowPunct/>
        <w:topLinePunct w:val="0"/>
        <w:autoSpaceDE/>
        <w:autoSpaceDN/>
        <w:bidi w:val="0"/>
        <w:adjustRightInd w:val="0"/>
        <w:snapToGrid w:val="0"/>
        <w:spacing w:line="360" w:lineRule="auto"/>
        <w:ind w:left="0" w:firstLine="525"/>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u w:val="single"/>
        </w:rPr>
        <w:t>8</w:t>
      </w:r>
      <w:r>
        <w:rPr>
          <w:rFonts w:hint="eastAsia" w:ascii="宋体" w:hAnsi="宋体" w:eastAsia="宋体"/>
          <w:color w:val="auto"/>
          <w:sz w:val="24"/>
          <w:szCs w:val="24"/>
          <w:highlight w:val="none"/>
          <w:u w:val="single"/>
          <w:lang w:eastAsia="zh-CN"/>
        </w:rPr>
        <w:t>）</w:t>
      </w:r>
      <w:r>
        <w:rPr>
          <w:rFonts w:hint="eastAsia" w:ascii="宋体" w:hAnsi="宋体" w:eastAsia="宋体"/>
          <w:color w:val="auto"/>
          <w:sz w:val="24"/>
          <w:szCs w:val="24"/>
          <w:highlight w:val="none"/>
          <w:u w:val="single"/>
        </w:rPr>
        <w:t>遵守政府有关主管部门对施工场地交通、施工噪音、环境保护和安全生产等的管理规定，按规定办理有关手续，并以书面形式通知发包人，所有费用均已含在合同价款中。</w:t>
      </w:r>
    </w:p>
    <w:p w14:paraId="69560598">
      <w:pPr>
        <w:pageBreakBefore w:val="0"/>
        <w:widowControl/>
        <w:kinsoku/>
        <w:wordWrap/>
        <w:overflowPunct/>
        <w:topLinePunct w:val="0"/>
        <w:autoSpaceDE/>
        <w:autoSpaceDN/>
        <w:bidi w:val="0"/>
        <w:adjustRightInd w:val="0"/>
        <w:snapToGrid w:val="0"/>
        <w:spacing w:line="360" w:lineRule="auto"/>
        <w:ind w:left="0" w:firstLine="525"/>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u w:val="single"/>
        </w:rPr>
        <w:t>9) 已完工程成品保护的特殊要求及费用承担： 已竣工工程未交付发包人之前，承包人负责已完成工程的保护工作，所需费用含在合同价款内。</w:t>
      </w:r>
    </w:p>
    <w:p w14:paraId="1C96F70C">
      <w:pPr>
        <w:pageBreakBefore w:val="0"/>
        <w:widowControl/>
        <w:kinsoku/>
        <w:wordWrap/>
        <w:overflowPunct/>
        <w:topLinePunct w:val="0"/>
        <w:autoSpaceDE/>
        <w:autoSpaceDN/>
        <w:bidi w:val="0"/>
        <w:adjustRightInd w:val="0"/>
        <w:snapToGrid w:val="0"/>
        <w:spacing w:line="360" w:lineRule="auto"/>
        <w:ind w:left="0" w:firstLine="525"/>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u w:val="single"/>
        </w:rPr>
        <w:t>10) 施工场地周围地下管线和邻近建筑物、构筑物（含文物保护</w:t>
      </w:r>
      <w:r>
        <w:rPr>
          <w:rFonts w:hint="eastAsia" w:ascii="宋体" w:hAnsi="宋体" w:eastAsia="宋体"/>
          <w:color w:val="auto"/>
          <w:sz w:val="24"/>
          <w:szCs w:val="24"/>
          <w:highlight w:val="none"/>
          <w:u w:val="single"/>
          <w:lang w:eastAsia="zh-CN"/>
        </w:rPr>
        <w:t>建筑</w:t>
      </w:r>
      <w:r>
        <w:rPr>
          <w:rFonts w:hint="eastAsia" w:ascii="宋体" w:hAnsi="宋体" w:eastAsia="宋体"/>
          <w:color w:val="auto"/>
          <w:sz w:val="24"/>
          <w:szCs w:val="24"/>
          <w:highlight w:val="none"/>
          <w:u w:val="single"/>
        </w:rPr>
        <w:t>）、古树名木的保护要求及费用承担：负责做好施工场地周围地下管线和邻近建筑物、构筑物（含文物保护建筑）、古树名木保护措施，费用含在合同价款中。</w:t>
      </w:r>
    </w:p>
    <w:p w14:paraId="4AF4A870">
      <w:pPr>
        <w:pageBreakBefore w:val="0"/>
        <w:widowControl/>
        <w:kinsoku/>
        <w:wordWrap/>
        <w:overflowPunct/>
        <w:topLinePunct w:val="0"/>
        <w:autoSpaceDE/>
        <w:autoSpaceDN/>
        <w:bidi w:val="0"/>
        <w:adjustRightInd w:val="0"/>
        <w:snapToGrid w:val="0"/>
        <w:spacing w:line="360" w:lineRule="auto"/>
        <w:ind w:left="0" w:firstLine="525"/>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u w:val="single"/>
        </w:rPr>
        <w:t>11) 施工场地清洁卫生的要求：施工现场材料堆放要整齐，并有遮盖，不得扬尘，机械停放有序，符合清洁卫生要求，承担因自身原因违反有关规定造成的损失和罚款。</w:t>
      </w:r>
    </w:p>
    <w:p w14:paraId="65CF002F">
      <w:pPr>
        <w:pageBreakBefore w:val="0"/>
        <w:widowControl/>
        <w:kinsoku/>
        <w:wordWrap/>
        <w:overflowPunct/>
        <w:topLinePunct w:val="0"/>
        <w:autoSpaceDE/>
        <w:autoSpaceDN/>
        <w:bidi w:val="0"/>
        <w:adjustRightInd w:val="0"/>
        <w:snapToGrid w:val="0"/>
        <w:spacing w:line="360" w:lineRule="auto"/>
        <w:ind w:left="0" w:firstLine="525"/>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u w:val="single"/>
        </w:rPr>
        <w:t>12）交工前将所有的建筑垃圾及有关临时硬化的道路、场地等从施工场地清除，分类运输，堆放地址必须符合有关部门的要求，不允许乱堆乱倒，同时将所有施工机械、设备及承包人的临时设施从施工场地运走。</w:t>
      </w:r>
    </w:p>
    <w:p w14:paraId="0AB7DDEF">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u w:val="single"/>
        </w:rPr>
        <w:t>13) 双方约定承包人应做的其他工作：施工场地要设立标语、标牌，做到文明施工，树立企业形象，主动接受社会监督和有关部门的管理。</w:t>
      </w:r>
    </w:p>
    <w:p w14:paraId="5E6E7327">
      <w:pPr>
        <w:pageBreakBefore w:val="0"/>
        <w:widowControl/>
        <w:kinsoku/>
        <w:wordWrap/>
        <w:overflowPunct/>
        <w:topLinePunct w:val="0"/>
        <w:autoSpaceDE/>
        <w:autoSpaceDN/>
        <w:bidi w:val="0"/>
        <w:adjustRightInd w:val="0"/>
        <w:snapToGrid w:val="0"/>
        <w:spacing w:line="360" w:lineRule="auto"/>
        <w:ind w:left="0" w:firstLine="525"/>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u w:val="single"/>
        </w:rPr>
        <w:t>14) 平整场地、施工便道、清除现场障碍物、高压线防护、塔吊防护、施工区域防护（如临时围墙、安全通道等）、除草、青苗补偿、杂树清理及外运、建筑垃圾处理（含外运）、施工噪音对邻居影响、邻居对施工干扰等费用均作为措施费包含在合同价款中，结算不再调整。</w:t>
      </w:r>
    </w:p>
    <w:p w14:paraId="7A3F4D18">
      <w:pPr>
        <w:pageBreakBefore w:val="0"/>
        <w:widowControl/>
        <w:kinsoku/>
        <w:wordWrap/>
        <w:overflowPunct/>
        <w:topLinePunct w:val="0"/>
        <w:autoSpaceDE/>
        <w:autoSpaceDN/>
        <w:bidi w:val="0"/>
        <w:adjustRightInd w:val="0"/>
        <w:snapToGrid w:val="0"/>
        <w:spacing w:line="360" w:lineRule="auto"/>
        <w:ind w:left="0" w:firstLine="518"/>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u w:val="single"/>
        </w:rPr>
        <w:t>15）承包人已仔细勘察并充分考虑施工范围内地面以上及地面以下将产生的建筑垃圾、杂土清运的工程量，且费用已包含在合同价款中。</w:t>
      </w:r>
    </w:p>
    <w:p w14:paraId="571F085D">
      <w:pPr>
        <w:pageBreakBefore w:val="0"/>
        <w:widowControl/>
        <w:kinsoku/>
        <w:wordWrap/>
        <w:overflowPunct/>
        <w:topLinePunct w:val="0"/>
        <w:autoSpaceDE/>
        <w:autoSpaceDN/>
        <w:bidi w:val="0"/>
        <w:adjustRightInd w:val="0"/>
        <w:snapToGrid w:val="0"/>
        <w:spacing w:line="360" w:lineRule="auto"/>
        <w:ind w:left="0" w:firstLine="518"/>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u w:val="single"/>
        </w:rPr>
        <w:t>16）发包人对合同范围内外的工程变更，承包人须无条件接受并予以施工，所发生的费用经发包人核实后纳入工程结算。如承包人拒不执行发包人指令的，发包人有权记承包人不良行为一次。</w:t>
      </w:r>
    </w:p>
    <w:p w14:paraId="1CBA0963">
      <w:pPr>
        <w:pageBreakBefore w:val="0"/>
        <w:widowControl/>
        <w:kinsoku/>
        <w:wordWrap/>
        <w:overflowPunct/>
        <w:topLinePunct w:val="0"/>
        <w:autoSpaceDE/>
        <w:autoSpaceDN/>
        <w:bidi w:val="0"/>
        <w:adjustRightInd w:val="0"/>
        <w:snapToGrid w:val="0"/>
        <w:spacing w:line="360" w:lineRule="auto"/>
        <w:ind w:left="0" w:firstLine="518"/>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u w:val="single"/>
        </w:rPr>
        <w:t>17）对于施工过程中承包人不得因承包方前期手续而索赔或消极施工，需积极配合，保证工程按计划进行。如发生类似情形，发现一次扣除履约保证金的</w:t>
      </w:r>
      <w:r>
        <w:rPr>
          <w:rFonts w:hint="default" w:ascii="宋体" w:hAnsi="宋体" w:eastAsia="宋体"/>
          <w:color w:val="auto"/>
          <w:sz w:val="24"/>
          <w:szCs w:val="24"/>
          <w:highlight w:val="none"/>
          <w:u w:val="single"/>
        </w:rPr>
        <w:t>10%</w:t>
      </w:r>
      <w:r>
        <w:rPr>
          <w:rFonts w:hint="eastAsia" w:ascii="宋体" w:hAnsi="宋体" w:eastAsia="宋体"/>
          <w:color w:val="auto"/>
          <w:sz w:val="24"/>
          <w:szCs w:val="24"/>
          <w:highlight w:val="none"/>
          <w:u w:val="single"/>
        </w:rPr>
        <w:t xml:space="preserve"> 。</w:t>
      </w:r>
    </w:p>
    <w:p w14:paraId="394F6192">
      <w:pPr>
        <w:pageBreakBefore w:val="0"/>
        <w:widowControl/>
        <w:kinsoku/>
        <w:wordWrap/>
        <w:overflowPunct/>
        <w:topLinePunct w:val="0"/>
        <w:autoSpaceDE/>
        <w:autoSpaceDN/>
        <w:bidi w:val="0"/>
        <w:adjustRightInd w:val="0"/>
        <w:snapToGrid w:val="0"/>
        <w:spacing w:line="360" w:lineRule="auto"/>
        <w:ind w:left="0" w:firstLine="518"/>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u w:val="single"/>
        </w:rPr>
        <w:t>18）发包人保留根据整个工程建设的实际情况，对合同工程施工进度进行协调的权力，包括对关键工期的合理调整。在进度协调时，不论任何原因出现赶工，承包人必须采取一切措施赶工，赶工措施费用由各投标单位自行考虑并列入报价，在施工过程中不得向发包人提出任何与此相关的费用要求。同时，发包人根据各承包人的工程进度、工程质量有权调整各承包人的承包工程量，以达到整个工程能按发包人的工程节点完工。</w:t>
      </w:r>
    </w:p>
    <w:p w14:paraId="7DA0D488">
      <w:pPr>
        <w:pageBreakBefore w:val="0"/>
        <w:kinsoku/>
        <w:wordWrap/>
        <w:overflowPunct/>
        <w:topLinePunct w:val="0"/>
        <w:autoSpaceDE/>
        <w:autoSpaceDN/>
        <w:bidi w:val="0"/>
        <w:adjustRightInd w:val="0"/>
        <w:snapToGrid w:val="0"/>
        <w:spacing w:line="360" w:lineRule="auto"/>
        <w:ind w:left="0" w:firstLine="422"/>
        <w:textAlignment w:val="auto"/>
        <w:rPr>
          <w:rFonts w:hint="eastAsia" w:ascii="宋体" w:hAnsi="宋体" w:eastAsia="宋体"/>
          <w:b/>
          <w:color w:val="auto"/>
          <w:sz w:val="24"/>
          <w:szCs w:val="24"/>
          <w:highlight w:val="none"/>
        </w:rPr>
      </w:pPr>
      <w:r>
        <w:rPr>
          <w:rFonts w:hint="eastAsia" w:ascii="宋体" w:hAnsi="宋体" w:eastAsia="宋体"/>
          <w:b/>
          <w:color w:val="auto"/>
          <w:sz w:val="24"/>
          <w:szCs w:val="24"/>
          <w:highlight w:val="none"/>
        </w:rPr>
        <w:t>3.2 项目经理</w:t>
      </w:r>
    </w:p>
    <w:p w14:paraId="3DC6C27C">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3.2.1 项目经理：</w:t>
      </w:r>
    </w:p>
    <w:p w14:paraId="795C1020">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姓    名：</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w:t>
      </w:r>
    </w:p>
    <w:p w14:paraId="336FB3E2">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身份证号：</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w:t>
      </w:r>
    </w:p>
    <w:p w14:paraId="401A2AF3">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建造师执业资格等级：</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w:t>
      </w:r>
    </w:p>
    <w:p w14:paraId="7FF84EF3">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建造师注册证书号：</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w:t>
      </w:r>
    </w:p>
    <w:p w14:paraId="1AA2BCC5">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建造师执业印章号：</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w:t>
      </w:r>
    </w:p>
    <w:p w14:paraId="0D9B3AA5">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安全生产考核合格证书号：</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w:t>
      </w:r>
    </w:p>
    <w:p w14:paraId="61C72531">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联系电话：</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w:t>
      </w:r>
    </w:p>
    <w:p w14:paraId="2D228FE6">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电子信箱：</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w:t>
      </w:r>
    </w:p>
    <w:p w14:paraId="3B8FDAB4">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通信地址：</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w:t>
      </w:r>
    </w:p>
    <w:p w14:paraId="02429E5A">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承包人对项目经理的授权范围如下：</w:t>
      </w:r>
      <w:r>
        <w:rPr>
          <w:rFonts w:hint="eastAsia" w:ascii="宋体" w:hAnsi="宋体" w:eastAsia="宋体"/>
          <w:color w:val="auto"/>
          <w:sz w:val="24"/>
          <w:szCs w:val="24"/>
          <w:highlight w:val="none"/>
          <w:u w:val="single"/>
        </w:rPr>
        <w:t>作为承包人代表，负责本工程项目施工全过程中全面管理的责任和义务，全权代表承包人履行合同义务</w:t>
      </w:r>
      <w:r>
        <w:rPr>
          <w:rFonts w:hint="eastAsia" w:ascii="宋体" w:hAnsi="宋体" w:eastAsia="宋体"/>
          <w:color w:val="auto"/>
          <w:sz w:val="24"/>
          <w:szCs w:val="24"/>
          <w:highlight w:val="none"/>
        </w:rPr>
        <w:t>。</w:t>
      </w:r>
    </w:p>
    <w:p w14:paraId="378F77F7">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rPr>
        <w:t>关于项目经理每月在施工现场的时间要求：</w:t>
      </w:r>
      <w:r>
        <w:rPr>
          <w:rFonts w:hint="eastAsia" w:ascii="宋体" w:hAnsi="宋体" w:eastAsia="宋体"/>
          <w:color w:val="auto"/>
          <w:sz w:val="24"/>
          <w:szCs w:val="24"/>
          <w:highlight w:val="none"/>
          <w:u w:val="single"/>
        </w:rPr>
        <w:t>在本工程完工前，项目负责人不得参与其他工程的投标，必须常驻现场，每天不少于8小时，关键节点必须在岗。离开施工现场必须请假，一天向总监请假，二天及以上向发包人请假。</w:t>
      </w:r>
    </w:p>
    <w:p w14:paraId="14FC542F">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承包人未提交劳动合同，以及没有为项目经理缴纳社会保险证明的违约责任：</w:t>
      </w:r>
      <w:r>
        <w:rPr>
          <w:rFonts w:hint="eastAsia" w:ascii="宋体" w:hAnsi="宋体" w:eastAsia="宋体"/>
          <w:color w:val="auto"/>
          <w:sz w:val="24"/>
          <w:szCs w:val="24"/>
          <w:highlight w:val="none"/>
          <w:u w:val="single"/>
        </w:rPr>
        <w:t>处以3万元罚款，责令限期提交劳动合同并补缴社会保险；承包人承担因此产生的全部损失和责任，工期不予顺延 。</w:t>
      </w:r>
    </w:p>
    <w:p w14:paraId="6A73F563">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rPr>
        <w:t>项目经理未经批准，擅自离开施工现场的违约责任：</w:t>
      </w:r>
      <w:r>
        <w:rPr>
          <w:rFonts w:hint="eastAsia" w:ascii="宋体" w:hAnsi="宋体" w:eastAsia="宋体"/>
          <w:color w:val="auto"/>
          <w:sz w:val="24"/>
          <w:szCs w:val="24"/>
          <w:highlight w:val="none"/>
          <w:u w:val="single"/>
        </w:rPr>
        <w:t>第一次罚款2000元，第二次罚款4000元，第三次除罚款8000元外发包人同时有权解除合同，并向承包人追索由此造成各项损失的违约责任。项目经理连续5天或一个月内累计15天无故不在现场，则视为承包人无能力完成本工程，发包人有权解除合同并承担上述违约给发包人造成的一切损失，承包人退出施工现场，已完工程不做结算。</w:t>
      </w:r>
    </w:p>
    <w:p w14:paraId="27533084">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3.2.3 承包人擅自更换项目经理的违约责任：</w:t>
      </w:r>
      <w:r>
        <w:rPr>
          <w:rFonts w:hint="eastAsia" w:ascii="宋体" w:hAnsi="宋体" w:eastAsia="宋体"/>
          <w:color w:val="auto"/>
          <w:sz w:val="24"/>
          <w:szCs w:val="24"/>
          <w:highlight w:val="none"/>
          <w:u w:val="single"/>
        </w:rPr>
        <w:t>处以5万元罚款，承包人承担上述违约给发包人造成的一切损失，发包人有权单方面解除合同，已完工程不做结算</w:t>
      </w:r>
      <w:r>
        <w:rPr>
          <w:rFonts w:hint="eastAsia" w:ascii="宋体" w:hAnsi="宋体" w:eastAsia="宋体"/>
          <w:color w:val="auto"/>
          <w:sz w:val="24"/>
          <w:szCs w:val="24"/>
          <w:highlight w:val="none"/>
        </w:rPr>
        <w:t>。</w:t>
      </w:r>
    </w:p>
    <w:p w14:paraId="118FE368">
      <w:pPr>
        <w:pageBreakBefore w:val="0"/>
        <w:widowControl/>
        <w:kinsoku/>
        <w:wordWrap/>
        <w:overflowPunct/>
        <w:topLinePunct w:val="0"/>
        <w:autoSpaceDE/>
        <w:autoSpaceDN/>
        <w:bidi w:val="0"/>
        <w:adjustRightInd w:val="0"/>
        <w:snapToGrid w:val="0"/>
        <w:spacing w:line="360" w:lineRule="auto"/>
        <w:ind w:left="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 xml:space="preserve">    3.2.4 承包人无正当理由拒绝更换项目经理的违约责任：</w:t>
      </w:r>
      <w:r>
        <w:rPr>
          <w:rFonts w:hint="eastAsia" w:ascii="宋体" w:hAnsi="宋体" w:eastAsia="宋体"/>
          <w:color w:val="auto"/>
          <w:sz w:val="24"/>
          <w:szCs w:val="24"/>
          <w:highlight w:val="none"/>
          <w:u w:val="single"/>
        </w:rPr>
        <w:t xml:space="preserve"> 处以5万元罚款，承包人承担上述违约给发包人造成的一切损失，发包人有权单方面解除合同，已完工程不做结算</w:t>
      </w:r>
      <w:r>
        <w:rPr>
          <w:rFonts w:hint="eastAsia" w:ascii="宋体" w:hAnsi="宋体" w:eastAsia="宋体"/>
          <w:color w:val="auto"/>
          <w:sz w:val="24"/>
          <w:szCs w:val="24"/>
          <w:highlight w:val="none"/>
        </w:rPr>
        <w:t>。</w:t>
      </w:r>
    </w:p>
    <w:p w14:paraId="2211A053">
      <w:pPr>
        <w:pageBreakBefore w:val="0"/>
        <w:kinsoku/>
        <w:wordWrap/>
        <w:overflowPunct/>
        <w:topLinePunct w:val="0"/>
        <w:autoSpaceDE/>
        <w:autoSpaceDN/>
        <w:bidi w:val="0"/>
        <w:adjustRightInd w:val="0"/>
        <w:snapToGrid w:val="0"/>
        <w:spacing w:line="360" w:lineRule="auto"/>
        <w:ind w:left="0" w:firstLine="422"/>
        <w:textAlignment w:val="auto"/>
        <w:rPr>
          <w:rFonts w:hint="eastAsia" w:ascii="宋体" w:hAnsi="宋体" w:eastAsia="宋体"/>
          <w:b/>
          <w:color w:val="auto"/>
          <w:sz w:val="24"/>
          <w:szCs w:val="24"/>
          <w:highlight w:val="none"/>
        </w:rPr>
      </w:pPr>
      <w:r>
        <w:rPr>
          <w:rFonts w:hint="eastAsia" w:ascii="宋体" w:hAnsi="宋体" w:eastAsia="宋体"/>
          <w:b/>
          <w:color w:val="auto"/>
          <w:sz w:val="24"/>
          <w:szCs w:val="24"/>
          <w:highlight w:val="none"/>
        </w:rPr>
        <w:t>3.3 承包人人员</w:t>
      </w:r>
    </w:p>
    <w:p w14:paraId="683B1FF0">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3.3.1 承包人提交项目管理机构及施工现场管理人员安排报告的期限：</w:t>
      </w:r>
      <w:r>
        <w:rPr>
          <w:rFonts w:hint="eastAsia" w:ascii="宋体" w:hAnsi="宋体" w:eastAsia="宋体"/>
          <w:color w:val="auto"/>
          <w:sz w:val="24"/>
          <w:szCs w:val="24"/>
          <w:highlight w:val="none"/>
          <w:u w:val="single"/>
        </w:rPr>
        <w:t>工程开工前7天</w:t>
      </w:r>
      <w:r>
        <w:rPr>
          <w:rFonts w:hint="eastAsia" w:ascii="宋体" w:hAnsi="宋体" w:eastAsia="宋体"/>
          <w:color w:val="auto"/>
          <w:sz w:val="24"/>
          <w:szCs w:val="24"/>
          <w:highlight w:val="none"/>
        </w:rPr>
        <w:t>。</w:t>
      </w:r>
    </w:p>
    <w:p w14:paraId="78804D6E">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3.3.3 承包人无正当理由拒绝撤换主要施工管理人员的违约责任：</w:t>
      </w:r>
      <w:r>
        <w:rPr>
          <w:rFonts w:hint="eastAsia" w:ascii="宋体" w:hAnsi="宋体" w:eastAsia="宋体"/>
          <w:color w:val="auto"/>
          <w:sz w:val="24"/>
          <w:szCs w:val="24"/>
          <w:highlight w:val="none"/>
          <w:u w:val="single"/>
        </w:rPr>
        <w:t>处以2万元罚款，承包人承担上述违约给发包人造成的一切损失，发包人有权单方面解除合同，已完工程不做结算</w:t>
      </w:r>
      <w:r>
        <w:rPr>
          <w:rFonts w:hint="eastAsia" w:ascii="宋体" w:hAnsi="宋体" w:eastAsia="宋体"/>
          <w:color w:val="auto"/>
          <w:sz w:val="24"/>
          <w:szCs w:val="24"/>
          <w:highlight w:val="none"/>
        </w:rPr>
        <w:t>。</w:t>
      </w:r>
    </w:p>
    <w:p w14:paraId="2894759B">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3.3.4 承包人主要施工管理人员离开施工现场的批准要求：</w:t>
      </w:r>
      <w:r>
        <w:rPr>
          <w:rFonts w:hint="eastAsia" w:ascii="宋体" w:hAnsi="宋体" w:eastAsia="宋体"/>
          <w:color w:val="auto"/>
          <w:sz w:val="24"/>
          <w:szCs w:val="24"/>
          <w:highlight w:val="none"/>
          <w:u w:val="single"/>
        </w:rPr>
        <w:t>由总监理工程师批准，发包人书面认可后方可离开</w:t>
      </w:r>
      <w:r>
        <w:rPr>
          <w:rFonts w:hint="eastAsia" w:ascii="宋体" w:hAnsi="宋体" w:eastAsia="宋体"/>
          <w:color w:val="auto"/>
          <w:sz w:val="24"/>
          <w:szCs w:val="24"/>
          <w:highlight w:val="none"/>
        </w:rPr>
        <w:t>。</w:t>
      </w:r>
    </w:p>
    <w:p w14:paraId="4E5DC3AF">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rPr>
        <w:t>3.3.5承包人擅自更换主要施工管理人员的违约责任：</w:t>
      </w:r>
      <w:r>
        <w:rPr>
          <w:rFonts w:hint="eastAsia" w:ascii="宋体" w:hAnsi="宋体" w:eastAsia="宋体"/>
          <w:color w:val="auto"/>
          <w:sz w:val="24"/>
          <w:szCs w:val="24"/>
          <w:highlight w:val="none"/>
          <w:u w:val="single"/>
        </w:rPr>
        <w:t>处以1000元罚款，承包人承担上述违约给发包人造成的一切损失，发包人有权单方面解除合同，已完工程不做结算</w:t>
      </w:r>
      <w:r>
        <w:rPr>
          <w:rFonts w:hint="eastAsia" w:ascii="宋体" w:hAnsi="宋体" w:eastAsia="宋体"/>
          <w:color w:val="auto"/>
          <w:sz w:val="24"/>
          <w:szCs w:val="24"/>
          <w:highlight w:val="none"/>
        </w:rPr>
        <w:t>。</w:t>
      </w:r>
    </w:p>
    <w:p w14:paraId="0A49A97A">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承包人主要施工管理人员擅自离开施工现场的违约责任：</w:t>
      </w:r>
      <w:r>
        <w:rPr>
          <w:rFonts w:hint="eastAsia" w:ascii="宋体" w:hAnsi="宋体" w:eastAsia="宋体"/>
          <w:color w:val="auto"/>
          <w:sz w:val="24"/>
          <w:szCs w:val="24"/>
          <w:highlight w:val="none"/>
          <w:u w:val="single"/>
        </w:rPr>
        <w:t>处以200元罚款，承包人承担上述违约给发包人造成的一切损失</w:t>
      </w:r>
      <w:r>
        <w:rPr>
          <w:rFonts w:hint="eastAsia" w:ascii="宋体" w:hAnsi="宋体" w:eastAsia="宋体"/>
          <w:color w:val="auto"/>
          <w:sz w:val="24"/>
          <w:szCs w:val="24"/>
          <w:highlight w:val="none"/>
        </w:rPr>
        <w:t>。</w:t>
      </w:r>
    </w:p>
    <w:p w14:paraId="79830FDD">
      <w:pPr>
        <w:pageBreakBefore w:val="0"/>
        <w:kinsoku/>
        <w:wordWrap/>
        <w:overflowPunct/>
        <w:topLinePunct w:val="0"/>
        <w:autoSpaceDE/>
        <w:autoSpaceDN/>
        <w:bidi w:val="0"/>
        <w:adjustRightInd w:val="0"/>
        <w:snapToGrid w:val="0"/>
        <w:spacing w:line="360" w:lineRule="auto"/>
        <w:ind w:left="0" w:firstLine="422"/>
        <w:textAlignment w:val="auto"/>
        <w:rPr>
          <w:rFonts w:hint="eastAsia" w:ascii="宋体" w:hAnsi="宋体" w:eastAsia="宋体"/>
          <w:b/>
          <w:color w:val="auto"/>
          <w:sz w:val="24"/>
          <w:szCs w:val="24"/>
          <w:highlight w:val="none"/>
        </w:rPr>
      </w:pPr>
      <w:r>
        <w:rPr>
          <w:rFonts w:hint="eastAsia" w:ascii="宋体" w:hAnsi="宋体" w:eastAsia="宋体"/>
          <w:b/>
          <w:color w:val="auto"/>
          <w:sz w:val="24"/>
          <w:szCs w:val="24"/>
          <w:highlight w:val="none"/>
        </w:rPr>
        <w:t>3</w:t>
      </w:r>
      <w:bookmarkStart w:id="240" w:name="_Toc303539102"/>
      <w:bookmarkStart w:id="241" w:name="_Toc296891199"/>
      <w:bookmarkStart w:id="242" w:name="_Toc297216151"/>
      <w:bookmarkStart w:id="243" w:name="_Toc297120459"/>
      <w:bookmarkStart w:id="244" w:name="_Toc296347158"/>
      <w:bookmarkStart w:id="245" w:name="_Toc292559869"/>
      <w:bookmarkStart w:id="246" w:name="_Toc312677988"/>
      <w:bookmarkStart w:id="247" w:name="_Toc296346660"/>
      <w:bookmarkStart w:id="248" w:name="_Toc304295523"/>
      <w:bookmarkStart w:id="249" w:name="_Toc292559364"/>
      <w:bookmarkStart w:id="250" w:name="_Toc297048345"/>
      <w:bookmarkStart w:id="251" w:name="_Toc296503159"/>
      <w:bookmarkStart w:id="252" w:name="_Toc296890987"/>
      <w:bookmarkStart w:id="253" w:name="_Toc297123492"/>
      <w:bookmarkStart w:id="254" w:name="_Toc300934945"/>
      <w:bookmarkStart w:id="255" w:name="_Toc296944498"/>
      <w:r>
        <w:rPr>
          <w:rFonts w:hint="eastAsia" w:ascii="宋体" w:hAnsi="宋体" w:eastAsia="宋体"/>
          <w:b/>
          <w:color w:val="auto"/>
          <w:sz w:val="24"/>
          <w:szCs w:val="24"/>
          <w:highlight w:val="none"/>
        </w:rPr>
        <w:t>.5 分包</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14:paraId="113EC1ED">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3</w:t>
      </w:r>
      <w:bookmarkStart w:id="256" w:name="_Toc296944499"/>
      <w:bookmarkStart w:id="257" w:name="_Toc318581158"/>
      <w:bookmarkStart w:id="258" w:name="_Toc312677989"/>
      <w:bookmarkStart w:id="259" w:name="_Toc292559365"/>
      <w:bookmarkStart w:id="260" w:name="_Toc297123493"/>
      <w:bookmarkStart w:id="261" w:name="_Toc303539103"/>
      <w:bookmarkStart w:id="262" w:name="_Toc296891200"/>
      <w:bookmarkStart w:id="263" w:name="_Toc297048346"/>
      <w:bookmarkStart w:id="264" w:name="_Toc300934946"/>
      <w:bookmarkStart w:id="265" w:name="_Toc297120460"/>
      <w:bookmarkStart w:id="266" w:name="_Toc296890988"/>
      <w:bookmarkStart w:id="267" w:name="_Toc296347159"/>
      <w:bookmarkStart w:id="268" w:name="_Toc292559870"/>
      <w:bookmarkStart w:id="269" w:name="_Toc296503160"/>
      <w:bookmarkStart w:id="270" w:name="_Toc296346661"/>
      <w:bookmarkStart w:id="271" w:name="_Toc304295524"/>
      <w:bookmarkStart w:id="272" w:name="_Toc297216152"/>
      <w:r>
        <w:rPr>
          <w:rFonts w:hint="eastAsia" w:ascii="宋体" w:hAnsi="宋体" w:eastAsia="宋体"/>
          <w:color w:val="auto"/>
          <w:sz w:val="24"/>
          <w:szCs w:val="24"/>
          <w:highlight w:val="none"/>
        </w:rPr>
        <w:t>.5.1 分包的一般约定</w:t>
      </w:r>
    </w:p>
    <w:p w14:paraId="1780DE75">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禁止分包的工程包括：</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w:t>
      </w:r>
    </w:p>
    <w:p w14:paraId="0D3CF5A8">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rPr>
        <w:t>主体结构、关键性工作的范围：</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Start w:id="273" w:name="_Toc296346662"/>
      <w:bookmarkEnd w:id="273"/>
      <w:bookmarkStart w:id="274" w:name="_Toc297048347"/>
      <w:bookmarkEnd w:id="274"/>
      <w:bookmarkStart w:id="275" w:name="_Toc296891201"/>
      <w:bookmarkEnd w:id="275"/>
      <w:bookmarkStart w:id="276" w:name="_Toc303539104"/>
      <w:bookmarkEnd w:id="276"/>
      <w:bookmarkStart w:id="277" w:name="_Toc296944500"/>
      <w:bookmarkEnd w:id="277"/>
      <w:bookmarkStart w:id="278" w:name="_Toc304295525"/>
      <w:bookmarkEnd w:id="278"/>
      <w:bookmarkStart w:id="279" w:name="_Toc297216153"/>
      <w:bookmarkEnd w:id="279"/>
      <w:bookmarkStart w:id="280" w:name="_Toc296503161"/>
      <w:bookmarkEnd w:id="280"/>
      <w:bookmarkStart w:id="281" w:name="_Toc296890989"/>
      <w:bookmarkEnd w:id="281"/>
      <w:bookmarkStart w:id="282" w:name="_Toc300934947"/>
      <w:bookmarkEnd w:id="282"/>
      <w:bookmarkStart w:id="283" w:name="_Toc297120461"/>
      <w:bookmarkEnd w:id="283"/>
      <w:bookmarkStart w:id="284" w:name="_Toc296347160"/>
      <w:bookmarkEnd w:id="284"/>
      <w:bookmarkStart w:id="285" w:name="_Toc297123494"/>
      <w:bookmarkEnd w:id="285"/>
    </w:p>
    <w:p w14:paraId="505C56AF">
      <w:pPr>
        <w:pageBreakBefore w:val="0"/>
        <w:kinsoku/>
        <w:wordWrap/>
        <w:overflowPunct/>
        <w:topLinePunct w:val="0"/>
        <w:autoSpaceDE/>
        <w:autoSpaceDN/>
        <w:bidi w:val="0"/>
        <w:adjustRightInd w:val="0"/>
        <w:snapToGrid w:val="0"/>
        <w:spacing w:line="360" w:lineRule="auto"/>
        <w:ind w:left="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 xml:space="preserve">    3</w:t>
      </w:r>
      <w:bookmarkStart w:id="286" w:name="_Toc312677990"/>
      <w:bookmarkStart w:id="287" w:name="_Toc318581159"/>
      <w:r>
        <w:rPr>
          <w:rFonts w:hint="eastAsia" w:ascii="宋体" w:hAnsi="宋体" w:eastAsia="宋体"/>
          <w:color w:val="auto"/>
          <w:sz w:val="24"/>
          <w:szCs w:val="24"/>
          <w:highlight w:val="none"/>
        </w:rPr>
        <w:t>.5.2分包的确定</w:t>
      </w:r>
    </w:p>
    <w:p w14:paraId="0E624A1E">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rPr>
        <w:t>允许分包的专业工程包括：</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w:t>
      </w:r>
    </w:p>
    <w:p w14:paraId="05E1519B">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其他关于分包的约定：</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w:t>
      </w:r>
    </w:p>
    <w:p w14:paraId="5EDD7382">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3.5.4 分包合同价款</w:t>
      </w:r>
    </w:p>
    <w:p w14:paraId="0ECC543E">
      <w:pPr>
        <w:pageBreakBefore w:val="0"/>
        <w:kinsoku/>
        <w:wordWrap/>
        <w:overflowPunct/>
        <w:topLinePunct w:val="0"/>
        <w:autoSpaceDE/>
        <w:autoSpaceDN/>
        <w:bidi w:val="0"/>
        <w:adjustRightInd w:val="0"/>
        <w:snapToGrid w:val="0"/>
        <w:spacing w:line="360" w:lineRule="auto"/>
        <w:ind w:left="0" w:firstLine="420"/>
        <w:textAlignment w:val="auto"/>
        <w:rPr>
          <w:rFonts w:hint="default" w:ascii="Times New Roman" w:hAnsi="Times New Roman" w:eastAsia="仿宋_GB2312"/>
          <w:color w:val="auto"/>
          <w:sz w:val="24"/>
          <w:szCs w:val="24"/>
          <w:highlight w:val="none"/>
        </w:rPr>
      </w:pPr>
      <w:r>
        <w:rPr>
          <w:rFonts w:hint="eastAsia" w:ascii="宋体" w:hAnsi="宋体" w:eastAsia="宋体"/>
          <w:color w:val="auto"/>
          <w:sz w:val="24"/>
          <w:szCs w:val="24"/>
          <w:highlight w:val="none"/>
        </w:rPr>
        <w:t>关于分包合同价款支付的约定：</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w:t>
      </w:r>
      <w:bookmarkEnd w:id="286"/>
      <w:bookmarkEnd w:id="287"/>
    </w:p>
    <w:p w14:paraId="283BDF28">
      <w:pPr>
        <w:pageBreakBefore w:val="0"/>
        <w:kinsoku/>
        <w:wordWrap/>
        <w:overflowPunct/>
        <w:topLinePunct w:val="0"/>
        <w:autoSpaceDE/>
        <w:autoSpaceDN/>
        <w:bidi w:val="0"/>
        <w:adjustRightInd w:val="0"/>
        <w:snapToGrid w:val="0"/>
        <w:spacing w:line="360" w:lineRule="auto"/>
        <w:ind w:left="0" w:firstLine="422"/>
        <w:textAlignment w:val="auto"/>
        <w:rPr>
          <w:rFonts w:hint="eastAsia" w:ascii="宋体" w:hAnsi="宋体" w:eastAsia="宋体"/>
          <w:b/>
          <w:color w:val="auto"/>
          <w:sz w:val="24"/>
          <w:szCs w:val="24"/>
          <w:highlight w:val="none"/>
        </w:rPr>
      </w:pPr>
      <w:r>
        <w:rPr>
          <w:rFonts w:hint="eastAsia" w:ascii="宋体" w:hAnsi="宋体" w:eastAsia="宋体"/>
          <w:b/>
          <w:color w:val="auto"/>
          <w:sz w:val="24"/>
          <w:szCs w:val="24"/>
          <w:highlight w:val="none"/>
        </w:rPr>
        <w:t>3.6 工程照管与成品、半成品保护</w:t>
      </w:r>
    </w:p>
    <w:p w14:paraId="4B8EB5CB">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rPr>
        <w:t>承包人负责照管工程及工程相关的材料、工程设备的起始时间：</w:t>
      </w:r>
      <w:r>
        <w:rPr>
          <w:rFonts w:hint="eastAsia" w:ascii="宋体" w:hAnsi="宋体" w:eastAsia="宋体"/>
          <w:color w:val="auto"/>
          <w:sz w:val="24"/>
          <w:szCs w:val="24"/>
          <w:highlight w:val="none"/>
          <w:u w:val="single"/>
        </w:rPr>
        <w:t>从承包人设备、材料进场之日起，到竣工移交手续办理之日止。</w:t>
      </w:r>
    </w:p>
    <w:p w14:paraId="54BEAD44">
      <w:pPr>
        <w:pageBreakBefore w:val="0"/>
        <w:kinsoku/>
        <w:wordWrap/>
        <w:overflowPunct/>
        <w:topLinePunct w:val="0"/>
        <w:autoSpaceDE/>
        <w:autoSpaceDN/>
        <w:bidi w:val="0"/>
        <w:adjustRightInd w:val="0"/>
        <w:snapToGrid w:val="0"/>
        <w:spacing w:line="360" w:lineRule="auto"/>
        <w:ind w:left="0" w:firstLine="422"/>
        <w:textAlignment w:val="auto"/>
        <w:rPr>
          <w:rFonts w:hint="eastAsia" w:ascii="宋体" w:hAnsi="宋体" w:eastAsia="宋体"/>
          <w:b/>
          <w:color w:val="auto"/>
          <w:sz w:val="24"/>
          <w:szCs w:val="24"/>
          <w:highlight w:val="none"/>
        </w:rPr>
      </w:pPr>
      <w:r>
        <w:rPr>
          <w:rFonts w:hint="eastAsia" w:ascii="宋体" w:hAnsi="宋体" w:eastAsia="宋体"/>
          <w:b/>
          <w:color w:val="auto"/>
          <w:sz w:val="24"/>
          <w:szCs w:val="24"/>
          <w:highlight w:val="none"/>
        </w:rPr>
        <w:t>3.7 履约担保</w:t>
      </w:r>
    </w:p>
    <w:p w14:paraId="46CBDBE8">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承包人是否提供履约担保：</w:t>
      </w:r>
      <w:r>
        <w:rPr>
          <w:rFonts w:hint="eastAsia" w:ascii="宋体" w:hAnsi="宋体" w:eastAsia="宋体"/>
          <w:color w:val="auto"/>
          <w:sz w:val="24"/>
          <w:szCs w:val="24"/>
          <w:highlight w:val="none"/>
          <w:u w:val="single"/>
        </w:rPr>
        <w:t>提供</w:t>
      </w:r>
      <w:r>
        <w:rPr>
          <w:rFonts w:hint="eastAsia" w:ascii="宋体" w:hAnsi="宋体" w:eastAsia="宋体"/>
          <w:color w:val="auto"/>
          <w:sz w:val="24"/>
          <w:szCs w:val="24"/>
          <w:highlight w:val="none"/>
        </w:rPr>
        <w:t>。</w:t>
      </w:r>
    </w:p>
    <w:p w14:paraId="1C28E7B7">
      <w:pPr>
        <w:pageBreakBefore w:val="0"/>
        <w:widowControl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u w:val="single"/>
        </w:rPr>
        <w:t>承包人提供履约担保的形式、金额及期限的：提供合同价款的10%作为履约保证金，其中：工期履约保证金为3%，质量履约保证金为3%，安全履约保证金为2%，竣工资料履约保证金为1%，廉政履约保证金为1%；履约保证金应当以支票、汇票、本票或者金融机构、担保机构出具的保函</w:t>
      </w:r>
      <w:r>
        <w:rPr>
          <w:rFonts w:hint="eastAsia" w:ascii="宋体" w:hAnsi="宋体" w:eastAsia="宋体"/>
          <w:color w:val="auto"/>
          <w:sz w:val="24"/>
          <w:szCs w:val="24"/>
          <w:highlight w:val="none"/>
          <w:u w:val="single"/>
          <w:lang w:eastAsia="zh-CN"/>
        </w:rPr>
        <w:t>（</w:t>
      </w:r>
      <w:r>
        <w:rPr>
          <w:rFonts w:hint="eastAsia" w:ascii="宋体" w:hAnsi="宋体" w:eastAsia="宋体"/>
          <w:color w:val="auto"/>
          <w:sz w:val="24"/>
          <w:szCs w:val="24"/>
          <w:highlight w:val="none"/>
          <w:u w:val="single"/>
          <w:lang w:val="en-US" w:eastAsia="zh-CN"/>
        </w:rPr>
        <w:t>需为不可撤销的见索即付独立保函</w:t>
      </w:r>
      <w:r>
        <w:rPr>
          <w:rFonts w:hint="eastAsia" w:ascii="宋体" w:hAnsi="宋体" w:eastAsia="宋体"/>
          <w:color w:val="auto"/>
          <w:sz w:val="24"/>
          <w:szCs w:val="24"/>
          <w:highlight w:val="none"/>
          <w:u w:val="single"/>
          <w:lang w:eastAsia="zh-CN"/>
        </w:rPr>
        <w:t>）</w:t>
      </w:r>
      <w:r>
        <w:rPr>
          <w:rFonts w:hint="eastAsia" w:ascii="宋体" w:hAnsi="宋体" w:eastAsia="宋体"/>
          <w:color w:val="auto"/>
          <w:sz w:val="24"/>
          <w:szCs w:val="24"/>
          <w:highlight w:val="none"/>
          <w:u w:val="single"/>
        </w:rPr>
        <w:t>等非现金形式提交</w:t>
      </w:r>
      <w:r>
        <w:rPr>
          <w:rFonts w:hint="eastAsia" w:ascii="宋体" w:hAnsi="宋体" w:eastAsia="宋体"/>
          <w:color w:val="auto"/>
          <w:sz w:val="24"/>
          <w:szCs w:val="24"/>
          <w:highlight w:val="none"/>
          <w:u w:val="single"/>
          <w:lang w:eastAsia="zh-CN"/>
        </w:rPr>
        <w:t>（</w:t>
      </w:r>
      <w:r>
        <w:rPr>
          <w:rFonts w:hint="eastAsia" w:ascii="宋体" w:hAnsi="宋体" w:eastAsia="宋体"/>
          <w:color w:val="auto"/>
          <w:sz w:val="24"/>
          <w:szCs w:val="24"/>
          <w:highlight w:val="none"/>
          <w:u w:val="single"/>
          <w:lang w:val="en-US" w:eastAsia="zh-CN"/>
        </w:rPr>
        <w:t>若</w:t>
      </w:r>
      <w:r>
        <w:rPr>
          <w:rFonts w:hint="eastAsia" w:ascii="宋体" w:hAnsi="宋体" w:eastAsia="宋体"/>
          <w:color w:val="auto"/>
          <w:sz w:val="24"/>
          <w:szCs w:val="24"/>
          <w:highlight w:val="none"/>
          <w:u w:val="single"/>
        </w:rPr>
        <w:t>履约保证金</w:t>
      </w:r>
      <w:r>
        <w:rPr>
          <w:rFonts w:hint="eastAsia" w:ascii="宋体" w:hAnsi="宋体" w:eastAsia="宋体"/>
          <w:color w:val="auto"/>
          <w:sz w:val="24"/>
          <w:szCs w:val="24"/>
          <w:highlight w:val="none"/>
          <w:u w:val="single"/>
          <w:lang w:val="en-US" w:eastAsia="zh-CN"/>
        </w:rPr>
        <w:t>采用保函形式提交的，</w:t>
      </w:r>
      <w:r>
        <w:rPr>
          <w:rFonts w:hint="eastAsia" w:ascii="宋体" w:hAnsi="宋体" w:eastAsia="宋体"/>
          <w:color w:val="auto"/>
          <w:sz w:val="24"/>
          <w:szCs w:val="24"/>
          <w:highlight w:val="none"/>
          <w:u w:val="single"/>
          <w:lang w:eastAsia="zh-CN"/>
        </w:rPr>
        <w:t>保函担保有效期开具时间为合同约定工期基础延长</w:t>
      </w:r>
      <w:r>
        <w:rPr>
          <w:rFonts w:hint="eastAsia" w:ascii="宋体" w:hAnsi="宋体" w:eastAsia="宋体"/>
          <w:color w:val="auto"/>
          <w:sz w:val="24"/>
          <w:szCs w:val="24"/>
          <w:highlight w:val="none"/>
          <w:u w:val="single"/>
          <w:lang w:val="en-US" w:eastAsia="zh-CN"/>
        </w:rPr>
        <w:t>一</w:t>
      </w:r>
      <w:r>
        <w:rPr>
          <w:rFonts w:hint="eastAsia" w:ascii="宋体" w:hAnsi="宋体" w:eastAsia="宋体"/>
          <w:color w:val="auto"/>
          <w:sz w:val="24"/>
          <w:szCs w:val="24"/>
          <w:highlight w:val="none"/>
          <w:u w:val="single"/>
          <w:lang w:eastAsia="zh-CN"/>
        </w:rPr>
        <w:t>个月），</w:t>
      </w:r>
      <w:r>
        <w:rPr>
          <w:rFonts w:hint="eastAsia" w:ascii="宋体" w:hAnsi="宋体" w:eastAsia="宋体"/>
          <w:color w:val="auto"/>
          <w:sz w:val="24"/>
          <w:szCs w:val="24"/>
          <w:highlight w:val="none"/>
          <w:u w:val="single"/>
        </w:rPr>
        <w:t>逾期视为乙方自动放弃</w:t>
      </w:r>
      <w:r>
        <w:rPr>
          <w:rFonts w:hint="eastAsia" w:ascii="宋体" w:hAnsi="宋体" w:eastAsia="宋体"/>
          <w:color w:val="auto"/>
          <w:sz w:val="24"/>
          <w:szCs w:val="24"/>
          <w:highlight w:val="none"/>
          <w:u w:val="single"/>
          <w:lang w:eastAsia="zh-CN"/>
        </w:rPr>
        <w:t>成交</w:t>
      </w:r>
      <w:r>
        <w:rPr>
          <w:rFonts w:hint="eastAsia" w:ascii="宋体" w:hAnsi="宋体" w:eastAsia="宋体"/>
          <w:color w:val="auto"/>
          <w:sz w:val="24"/>
          <w:szCs w:val="24"/>
          <w:highlight w:val="none"/>
          <w:u w:val="single"/>
        </w:rPr>
        <w:t>资格，甲方有权按照相关程序另行确定</w:t>
      </w:r>
      <w:r>
        <w:rPr>
          <w:rFonts w:hint="eastAsia" w:ascii="宋体" w:hAnsi="宋体" w:eastAsia="宋体"/>
          <w:color w:val="auto"/>
          <w:sz w:val="24"/>
          <w:szCs w:val="24"/>
          <w:highlight w:val="none"/>
          <w:u w:val="single"/>
          <w:lang w:eastAsia="zh-CN"/>
        </w:rPr>
        <w:t>成交</w:t>
      </w:r>
      <w:r>
        <w:rPr>
          <w:rFonts w:hint="eastAsia" w:ascii="宋体" w:hAnsi="宋体" w:eastAsia="宋体"/>
          <w:color w:val="auto"/>
          <w:sz w:val="24"/>
          <w:szCs w:val="24"/>
          <w:highlight w:val="none"/>
          <w:u w:val="single"/>
        </w:rPr>
        <w:t>供应商。提交时间为本合同签订前。上述履约保证金分别的、共同</w:t>
      </w:r>
      <w:r>
        <w:rPr>
          <w:rFonts w:hint="eastAsia" w:ascii="宋体" w:hAnsi="宋体" w:eastAsia="宋体"/>
          <w:color w:val="auto"/>
          <w:sz w:val="24"/>
          <w:szCs w:val="24"/>
          <w:highlight w:val="none"/>
          <w:u w:val="single"/>
          <w:lang w:eastAsia="zh-CN"/>
        </w:rPr>
        <w:t>地</w:t>
      </w:r>
      <w:r>
        <w:rPr>
          <w:rFonts w:hint="eastAsia" w:ascii="宋体" w:hAnsi="宋体" w:eastAsia="宋体"/>
          <w:color w:val="auto"/>
          <w:sz w:val="24"/>
          <w:szCs w:val="24"/>
          <w:highlight w:val="none"/>
          <w:u w:val="single"/>
        </w:rPr>
        <w:t>承担合同义务和责任。</w:t>
      </w:r>
    </w:p>
    <w:p w14:paraId="63AF24E2">
      <w:pPr>
        <w:pageBreakBefore w:val="0"/>
        <w:widowControl w:val="0"/>
        <w:kinsoku/>
        <w:wordWrap/>
        <w:overflowPunct/>
        <w:topLinePunct w:val="0"/>
        <w:autoSpaceDE/>
        <w:autoSpaceDN/>
        <w:bidi w:val="0"/>
        <w:adjustRightInd w:val="0"/>
        <w:snapToGrid w:val="0"/>
        <w:spacing w:line="360" w:lineRule="auto"/>
        <w:ind w:left="0" w:firstLine="420"/>
        <w:textAlignment w:val="auto"/>
        <w:rPr>
          <w:rFonts w:hint="default" w:ascii="宋体" w:hAnsi="宋体" w:eastAsia="宋体"/>
          <w:color w:val="auto"/>
          <w:sz w:val="24"/>
          <w:szCs w:val="24"/>
          <w:highlight w:val="none"/>
          <w:u w:val="single"/>
        </w:rPr>
      </w:pPr>
      <w:r>
        <w:rPr>
          <w:rFonts w:hint="eastAsia" w:ascii="宋体" w:hAnsi="宋体" w:eastAsia="宋体"/>
          <w:color w:val="auto"/>
          <w:sz w:val="24"/>
          <w:szCs w:val="24"/>
          <w:highlight w:val="none"/>
          <w:u w:val="single"/>
        </w:rPr>
        <w:t>双方约定本工程的履约担保的效力期间为工程开工至本合同范围内的所有工程项目完工并验收合格。履约保证金依约剩余的余额，在工程竣工验收合格后可申请退还；依约扣除的履约保证金不予退还。采购人逾期退还履约保证金的，按照同期银行活期存款利率承担违约责任</w:t>
      </w:r>
      <w:r>
        <w:rPr>
          <w:rFonts w:hint="eastAsia" w:ascii="宋体" w:hAnsi="宋体" w:eastAsia="宋体"/>
          <w:color w:val="auto"/>
          <w:sz w:val="24"/>
          <w:szCs w:val="24"/>
          <w:highlight w:val="none"/>
          <w:u w:val="single"/>
          <w:lang w:eastAsia="zh-CN"/>
        </w:rPr>
        <w:t>。</w:t>
      </w:r>
    </w:p>
    <w:p w14:paraId="64D2A244">
      <w:pPr>
        <w:pStyle w:val="7"/>
        <w:pageBreakBefore w:val="0"/>
        <w:kinsoku/>
        <w:wordWrap/>
        <w:overflowPunct/>
        <w:topLinePunct w:val="0"/>
        <w:autoSpaceDE/>
        <w:autoSpaceDN/>
        <w:bidi w:val="0"/>
        <w:adjustRightInd w:val="0"/>
        <w:snapToGrid w:val="0"/>
        <w:spacing w:before="0" w:after="0" w:line="360" w:lineRule="auto"/>
        <w:ind w:left="0"/>
        <w:textAlignment w:val="auto"/>
        <w:rPr>
          <w:rFonts w:hint="eastAsia" w:ascii="宋体" w:hAnsi="宋体"/>
          <w:color w:val="auto"/>
          <w:sz w:val="24"/>
          <w:szCs w:val="24"/>
          <w:highlight w:val="none"/>
        </w:rPr>
      </w:pPr>
      <w:bookmarkStart w:id="288" w:name="_Toc351203636"/>
      <w:r>
        <w:rPr>
          <w:rFonts w:hint="eastAsia" w:ascii="宋体" w:hAnsi="宋体"/>
          <w:color w:val="auto"/>
          <w:sz w:val="24"/>
          <w:szCs w:val="24"/>
          <w:highlight w:val="none"/>
        </w:rPr>
        <w:t>4</w:t>
      </w:r>
      <w:bookmarkStart w:id="289" w:name="_Toc296944501"/>
      <w:bookmarkStart w:id="290" w:name="_Toc296891202"/>
      <w:bookmarkStart w:id="291" w:name="_Toc292559366"/>
      <w:bookmarkStart w:id="292" w:name="_Toc296346663"/>
      <w:bookmarkStart w:id="293" w:name="_Toc292559871"/>
      <w:bookmarkStart w:id="294" w:name="_Toc296503162"/>
      <w:bookmarkStart w:id="295" w:name="_Toc296347161"/>
      <w:bookmarkStart w:id="296" w:name="_Toc267251413"/>
      <w:bookmarkStart w:id="297" w:name="_Toc297048348"/>
      <w:bookmarkStart w:id="298" w:name="_Toc297120462"/>
      <w:bookmarkStart w:id="299" w:name="_Toc296890990"/>
      <w:r>
        <w:rPr>
          <w:rFonts w:hint="eastAsia" w:ascii="宋体" w:hAnsi="宋体"/>
          <w:color w:val="auto"/>
          <w:sz w:val="24"/>
          <w:szCs w:val="24"/>
          <w:highlight w:val="none"/>
        </w:rPr>
        <w:t>. 监</w:t>
      </w:r>
      <w:bookmarkEnd w:id="289"/>
      <w:bookmarkEnd w:id="290"/>
      <w:bookmarkEnd w:id="291"/>
      <w:bookmarkEnd w:id="292"/>
      <w:bookmarkEnd w:id="293"/>
      <w:bookmarkEnd w:id="294"/>
      <w:bookmarkEnd w:id="295"/>
      <w:bookmarkEnd w:id="296"/>
      <w:bookmarkEnd w:id="297"/>
      <w:bookmarkEnd w:id="298"/>
      <w:bookmarkEnd w:id="299"/>
      <w:r>
        <w:rPr>
          <w:rFonts w:hint="eastAsia" w:ascii="宋体" w:hAnsi="宋体"/>
          <w:color w:val="auto"/>
          <w:sz w:val="24"/>
          <w:szCs w:val="24"/>
          <w:highlight w:val="none"/>
        </w:rPr>
        <w:t>理人</w:t>
      </w:r>
      <w:bookmarkEnd w:id="288"/>
    </w:p>
    <w:p w14:paraId="3CF9961E">
      <w:pPr>
        <w:pageBreakBefore w:val="0"/>
        <w:kinsoku/>
        <w:wordWrap/>
        <w:overflowPunct/>
        <w:topLinePunct w:val="0"/>
        <w:autoSpaceDE/>
        <w:autoSpaceDN/>
        <w:bidi w:val="0"/>
        <w:adjustRightInd w:val="0"/>
        <w:snapToGrid w:val="0"/>
        <w:spacing w:line="360" w:lineRule="auto"/>
        <w:ind w:left="0" w:firstLine="422"/>
        <w:textAlignment w:val="auto"/>
        <w:rPr>
          <w:rFonts w:hint="eastAsia" w:ascii="宋体" w:hAnsi="宋体" w:eastAsia="宋体"/>
          <w:b/>
          <w:color w:val="auto"/>
          <w:sz w:val="24"/>
          <w:szCs w:val="24"/>
          <w:highlight w:val="none"/>
        </w:rPr>
      </w:pPr>
      <w:r>
        <w:rPr>
          <w:rFonts w:hint="eastAsia" w:ascii="宋体" w:hAnsi="宋体" w:eastAsia="宋体"/>
          <w:b/>
          <w:color w:val="auto"/>
          <w:sz w:val="24"/>
          <w:szCs w:val="24"/>
          <w:highlight w:val="none"/>
        </w:rPr>
        <w:t>4.1监理人的一般规定</w:t>
      </w:r>
    </w:p>
    <w:p w14:paraId="1E59D0E0">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关于监理人的监理内容：</w:t>
      </w:r>
      <w:r>
        <w:rPr>
          <w:rFonts w:hint="eastAsia" w:ascii="宋体" w:hAnsi="宋体" w:eastAsia="宋体"/>
          <w:color w:val="auto"/>
          <w:sz w:val="24"/>
          <w:szCs w:val="24"/>
          <w:highlight w:val="none"/>
          <w:u w:val="single"/>
        </w:rPr>
        <w:t>见本工程《建设工程委托监理合同》</w:t>
      </w:r>
      <w:r>
        <w:rPr>
          <w:rFonts w:hint="eastAsia" w:ascii="宋体" w:hAnsi="宋体" w:eastAsia="宋体"/>
          <w:color w:val="auto"/>
          <w:sz w:val="24"/>
          <w:szCs w:val="24"/>
          <w:highlight w:val="none"/>
        </w:rPr>
        <w:t>。</w:t>
      </w:r>
    </w:p>
    <w:p w14:paraId="30001190">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关于监理人的监理权限：</w:t>
      </w:r>
      <w:r>
        <w:rPr>
          <w:rFonts w:hint="eastAsia" w:ascii="宋体" w:hAnsi="宋体" w:eastAsia="宋体"/>
          <w:color w:val="auto"/>
          <w:sz w:val="24"/>
          <w:szCs w:val="24"/>
          <w:highlight w:val="none"/>
          <w:u w:val="single"/>
        </w:rPr>
        <w:t>见本工程《建设工程委托监理合同》</w:t>
      </w:r>
      <w:r>
        <w:rPr>
          <w:rFonts w:hint="eastAsia" w:ascii="宋体" w:hAnsi="宋体" w:eastAsia="宋体"/>
          <w:color w:val="auto"/>
          <w:sz w:val="24"/>
          <w:szCs w:val="24"/>
          <w:highlight w:val="none"/>
        </w:rPr>
        <w:t xml:space="preserve">。 </w:t>
      </w:r>
    </w:p>
    <w:p w14:paraId="5FF67C97">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关于监理人在施工现场的办公场所、生活场所的提供和费用承担的约定：</w:t>
      </w:r>
      <w:r>
        <w:rPr>
          <w:rFonts w:hint="eastAsia" w:ascii="宋体" w:hAnsi="宋体" w:eastAsia="宋体"/>
          <w:color w:val="auto"/>
          <w:sz w:val="24"/>
          <w:szCs w:val="24"/>
          <w:highlight w:val="none"/>
          <w:u w:val="single"/>
        </w:rPr>
        <w:t>费用由承包人承担，不再单独计取费用</w:t>
      </w:r>
      <w:r>
        <w:rPr>
          <w:rFonts w:hint="eastAsia" w:ascii="宋体" w:hAnsi="宋体" w:eastAsia="宋体"/>
          <w:color w:val="auto"/>
          <w:sz w:val="24"/>
          <w:szCs w:val="24"/>
          <w:highlight w:val="none"/>
        </w:rPr>
        <w:t>。</w:t>
      </w:r>
    </w:p>
    <w:p w14:paraId="02FAF8ED">
      <w:pPr>
        <w:pageBreakBefore w:val="0"/>
        <w:kinsoku/>
        <w:wordWrap/>
        <w:overflowPunct/>
        <w:topLinePunct w:val="0"/>
        <w:autoSpaceDE/>
        <w:autoSpaceDN/>
        <w:bidi w:val="0"/>
        <w:adjustRightInd w:val="0"/>
        <w:snapToGrid w:val="0"/>
        <w:spacing w:line="360" w:lineRule="auto"/>
        <w:ind w:left="0" w:firstLine="422"/>
        <w:textAlignment w:val="auto"/>
        <w:rPr>
          <w:rFonts w:hint="eastAsia" w:ascii="宋体" w:hAnsi="宋体" w:eastAsia="宋体"/>
          <w:b/>
          <w:color w:val="auto"/>
          <w:sz w:val="24"/>
          <w:szCs w:val="24"/>
          <w:highlight w:val="none"/>
        </w:rPr>
      </w:pPr>
      <w:r>
        <w:rPr>
          <w:rFonts w:hint="eastAsia" w:ascii="宋体" w:hAnsi="宋体" w:eastAsia="宋体"/>
          <w:b/>
          <w:color w:val="auto"/>
          <w:sz w:val="24"/>
          <w:szCs w:val="24"/>
          <w:highlight w:val="none"/>
        </w:rPr>
        <w:t>4.2 监理人员</w:t>
      </w:r>
    </w:p>
    <w:p w14:paraId="2E38FB9B">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总监理工程师：</w:t>
      </w:r>
    </w:p>
    <w:p w14:paraId="336732F2">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姓    名：</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w:t>
      </w:r>
    </w:p>
    <w:p w14:paraId="6F629372">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职    务：</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w:t>
      </w:r>
    </w:p>
    <w:p w14:paraId="692A2B08">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监理工程师执业资格证书号：</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w:t>
      </w:r>
    </w:p>
    <w:p w14:paraId="373F20C0">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联系电话：</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w:t>
      </w:r>
    </w:p>
    <w:p w14:paraId="1B7187CA">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电子信箱：</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w:t>
      </w:r>
    </w:p>
    <w:p w14:paraId="2DEE717C">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通信地址：</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w:t>
      </w:r>
    </w:p>
    <w:p w14:paraId="55E550A1">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关于监理人的其他约定：</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w:t>
      </w:r>
    </w:p>
    <w:p w14:paraId="2700C134">
      <w:pPr>
        <w:pageBreakBefore w:val="0"/>
        <w:kinsoku/>
        <w:wordWrap/>
        <w:overflowPunct/>
        <w:topLinePunct w:val="0"/>
        <w:autoSpaceDE/>
        <w:autoSpaceDN/>
        <w:bidi w:val="0"/>
        <w:adjustRightInd w:val="0"/>
        <w:snapToGrid w:val="0"/>
        <w:spacing w:line="360" w:lineRule="auto"/>
        <w:ind w:left="0" w:firstLine="422"/>
        <w:textAlignment w:val="auto"/>
        <w:rPr>
          <w:rFonts w:hint="eastAsia" w:ascii="宋体" w:hAnsi="宋体" w:eastAsia="宋体"/>
          <w:b/>
          <w:color w:val="auto"/>
          <w:sz w:val="24"/>
          <w:szCs w:val="24"/>
          <w:highlight w:val="none"/>
        </w:rPr>
      </w:pPr>
      <w:r>
        <w:rPr>
          <w:rFonts w:hint="eastAsia" w:ascii="宋体" w:hAnsi="宋体" w:eastAsia="宋体"/>
          <w:b/>
          <w:color w:val="auto"/>
          <w:sz w:val="24"/>
          <w:szCs w:val="24"/>
          <w:highlight w:val="none"/>
        </w:rPr>
        <w:t>4.4 商定或确定</w:t>
      </w:r>
    </w:p>
    <w:p w14:paraId="2883C13D">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bookmarkStart w:id="300" w:name="_Toc267251418"/>
      <w:r>
        <w:rPr>
          <w:rFonts w:hint="eastAsia" w:ascii="宋体" w:hAnsi="宋体" w:eastAsia="宋体"/>
          <w:color w:val="auto"/>
          <w:sz w:val="24"/>
          <w:szCs w:val="24"/>
          <w:highlight w:val="none"/>
        </w:rPr>
        <w:t>在发包人和承包人不能通过协商达成一致意见时，发包人授权监理人对以下事项进行确定：</w:t>
      </w:r>
    </w:p>
    <w:p w14:paraId="364CD2C9">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w:t>
      </w:r>
    </w:p>
    <w:p w14:paraId="612753D2">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（2）</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w:t>
      </w:r>
    </w:p>
    <w:p w14:paraId="485AA526">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（3）</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w:t>
      </w:r>
    </w:p>
    <w:p w14:paraId="1FB536C3">
      <w:pPr>
        <w:pStyle w:val="7"/>
        <w:pageBreakBefore w:val="0"/>
        <w:kinsoku/>
        <w:wordWrap/>
        <w:overflowPunct/>
        <w:topLinePunct w:val="0"/>
        <w:autoSpaceDE/>
        <w:autoSpaceDN/>
        <w:bidi w:val="0"/>
        <w:adjustRightInd w:val="0"/>
        <w:snapToGrid w:val="0"/>
        <w:spacing w:before="0" w:after="0" w:line="360" w:lineRule="auto"/>
        <w:ind w:left="0"/>
        <w:textAlignment w:val="auto"/>
        <w:rPr>
          <w:rFonts w:hint="eastAsia" w:ascii="宋体" w:hAnsi="宋体"/>
          <w:color w:val="auto"/>
          <w:sz w:val="24"/>
          <w:szCs w:val="24"/>
          <w:highlight w:val="none"/>
        </w:rPr>
      </w:pPr>
      <w:bookmarkStart w:id="301" w:name="_Toc351203637"/>
      <w:r>
        <w:rPr>
          <w:rFonts w:hint="eastAsia" w:ascii="宋体" w:hAnsi="宋体"/>
          <w:color w:val="auto"/>
          <w:sz w:val="24"/>
          <w:szCs w:val="24"/>
          <w:highlight w:val="none"/>
        </w:rPr>
        <w:t>5</w:t>
      </w:r>
      <w:bookmarkEnd w:id="300"/>
      <w:bookmarkStart w:id="302" w:name="_Toc296890991"/>
      <w:bookmarkStart w:id="303" w:name="_Toc292559872"/>
      <w:bookmarkStart w:id="304" w:name="_Toc297048349"/>
      <w:bookmarkStart w:id="305" w:name="_Toc296347162"/>
      <w:bookmarkStart w:id="306" w:name="_Toc296503163"/>
      <w:bookmarkStart w:id="307" w:name="_Toc297120463"/>
      <w:bookmarkStart w:id="308" w:name="_Toc292559367"/>
      <w:bookmarkStart w:id="309" w:name="_Toc296891203"/>
      <w:bookmarkStart w:id="310" w:name="_Toc296944502"/>
      <w:bookmarkStart w:id="311" w:name="_Toc296346664"/>
      <w:r>
        <w:rPr>
          <w:rFonts w:hint="eastAsia" w:ascii="宋体" w:hAnsi="宋体"/>
          <w:color w:val="auto"/>
          <w:sz w:val="24"/>
          <w:szCs w:val="24"/>
          <w:highlight w:val="none"/>
        </w:rPr>
        <w:t>. 工程质量</w:t>
      </w:r>
      <w:bookmarkEnd w:id="301"/>
    </w:p>
    <w:p w14:paraId="76DF9720">
      <w:pPr>
        <w:pageBreakBefore w:val="0"/>
        <w:kinsoku/>
        <w:wordWrap/>
        <w:overflowPunct/>
        <w:topLinePunct w:val="0"/>
        <w:autoSpaceDE/>
        <w:autoSpaceDN/>
        <w:bidi w:val="0"/>
        <w:adjustRightInd w:val="0"/>
        <w:snapToGrid w:val="0"/>
        <w:spacing w:line="360" w:lineRule="auto"/>
        <w:ind w:left="0" w:firstLine="422"/>
        <w:textAlignment w:val="auto"/>
        <w:outlineLvl w:val="0"/>
        <w:rPr>
          <w:rFonts w:hint="eastAsia" w:ascii="宋体" w:hAnsi="宋体" w:eastAsia="宋体"/>
          <w:b/>
          <w:color w:val="auto"/>
          <w:sz w:val="24"/>
          <w:szCs w:val="24"/>
          <w:highlight w:val="none"/>
        </w:rPr>
      </w:pPr>
      <w:bookmarkStart w:id="312" w:name="_Toc20002"/>
      <w:r>
        <w:rPr>
          <w:rFonts w:hint="eastAsia" w:ascii="宋体" w:hAnsi="宋体" w:eastAsia="宋体"/>
          <w:b/>
          <w:color w:val="auto"/>
          <w:sz w:val="24"/>
          <w:szCs w:val="24"/>
          <w:highlight w:val="none"/>
        </w:rPr>
        <w:t>5.1 质量要求</w:t>
      </w:r>
      <w:bookmarkEnd w:id="312"/>
    </w:p>
    <w:p w14:paraId="15802C3F">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rPr>
        <w:t>5</w:t>
      </w:r>
      <w:bookmarkStart w:id="313" w:name="_Toc297216155"/>
      <w:bookmarkStart w:id="314" w:name="_Toc318581164"/>
      <w:bookmarkStart w:id="315" w:name="_Toc312677997"/>
      <w:bookmarkStart w:id="316" w:name="_Toc297123496"/>
      <w:bookmarkStart w:id="317" w:name="_Toc300934949"/>
      <w:bookmarkStart w:id="318" w:name="_Toc304295527"/>
      <w:bookmarkStart w:id="319" w:name="_Toc303539106"/>
      <w:r>
        <w:rPr>
          <w:rFonts w:hint="eastAsia" w:ascii="宋体" w:hAnsi="宋体" w:eastAsia="宋体"/>
          <w:color w:val="auto"/>
          <w:sz w:val="24"/>
          <w:szCs w:val="24"/>
          <w:highlight w:val="none"/>
        </w:rPr>
        <w:t>.1.1 特殊质量标准和要求：</w:t>
      </w:r>
      <w:r>
        <w:rPr>
          <w:rFonts w:hint="eastAsia" w:ascii="宋体" w:hAnsi="宋体" w:eastAsia="宋体"/>
          <w:color w:val="auto"/>
          <w:sz w:val="24"/>
          <w:szCs w:val="24"/>
          <w:highlight w:val="none"/>
          <w:u w:val="single"/>
        </w:rPr>
        <w:t>工程质量达不到本合同约定要求，发包人有权没收全部的质量保证金，施工单位须无偿返工直至达到合格。</w:t>
      </w:r>
    </w:p>
    <w:p w14:paraId="27718FB3">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u w:val="single"/>
        </w:rPr>
        <w:t>根据工程规模和质监部门要求确定，本工程约定验收部位至少且必须包括基础、主体、竣工预验收、竣工验收、综合竣工验收。如不能按招标文件要求验收合格，发包人有权从工程款中直接扣除罚款（10万元/次）。并由承包人承担责任及返工修复并承担费用，直至验收合格为止。关键工序施工完毕后，须经监理、发包人验收合格并签字后（承包人应在验收前向监理提交工程验收资料），方可进行下道工序施工。</w:t>
      </w:r>
    </w:p>
    <w:p w14:paraId="13B53EC9">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u w:val="single"/>
        </w:rPr>
        <w:t>承包人未经发包人书面同意擅自将隐蔽工程隐蔽的，发包人要求验收的，承包人应当配合，返工所发生的费用（如检查费、返工费、材料费等）全部由承包人承担，承包人还应承担工期延误的违约责任。</w:t>
      </w:r>
    </w:p>
    <w:p w14:paraId="69F050A9">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u w:val="single"/>
        </w:rPr>
        <w:t>技术处理（含地基处理、暗河清理、回填等）必须满足施工要求，处理方法在施工前必须获得设计单位的书面同意。</w:t>
      </w:r>
    </w:p>
    <w:p w14:paraId="18B740CF">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u w:val="single"/>
        </w:rPr>
        <w:t>施工单位必须按照有关标准、规范和经审查合格的施工图设计文件进行施工，施工重要部位、关键工序必须编制专项施工方案，不得擅自修改工程设计，抗震构造措施必须严格按照国家和省级有关规定执行。</w:t>
      </w:r>
    </w:p>
    <w:p w14:paraId="0064863A">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关于工程奖项的约定：</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w:t>
      </w:r>
    </w:p>
    <w:p w14:paraId="3507E13F">
      <w:pPr>
        <w:pageBreakBefore w:val="0"/>
        <w:kinsoku/>
        <w:wordWrap/>
        <w:overflowPunct/>
        <w:topLinePunct w:val="0"/>
        <w:autoSpaceDE/>
        <w:autoSpaceDN/>
        <w:bidi w:val="0"/>
        <w:adjustRightInd w:val="0"/>
        <w:snapToGrid w:val="0"/>
        <w:spacing w:line="360" w:lineRule="auto"/>
        <w:ind w:left="0" w:firstLine="422"/>
        <w:textAlignment w:val="auto"/>
        <w:outlineLvl w:val="0"/>
        <w:rPr>
          <w:rFonts w:hint="eastAsia" w:ascii="宋体" w:hAnsi="宋体" w:eastAsia="宋体"/>
          <w:b/>
          <w:color w:val="auto"/>
          <w:sz w:val="24"/>
          <w:szCs w:val="24"/>
          <w:highlight w:val="none"/>
        </w:rPr>
      </w:pPr>
      <w:bookmarkStart w:id="320" w:name="_Toc24386"/>
      <w:r>
        <w:rPr>
          <w:rFonts w:hint="eastAsia" w:ascii="宋体" w:hAnsi="宋体" w:eastAsia="宋体"/>
          <w:b/>
          <w:color w:val="auto"/>
          <w:sz w:val="24"/>
          <w:szCs w:val="24"/>
          <w:highlight w:val="none"/>
        </w:rPr>
        <w:t>5.3 隐蔽工程检查</w:t>
      </w:r>
      <w:bookmarkEnd w:id="320"/>
    </w:p>
    <w:p w14:paraId="18BD3CDC">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5.3.2承包人提前通知监理人隐蔽工程检查的期限的约定：</w:t>
      </w:r>
      <w:r>
        <w:rPr>
          <w:rFonts w:hint="eastAsia" w:ascii="宋体" w:hAnsi="宋体" w:eastAsia="宋体"/>
          <w:color w:val="auto"/>
          <w:sz w:val="24"/>
          <w:szCs w:val="24"/>
          <w:highlight w:val="none"/>
          <w:u w:val="single"/>
        </w:rPr>
        <w:t>共同检查前24小时书面通知监理人</w:t>
      </w:r>
      <w:r>
        <w:rPr>
          <w:rFonts w:hint="eastAsia" w:ascii="宋体" w:hAnsi="宋体" w:eastAsia="宋体"/>
          <w:color w:val="auto"/>
          <w:sz w:val="24"/>
          <w:szCs w:val="24"/>
          <w:highlight w:val="none"/>
        </w:rPr>
        <w:t>。</w:t>
      </w:r>
    </w:p>
    <w:p w14:paraId="3075C7AC">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监理人不能按时进行检查时，应提前</w:t>
      </w:r>
      <w:r>
        <w:rPr>
          <w:rFonts w:hint="eastAsia" w:ascii="宋体" w:hAnsi="宋体" w:eastAsia="宋体"/>
          <w:color w:val="auto"/>
          <w:sz w:val="24"/>
          <w:szCs w:val="24"/>
          <w:highlight w:val="none"/>
          <w:u w:val="single"/>
        </w:rPr>
        <w:t>12</w:t>
      </w:r>
      <w:r>
        <w:rPr>
          <w:rFonts w:hint="eastAsia" w:ascii="宋体" w:hAnsi="宋体" w:eastAsia="宋体"/>
          <w:color w:val="auto"/>
          <w:sz w:val="24"/>
          <w:szCs w:val="24"/>
          <w:highlight w:val="none"/>
        </w:rPr>
        <w:t>小时提交书面延期要求。</w:t>
      </w:r>
    </w:p>
    <w:p w14:paraId="7083D2AC">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关于延期最长不得超过：</w:t>
      </w:r>
      <w:r>
        <w:rPr>
          <w:rFonts w:hint="eastAsia" w:ascii="宋体" w:hAnsi="宋体" w:eastAsia="宋体"/>
          <w:color w:val="auto"/>
          <w:sz w:val="24"/>
          <w:szCs w:val="24"/>
          <w:highlight w:val="none"/>
          <w:u w:val="single"/>
        </w:rPr>
        <w:t>24</w:t>
      </w:r>
      <w:r>
        <w:rPr>
          <w:rFonts w:hint="eastAsia" w:ascii="宋体" w:hAnsi="宋体" w:eastAsia="宋体"/>
          <w:color w:val="auto"/>
          <w:sz w:val="24"/>
          <w:szCs w:val="24"/>
          <w:highlight w:val="none"/>
        </w:rPr>
        <w:t>小时。</w:t>
      </w:r>
    </w:p>
    <w:p w14:paraId="41970656">
      <w:pPr>
        <w:pStyle w:val="7"/>
        <w:pageBreakBefore w:val="0"/>
        <w:kinsoku/>
        <w:wordWrap/>
        <w:overflowPunct/>
        <w:topLinePunct w:val="0"/>
        <w:autoSpaceDE/>
        <w:autoSpaceDN/>
        <w:bidi w:val="0"/>
        <w:adjustRightInd w:val="0"/>
        <w:snapToGrid w:val="0"/>
        <w:spacing w:before="0" w:after="0" w:line="360" w:lineRule="auto"/>
        <w:ind w:left="0"/>
        <w:textAlignment w:val="auto"/>
        <w:rPr>
          <w:rFonts w:hint="eastAsia" w:ascii="宋体" w:hAnsi="宋体"/>
          <w:color w:val="auto"/>
          <w:sz w:val="24"/>
          <w:szCs w:val="24"/>
          <w:highlight w:val="none"/>
        </w:rPr>
      </w:pPr>
      <w:bookmarkStart w:id="321" w:name="_Toc351203638"/>
      <w:r>
        <w:rPr>
          <w:rFonts w:hint="eastAsia" w:ascii="宋体" w:hAnsi="宋体"/>
          <w:color w:val="auto"/>
          <w:sz w:val="24"/>
          <w:szCs w:val="24"/>
          <w:highlight w:val="none"/>
        </w:rPr>
        <w:t>6. 安全文明施工与环境保护</w:t>
      </w:r>
      <w:bookmarkEnd w:id="321"/>
    </w:p>
    <w:p w14:paraId="368C36F3">
      <w:pPr>
        <w:pageBreakBefore w:val="0"/>
        <w:kinsoku/>
        <w:wordWrap/>
        <w:overflowPunct/>
        <w:topLinePunct w:val="0"/>
        <w:autoSpaceDE/>
        <w:autoSpaceDN/>
        <w:bidi w:val="0"/>
        <w:adjustRightInd w:val="0"/>
        <w:snapToGrid w:val="0"/>
        <w:spacing w:line="360" w:lineRule="auto"/>
        <w:ind w:left="0" w:firstLine="422"/>
        <w:textAlignment w:val="auto"/>
        <w:rPr>
          <w:rFonts w:hint="eastAsia" w:ascii="宋体" w:hAnsi="宋体" w:eastAsia="宋体"/>
          <w:b/>
          <w:color w:val="auto"/>
          <w:sz w:val="24"/>
          <w:szCs w:val="24"/>
          <w:highlight w:val="none"/>
        </w:rPr>
      </w:pPr>
      <w:r>
        <w:rPr>
          <w:rFonts w:hint="eastAsia" w:ascii="宋体" w:hAnsi="宋体" w:eastAsia="宋体"/>
          <w:b/>
          <w:color w:val="auto"/>
          <w:sz w:val="24"/>
          <w:szCs w:val="24"/>
          <w:highlight w:val="none"/>
        </w:rPr>
        <w:t>6.1安全文明施工</w:t>
      </w:r>
    </w:p>
    <w:p w14:paraId="30BBCA5E">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rPr>
        <w:t>6.1.1 项目安全生产的达标目标及相应事项的约定：</w:t>
      </w:r>
      <w:r>
        <w:rPr>
          <w:rFonts w:hint="eastAsia" w:ascii="宋体" w:hAnsi="宋体" w:eastAsia="宋体"/>
          <w:color w:val="auto"/>
          <w:sz w:val="24"/>
          <w:szCs w:val="24"/>
          <w:highlight w:val="none"/>
          <w:u w:val="single"/>
        </w:rPr>
        <w:t>要求达到《建筑施工安全检查标准》（JGJ59-2011）标准，承包人应严格按工程建设安全生产的有关规定，采取安全措施组织施工。若发生安全责任事故，一切责任由承包人承担。</w:t>
      </w:r>
    </w:p>
    <w:p w14:paraId="2C1695B5">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u w:val="single"/>
        </w:rPr>
        <w:t>承包人应尽到总承包单位的义务，对施工现场的安全生产管理负总责，承包人在工地现场必须按规定要求配备专职安全员。承包人施工组织设计中必须编制安全技术措施和施工现场临时用电方案，对达到一定规模的危险性较大的分部分项工程编制专项施工方案，并附安全验算结果，经施工单位技术负责人、总监理工程师签字后实施，由专职安全员进行现场监督。</w:t>
      </w:r>
    </w:p>
    <w:p w14:paraId="13084BDD">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u w:val="single"/>
        </w:rPr>
        <w:t>承包人使用的安全防护用具、机械设备、施工机具及配件，应当具有生产（制造）许可证、产品合格证，并在进入施工现场前进行查验，经监理工程师签字确认后方可使用；</w:t>
      </w:r>
    </w:p>
    <w:p w14:paraId="126AADD0">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u w:val="single"/>
        </w:rPr>
        <w:t>提供和维修施工使用照明、警示照明、围栏设施，指示标志、警告标志、禁止标志等安全防护措施。</w:t>
      </w:r>
    </w:p>
    <w:p w14:paraId="37610645">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u w:val="single"/>
        </w:rPr>
        <w:t>承包人应当在施工现场建立消防安全责任制度，确定消防安全责任人，制定用火、用电、使用易燃易爆材料等各项消防安全管理制度和操作规程，设置消防通道、消防水源，配备消防设施和灭火器材，并在施工现场入口处设置明显标志。</w:t>
      </w:r>
    </w:p>
    <w:p w14:paraId="1EED36AF">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u w:val="single"/>
        </w:rPr>
        <w:t>承包人若不按工程建设安全生产的有关规定组织施工及设置安全设施，或发生较大安全责任事故的，发包人有权没收安全保证金。</w:t>
      </w:r>
    </w:p>
    <w:p w14:paraId="10C7784A">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6.1.4 关于治安保卫的特别约定：</w:t>
      </w:r>
      <w:r>
        <w:rPr>
          <w:rFonts w:hint="eastAsia" w:ascii="宋体" w:hAnsi="宋体" w:eastAsia="宋体"/>
          <w:color w:val="auto"/>
          <w:sz w:val="24"/>
          <w:szCs w:val="24"/>
          <w:highlight w:val="none"/>
          <w:u w:val="single"/>
        </w:rPr>
        <w:t>按通用条款执行</w:t>
      </w:r>
      <w:r>
        <w:rPr>
          <w:rFonts w:hint="eastAsia" w:ascii="宋体" w:hAnsi="宋体" w:eastAsia="宋体"/>
          <w:color w:val="auto"/>
          <w:sz w:val="24"/>
          <w:szCs w:val="24"/>
          <w:highlight w:val="none"/>
        </w:rPr>
        <w:t>。</w:t>
      </w:r>
    </w:p>
    <w:p w14:paraId="099067EF">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rPr>
        <w:t>关于编制施工场地治安管理计划的约定：</w:t>
      </w:r>
      <w:r>
        <w:rPr>
          <w:rFonts w:hint="eastAsia" w:ascii="宋体" w:hAnsi="宋体" w:eastAsia="宋体"/>
          <w:color w:val="auto"/>
          <w:sz w:val="24"/>
          <w:szCs w:val="24"/>
          <w:highlight w:val="none"/>
          <w:u w:val="single"/>
        </w:rPr>
        <w:t>承包人在开工前提供施工场地治安管理计划，负责夜间和非夜间的安全巡逻和保卫，统一管理施工场地治安保卫事项并承担相应责任。</w:t>
      </w:r>
    </w:p>
    <w:p w14:paraId="66976750">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6.1.5 文明施工</w:t>
      </w:r>
    </w:p>
    <w:p w14:paraId="5A187586">
      <w:pPr>
        <w:pageBreakBefore w:val="0"/>
        <w:widowControl/>
        <w:kinsoku/>
        <w:wordWrap/>
        <w:overflowPunct/>
        <w:topLinePunct w:val="0"/>
        <w:autoSpaceDE/>
        <w:autoSpaceDN/>
        <w:bidi w:val="0"/>
        <w:adjustRightInd w:val="0"/>
        <w:snapToGrid w:val="0"/>
        <w:spacing w:line="360" w:lineRule="auto"/>
        <w:ind w:left="0" w:firstLine="210"/>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rPr>
        <w:t>合同当事人对文明施工的要求：</w:t>
      </w:r>
      <w:r>
        <w:rPr>
          <w:rFonts w:hint="eastAsia" w:ascii="宋体" w:hAnsi="宋体" w:eastAsia="宋体"/>
          <w:color w:val="auto"/>
          <w:sz w:val="24"/>
          <w:szCs w:val="24"/>
          <w:highlight w:val="none"/>
          <w:u w:val="single"/>
        </w:rPr>
        <w:t>达到《建筑施工现场环境与卫生标准》（JGJ146-2013），施工场地要设立标语、标牌，做到文明施工，树立企业形象，主动接受社会监督和有关部门的管理；遵守政府有关主管部门对施工场地交通、施工噪音、环境保护和安全生产等的管理规定，按规定办理有关手续，并承担相关费用，因承包人原因造成的罚款由承包人承担，并以书面形式告知发包人。</w:t>
      </w:r>
    </w:p>
    <w:p w14:paraId="7E896021">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u w:val="single"/>
        </w:rPr>
        <w:t xml:space="preserve">现场施工扬尘控制，必须严格按《通州区扬尘整治“654”专项行动方案》要求逐项落实，现场应编制“扬尘”控制专项方案报监理方审核，如措施不到位，处 </w:t>
      </w:r>
      <w:r>
        <w:rPr>
          <w:rFonts w:hint="default" w:ascii="宋体" w:hAnsi="宋体" w:eastAsia="宋体"/>
          <w:color w:val="auto"/>
          <w:sz w:val="24"/>
          <w:szCs w:val="24"/>
          <w:highlight w:val="none"/>
          <w:u w:val="single"/>
        </w:rPr>
        <w:t>1</w:t>
      </w:r>
      <w:r>
        <w:rPr>
          <w:rFonts w:hint="eastAsia" w:ascii="宋体" w:hAnsi="宋体" w:eastAsia="宋体"/>
          <w:color w:val="auto"/>
          <w:sz w:val="24"/>
          <w:szCs w:val="24"/>
          <w:highlight w:val="none"/>
          <w:u w:val="single"/>
        </w:rPr>
        <w:t>〜</w:t>
      </w:r>
      <w:r>
        <w:rPr>
          <w:rFonts w:hint="default" w:ascii="宋体" w:hAnsi="宋体" w:eastAsia="宋体"/>
          <w:color w:val="auto"/>
          <w:sz w:val="24"/>
          <w:szCs w:val="24"/>
          <w:highlight w:val="none"/>
          <w:u w:val="single"/>
        </w:rPr>
        <w:t xml:space="preserve">5 </w:t>
      </w:r>
      <w:r>
        <w:rPr>
          <w:rFonts w:hint="eastAsia" w:ascii="宋体" w:hAnsi="宋体" w:eastAsia="宋体"/>
          <w:color w:val="auto"/>
          <w:sz w:val="24"/>
          <w:szCs w:val="24"/>
          <w:highlight w:val="none"/>
          <w:u w:val="single"/>
        </w:rPr>
        <w:t>万元违约金。</w:t>
      </w:r>
    </w:p>
    <w:p w14:paraId="11D6391B">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rPr>
        <w:t>6.1.6 关于安全文明施工费支付比例和支付期限的约定：</w:t>
      </w:r>
      <w:bookmarkEnd w:id="313"/>
      <w:bookmarkEnd w:id="314"/>
      <w:bookmarkEnd w:id="315"/>
      <w:bookmarkEnd w:id="316"/>
      <w:bookmarkEnd w:id="317"/>
      <w:bookmarkEnd w:id="318"/>
      <w:bookmarkEnd w:id="319"/>
      <w:bookmarkStart w:id="322" w:name="_Toc351203639"/>
      <w:r>
        <w:rPr>
          <w:rFonts w:hint="eastAsia" w:ascii="宋体" w:hAnsi="宋体" w:eastAsia="宋体"/>
          <w:color w:val="auto"/>
          <w:sz w:val="24"/>
          <w:szCs w:val="24"/>
          <w:highlight w:val="none"/>
          <w:u w:val="single"/>
        </w:rPr>
        <w:t>纳入合同价款支付。</w:t>
      </w:r>
    </w:p>
    <w:p w14:paraId="5F798BC9">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u w:val="single"/>
        </w:rPr>
        <w:t>6.1.7安全生产责任承包人应严格按《建设工程安全生产管理条例》等</w:t>
      </w:r>
      <w:r>
        <w:rPr>
          <w:rFonts w:hint="eastAsia" w:ascii="宋体" w:hAnsi="宋体" w:eastAsia="宋体"/>
          <w:color w:val="auto"/>
          <w:sz w:val="24"/>
          <w:szCs w:val="24"/>
          <w:highlight w:val="none"/>
          <w:u w:val="single"/>
          <w:lang w:eastAsia="zh-CN"/>
        </w:rPr>
        <w:t>法律法规</w:t>
      </w:r>
      <w:r>
        <w:rPr>
          <w:rFonts w:hint="eastAsia" w:ascii="宋体" w:hAnsi="宋体" w:eastAsia="宋体"/>
          <w:color w:val="auto"/>
          <w:sz w:val="24"/>
          <w:szCs w:val="24"/>
          <w:highlight w:val="none"/>
          <w:u w:val="single"/>
        </w:rPr>
        <w:t>采取安全措施、组织施工，承包人须对本合同范围内所有施工范围和施工人员负全部安全施工责任。承包人应严格按工程建设安全生产地有关管理规定，采取安全措施组织施工。若发生安全事故，一切责任由承包方承担。承包人对因工程施工可能造成损害的毗邻建筑物、构筑物和地下管线等，应当采取专项防护措施。承包人应当遵守有关环境保护</w:t>
      </w:r>
      <w:r>
        <w:rPr>
          <w:rFonts w:hint="eastAsia" w:ascii="宋体" w:hAnsi="宋体" w:eastAsia="宋体"/>
          <w:color w:val="auto"/>
          <w:sz w:val="24"/>
          <w:szCs w:val="24"/>
          <w:highlight w:val="none"/>
          <w:u w:val="single"/>
          <w:lang w:eastAsia="zh-CN"/>
        </w:rPr>
        <w:t>法律法规</w:t>
      </w:r>
      <w:r>
        <w:rPr>
          <w:rFonts w:hint="eastAsia" w:ascii="宋体" w:hAnsi="宋体" w:eastAsia="宋体"/>
          <w:color w:val="auto"/>
          <w:sz w:val="24"/>
          <w:szCs w:val="24"/>
          <w:highlight w:val="none"/>
          <w:u w:val="single"/>
        </w:rPr>
        <w:t>的规定，在施工现场采取措施，防止或减少粉尘、废气、废水、固体废物、噪声、振动和施工照明对人和环境的危害和污染。承包人必须建立完善的消防管理制度，并有专人负责现场的消防管理，施工现场须配备足够的消防器材，满足消防要求。承包人应当在施工现场建立消防安全责任制，确定消防安全责任人，制定用火、用电，使用易燃易爆材料等各项消防安全管理制度和操作规程，设置消防通道、消防水源，配备消防设施和灭火器材，并在施工现场设置明显标志。</w:t>
      </w:r>
    </w:p>
    <w:p w14:paraId="14391A3F">
      <w:pPr>
        <w:pageBreakBefore w:val="0"/>
        <w:kinsoku/>
        <w:wordWrap/>
        <w:overflowPunct/>
        <w:topLinePunct w:val="0"/>
        <w:autoSpaceDE/>
        <w:autoSpaceDN/>
        <w:bidi w:val="0"/>
        <w:adjustRightInd w:val="0"/>
        <w:snapToGrid w:val="0"/>
        <w:spacing w:line="360" w:lineRule="auto"/>
        <w:ind w:left="0" w:firstLine="422"/>
        <w:jc w:val="left"/>
        <w:textAlignment w:val="auto"/>
        <w:rPr>
          <w:rFonts w:hint="eastAsia" w:ascii="宋体" w:hAnsi="宋体" w:eastAsia="宋体"/>
          <w:b/>
          <w:color w:val="auto"/>
          <w:sz w:val="24"/>
          <w:szCs w:val="24"/>
          <w:highlight w:val="none"/>
        </w:rPr>
      </w:pPr>
      <w:r>
        <w:rPr>
          <w:rFonts w:hint="eastAsia" w:ascii="宋体" w:hAnsi="宋体" w:eastAsia="宋体"/>
          <w:b/>
          <w:color w:val="auto"/>
          <w:sz w:val="24"/>
          <w:szCs w:val="24"/>
          <w:highlight w:val="none"/>
        </w:rPr>
        <w:t>7. 工期和进度</w:t>
      </w:r>
      <w:bookmarkEnd w:id="322"/>
    </w:p>
    <w:p w14:paraId="03E720B9">
      <w:pPr>
        <w:pageBreakBefore w:val="0"/>
        <w:kinsoku/>
        <w:wordWrap/>
        <w:overflowPunct/>
        <w:topLinePunct w:val="0"/>
        <w:autoSpaceDE/>
        <w:autoSpaceDN/>
        <w:bidi w:val="0"/>
        <w:adjustRightInd w:val="0"/>
        <w:snapToGrid w:val="0"/>
        <w:spacing w:line="360" w:lineRule="auto"/>
        <w:ind w:left="0" w:firstLine="422"/>
        <w:textAlignment w:val="auto"/>
        <w:rPr>
          <w:rFonts w:hint="eastAsia" w:ascii="宋体" w:hAnsi="宋体" w:eastAsia="宋体"/>
          <w:b/>
          <w:color w:val="auto"/>
          <w:sz w:val="24"/>
          <w:szCs w:val="24"/>
          <w:highlight w:val="none"/>
        </w:rPr>
      </w:pPr>
      <w:r>
        <w:rPr>
          <w:rFonts w:hint="eastAsia" w:ascii="宋体" w:hAnsi="宋体" w:eastAsia="宋体"/>
          <w:b/>
          <w:color w:val="auto"/>
          <w:sz w:val="24"/>
          <w:szCs w:val="24"/>
          <w:highlight w:val="none"/>
        </w:rPr>
        <w:t>7.1 施工组织设计</w:t>
      </w:r>
    </w:p>
    <w:p w14:paraId="0E044B5D">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rPr>
        <w:t>7.1.1 合同当事人约定的施工组织设计应包括的其他内容：</w:t>
      </w:r>
      <w:r>
        <w:rPr>
          <w:rFonts w:hint="eastAsia" w:ascii="宋体" w:hAnsi="宋体" w:eastAsia="宋体"/>
          <w:color w:val="auto"/>
          <w:sz w:val="24"/>
          <w:szCs w:val="24"/>
          <w:highlight w:val="none"/>
          <w:u w:val="single"/>
        </w:rPr>
        <w:t>按招标文件约定，招标文件无约定的按通用条款或双方另行约定。</w:t>
      </w:r>
    </w:p>
    <w:p w14:paraId="55574CF3">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7.1.2 施工组织设计的提交和修改</w:t>
      </w:r>
    </w:p>
    <w:p w14:paraId="57FFD62D">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rPr>
        <w:t>承包人提交详细施工组织设计的期限的约定：</w:t>
      </w:r>
      <w:r>
        <w:rPr>
          <w:rFonts w:hint="eastAsia" w:ascii="宋体" w:hAnsi="宋体" w:eastAsia="宋体"/>
          <w:color w:val="auto"/>
          <w:sz w:val="24"/>
          <w:szCs w:val="24"/>
          <w:highlight w:val="none"/>
          <w:u w:val="single"/>
        </w:rPr>
        <w:t>开工前7日。</w:t>
      </w:r>
    </w:p>
    <w:p w14:paraId="64A5F210">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发包人和监理人在收到详细的施工组织设计后确认或提出修改意见的期限：</w:t>
      </w:r>
      <w:r>
        <w:rPr>
          <w:rFonts w:hint="eastAsia" w:ascii="宋体" w:hAnsi="宋体" w:eastAsia="宋体"/>
          <w:color w:val="auto"/>
          <w:sz w:val="24"/>
          <w:szCs w:val="24"/>
          <w:highlight w:val="none"/>
          <w:u w:val="single"/>
        </w:rPr>
        <w:t>收到后5天内予以确认或提出修改意见</w:t>
      </w:r>
      <w:r>
        <w:rPr>
          <w:rFonts w:hint="eastAsia" w:ascii="宋体" w:hAnsi="宋体" w:eastAsia="宋体"/>
          <w:b/>
          <w:color w:val="auto"/>
          <w:sz w:val="24"/>
          <w:szCs w:val="24"/>
          <w:highlight w:val="none"/>
        </w:rPr>
        <w:t>。</w:t>
      </w:r>
    </w:p>
    <w:p w14:paraId="187D4DD6">
      <w:pPr>
        <w:pageBreakBefore w:val="0"/>
        <w:kinsoku/>
        <w:wordWrap/>
        <w:overflowPunct/>
        <w:topLinePunct w:val="0"/>
        <w:autoSpaceDE/>
        <w:autoSpaceDN/>
        <w:bidi w:val="0"/>
        <w:adjustRightInd w:val="0"/>
        <w:snapToGrid w:val="0"/>
        <w:spacing w:line="360" w:lineRule="auto"/>
        <w:ind w:left="0" w:firstLine="422"/>
        <w:textAlignment w:val="auto"/>
        <w:rPr>
          <w:rFonts w:hint="eastAsia" w:ascii="宋体" w:hAnsi="宋体" w:eastAsia="宋体"/>
          <w:b/>
          <w:color w:val="auto"/>
          <w:sz w:val="24"/>
          <w:szCs w:val="24"/>
          <w:highlight w:val="none"/>
        </w:rPr>
      </w:pPr>
      <w:r>
        <w:rPr>
          <w:rFonts w:hint="eastAsia" w:ascii="宋体" w:hAnsi="宋体" w:eastAsia="宋体"/>
          <w:b/>
          <w:color w:val="auto"/>
          <w:sz w:val="24"/>
          <w:szCs w:val="24"/>
          <w:highlight w:val="none"/>
        </w:rPr>
        <w:t>7</w:t>
      </w:r>
      <w:bookmarkStart w:id="323" w:name="_Toc300934966"/>
      <w:bookmarkStart w:id="324" w:name="_Toc304295541"/>
      <w:bookmarkStart w:id="325" w:name="_Toc312678005"/>
      <w:bookmarkStart w:id="326" w:name="_Toc297216173"/>
      <w:bookmarkStart w:id="327" w:name="_Toc303539123"/>
      <w:bookmarkStart w:id="328" w:name="_Toc312677479"/>
      <w:bookmarkStart w:id="329" w:name="_Toc297123514"/>
      <w:r>
        <w:rPr>
          <w:rFonts w:hint="eastAsia" w:ascii="宋体" w:hAnsi="宋体" w:eastAsia="宋体"/>
          <w:b/>
          <w:color w:val="auto"/>
          <w:sz w:val="24"/>
          <w:szCs w:val="24"/>
          <w:highlight w:val="none"/>
        </w:rPr>
        <w:t>.2 施工进度计划</w:t>
      </w:r>
    </w:p>
    <w:p w14:paraId="29898E5A">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7.2.2 施工进度计划的修订</w:t>
      </w:r>
    </w:p>
    <w:p w14:paraId="7CAFA2D6">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rPr>
        <w:t>发包人和监理人在收到修订的施工进度计划后确认或提出修改意见的期限：</w:t>
      </w:r>
      <w:r>
        <w:rPr>
          <w:rFonts w:hint="eastAsia" w:ascii="宋体" w:hAnsi="宋体" w:eastAsia="宋体"/>
          <w:color w:val="auto"/>
          <w:sz w:val="24"/>
          <w:szCs w:val="24"/>
          <w:highlight w:val="none"/>
          <w:u w:val="single"/>
        </w:rPr>
        <w:t>收到后5天内；</w:t>
      </w:r>
    </w:p>
    <w:p w14:paraId="7E639C4C">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u w:val="single"/>
        </w:rPr>
        <w:t>承包人每周五下午5：00前提供下周计划和本周完成情况统计表（一式三份）交监理机构。</w:t>
      </w:r>
    </w:p>
    <w:p w14:paraId="67896C2C">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u w:val="single"/>
        </w:rPr>
        <w:t>施工月进度计划：第一次在开工前7日，以后在上月25日前提供；在每月25日前，将本月进度统计报表及纠偏措施与下月施工进度计划同时提供。</w:t>
      </w:r>
    </w:p>
    <w:p w14:paraId="51584488">
      <w:pPr>
        <w:pageBreakBefore w:val="0"/>
        <w:kinsoku/>
        <w:wordWrap/>
        <w:overflowPunct/>
        <w:topLinePunct w:val="0"/>
        <w:autoSpaceDE/>
        <w:autoSpaceDN/>
        <w:bidi w:val="0"/>
        <w:adjustRightInd w:val="0"/>
        <w:snapToGrid w:val="0"/>
        <w:spacing w:line="360" w:lineRule="auto"/>
        <w:ind w:left="0" w:firstLine="422"/>
        <w:textAlignment w:val="auto"/>
        <w:rPr>
          <w:rFonts w:hint="eastAsia" w:ascii="宋体" w:hAnsi="宋体" w:eastAsia="宋体"/>
          <w:b/>
          <w:color w:val="auto"/>
          <w:sz w:val="24"/>
          <w:szCs w:val="24"/>
          <w:highlight w:val="none"/>
        </w:rPr>
      </w:pPr>
      <w:r>
        <w:rPr>
          <w:rFonts w:hint="eastAsia" w:ascii="宋体" w:hAnsi="宋体" w:eastAsia="宋体"/>
          <w:b/>
          <w:color w:val="auto"/>
          <w:sz w:val="24"/>
          <w:szCs w:val="24"/>
          <w:highlight w:val="none"/>
        </w:rPr>
        <w:t>7.3 开工</w:t>
      </w:r>
    </w:p>
    <w:p w14:paraId="163F7C8E">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7.3.1 开工准备</w:t>
      </w:r>
    </w:p>
    <w:p w14:paraId="6EE7B46A">
      <w:pPr>
        <w:pageBreakBefore w:val="0"/>
        <w:kinsoku/>
        <w:wordWrap/>
        <w:overflowPunct/>
        <w:topLinePunct w:val="0"/>
        <w:autoSpaceDE/>
        <w:autoSpaceDN/>
        <w:bidi w:val="0"/>
        <w:adjustRightInd w:val="0"/>
        <w:snapToGrid w:val="0"/>
        <w:spacing w:line="360" w:lineRule="auto"/>
        <w:ind w:left="0" w:firstLine="645"/>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rPr>
        <w:t>关于承包人提交工程开工报审表的期限：</w:t>
      </w:r>
      <w:r>
        <w:rPr>
          <w:rFonts w:hint="eastAsia" w:ascii="宋体" w:hAnsi="宋体" w:eastAsia="宋体"/>
          <w:color w:val="auto"/>
          <w:sz w:val="24"/>
          <w:szCs w:val="24"/>
          <w:highlight w:val="none"/>
          <w:u w:val="single"/>
        </w:rPr>
        <w:t>合同签订后、开工前</w:t>
      </w:r>
      <w:r>
        <w:rPr>
          <w:rFonts w:hint="eastAsia" w:ascii="宋体" w:hAnsi="宋体" w:eastAsia="宋体"/>
          <w:color w:val="auto"/>
          <w:sz w:val="24"/>
          <w:szCs w:val="24"/>
          <w:highlight w:val="none"/>
        </w:rPr>
        <w:t>。</w:t>
      </w:r>
    </w:p>
    <w:p w14:paraId="5AFD519E">
      <w:pPr>
        <w:pageBreakBefore w:val="0"/>
        <w:kinsoku/>
        <w:wordWrap/>
        <w:overflowPunct/>
        <w:topLinePunct w:val="0"/>
        <w:autoSpaceDE/>
        <w:autoSpaceDN/>
        <w:bidi w:val="0"/>
        <w:adjustRightInd w:val="0"/>
        <w:snapToGrid w:val="0"/>
        <w:spacing w:line="360" w:lineRule="auto"/>
        <w:ind w:left="0" w:firstLine="645"/>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关于发包人应完成的其他开工准备工作及期限：</w:t>
      </w:r>
      <w:r>
        <w:rPr>
          <w:rFonts w:hint="eastAsia" w:ascii="宋体" w:hAnsi="宋体" w:eastAsia="宋体"/>
          <w:color w:val="auto"/>
          <w:sz w:val="24"/>
          <w:szCs w:val="24"/>
          <w:highlight w:val="none"/>
          <w:u w:val="single"/>
        </w:rPr>
        <w:t>/</w:t>
      </w:r>
      <w:r>
        <w:rPr>
          <w:rFonts w:hint="eastAsia" w:ascii="宋体" w:hAnsi="宋体" w:eastAsia="宋体"/>
          <w:color w:val="auto"/>
          <w:sz w:val="24"/>
          <w:szCs w:val="24"/>
          <w:highlight w:val="none"/>
        </w:rPr>
        <w:t>。</w:t>
      </w:r>
    </w:p>
    <w:p w14:paraId="5B117772">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关于承包人应完成的其他开工准备工作及期限：</w:t>
      </w:r>
      <w:r>
        <w:rPr>
          <w:rFonts w:hint="eastAsia" w:ascii="宋体" w:hAnsi="宋体" w:eastAsia="宋体"/>
          <w:color w:val="auto"/>
          <w:sz w:val="24"/>
          <w:szCs w:val="24"/>
          <w:highlight w:val="none"/>
          <w:u w:val="single"/>
        </w:rPr>
        <w:t>/</w:t>
      </w:r>
      <w:r>
        <w:rPr>
          <w:rFonts w:hint="eastAsia" w:ascii="宋体" w:hAnsi="宋体" w:eastAsia="宋体"/>
          <w:color w:val="auto"/>
          <w:sz w:val="24"/>
          <w:szCs w:val="24"/>
          <w:highlight w:val="none"/>
        </w:rPr>
        <w:t>。</w:t>
      </w:r>
    </w:p>
    <w:p w14:paraId="5BE8F861">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7.3.2开工通知</w:t>
      </w:r>
    </w:p>
    <w:p w14:paraId="3A541B72">
      <w:pPr>
        <w:pageBreakBefore w:val="0"/>
        <w:kinsoku/>
        <w:wordWrap/>
        <w:overflowPunct/>
        <w:topLinePunct w:val="0"/>
        <w:autoSpaceDE/>
        <w:autoSpaceDN/>
        <w:bidi w:val="0"/>
        <w:adjustRightInd w:val="0"/>
        <w:snapToGrid w:val="0"/>
        <w:spacing w:line="360" w:lineRule="auto"/>
        <w:ind w:left="0" w:firstLine="420"/>
        <w:jc w:val="left"/>
        <w:textAlignment w:val="auto"/>
        <w:rPr>
          <w:rFonts w:hint="default" w:ascii="Times New Roman" w:hAnsi="Times New Roman" w:eastAsia="仿宋_GB2312"/>
          <w:color w:val="auto"/>
          <w:sz w:val="24"/>
          <w:szCs w:val="24"/>
          <w:highlight w:val="none"/>
        </w:rPr>
      </w:pPr>
      <w:r>
        <w:rPr>
          <w:rFonts w:hint="eastAsia" w:ascii="宋体" w:hAnsi="宋体" w:eastAsia="宋体"/>
          <w:color w:val="auto"/>
          <w:sz w:val="24"/>
          <w:szCs w:val="24"/>
          <w:highlight w:val="none"/>
        </w:rPr>
        <w:t>因发包人原因造成监理人未能在计划开工日期之日起</w:t>
      </w:r>
      <w:r>
        <w:rPr>
          <w:rFonts w:hint="eastAsia" w:ascii="宋体" w:hAnsi="宋体" w:eastAsia="宋体"/>
          <w:color w:val="auto"/>
          <w:sz w:val="24"/>
          <w:szCs w:val="24"/>
          <w:highlight w:val="none"/>
          <w:u w:val="single"/>
        </w:rPr>
        <w:t>90</w:t>
      </w:r>
      <w:r>
        <w:rPr>
          <w:rFonts w:hint="eastAsia" w:ascii="宋体" w:hAnsi="宋体" w:eastAsia="宋体"/>
          <w:color w:val="auto"/>
          <w:sz w:val="24"/>
          <w:szCs w:val="24"/>
          <w:highlight w:val="none"/>
        </w:rPr>
        <w:t>天内发出开工通知的，承包人有权提出价格调整要求，或者解除合同。</w:t>
      </w:r>
      <w:bookmarkEnd w:id="323"/>
      <w:bookmarkEnd w:id="324"/>
      <w:bookmarkEnd w:id="325"/>
      <w:bookmarkEnd w:id="326"/>
      <w:bookmarkEnd w:id="327"/>
      <w:bookmarkEnd w:id="328"/>
      <w:bookmarkEnd w:id="329"/>
    </w:p>
    <w:p w14:paraId="21976943">
      <w:pPr>
        <w:pageBreakBefore w:val="0"/>
        <w:kinsoku/>
        <w:wordWrap/>
        <w:overflowPunct/>
        <w:topLinePunct w:val="0"/>
        <w:autoSpaceDE/>
        <w:autoSpaceDN/>
        <w:bidi w:val="0"/>
        <w:adjustRightInd w:val="0"/>
        <w:snapToGrid w:val="0"/>
        <w:spacing w:line="360" w:lineRule="auto"/>
        <w:ind w:left="0" w:firstLine="422"/>
        <w:textAlignment w:val="auto"/>
        <w:rPr>
          <w:rFonts w:hint="eastAsia" w:ascii="宋体" w:hAnsi="宋体" w:eastAsia="宋体"/>
          <w:b/>
          <w:color w:val="auto"/>
          <w:sz w:val="24"/>
          <w:szCs w:val="24"/>
          <w:highlight w:val="none"/>
        </w:rPr>
      </w:pPr>
      <w:r>
        <w:rPr>
          <w:rFonts w:hint="eastAsia" w:ascii="宋体" w:hAnsi="宋体" w:eastAsia="宋体"/>
          <w:b/>
          <w:color w:val="auto"/>
          <w:sz w:val="24"/>
          <w:szCs w:val="24"/>
          <w:highlight w:val="none"/>
        </w:rPr>
        <w:t>7.4 测量放线</w:t>
      </w:r>
    </w:p>
    <w:p w14:paraId="6D02BF07">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rPr>
        <w:t>7.4.1发包人通过监理人向承包人提供测量基准点、基准线和水准点及其书面资料的期限：</w:t>
      </w:r>
      <w:r>
        <w:rPr>
          <w:rFonts w:hint="eastAsia" w:ascii="宋体" w:hAnsi="宋体" w:eastAsia="宋体"/>
          <w:color w:val="auto"/>
          <w:sz w:val="24"/>
          <w:szCs w:val="24"/>
          <w:highlight w:val="none"/>
          <w:u w:val="single"/>
        </w:rPr>
        <w:t>按通用条款。</w:t>
      </w:r>
    </w:p>
    <w:p w14:paraId="373D76C2">
      <w:pPr>
        <w:pageBreakBefore w:val="0"/>
        <w:kinsoku/>
        <w:wordWrap/>
        <w:overflowPunct/>
        <w:topLinePunct w:val="0"/>
        <w:autoSpaceDE/>
        <w:autoSpaceDN/>
        <w:bidi w:val="0"/>
        <w:adjustRightInd w:val="0"/>
        <w:snapToGrid w:val="0"/>
        <w:spacing w:line="360" w:lineRule="auto"/>
        <w:ind w:left="0" w:firstLine="422"/>
        <w:textAlignment w:val="auto"/>
        <w:rPr>
          <w:rFonts w:hint="eastAsia" w:ascii="宋体" w:hAnsi="宋体" w:eastAsia="宋体"/>
          <w:b/>
          <w:color w:val="auto"/>
          <w:sz w:val="24"/>
          <w:szCs w:val="24"/>
          <w:highlight w:val="none"/>
        </w:rPr>
      </w:pPr>
      <w:r>
        <w:rPr>
          <w:rFonts w:hint="eastAsia" w:ascii="宋体" w:hAnsi="宋体" w:eastAsia="宋体"/>
          <w:b/>
          <w:color w:val="auto"/>
          <w:sz w:val="24"/>
          <w:szCs w:val="24"/>
          <w:highlight w:val="none"/>
        </w:rPr>
        <w:t>7</w:t>
      </w:r>
      <w:bookmarkStart w:id="330" w:name="_Toc312678010"/>
      <w:bookmarkStart w:id="331" w:name="_Toc304295546"/>
      <w:bookmarkStart w:id="332" w:name="_Toc300934968"/>
      <w:bookmarkStart w:id="333" w:name="_Toc297123516"/>
      <w:bookmarkStart w:id="334" w:name="_Toc297216175"/>
      <w:bookmarkStart w:id="335" w:name="_Toc312677484"/>
      <w:bookmarkStart w:id="336" w:name="_Toc303539125"/>
      <w:r>
        <w:rPr>
          <w:rFonts w:hint="eastAsia" w:ascii="宋体" w:hAnsi="宋体" w:eastAsia="宋体"/>
          <w:b/>
          <w:color w:val="auto"/>
          <w:sz w:val="24"/>
          <w:szCs w:val="24"/>
          <w:highlight w:val="none"/>
        </w:rPr>
        <w:t>.5 工期延误</w:t>
      </w:r>
      <w:bookmarkEnd w:id="330"/>
      <w:bookmarkEnd w:id="331"/>
      <w:bookmarkEnd w:id="332"/>
      <w:bookmarkEnd w:id="333"/>
      <w:bookmarkEnd w:id="334"/>
      <w:bookmarkEnd w:id="335"/>
      <w:bookmarkEnd w:id="336"/>
    </w:p>
    <w:p w14:paraId="4E820A77">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7.5.1 因发包人原因导致工期延误</w:t>
      </w:r>
    </w:p>
    <w:p w14:paraId="2013AF7F">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rPr>
        <w:t>（7）因发包人原因导致工期延误的其他情形：</w:t>
      </w:r>
      <w:r>
        <w:rPr>
          <w:rFonts w:hint="eastAsia" w:ascii="宋体" w:hAnsi="宋体" w:eastAsia="宋体"/>
          <w:color w:val="auto"/>
          <w:sz w:val="24"/>
          <w:szCs w:val="24"/>
          <w:highlight w:val="none"/>
          <w:u w:val="single"/>
        </w:rPr>
        <w:t>①按通用条款；②非承包人原因造成的停工、停水、停电超过24小时的；③发生合同约定任一可顺延工期的情况时，承包人必须办理延期手续，得到监理机构签认，并报发包人书面批准后方可顺延；承包人未按通用条款时间要求提出报告的，视为该顺延的情形没有发生，不予顺延。</w:t>
      </w:r>
    </w:p>
    <w:p w14:paraId="6AE387ED">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7</w:t>
      </w:r>
      <w:bookmarkStart w:id="337" w:name="_Toc312678012"/>
      <w:bookmarkStart w:id="338" w:name="_Toc318581169"/>
      <w:bookmarkStart w:id="339" w:name="_Toc312677486"/>
      <w:bookmarkStart w:id="340" w:name="_Toc297216177"/>
      <w:bookmarkStart w:id="341" w:name="_Toc297123518"/>
      <w:bookmarkStart w:id="342" w:name="_Toc300934970"/>
      <w:bookmarkStart w:id="343" w:name="_Toc304295548"/>
      <w:bookmarkStart w:id="344" w:name="_Toc303539127"/>
      <w:r>
        <w:rPr>
          <w:rFonts w:hint="eastAsia" w:ascii="宋体" w:hAnsi="宋体" w:eastAsia="宋体"/>
          <w:color w:val="auto"/>
          <w:sz w:val="24"/>
          <w:szCs w:val="24"/>
          <w:highlight w:val="none"/>
        </w:rPr>
        <w:t>.5.2 因承包人原因导致工期延误</w:t>
      </w:r>
      <w:bookmarkEnd w:id="337"/>
      <w:bookmarkEnd w:id="338"/>
      <w:bookmarkEnd w:id="339"/>
    </w:p>
    <w:p w14:paraId="628DAB14">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rPr>
        <w:t>因</w:t>
      </w:r>
      <w:bookmarkStart w:id="345" w:name="_Toc312678013"/>
      <w:bookmarkStart w:id="346" w:name="_Toc312677487"/>
      <w:bookmarkStart w:id="347" w:name="_Toc318581170"/>
      <w:r>
        <w:rPr>
          <w:rFonts w:hint="eastAsia" w:ascii="宋体" w:hAnsi="宋体" w:eastAsia="宋体"/>
          <w:color w:val="auto"/>
          <w:sz w:val="24"/>
          <w:szCs w:val="24"/>
          <w:highlight w:val="none"/>
        </w:rPr>
        <w:t>承包人原因造成工期延误，逾期竣工违约金的计算方法为：</w:t>
      </w:r>
      <w:bookmarkEnd w:id="340"/>
      <w:bookmarkEnd w:id="341"/>
      <w:bookmarkEnd w:id="342"/>
      <w:bookmarkEnd w:id="343"/>
      <w:bookmarkEnd w:id="344"/>
      <w:bookmarkEnd w:id="345"/>
      <w:bookmarkEnd w:id="346"/>
      <w:bookmarkEnd w:id="347"/>
    </w:p>
    <w:p w14:paraId="0F2B043C">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u w:val="single"/>
        </w:rPr>
        <w:t>因承包人原因延误总工期每延迟一天罚款10000元，超过15天（含15天）工期履约保证金不退还，并处以工程结算价为基数每天千分之五罚款，其他按通用条款中约定的内容执行。</w:t>
      </w:r>
    </w:p>
    <w:p w14:paraId="305797DB">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u w:val="single"/>
        </w:rPr>
        <w:t>因承包人原因未及时开工，按照约定的开工日期，每拖延一天罚款10000元。</w:t>
      </w:r>
    </w:p>
    <w:p w14:paraId="7C16A2CF">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u w:val="single"/>
        </w:rPr>
        <w:t>未经发包人书面批准，承包人超过本合同约定的开工日期10天仍未开工或连续停工5天以上的，发包人有权单方解除本合同，对已完成的工程量不支付工程款。</w:t>
      </w:r>
    </w:p>
    <w:p w14:paraId="345824AA">
      <w:pPr>
        <w:pageBreakBefore w:val="0"/>
        <w:kinsoku/>
        <w:wordWrap/>
        <w:overflowPunct/>
        <w:topLinePunct w:val="0"/>
        <w:autoSpaceDE/>
        <w:autoSpaceDN/>
        <w:bidi w:val="0"/>
        <w:adjustRightInd w:val="0"/>
        <w:snapToGrid w:val="0"/>
        <w:spacing w:line="360" w:lineRule="auto"/>
        <w:ind w:left="0" w:firstLine="420"/>
        <w:jc w:val="left"/>
        <w:textAlignment w:val="auto"/>
        <w:rPr>
          <w:rFonts w:hint="default" w:ascii="Times New Roman" w:hAnsi="Times New Roman" w:eastAsia="仿宋_GB2312"/>
          <w:color w:val="auto"/>
          <w:sz w:val="24"/>
          <w:szCs w:val="24"/>
          <w:highlight w:val="none"/>
        </w:rPr>
      </w:pPr>
      <w:r>
        <w:rPr>
          <w:rFonts w:hint="eastAsia" w:ascii="宋体" w:hAnsi="宋体" w:eastAsia="宋体"/>
          <w:color w:val="auto"/>
          <w:sz w:val="24"/>
          <w:szCs w:val="24"/>
          <w:highlight w:val="none"/>
        </w:rPr>
        <w:t>因承包人原因造成工期延误，逾</w:t>
      </w:r>
      <w:bookmarkStart w:id="348" w:name="_Toc312678014"/>
      <w:bookmarkStart w:id="349" w:name="_Toc318581171"/>
      <w:r>
        <w:rPr>
          <w:rFonts w:hint="eastAsia" w:ascii="宋体" w:hAnsi="宋体" w:eastAsia="宋体"/>
          <w:color w:val="auto"/>
          <w:sz w:val="24"/>
          <w:szCs w:val="24"/>
          <w:highlight w:val="none"/>
        </w:rPr>
        <w:t>期竣工违约金的上限：</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w:t>
      </w:r>
      <w:bookmarkEnd w:id="348"/>
      <w:bookmarkEnd w:id="349"/>
    </w:p>
    <w:p w14:paraId="38B3C66F">
      <w:pPr>
        <w:pageBreakBefore w:val="0"/>
        <w:kinsoku/>
        <w:wordWrap/>
        <w:overflowPunct/>
        <w:topLinePunct w:val="0"/>
        <w:autoSpaceDE/>
        <w:autoSpaceDN/>
        <w:bidi w:val="0"/>
        <w:adjustRightInd w:val="0"/>
        <w:snapToGrid w:val="0"/>
        <w:spacing w:line="360" w:lineRule="auto"/>
        <w:ind w:left="0" w:firstLine="422"/>
        <w:textAlignment w:val="auto"/>
        <w:rPr>
          <w:rFonts w:hint="eastAsia" w:ascii="宋体" w:hAnsi="宋体" w:eastAsia="宋体"/>
          <w:b/>
          <w:color w:val="auto"/>
          <w:sz w:val="24"/>
          <w:szCs w:val="24"/>
          <w:highlight w:val="none"/>
        </w:rPr>
      </w:pPr>
      <w:r>
        <w:rPr>
          <w:rFonts w:hint="eastAsia" w:ascii="宋体" w:hAnsi="宋体" w:eastAsia="宋体"/>
          <w:b/>
          <w:color w:val="auto"/>
          <w:sz w:val="24"/>
          <w:szCs w:val="24"/>
          <w:highlight w:val="none"/>
        </w:rPr>
        <w:t>7</w:t>
      </w:r>
      <w:bookmarkStart w:id="350" w:name="_Toc312678015"/>
      <w:bookmarkStart w:id="351" w:name="_Toc304295549"/>
      <w:bookmarkStart w:id="352" w:name="_Toc297123519"/>
      <w:bookmarkStart w:id="353" w:name="_Toc297216178"/>
      <w:bookmarkStart w:id="354" w:name="_Toc303539128"/>
      <w:bookmarkStart w:id="355" w:name="_Toc300934971"/>
      <w:r>
        <w:rPr>
          <w:rFonts w:hint="eastAsia" w:ascii="宋体" w:hAnsi="宋体" w:eastAsia="宋体"/>
          <w:b/>
          <w:color w:val="auto"/>
          <w:sz w:val="24"/>
          <w:szCs w:val="24"/>
          <w:highlight w:val="none"/>
        </w:rPr>
        <w:t>.6 不</w:t>
      </w:r>
      <w:bookmarkEnd w:id="350"/>
      <w:bookmarkEnd w:id="351"/>
      <w:bookmarkEnd w:id="352"/>
      <w:bookmarkEnd w:id="353"/>
      <w:bookmarkEnd w:id="354"/>
      <w:bookmarkEnd w:id="355"/>
      <w:r>
        <w:rPr>
          <w:rFonts w:hint="eastAsia" w:ascii="宋体" w:hAnsi="宋体" w:eastAsia="宋体"/>
          <w:b/>
          <w:color w:val="auto"/>
          <w:sz w:val="24"/>
          <w:szCs w:val="24"/>
          <w:highlight w:val="none"/>
        </w:rPr>
        <w:t>利物质条件</w:t>
      </w:r>
    </w:p>
    <w:p w14:paraId="4DDF1F7C">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bookmarkStart w:id="356" w:name="_Toc297123520"/>
      <w:bookmarkStart w:id="357" w:name="_Toc312678016"/>
      <w:bookmarkStart w:id="358" w:name="_Toc318581172"/>
      <w:bookmarkStart w:id="359" w:name="_Toc297216179"/>
      <w:bookmarkStart w:id="360" w:name="_Toc304295550"/>
      <w:bookmarkStart w:id="361" w:name="_Toc303539129"/>
      <w:bookmarkStart w:id="362" w:name="_Toc300934972"/>
      <w:r>
        <w:rPr>
          <w:rFonts w:hint="eastAsia" w:ascii="宋体" w:hAnsi="宋体" w:eastAsia="宋体"/>
          <w:color w:val="auto"/>
          <w:sz w:val="24"/>
          <w:szCs w:val="24"/>
          <w:highlight w:val="none"/>
        </w:rPr>
        <w:t>不利物质条件的其他情形和有关约定：</w:t>
      </w:r>
      <w:r>
        <w:rPr>
          <w:rFonts w:hint="eastAsia" w:ascii="宋体" w:hAnsi="宋体" w:eastAsia="宋体"/>
          <w:color w:val="auto"/>
          <w:sz w:val="24"/>
          <w:szCs w:val="24"/>
          <w:highlight w:val="none"/>
          <w:u w:val="single"/>
        </w:rPr>
        <w:t>/</w:t>
      </w:r>
      <w:r>
        <w:rPr>
          <w:rFonts w:hint="eastAsia" w:ascii="宋体" w:hAnsi="宋体" w:eastAsia="宋体"/>
          <w:color w:val="auto"/>
          <w:sz w:val="24"/>
          <w:szCs w:val="24"/>
          <w:highlight w:val="none"/>
        </w:rPr>
        <w:t>。</w:t>
      </w:r>
      <w:bookmarkEnd w:id="356"/>
      <w:bookmarkEnd w:id="357"/>
      <w:bookmarkEnd w:id="358"/>
      <w:bookmarkEnd w:id="359"/>
      <w:bookmarkEnd w:id="360"/>
      <w:bookmarkEnd w:id="361"/>
      <w:bookmarkEnd w:id="362"/>
    </w:p>
    <w:p w14:paraId="05001F34">
      <w:pPr>
        <w:pageBreakBefore w:val="0"/>
        <w:kinsoku/>
        <w:wordWrap/>
        <w:overflowPunct/>
        <w:topLinePunct w:val="0"/>
        <w:autoSpaceDE/>
        <w:autoSpaceDN/>
        <w:bidi w:val="0"/>
        <w:adjustRightInd w:val="0"/>
        <w:snapToGrid w:val="0"/>
        <w:spacing w:line="360" w:lineRule="auto"/>
        <w:ind w:left="0" w:firstLine="422"/>
        <w:textAlignment w:val="auto"/>
        <w:rPr>
          <w:rFonts w:hint="eastAsia" w:ascii="宋体" w:hAnsi="宋体" w:eastAsia="宋体"/>
          <w:b/>
          <w:color w:val="auto"/>
          <w:sz w:val="24"/>
          <w:szCs w:val="24"/>
          <w:highlight w:val="none"/>
        </w:rPr>
      </w:pPr>
      <w:r>
        <w:rPr>
          <w:rFonts w:hint="eastAsia" w:ascii="宋体" w:hAnsi="宋体" w:eastAsia="宋体"/>
          <w:b/>
          <w:color w:val="auto"/>
          <w:sz w:val="24"/>
          <w:szCs w:val="24"/>
          <w:highlight w:val="none"/>
        </w:rPr>
        <w:t>7</w:t>
      </w:r>
      <w:bookmarkStart w:id="363" w:name="_Toc297216180"/>
      <w:bookmarkStart w:id="364" w:name="_Toc297123521"/>
      <w:bookmarkStart w:id="365" w:name="_Toc304295551"/>
      <w:bookmarkStart w:id="366" w:name="_Toc303539130"/>
      <w:bookmarkStart w:id="367" w:name="_Toc300934973"/>
      <w:bookmarkStart w:id="368" w:name="_Toc312678017"/>
      <w:r>
        <w:rPr>
          <w:rFonts w:hint="eastAsia" w:ascii="宋体" w:hAnsi="宋体" w:eastAsia="宋体"/>
          <w:b/>
          <w:color w:val="auto"/>
          <w:sz w:val="24"/>
          <w:szCs w:val="24"/>
          <w:highlight w:val="none"/>
        </w:rPr>
        <w:t>.7异常恶劣的气候条件</w:t>
      </w:r>
      <w:bookmarkEnd w:id="363"/>
      <w:bookmarkEnd w:id="364"/>
      <w:bookmarkEnd w:id="365"/>
      <w:bookmarkEnd w:id="366"/>
      <w:bookmarkEnd w:id="367"/>
      <w:bookmarkEnd w:id="368"/>
    </w:p>
    <w:p w14:paraId="3DB2D9E1">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发包人和承包人同意以下情形视为异常恶劣的气候条件：</w:t>
      </w:r>
    </w:p>
    <w:p w14:paraId="15E94613">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w:t>
      </w:r>
      <w:r>
        <w:rPr>
          <w:rFonts w:hint="eastAsia" w:ascii="宋体" w:hAnsi="宋体" w:eastAsia="宋体"/>
          <w:color w:val="auto"/>
          <w:sz w:val="24"/>
          <w:szCs w:val="24"/>
          <w:highlight w:val="none"/>
          <w:u w:val="single"/>
        </w:rPr>
        <w:t>由市级以上有关部门正式发布和认定的自然灾害</w:t>
      </w:r>
      <w:r>
        <w:rPr>
          <w:rFonts w:hint="eastAsia" w:ascii="宋体" w:hAnsi="宋体" w:eastAsia="宋体"/>
          <w:color w:val="auto"/>
          <w:sz w:val="24"/>
          <w:szCs w:val="24"/>
          <w:highlight w:val="none"/>
        </w:rPr>
        <w:t>；</w:t>
      </w:r>
    </w:p>
    <w:p w14:paraId="5574E3A1">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（2）</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w:t>
      </w:r>
    </w:p>
    <w:p w14:paraId="5D3359EA">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（3）</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w:t>
      </w:r>
    </w:p>
    <w:p w14:paraId="79222B68">
      <w:pPr>
        <w:pageBreakBefore w:val="0"/>
        <w:kinsoku/>
        <w:wordWrap/>
        <w:overflowPunct/>
        <w:topLinePunct w:val="0"/>
        <w:autoSpaceDE/>
        <w:autoSpaceDN/>
        <w:bidi w:val="0"/>
        <w:adjustRightInd w:val="0"/>
        <w:snapToGrid w:val="0"/>
        <w:spacing w:line="360" w:lineRule="auto"/>
        <w:ind w:left="0" w:firstLine="420"/>
        <w:textAlignment w:val="auto"/>
        <w:outlineLvl w:val="0"/>
        <w:rPr>
          <w:rFonts w:hint="eastAsia" w:ascii="宋体" w:hAnsi="宋体" w:eastAsia="宋体"/>
          <w:color w:val="auto"/>
          <w:sz w:val="24"/>
          <w:szCs w:val="24"/>
          <w:highlight w:val="none"/>
        </w:rPr>
      </w:pPr>
      <w:bookmarkStart w:id="369" w:name="_Toc21388"/>
      <w:r>
        <w:rPr>
          <w:rFonts w:hint="eastAsia" w:ascii="宋体" w:hAnsi="宋体" w:eastAsia="宋体"/>
          <w:color w:val="auto"/>
          <w:sz w:val="24"/>
          <w:szCs w:val="24"/>
          <w:highlight w:val="none"/>
        </w:rPr>
        <w:t>7.8 提前竣工的奖励</w:t>
      </w:r>
      <w:bookmarkEnd w:id="369"/>
    </w:p>
    <w:p w14:paraId="6937EDBB">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7.8.1提前竣工的奖励：</w:t>
      </w:r>
      <w:r>
        <w:rPr>
          <w:rFonts w:hint="eastAsia" w:ascii="宋体" w:hAnsi="宋体" w:eastAsia="宋体"/>
          <w:color w:val="auto"/>
          <w:sz w:val="24"/>
          <w:szCs w:val="24"/>
          <w:highlight w:val="none"/>
          <w:u w:val="single"/>
        </w:rPr>
        <w:t xml:space="preserve">      无                 </w:t>
      </w:r>
      <w:r>
        <w:rPr>
          <w:rFonts w:hint="eastAsia" w:ascii="宋体" w:hAnsi="宋体" w:eastAsia="宋体"/>
          <w:color w:val="auto"/>
          <w:sz w:val="24"/>
          <w:szCs w:val="24"/>
          <w:highlight w:val="none"/>
        </w:rPr>
        <w:t>。</w:t>
      </w:r>
    </w:p>
    <w:p w14:paraId="028725C5">
      <w:pPr>
        <w:pStyle w:val="7"/>
        <w:pageBreakBefore w:val="0"/>
        <w:kinsoku/>
        <w:wordWrap/>
        <w:overflowPunct/>
        <w:topLinePunct w:val="0"/>
        <w:autoSpaceDE/>
        <w:autoSpaceDN/>
        <w:bidi w:val="0"/>
        <w:adjustRightInd w:val="0"/>
        <w:snapToGrid w:val="0"/>
        <w:spacing w:before="0" w:after="0" w:line="360" w:lineRule="auto"/>
        <w:ind w:left="0" w:firstLine="420"/>
        <w:textAlignment w:val="auto"/>
        <w:rPr>
          <w:rFonts w:hint="eastAsia" w:ascii="宋体" w:hAnsi="宋体" w:eastAsia="宋体"/>
          <w:color w:val="auto"/>
          <w:sz w:val="24"/>
          <w:szCs w:val="24"/>
          <w:highlight w:val="none"/>
        </w:rPr>
      </w:pPr>
      <w:bookmarkStart w:id="370" w:name="_Toc351203640"/>
      <w:r>
        <w:rPr>
          <w:rFonts w:hint="eastAsia" w:ascii="宋体" w:hAnsi="宋体"/>
          <w:color w:val="auto"/>
          <w:sz w:val="24"/>
          <w:szCs w:val="24"/>
          <w:highlight w:val="none"/>
        </w:rPr>
        <w:t>8. 材料与设备</w:t>
      </w:r>
      <w:bookmarkEnd w:id="370"/>
    </w:p>
    <w:p w14:paraId="0A935943">
      <w:pPr>
        <w:pageBreakBefore w:val="0"/>
        <w:kinsoku/>
        <w:wordWrap/>
        <w:overflowPunct/>
        <w:topLinePunct w:val="0"/>
        <w:autoSpaceDE/>
        <w:autoSpaceDN/>
        <w:bidi w:val="0"/>
        <w:adjustRightInd w:val="0"/>
        <w:snapToGrid w:val="0"/>
        <w:spacing w:line="360" w:lineRule="auto"/>
        <w:ind w:left="0" w:firstLine="420"/>
        <w:textAlignment w:val="auto"/>
        <w:rPr>
          <w:rStyle w:val="42"/>
          <w:rFonts w:hint="default"/>
          <w:color w:val="auto"/>
          <w:sz w:val="24"/>
          <w:szCs w:val="24"/>
          <w:highlight w:val="none"/>
        </w:rPr>
      </w:pPr>
      <w:r>
        <w:rPr>
          <w:rFonts w:hint="default"/>
          <w:color w:val="auto"/>
          <w:sz w:val="24"/>
          <w:szCs w:val="24"/>
          <w:highlight w:val="none"/>
        </w:rPr>
        <w:t>8.2</w:t>
      </w:r>
      <w:r>
        <w:rPr>
          <w:rStyle w:val="42"/>
          <w:rFonts w:hint="eastAsia" w:eastAsia="宋体"/>
          <w:color w:val="auto"/>
          <w:sz w:val="24"/>
          <w:szCs w:val="24"/>
          <w:highlight w:val="none"/>
        </w:rPr>
        <w:t>承包人采购材料与工程设备</w:t>
      </w:r>
    </w:p>
    <w:p w14:paraId="0FC1EB94">
      <w:pPr>
        <w:pageBreakBefore w:val="0"/>
        <w:kinsoku/>
        <w:wordWrap/>
        <w:overflowPunct/>
        <w:topLinePunct w:val="0"/>
        <w:autoSpaceDE/>
        <w:autoSpaceDN/>
        <w:bidi w:val="0"/>
        <w:adjustRightInd w:val="0"/>
        <w:snapToGrid w:val="0"/>
        <w:spacing w:line="360" w:lineRule="auto"/>
        <w:ind w:left="0" w:firstLine="420"/>
        <w:textAlignment w:val="auto"/>
        <w:rPr>
          <w:rStyle w:val="42"/>
          <w:rFonts w:hint="default"/>
          <w:color w:val="auto"/>
          <w:sz w:val="24"/>
          <w:szCs w:val="24"/>
          <w:highlight w:val="none"/>
        </w:rPr>
      </w:pPr>
      <w:r>
        <w:rPr>
          <w:rStyle w:val="42"/>
          <w:rFonts w:hint="default"/>
          <w:color w:val="auto"/>
          <w:sz w:val="24"/>
          <w:szCs w:val="24"/>
          <w:highlight w:val="none"/>
        </w:rPr>
        <w:t xml:space="preserve">8.2.1 </w:t>
      </w:r>
      <w:r>
        <w:rPr>
          <w:rStyle w:val="42"/>
          <w:rFonts w:hint="eastAsia" w:eastAsia="宋体"/>
          <w:color w:val="auto"/>
          <w:sz w:val="24"/>
          <w:szCs w:val="24"/>
          <w:highlight w:val="none"/>
        </w:rPr>
        <w:t>双方约定由承包人采购的材料必须符合设计文件及有关规范规定的质量要求且须经发包人和监理人事先认可并提供产品的出厂证明、合格证书，要按规定在使用前进行检测或复试，不合格的不得使用，所有费用由承包人承担。发包人及监理人的事先认可并不免除承包人对所采购材料应承担的产品质量责任。</w:t>
      </w:r>
    </w:p>
    <w:p w14:paraId="03A63A1A">
      <w:pPr>
        <w:pageBreakBefore w:val="0"/>
        <w:kinsoku/>
        <w:wordWrap/>
        <w:overflowPunct/>
        <w:topLinePunct w:val="0"/>
        <w:autoSpaceDE/>
        <w:autoSpaceDN/>
        <w:bidi w:val="0"/>
        <w:adjustRightInd w:val="0"/>
        <w:snapToGrid w:val="0"/>
        <w:spacing w:line="360" w:lineRule="auto"/>
        <w:ind w:left="0" w:firstLine="420"/>
        <w:textAlignment w:val="auto"/>
        <w:rPr>
          <w:rStyle w:val="42"/>
          <w:rFonts w:hint="default"/>
          <w:color w:val="auto"/>
          <w:sz w:val="24"/>
          <w:szCs w:val="24"/>
          <w:highlight w:val="none"/>
        </w:rPr>
      </w:pPr>
      <w:r>
        <w:rPr>
          <w:rStyle w:val="42"/>
          <w:rFonts w:hint="default"/>
          <w:color w:val="auto"/>
          <w:sz w:val="24"/>
          <w:szCs w:val="24"/>
          <w:highlight w:val="none"/>
        </w:rPr>
        <w:t>8.2.2</w:t>
      </w:r>
      <w:r>
        <w:rPr>
          <w:rStyle w:val="42"/>
          <w:rFonts w:hint="eastAsia" w:eastAsia="宋体"/>
          <w:color w:val="auto"/>
          <w:sz w:val="24"/>
          <w:szCs w:val="24"/>
          <w:highlight w:val="none"/>
        </w:rPr>
        <w:t>工程师或其代表可能要求在承包人或其他代表在场的情况下从每一材料中抽样用作检验，经工程师决定，这样抽取的样品应视为一批材料的代表。</w:t>
      </w:r>
    </w:p>
    <w:p w14:paraId="6F6EC866">
      <w:pPr>
        <w:pageBreakBefore w:val="0"/>
        <w:kinsoku/>
        <w:wordWrap/>
        <w:overflowPunct/>
        <w:topLinePunct w:val="0"/>
        <w:autoSpaceDE/>
        <w:autoSpaceDN/>
        <w:bidi w:val="0"/>
        <w:adjustRightInd w:val="0"/>
        <w:snapToGrid w:val="0"/>
        <w:spacing w:line="360" w:lineRule="auto"/>
        <w:ind w:left="0" w:firstLine="420"/>
        <w:textAlignment w:val="auto"/>
        <w:rPr>
          <w:rStyle w:val="42"/>
          <w:rFonts w:hint="default"/>
          <w:color w:val="auto"/>
          <w:sz w:val="24"/>
          <w:szCs w:val="24"/>
          <w:highlight w:val="none"/>
        </w:rPr>
      </w:pPr>
      <w:r>
        <w:rPr>
          <w:rStyle w:val="42"/>
          <w:rFonts w:hint="default"/>
          <w:color w:val="auto"/>
          <w:sz w:val="24"/>
          <w:szCs w:val="24"/>
          <w:highlight w:val="none"/>
        </w:rPr>
        <w:t>8.2.3</w:t>
      </w:r>
      <w:r>
        <w:rPr>
          <w:rStyle w:val="42"/>
          <w:rFonts w:hint="eastAsia" w:eastAsia="宋体"/>
          <w:color w:val="auto"/>
          <w:sz w:val="24"/>
          <w:szCs w:val="24"/>
          <w:highlight w:val="none"/>
        </w:rPr>
        <w:t>如果任何一批材料中的样品不符合合同要求的，材料全部均予退货，无论是否已经采用与否，其费用全部由承包人支付，且不允许由于更换而延长工期。</w:t>
      </w:r>
    </w:p>
    <w:p w14:paraId="004A3965">
      <w:pPr>
        <w:pageBreakBefore w:val="0"/>
        <w:kinsoku/>
        <w:wordWrap/>
        <w:overflowPunct/>
        <w:topLinePunct w:val="0"/>
        <w:autoSpaceDE/>
        <w:autoSpaceDN/>
        <w:bidi w:val="0"/>
        <w:adjustRightInd w:val="0"/>
        <w:snapToGrid w:val="0"/>
        <w:spacing w:line="360" w:lineRule="auto"/>
        <w:ind w:left="0" w:firstLine="420"/>
        <w:textAlignment w:val="auto"/>
        <w:rPr>
          <w:rStyle w:val="42"/>
          <w:rFonts w:hint="default"/>
          <w:color w:val="auto"/>
          <w:sz w:val="24"/>
          <w:szCs w:val="24"/>
          <w:highlight w:val="none"/>
        </w:rPr>
      </w:pPr>
      <w:r>
        <w:rPr>
          <w:rStyle w:val="42"/>
          <w:rFonts w:hint="default"/>
          <w:color w:val="auto"/>
          <w:sz w:val="24"/>
          <w:szCs w:val="24"/>
          <w:highlight w:val="none"/>
        </w:rPr>
        <w:t>8.2.4</w:t>
      </w:r>
      <w:r>
        <w:rPr>
          <w:rStyle w:val="42"/>
          <w:rFonts w:hint="eastAsia" w:eastAsia="宋体"/>
          <w:color w:val="auto"/>
          <w:sz w:val="24"/>
          <w:szCs w:val="24"/>
          <w:highlight w:val="none"/>
        </w:rPr>
        <w:t>对于任何拒绝验收的材料，如果是由于发包人或构成发包人对承包人已付款的一部分，则发包人将把此款扣回。但如果工程师决定保留那些已安装好的材料，发包人将按双方协商的结果扣除部分款项，但并不减除承包人在合同范围内的任何责任。</w:t>
      </w:r>
    </w:p>
    <w:p w14:paraId="1034BFA5">
      <w:pPr>
        <w:pageBreakBefore w:val="0"/>
        <w:kinsoku/>
        <w:wordWrap/>
        <w:overflowPunct/>
        <w:topLinePunct w:val="0"/>
        <w:autoSpaceDE/>
        <w:autoSpaceDN/>
        <w:bidi w:val="0"/>
        <w:adjustRightInd w:val="0"/>
        <w:snapToGrid w:val="0"/>
        <w:spacing w:line="360" w:lineRule="auto"/>
        <w:ind w:left="0" w:firstLine="420"/>
        <w:textAlignment w:val="auto"/>
        <w:rPr>
          <w:rStyle w:val="42"/>
          <w:rFonts w:hint="default"/>
          <w:color w:val="auto"/>
          <w:sz w:val="24"/>
          <w:szCs w:val="24"/>
          <w:highlight w:val="none"/>
        </w:rPr>
      </w:pPr>
      <w:r>
        <w:rPr>
          <w:rStyle w:val="42"/>
          <w:rFonts w:hint="default"/>
          <w:color w:val="auto"/>
          <w:sz w:val="24"/>
          <w:szCs w:val="24"/>
          <w:highlight w:val="none"/>
        </w:rPr>
        <w:t>8.2.5</w:t>
      </w:r>
      <w:r>
        <w:rPr>
          <w:rStyle w:val="42"/>
          <w:rFonts w:hint="eastAsia" w:eastAsia="宋体"/>
          <w:color w:val="auto"/>
          <w:sz w:val="24"/>
          <w:szCs w:val="24"/>
          <w:highlight w:val="none"/>
        </w:rPr>
        <w:t>运抵到现场的所有材料，无论在施工进度款中是否已付款，未经总监的书面批准，不得</w:t>
      </w:r>
      <w:r>
        <w:rPr>
          <w:rStyle w:val="42"/>
          <w:rFonts w:hint="eastAsia" w:eastAsia="宋体"/>
          <w:color w:val="auto"/>
          <w:sz w:val="24"/>
          <w:szCs w:val="24"/>
          <w:highlight w:val="none"/>
          <w:lang w:eastAsia="zh-CN"/>
        </w:rPr>
        <w:t>从现</w:t>
      </w:r>
      <w:r>
        <w:rPr>
          <w:rStyle w:val="42"/>
          <w:rFonts w:hint="eastAsia" w:eastAsia="宋体"/>
          <w:color w:val="auto"/>
          <w:sz w:val="24"/>
          <w:szCs w:val="24"/>
          <w:highlight w:val="none"/>
        </w:rPr>
        <w:t>场搬移出去。</w:t>
      </w:r>
    </w:p>
    <w:p w14:paraId="1D879234">
      <w:pPr>
        <w:pageBreakBefore w:val="0"/>
        <w:kinsoku/>
        <w:wordWrap/>
        <w:overflowPunct/>
        <w:topLinePunct w:val="0"/>
        <w:autoSpaceDE/>
        <w:autoSpaceDN/>
        <w:bidi w:val="0"/>
        <w:adjustRightInd w:val="0"/>
        <w:snapToGrid w:val="0"/>
        <w:spacing w:line="360" w:lineRule="auto"/>
        <w:ind w:left="0" w:firstLine="420"/>
        <w:textAlignment w:val="auto"/>
        <w:rPr>
          <w:rStyle w:val="42"/>
          <w:rFonts w:hint="default"/>
          <w:color w:val="auto"/>
          <w:sz w:val="24"/>
          <w:szCs w:val="24"/>
          <w:highlight w:val="none"/>
        </w:rPr>
      </w:pPr>
      <w:r>
        <w:rPr>
          <w:rStyle w:val="42"/>
          <w:rFonts w:hint="default"/>
          <w:color w:val="auto"/>
          <w:sz w:val="24"/>
          <w:szCs w:val="24"/>
          <w:highlight w:val="none"/>
        </w:rPr>
        <w:t xml:space="preserve">8.2.6 </w:t>
      </w:r>
      <w:r>
        <w:rPr>
          <w:rStyle w:val="42"/>
          <w:rFonts w:hint="eastAsia" w:eastAsia="宋体"/>
          <w:color w:val="auto"/>
          <w:sz w:val="24"/>
          <w:szCs w:val="24"/>
          <w:highlight w:val="none"/>
        </w:rPr>
        <w:t>承包人在材料使用前，须向监理报验，并见证抽样送检。未经确认的材料，不得用于工程，发包人抽查发现使用的材料无报验手续或不合格，可指令停工，要求返工。所发生的费用由承包人承担，工期不予顺延。</w:t>
      </w:r>
    </w:p>
    <w:p w14:paraId="70C82A48">
      <w:pPr>
        <w:pageBreakBefore w:val="0"/>
        <w:kinsoku/>
        <w:wordWrap/>
        <w:overflowPunct/>
        <w:topLinePunct w:val="0"/>
        <w:autoSpaceDE/>
        <w:autoSpaceDN/>
        <w:bidi w:val="0"/>
        <w:adjustRightInd w:val="0"/>
        <w:snapToGrid w:val="0"/>
        <w:spacing w:line="360" w:lineRule="auto"/>
        <w:ind w:left="0" w:firstLine="420"/>
        <w:textAlignment w:val="auto"/>
        <w:rPr>
          <w:rFonts w:hint="default"/>
          <w:color w:val="auto"/>
          <w:sz w:val="24"/>
          <w:szCs w:val="24"/>
          <w:highlight w:val="none"/>
        </w:rPr>
      </w:pPr>
      <w:r>
        <w:rPr>
          <w:rStyle w:val="42"/>
          <w:rFonts w:hint="default"/>
          <w:color w:val="auto"/>
          <w:sz w:val="24"/>
          <w:szCs w:val="24"/>
          <w:highlight w:val="none"/>
        </w:rPr>
        <w:t xml:space="preserve">8.2.7 </w:t>
      </w:r>
      <w:r>
        <w:rPr>
          <w:rStyle w:val="42"/>
          <w:rFonts w:hint="eastAsia" w:eastAsia="宋体"/>
          <w:color w:val="auto"/>
          <w:sz w:val="24"/>
          <w:szCs w:val="24"/>
          <w:highlight w:val="none"/>
        </w:rPr>
        <w:t>本工程的所有材料，均由承包人按国家标准、设计文件及规范要求自行采购和保管，使用前，要有质保书或出厂合格证，并进行必要的检验或试验，合格后方可使用。承包人必须在监理人现场见证的情况下取样、封样和送样，样品须送至发包人指定的试验检测机构进行检测，否则不予认可。检验或试验费用均由承包人承担。</w:t>
      </w:r>
      <w:bookmarkEnd w:id="302"/>
      <w:bookmarkEnd w:id="303"/>
      <w:bookmarkEnd w:id="304"/>
      <w:bookmarkEnd w:id="305"/>
      <w:bookmarkEnd w:id="306"/>
      <w:bookmarkEnd w:id="307"/>
      <w:bookmarkEnd w:id="308"/>
      <w:bookmarkEnd w:id="309"/>
      <w:bookmarkEnd w:id="310"/>
      <w:bookmarkEnd w:id="311"/>
    </w:p>
    <w:p w14:paraId="231210DF">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8</w:t>
      </w:r>
      <w:bookmarkStart w:id="371" w:name="_Toc300934979"/>
      <w:bookmarkStart w:id="372" w:name="_Toc304295556"/>
      <w:bookmarkStart w:id="373" w:name="_Toc296346668"/>
      <w:bookmarkStart w:id="374" w:name="_Toc312677493"/>
      <w:bookmarkStart w:id="375" w:name="_Toc312678019"/>
      <w:bookmarkStart w:id="376" w:name="_Toc296890995"/>
      <w:bookmarkStart w:id="377" w:name="_Toc280868654"/>
      <w:bookmarkStart w:id="378" w:name="_Toc297048353"/>
      <w:bookmarkStart w:id="379" w:name="_Toc296944506"/>
      <w:bookmarkStart w:id="380" w:name="_Toc296891207"/>
      <w:bookmarkStart w:id="381" w:name="_Toc296347166"/>
      <w:bookmarkStart w:id="382" w:name="_Toc296503167"/>
      <w:bookmarkStart w:id="383" w:name="_Toc303539136"/>
      <w:bookmarkStart w:id="384" w:name="_Toc297120467"/>
      <w:bookmarkStart w:id="385" w:name="_Toc297216186"/>
      <w:bookmarkStart w:id="386" w:name="_Toc297123527"/>
      <w:bookmarkStart w:id="387" w:name="_Toc292559372"/>
      <w:bookmarkStart w:id="388" w:name="_Toc292559877"/>
      <w:bookmarkStart w:id="389" w:name="_Toc280868655"/>
      <w:bookmarkStart w:id="390" w:name="_Toc267251424"/>
      <w:bookmarkStart w:id="391" w:name="_Toc280868656"/>
      <w:r>
        <w:rPr>
          <w:rFonts w:hint="eastAsia" w:ascii="宋体" w:hAnsi="宋体" w:eastAsia="宋体"/>
          <w:color w:val="auto"/>
          <w:sz w:val="24"/>
          <w:szCs w:val="24"/>
          <w:highlight w:val="none"/>
        </w:rPr>
        <w:t>.4材料与工程设备的保管与使用</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14:paraId="6D386CA7">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8</w:t>
      </w:r>
      <w:bookmarkStart w:id="392" w:name="_Toc292559373"/>
      <w:bookmarkStart w:id="393" w:name="_Toc292559878"/>
      <w:bookmarkStart w:id="394" w:name="_Toc318581173"/>
      <w:bookmarkStart w:id="395" w:name="_Toc312678020"/>
      <w:bookmarkStart w:id="396" w:name="_Toc297216187"/>
      <w:bookmarkStart w:id="397" w:name="_Toc303539137"/>
      <w:bookmarkStart w:id="398" w:name="_Toc296346669"/>
      <w:bookmarkStart w:id="399" w:name="_Toc312677494"/>
      <w:bookmarkStart w:id="400" w:name="_Toc304295557"/>
      <w:bookmarkStart w:id="401" w:name="_Toc297120468"/>
      <w:bookmarkStart w:id="402" w:name="_Toc296347167"/>
      <w:bookmarkStart w:id="403" w:name="_Toc300934980"/>
      <w:bookmarkStart w:id="404" w:name="_Toc296503168"/>
      <w:bookmarkStart w:id="405" w:name="_Toc296944507"/>
      <w:bookmarkStart w:id="406" w:name="_Toc297123528"/>
      <w:bookmarkStart w:id="407" w:name="_Toc296890996"/>
      <w:bookmarkStart w:id="408" w:name="_Toc297048354"/>
      <w:bookmarkStart w:id="409" w:name="_Toc296891208"/>
      <w:r>
        <w:rPr>
          <w:rFonts w:hint="eastAsia" w:ascii="宋体" w:hAnsi="宋体" w:eastAsia="宋体"/>
          <w:color w:val="auto"/>
          <w:sz w:val="24"/>
          <w:szCs w:val="24"/>
          <w:highlight w:val="none"/>
        </w:rPr>
        <w:t>.4.1发包人供应的材料设备的保管费用的承担：</w:t>
      </w:r>
      <w:bookmarkEnd w:id="392"/>
      <w:bookmarkEnd w:id="393"/>
      <w:r>
        <w:rPr>
          <w:rFonts w:hint="eastAsia" w:ascii="宋体" w:hAnsi="宋体" w:eastAsia="宋体"/>
          <w:color w:val="auto"/>
          <w:sz w:val="24"/>
          <w:szCs w:val="24"/>
          <w:highlight w:val="none"/>
          <w:u w:val="single"/>
        </w:rPr>
        <w:t>由承包人承担</w:t>
      </w:r>
      <w:r>
        <w:rPr>
          <w:rFonts w:hint="eastAsia" w:ascii="宋体" w:hAnsi="宋体" w:eastAsia="宋体"/>
          <w:color w:val="auto"/>
          <w:sz w:val="24"/>
          <w:szCs w:val="24"/>
          <w:highlight w:val="none"/>
        </w:rPr>
        <w:t>。</w:t>
      </w:r>
    </w:p>
    <w:p w14:paraId="0A1F9035">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8.6 样品</w:t>
      </w:r>
    </w:p>
    <w:p w14:paraId="5B9F9EA0">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8.6.1样品的报送与封存</w:t>
      </w:r>
    </w:p>
    <w:p w14:paraId="42CC585A">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需要承包人报送样品的材料或工程设备，样品的种类、名称、规格、数量要求：</w:t>
      </w:r>
      <w:r>
        <w:rPr>
          <w:rFonts w:hint="eastAsia" w:ascii="宋体" w:hAnsi="宋体" w:eastAsia="宋体"/>
          <w:color w:val="auto"/>
          <w:sz w:val="24"/>
          <w:szCs w:val="24"/>
          <w:highlight w:val="none"/>
          <w:u w:val="single"/>
        </w:rPr>
        <w:t xml:space="preserve">按管理部门要求和发包人需求确定  </w:t>
      </w:r>
      <w:r>
        <w:rPr>
          <w:rFonts w:hint="eastAsia" w:ascii="宋体" w:hAnsi="宋体" w:eastAsia="宋体"/>
          <w:color w:val="auto"/>
          <w:sz w:val="24"/>
          <w:szCs w:val="24"/>
          <w:highlight w:val="none"/>
        </w:rPr>
        <w:t>。</w:t>
      </w:r>
    </w:p>
    <w:p w14:paraId="5AC44373">
      <w:pPr>
        <w:pageBreakBefore w:val="0"/>
        <w:kinsoku/>
        <w:wordWrap/>
        <w:overflowPunct/>
        <w:topLinePunct w:val="0"/>
        <w:autoSpaceDE/>
        <w:autoSpaceDN/>
        <w:bidi w:val="0"/>
        <w:adjustRightInd w:val="0"/>
        <w:snapToGrid w:val="0"/>
        <w:spacing w:line="360" w:lineRule="auto"/>
        <w:ind w:left="0" w:firstLine="420"/>
        <w:jc w:val="left"/>
        <w:textAlignment w:val="auto"/>
        <w:rPr>
          <w:rStyle w:val="42"/>
          <w:rFonts w:hint="default"/>
          <w:color w:val="auto"/>
          <w:sz w:val="24"/>
          <w:szCs w:val="24"/>
          <w:highlight w:val="none"/>
        </w:rPr>
      </w:pPr>
      <w:r>
        <w:rPr>
          <w:rFonts w:hint="eastAsia" w:ascii="宋体" w:hAnsi="宋体" w:eastAsia="宋体"/>
          <w:color w:val="auto"/>
          <w:sz w:val="24"/>
          <w:szCs w:val="24"/>
          <w:highlight w:val="none"/>
        </w:rPr>
        <w:t>8.6.1.1</w:t>
      </w:r>
      <w:r>
        <w:rPr>
          <w:rStyle w:val="42"/>
          <w:rFonts w:hint="eastAsia" w:eastAsia="宋体"/>
          <w:color w:val="auto"/>
          <w:sz w:val="24"/>
          <w:szCs w:val="24"/>
          <w:highlight w:val="none"/>
        </w:rPr>
        <w:t>承包人在材料使用前，须向监理报验，并见证抽样送检。未经确认的材料，不得用于工程，发包人抽查发现使用的材料无报验手续或不合格，可指令停工，要求返工。所发生的费用由承包人承担，工期不予顺延。</w:t>
      </w:r>
    </w:p>
    <w:p w14:paraId="2082D251">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Style w:val="42"/>
          <w:rFonts w:hint="default"/>
          <w:color w:val="auto"/>
          <w:sz w:val="24"/>
          <w:szCs w:val="24"/>
          <w:highlight w:val="none"/>
        </w:rPr>
        <w:t xml:space="preserve">8.6.1.2 </w:t>
      </w:r>
      <w:r>
        <w:rPr>
          <w:rStyle w:val="42"/>
          <w:rFonts w:hint="eastAsia" w:eastAsia="宋体"/>
          <w:color w:val="auto"/>
          <w:sz w:val="24"/>
          <w:szCs w:val="24"/>
          <w:highlight w:val="none"/>
        </w:rPr>
        <w:t>本工程的所有材料，均由承包人按设计文件及规范要求自行采购和保管，使用前，要有质保书或出厂合格证，并进行有关必要的检验或试验，合格后方可使用。承包人必须在监理人现场见证的情况下取样、封样和送样，样品须送至发包人指定的试验检测机构进行检测，否则不予认可。检验或试验费用均由承包人承担。</w:t>
      </w:r>
    </w:p>
    <w:p w14:paraId="5CE6AB54">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8.8 施工设备和临时设施</w:t>
      </w:r>
    </w:p>
    <w:p w14:paraId="6C337307">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8.8.1 承包人提供的施工设备和临时设施</w:t>
      </w:r>
    </w:p>
    <w:p w14:paraId="435E68E0">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关于修建临时设施费用承担的约定：</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Start w:id="410" w:name="_Toc351203641"/>
      <w:r>
        <w:rPr>
          <w:rFonts w:hint="eastAsia" w:ascii="宋体" w:hAnsi="宋体" w:eastAsia="宋体"/>
          <w:color w:val="auto"/>
          <w:sz w:val="24"/>
          <w:szCs w:val="24"/>
          <w:highlight w:val="none"/>
          <w:u w:val="single"/>
        </w:rPr>
        <w:t>由承包人承担</w:t>
      </w:r>
      <w:r>
        <w:rPr>
          <w:rFonts w:hint="eastAsia" w:ascii="宋体" w:hAnsi="宋体" w:eastAsia="宋体"/>
          <w:color w:val="auto"/>
          <w:sz w:val="24"/>
          <w:szCs w:val="24"/>
          <w:highlight w:val="none"/>
        </w:rPr>
        <w:t>。</w:t>
      </w:r>
    </w:p>
    <w:p w14:paraId="61750C9A">
      <w:pPr>
        <w:pageBreakBefore w:val="0"/>
        <w:kinsoku/>
        <w:wordWrap/>
        <w:overflowPunct/>
        <w:topLinePunct w:val="0"/>
        <w:autoSpaceDE/>
        <w:autoSpaceDN/>
        <w:bidi w:val="0"/>
        <w:adjustRightInd w:val="0"/>
        <w:snapToGrid w:val="0"/>
        <w:spacing w:line="360" w:lineRule="auto"/>
        <w:ind w:left="0" w:firstLine="422"/>
        <w:jc w:val="left"/>
        <w:textAlignment w:val="auto"/>
        <w:rPr>
          <w:rFonts w:hint="eastAsia" w:ascii="宋体" w:hAnsi="宋体" w:eastAsia="宋体"/>
          <w:b/>
          <w:color w:val="auto"/>
          <w:sz w:val="24"/>
          <w:szCs w:val="24"/>
          <w:highlight w:val="none"/>
        </w:rPr>
      </w:pPr>
      <w:r>
        <w:rPr>
          <w:rFonts w:hint="eastAsia" w:ascii="宋体" w:hAnsi="宋体" w:eastAsia="宋体"/>
          <w:b/>
          <w:color w:val="auto"/>
          <w:sz w:val="24"/>
          <w:szCs w:val="24"/>
          <w:highlight w:val="none"/>
        </w:rPr>
        <w:t>9</w:t>
      </w:r>
      <w:bookmarkEnd w:id="389"/>
      <w:bookmarkEnd w:id="390"/>
      <w:bookmarkEnd w:id="391"/>
      <w:bookmarkStart w:id="411" w:name="_Toc297123533"/>
      <w:bookmarkStart w:id="412" w:name="_Toc297216192"/>
      <w:bookmarkStart w:id="413" w:name="_Toc300934982"/>
      <w:bookmarkStart w:id="414" w:name="_Toc312678021"/>
      <w:bookmarkStart w:id="415" w:name="_Toc304295559"/>
      <w:bookmarkStart w:id="416" w:name="_Toc312677495"/>
      <w:bookmarkStart w:id="417" w:name="_Toc303539139"/>
      <w:bookmarkStart w:id="418" w:name="_Toc267251427"/>
      <w:bookmarkStart w:id="419" w:name="_Toc296347172"/>
      <w:bookmarkStart w:id="420" w:name="_Toc267251428"/>
      <w:bookmarkStart w:id="421" w:name="_Toc296944512"/>
      <w:bookmarkStart w:id="422" w:name="_Toc296346674"/>
      <w:bookmarkStart w:id="423" w:name="_Toc297120473"/>
      <w:bookmarkStart w:id="424" w:name="_Toc297048359"/>
      <w:bookmarkStart w:id="425" w:name="_Toc296503173"/>
      <w:bookmarkStart w:id="426" w:name="_Toc296891001"/>
      <w:bookmarkStart w:id="427" w:name="_Toc292559883"/>
      <w:bookmarkStart w:id="428" w:name="_Toc296891213"/>
      <w:bookmarkStart w:id="429" w:name="_Toc292559378"/>
      <w:r>
        <w:rPr>
          <w:rFonts w:hint="eastAsia" w:ascii="宋体" w:hAnsi="宋体" w:eastAsia="宋体"/>
          <w:b/>
          <w:color w:val="auto"/>
          <w:sz w:val="24"/>
          <w:szCs w:val="24"/>
          <w:highlight w:val="none"/>
        </w:rPr>
        <w:t>. 试验与检验</w:t>
      </w:r>
      <w:bookmarkEnd w:id="410"/>
      <w:bookmarkEnd w:id="411"/>
      <w:bookmarkEnd w:id="412"/>
      <w:bookmarkEnd w:id="413"/>
      <w:bookmarkEnd w:id="414"/>
      <w:bookmarkEnd w:id="415"/>
      <w:bookmarkEnd w:id="416"/>
      <w:bookmarkEnd w:id="417"/>
    </w:p>
    <w:p w14:paraId="37C60634">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9</w:t>
      </w:r>
      <w:bookmarkStart w:id="430" w:name="_Toc300934983"/>
      <w:bookmarkStart w:id="431" w:name="_Toc304295560"/>
      <w:bookmarkStart w:id="432" w:name="_Toc312677496"/>
      <w:bookmarkStart w:id="433" w:name="_Toc303539140"/>
      <w:bookmarkStart w:id="434" w:name="_Toc297123534"/>
      <w:bookmarkStart w:id="435" w:name="_Toc312678022"/>
      <w:bookmarkStart w:id="436" w:name="_Toc297216193"/>
      <w:r>
        <w:rPr>
          <w:rFonts w:hint="eastAsia" w:ascii="宋体" w:hAnsi="宋体" w:eastAsia="宋体"/>
          <w:color w:val="auto"/>
          <w:sz w:val="24"/>
          <w:szCs w:val="24"/>
          <w:highlight w:val="none"/>
        </w:rPr>
        <w:t>.1试验设备与试验人员</w:t>
      </w:r>
      <w:bookmarkEnd w:id="430"/>
      <w:bookmarkEnd w:id="431"/>
      <w:bookmarkEnd w:id="432"/>
      <w:bookmarkEnd w:id="433"/>
      <w:bookmarkEnd w:id="434"/>
      <w:bookmarkEnd w:id="435"/>
      <w:bookmarkEnd w:id="436"/>
    </w:p>
    <w:p w14:paraId="55EEB5AA">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9</w:t>
      </w:r>
      <w:bookmarkStart w:id="437" w:name="_Toc303539141"/>
      <w:bookmarkStart w:id="438" w:name="_Toc297123535"/>
      <w:bookmarkStart w:id="439" w:name="_Toc297216194"/>
      <w:bookmarkStart w:id="440" w:name="_Toc312677497"/>
      <w:bookmarkStart w:id="441" w:name="_Toc300934984"/>
      <w:bookmarkStart w:id="442" w:name="_Toc312678023"/>
      <w:bookmarkStart w:id="443" w:name="_Toc304295561"/>
      <w:bookmarkStart w:id="444" w:name="_Toc318581174"/>
      <w:r>
        <w:rPr>
          <w:rFonts w:hint="eastAsia" w:ascii="宋体" w:hAnsi="宋体" w:eastAsia="宋体"/>
          <w:color w:val="auto"/>
          <w:sz w:val="24"/>
          <w:szCs w:val="24"/>
          <w:highlight w:val="none"/>
        </w:rPr>
        <w:t>.1.2 试验设备</w:t>
      </w:r>
    </w:p>
    <w:p w14:paraId="79D7A171">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施工现场需要配置的试验场所：</w:t>
      </w:r>
      <w:bookmarkEnd w:id="437"/>
      <w:bookmarkEnd w:id="438"/>
      <w:bookmarkEnd w:id="439"/>
      <w:bookmarkEnd w:id="440"/>
      <w:bookmarkEnd w:id="441"/>
      <w:bookmarkEnd w:id="442"/>
      <w:bookmarkEnd w:id="443"/>
      <w:bookmarkStart w:id="445" w:name="_Toc297216195"/>
      <w:bookmarkStart w:id="446" w:name="_Toc303539142"/>
      <w:bookmarkStart w:id="447" w:name="_Toc300934985"/>
      <w:bookmarkStart w:id="448" w:name="_Toc312678024"/>
      <w:bookmarkStart w:id="449" w:name="_Toc297123536"/>
      <w:bookmarkStart w:id="450" w:name="_Toc312677498"/>
      <w:bookmarkStart w:id="451" w:name="_Toc304295562"/>
      <w:r>
        <w:rPr>
          <w:rFonts w:hint="eastAsia" w:ascii="宋体" w:hAnsi="宋体" w:eastAsia="宋体"/>
          <w:color w:val="auto"/>
          <w:sz w:val="24"/>
          <w:szCs w:val="24"/>
          <w:highlight w:val="none"/>
          <w:u w:val="single"/>
        </w:rPr>
        <w:t xml:space="preserve"> 按有关规定执行</w:t>
      </w:r>
      <w:r>
        <w:rPr>
          <w:rFonts w:hint="eastAsia" w:ascii="宋体" w:hAnsi="宋体" w:eastAsia="宋体"/>
          <w:color w:val="auto"/>
          <w:sz w:val="24"/>
          <w:szCs w:val="24"/>
          <w:highlight w:val="none"/>
        </w:rPr>
        <w:t xml:space="preserve">。 </w:t>
      </w:r>
    </w:p>
    <w:p w14:paraId="32CE8971">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rPr>
        <w:t>施工现场需要配备的试验设备：</w:t>
      </w:r>
      <w:r>
        <w:rPr>
          <w:rFonts w:hint="eastAsia" w:ascii="宋体" w:hAnsi="宋体" w:eastAsia="宋体"/>
          <w:color w:val="auto"/>
          <w:sz w:val="24"/>
          <w:szCs w:val="24"/>
          <w:highlight w:val="none"/>
          <w:u w:val="single"/>
        </w:rPr>
        <w:t xml:space="preserve"> 按有关规定执行 </w:t>
      </w:r>
      <w:r>
        <w:rPr>
          <w:rFonts w:hint="eastAsia" w:ascii="宋体" w:hAnsi="宋体" w:eastAsia="宋体"/>
          <w:color w:val="auto"/>
          <w:sz w:val="24"/>
          <w:szCs w:val="24"/>
          <w:highlight w:val="none"/>
        </w:rPr>
        <w:t>。</w:t>
      </w:r>
    </w:p>
    <w:p w14:paraId="46B3FE76">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施工现场需要具备的其他试验条件：</w:t>
      </w:r>
      <w:r>
        <w:rPr>
          <w:rFonts w:hint="eastAsia" w:ascii="宋体" w:hAnsi="宋体" w:eastAsia="宋体"/>
          <w:color w:val="auto"/>
          <w:sz w:val="24"/>
          <w:szCs w:val="24"/>
          <w:highlight w:val="none"/>
          <w:u w:val="single"/>
        </w:rPr>
        <w:t xml:space="preserve">  按有关规定执行</w:t>
      </w:r>
      <w:r>
        <w:rPr>
          <w:rFonts w:hint="eastAsia" w:ascii="宋体" w:hAnsi="宋体" w:eastAsia="宋体"/>
          <w:color w:val="auto"/>
          <w:sz w:val="24"/>
          <w:szCs w:val="24"/>
          <w:highlight w:val="none"/>
        </w:rPr>
        <w:t>。</w:t>
      </w:r>
    </w:p>
    <w:p w14:paraId="353A370B">
      <w:pPr>
        <w:pageBreakBefore w:val="0"/>
        <w:kinsoku/>
        <w:wordWrap/>
        <w:overflowPunct/>
        <w:topLinePunct w:val="0"/>
        <w:autoSpaceDE/>
        <w:autoSpaceDN/>
        <w:bidi w:val="0"/>
        <w:adjustRightInd w:val="0"/>
        <w:snapToGrid w:val="0"/>
        <w:spacing w:line="360" w:lineRule="auto"/>
        <w:ind w:left="0" w:firstLine="420"/>
        <w:textAlignment w:val="auto"/>
        <w:outlineLvl w:val="0"/>
        <w:rPr>
          <w:rFonts w:hint="eastAsia" w:ascii="宋体" w:hAnsi="宋体" w:eastAsia="宋体"/>
          <w:color w:val="auto"/>
          <w:sz w:val="24"/>
          <w:szCs w:val="24"/>
          <w:highlight w:val="none"/>
        </w:rPr>
      </w:pPr>
      <w:bookmarkStart w:id="452" w:name="_Toc11489"/>
      <w:r>
        <w:rPr>
          <w:rFonts w:hint="eastAsia" w:ascii="宋体" w:hAnsi="宋体" w:eastAsia="宋体"/>
          <w:color w:val="auto"/>
          <w:sz w:val="24"/>
          <w:szCs w:val="24"/>
          <w:highlight w:val="none"/>
        </w:rPr>
        <w:t>9.4 现场工艺试验</w:t>
      </w:r>
      <w:bookmarkEnd w:id="452"/>
      <w:r>
        <w:rPr>
          <w:rFonts w:hint="eastAsia" w:ascii="宋体" w:hAnsi="宋体" w:eastAsia="宋体"/>
          <w:color w:val="auto"/>
          <w:sz w:val="24"/>
          <w:szCs w:val="24"/>
          <w:highlight w:val="none"/>
        </w:rPr>
        <w:t xml:space="preserve"> </w:t>
      </w:r>
    </w:p>
    <w:p w14:paraId="6161CBE1">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现场工艺试验的有关约定：</w:t>
      </w:r>
      <w:r>
        <w:rPr>
          <w:rFonts w:hint="eastAsia" w:ascii="宋体" w:hAnsi="宋体" w:eastAsia="宋体"/>
          <w:color w:val="auto"/>
          <w:sz w:val="24"/>
          <w:szCs w:val="24"/>
          <w:highlight w:val="none"/>
          <w:u w:val="single"/>
        </w:rPr>
        <w:t>按有关规定执行</w:t>
      </w:r>
      <w:r>
        <w:rPr>
          <w:rFonts w:hint="eastAsia" w:ascii="宋体" w:hAnsi="宋体" w:eastAsia="宋体"/>
          <w:color w:val="auto"/>
          <w:sz w:val="24"/>
          <w:szCs w:val="24"/>
          <w:highlight w:val="none"/>
        </w:rPr>
        <w:t>。</w:t>
      </w:r>
      <w:bookmarkEnd w:id="444"/>
      <w:bookmarkEnd w:id="445"/>
      <w:bookmarkEnd w:id="446"/>
      <w:bookmarkEnd w:id="447"/>
      <w:bookmarkEnd w:id="448"/>
      <w:bookmarkEnd w:id="449"/>
      <w:bookmarkEnd w:id="450"/>
      <w:bookmarkEnd w:id="451"/>
    </w:p>
    <w:p w14:paraId="383D1DAD">
      <w:pPr>
        <w:pStyle w:val="7"/>
        <w:pageBreakBefore w:val="0"/>
        <w:kinsoku/>
        <w:wordWrap/>
        <w:overflowPunct/>
        <w:topLinePunct w:val="0"/>
        <w:autoSpaceDE/>
        <w:autoSpaceDN/>
        <w:bidi w:val="0"/>
        <w:adjustRightInd w:val="0"/>
        <w:snapToGrid w:val="0"/>
        <w:spacing w:before="0" w:after="0" w:line="360" w:lineRule="auto"/>
        <w:ind w:left="0"/>
        <w:textAlignment w:val="auto"/>
        <w:rPr>
          <w:rFonts w:hint="eastAsia" w:ascii="宋体" w:hAnsi="宋体"/>
          <w:color w:val="auto"/>
          <w:sz w:val="24"/>
          <w:szCs w:val="24"/>
          <w:highlight w:val="none"/>
        </w:rPr>
      </w:pPr>
      <w:bookmarkStart w:id="453" w:name="_Toc351203642"/>
      <w:r>
        <w:rPr>
          <w:rFonts w:hint="eastAsia" w:ascii="宋体" w:hAnsi="宋体"/>
          <w:color w:val="auto"/>
          <w:sz w:val="24"/>
          <w:szCs w:val="24"/>
          <w:highlight w:val="none"/>
        </w:rPr>
        <w:t>1</w:t>
      </w:r>
      <w:bookmarkEnd w:id="418"/>
      <w:bookmarkEnd w:id="419"/>
      <w:bookmarkEnd w:id="420"/>
      <w:bookmarkEnd w:id="421"/>
      <w:bookmarkEnd w:id="422"/>
      <w:bookmarkEnd w:id="423"/>
      <w:bookmarkEnd w:id="424"/>
      <w:bookmarkEnd w:id="425"/>
      <w:bookmarkEnd w:id="426"/>
      <w:bookmarkEnd w:id="427"/>
      <w:bookmarkEnd w:id="428"/>
      <w:bookmarkEnd w:id="429"/>
      <w:bookmarkStart w:id="454" w:name="_Toc296944532"/>
      <w:bookmarkStart w:id="455" w:name="_Toc304295566"/>
      <w:bookmarkStart w:id="456" w:name="_Toc312677499"/>
      <w:bookmarkStart w:id="457" w:name="_Toc296503193"/>
      <w:bookmarkStart w:id="458" w:name="_Toc296891021"/>
      <w:bookmarkStart w:id="459" w:name="_Toc296346694"/>
      <w:bookmarkStart w:id="460" w:name="_Toc292559903"/>
      <w:bookmarkStart w:id="461" w:name="_Toc312678025"/>
      <w:bookmarkStart w:id="462" w:name="_Toc296891233"/>
      <w:bookmarkStart w:id="463" w:name="_Toc297120493"/>
      <w:bookmarkStart w:id="464" w:name="_Toc297048379"/>
      <w:bookmarkStart w:id="465" w:name="_Toc292559398"/>
      <w:bookmarkStart w:id="466" w:name="_Toc297123540"/>
      <w:bookmarkStart w:id="467" w:name="_Toc300934989"/>
      <w:bookmarkStart w:id="468" w:name="_Toc297216199"/>
      <w:bookmarkStart w:id="469" w:name="_Toc296347192"/>
      <w:bookmarkStart w:id="470" w:name="_Toc303539146"/>
      <w:bookmarkStart w:id="471" w:name="_Toc267251437"/>
      <w:bookmarkStart w:id="472" w:name="_Toc267251435"/>
      <w:bookmarkStart w:id="473" w:name="_Toc267251439"/>
      <w:bookmarkStart w:id="474" w:name="_Toc267251433"/>
      <w:bookmarkStart w:id="475" w:name="_Toc267251441"/>
      <w:bookmarkStart w:id="476" w:name="_Toc267251440"/>
      <w:r>
        <w:rPr>
          <w:rFonts w:hint="eastAsia" w:ascii="宋体" w:hAnsi="宋体"/>
          <w:color w:val="auto"/>
          <w:sz w:val="24"/>
          <w:szCs w:val="24"/>
          <w:highlight w:val="none"/>
        </w:rPr>
        <w:t>0. 变更</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14:paraId="2950AD68">
      <w:pPr>
        <w:pageBreakBefore w:val="0"/>
        <w:kinsoku/>
        <w:wordWrap/>
        <w:overflowPunct/>
        <w:topLinePunct w:val="0"/>
        <w:autoSpaceDE/>
        <w:autoSpaceDN/>
        <w:bidi w:val="0"/>
        <w:adjustRightInd w:val="0"/>
        <w:snapToGrid w:val="0"/>
        <w:spacing w:line="360" w:lineRule="auto"/>
        <w:ind w:left="0" w:firstLine="422"/>
        <w:textAlignment w:val="auto"/>
        <w:rPr>
          <w:rFonts w:hint="eastAsia" w:ascii="宋体" w:hAnsi="宋体" w:eastAsia="宋体"/>
          <w:b/>
          <w:color w:val="auto"/>
          <w:sz w:val="24"/>
          <w:szCs w:val="24"/>
          <w:highlight w:val="none"/>
        </w:rPr>
      </w:pPr>
      <w:r>
        <w:rPr>
          <w:rFonts w:hint="eastAsia" w:ascii="宋体" w:hAnsi="宋体" w:eastAsia="宋体"/>
          <w:b/>
          <w:color w:val="auto"/>
          <w:sz w:val="24"/>
          <w:szCs w:val="24"/>
          <w:highlight w:val="none"/>
        </w:rPr>
        <w:t>1</w:t>
      </w:r>
      <w:bookmarkStart w:id="477" w:name="_Toc296503194"/>
      <w:bookmarkStart w:id="478" w:name="_Toc296891022"/>
      <w:bookmarkStart w:id="479" w:name="_Toc296891234"/>
      <w:bookmarkStart w:id="480" w:name="_Toc312678026"/>
      <w:bookmarkStart w:id="481" w:name="_Toc292559399"/>
      <w:bookmarkStart w:id="482" w:name="_Toc312677500"/>
      <w:bookmarkStart w:id="483" w:name="_Toc292559904"/>
      <w:bookmarkStart w:id="484" w:name="_Toc297048380"/>
      <w:bookmarkStart w:id="485" w:name="_Toc297123541"/>
      <w:bookmarkStart w:id="486" w:name="_Toc296346695"/>
      <w:bookmarkStart w:id="487" w:name="_Toc297216200"/>
      <w:bookmarkStart w:id="488" w:name="_Toc304295567"/>
      <w:bookmarkStart w:id="489" w:name="_Toc296347193"/>
      <w:bookmarkStart w:id="490" w:name="_Toc296944533"/>
      <w:bookmarkStart w:id="491" w:name="_Toc300934990"/>
      <w:bookmarkStart w:id="492" w:name="_Toc297120494"/>
      <w:bookmarkStart w:id="493" w:name="_Toc303539147"/>
      <w:r>
        <w:rPr>
          <w:rFonts w:hint="eastAsia" w:ascii="宋体" w:hAnsi="宋体" w:eastAsia="宋体"/>
          <w:b/>
          <w:color w:val="auto"/>
          <w:sz w:val="24"/>
          <w:szCs w:val="24"/>
          <w:highlight w:val="none"/>
        </w:rPr>
        <w:t>0.1变更的范围</w:t>
      </w:r>
    </w:p>
    <w:p w14:paraId="1EF76460">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rPr>
        <w:t>关于变更的范围的约定：</w:t>
      </w:r>
      <w:r>
        <w:rPr>
          <w:rFonts w:hint="eastAsia" w:ascii="宋体" w:hAnsi="宋体" w:eastAsia="宋体"/>
          <w:color w:val="auto"/>
          <w:sz w:val="24"/>
          <w:szCs w:val="24"/>
          <w:highlight w:val="none"/>
          <w:u w:val="single"/>
        </w:rPr>
        <w:t>（1）工程设计变更（2）不可预见性变更（3）工程量清单特征不符、清单缺项、工程量偏差（4）涉及工程造价、质量标准等政策调整的变更（5）其他实质性变更。</w:t>
      </w:r>
    </w:p>
    <w:p w14:paraId="00453E80">
      <w:pPr>
        <w:pageBreakBefore w:val="0"/>
        <w:kinsoku/>
        <w:wordWrap/>
        <w:overflowPunct/>
        <w:topLinePunct w:val="0"/>
        <w:autoSpaceDE/>
        <w:autoSpaceDN/>
        <w:bidi w:val="0"/>
        <w:adjustRightInd w:val="0"/>
        <w:snapToGrid w:val="0"/>
        <w:spacing w:line="360" w:lineRule="auto"/>
        <w:ind w:left="0" w:firstLine="422"/>
        <w:textAlignment w:val="auto"/>
        <w:outlineLvl w:val="0"/>
        <w:rPr>
          <w:rFonts w:hint="eastAsia" w:ascii="宋体" w:hAnsi="宋体" w:eastAsia="宋体"/>
          <w:b/>
          <w:color w:val="auto"/>
          <w:sz w:val="24"/>
          <w:szCs w:val="24"/>
          <w:highlight w:val="none"/>
        </w:rPr>
      </w:pPr>
      <w:bookmarkStart w:id="494" w:name="_Toc14006"/>
      <w:r>
        <w:rPr>
          <w:rFonts w:hint="eastAsia" w:ascii="宋体" w:hAnsi="宋体" w:eastAsia="宋体"/>
          <w:b/>
          <w:color w:val="auto"/>
          <w:sz w:val="24"/>
          <w:szCs w:val="24"/>
          <w:highlight w:val="none"/>
        </w:rPr>
        <w:t>10.4 变更估价</w:t>
      </w:r>
      <w:bookmarkEnd w:id="494"/>
    </w:p>
    <w:p w14:paraId="3A228FBA">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10.4.1 变更估价原则</w:t>
      </w:r>
    </w:p>
    <w:p w14:paraId="5CF4456D">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关于变更估价的约定</w:t>
      </w:r>
      <w:r>
        <w:rPr>
          <w:rFonts w:hint="eastAsia" w:ascii="宋体" w:hAnsi="宋体" w:eastAsia="宋体"/>
          <w:color w:val="auto"/>
          <w:sz w:val="24"/>
          <w:szCs w:val="24"/>
          <w:highlight w:val="none"/>
          <w:lang w:eastAsia="zh-CN"/>
        </w:rPr>
        <w:t>：</w:t>
      </w:r>
      <w:r>
        <w:rPr>
          <w:rFonts w:hint="eastAsia" w:ascii="宋体" w:hAnsi="宋体" w:eastAsia="宋体"/>
          <w:color w:val="auto"/>
          <w:sz w:val="24"/>
          <w:szCs w:val="24"/>
          <w:highlight w:val="none"/>
        </w:rPr>
        <w:t xml:space="preserve"> </w:t>
      </w:r>
    </w:p>
    <w:p w14:paraId="5C75B31A">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u w:val="single"/>
        </w:rPr>
        <w:t>工程变更引起已标价工程量清单项目或其工程数量发生变化，应按照下列规定调整：</w:t>
      </w:r>
    </w:p>
    <w:p w14:paraId="2B13A00B">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u w:val="single"/>
        </w:rPr>
        <w:t>1. 已标价工程量清单中有适用于变更工程项目的，采用该项目的单价调整。但当工程变更导致该清单项目的工程数量发生变化，且工程量偏差超过15%时，该项目单价调整；当工程量增加15%以上时，增加部分的工程量的综合单价以原投标单价下浮5%。当工程量减少15%以上时，减少后剩余部分的工程量的综合单价以原投标单价上浮5%。</w:t>
      </w:r>
    </w:p>
    <w:p w14:paraId="0EBA9755">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u w:val="single"/>
        </w:rPr>
        <w:t>2.已标价工程量清单中没有适用但有类似于变更工程项目的，可在合理范围内参照类似项目的单价调整；如果参照类似项目的单价调整的，应经发（承）包方和监理工程师签认。</w:t>
      </w:r>
    </w:p>
    <w:p w14:paraId="6B45674C">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u w:val="single"/>
        </w:rPr>
        <w:t>3.已标价工程量清单中没有适用也没有类似于变更工程项目的，由承包人根据变更工程资料、计量规则和计价办法、工程造价管理机构发布的信息价格和承包人报价浮动率提出变更工程项目的单价，报发包人确认后调整。下浮比率执行投标下浮比率=(1-</w:t>
      </w:r>
      <w:r>
        <w:rPr>
          <w:rFonts w:hint="eastAsia" w:ascii="宋体" w:hAnsi="宋体" w:eastAsia="宋体"/>
          <w:color w:val="auto"/>
          <w:sz w:val="24"/>
          <w:szCs w:val="24"/>
          <w:highlight w:val="none"/>
          <w:u w:val="single"/>
          <w:lang w:val="en-US" w:eastAsia="zh-CN"/>
        </w:rPr>
        <w:t>中标</w:t>
      </w:r>
      <w:r>
        <w:rPr>
          <w:rFonts w:hint="eastAsia" w:ascii="宋体" w:hAnsi="宋体" w:eastAsia="宋体"/>
          <w:color w:val="auto"/>
          <w:sz w:val="24"/>
          <w:szCs w:val="24"/>
          <w:highlight w:val="none"/>
          <w:u w:val="single"/>
        </w:rPr>
        <w:t>价/审定标底价即未按控制价调整系数调整前的价格)*100%，下浮率的计算均需扣除采购人暂列金额、暂估价、规费、安全文明施工措施费及税金。</w:t>
      </w:r>
    </w:p>
    <w:p w14:paraId="51605531">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u w:val="single"/>
        </w:rPr>
        <w:t>4.已标价工程量清单中没有适用也没有类似于变更工程项目，且工程造价管理机构发布的信息价格缺价的，由承包人根据变更工程资料、计量规则、计价办法和通过市场调查等取得有合法依据的市场价格提出变更工程项目的单价，报发包人确认后调整。</w:t>
      </w:r>
    </w:p>
    <w:p w14:paraId="42F87C31">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u w:val="single"/>
        </w:rPr>
        <w:t>5.工程变更引起施工方案改变，并使措施项目发生变化的，承包人提出调整措施项目费的，应事先将拟实施的方案提交发包人确认，并详细说明与原方案措施项目相比的变化情况。拟实施的方案经发承包双方确认后执行，并应按照下列规定调整措施项目费：</w:t>
      </w:r>
    </w:p>
    <w:p w14:paraId="2F796C2A">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u w:val="single"/>
        </w:rPr>
        <w:t>（1）安全文明施工费按照实际发生变化的措施项目依据规范规定计算。</w:t>
      </w:r>
    </w:p>
    <w:p w14:paraId="5CEDBAFA">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u w:val="single"/>
        </w:rPr>
        <w:t>（2）采用单价计算的措施项目费，按照实际发生变化的措施项目的规定确定单价。</w:t>
      </w:r>
    </w:p>
    <w:p w14:paraId="4491A09A">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u w:val="single"/>
        </w:rPr>
        <w:t>（3）按总价（或系数）计算的措施项目费，按照实际发生变化的措施项目调整，但应考虑承包人报价浮动因素，即调整金额按照实际调整金额乘以规定的承包人报价浮动率计算。</w:t>
      </w:r>
    </w:p>
    <w:p w14:paraId="129C03DC">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u w:val="single"/>
        </w:rPr>
        <w:t>如果承包人未事先将拟实施的方案提交给发包人确认，则视为工程变更不引起措施项目费的调整或承包人放弃调整措施项目费的权利。</w:t>
      </w:r>
    </w:p>
    <w:p w14:paraId="75904E73">
      <w:pPr>
        <w:pageBreakBefore w:val="0"/>
        <w:kinsoku/>
        <w:wordWrap/>
        <w:overflowPunct/>
        <w:topLinePunct w:val="0"/>
        <w:autoSpaceDE/>
        <w:autoSpaceDN/>
        <w:bidi w:val="0"/>
        <w:adjustRightInd w:val="0"/>
        <w:snapToGrid w:val="0"/>
        <w:spacing w:line="360" w:lineRule="auto"/>
        <w:ind w:left="0" w:firstLine="422"/>
        <w:jc w:val="left"/>
        <w:textAlignment w:val="auto"/>
        <w:rPr>
          <w:rFonts w:hint="eastAsia" w:ascii="宋体" w:hAnsi="宋体" w:eastAsia="宋体"/>
          <w:b/>
          <w:color w:val="auto"/>
          <w:sz w:val="24"/>
          <w:szCs w:val="24"/>
          <w:highlight w:val="none"/>
        </w:rPr>
      </w:pPr>
      <w:r>
        <w:rPr>
          <w:rFonts w:hint="eastAsia" w:ascii="宋体" w:hAnsi="宋体" w:eastAsia="宋体"/>
          <w:b/>
          <w:color w:val="auto"/>
          <w:sz w:val="24"/>
          <w:szCs w:val="24"/>
          <w:highlight w:val="none"/>
        </w:rPr>
        <w:t>1</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Start w:id="495" w:name="_Toc297120497"/>
      <w:bookmarkStart w:id="496" w:name="_Toc297048383"/>
      <w:bookmarkStart w:id="497" w:name="_Toc300934993"/>
      <w:bookmarkStart w:id="498" w:name="_Toc296503197"/>
      <w:bookmarkStart w:id="499" w:name="_Toc296891237"/>
      <w:bookmarkStart w:id="500" w:name="_Toc296891025"/>
      <w:bookmarkStart w:id="501" w:name="_Toc296944536"/>
      <w:bookmarkStart w:id="502" w:name="_Toc292559402"/>
      <w:bookmarkStart w:id="503" w:name="_Toc297216203"/>
      <w:bookmarkStart w:id="504" w:name="_Toc292559907"/>
      <w:bookmarkStart w:id="505" w:name="_Toc297123544"/>
      <w:bookmarkStart w:id="506" w:name="_Toc296347196"/>
      <w:bookmarkStart w:id="507" w:name="_Toc303539150"/>
      <w:bookmarkStart w:id="508" w:name="_Toc296346698"/>
      <w:bookmarkStart w:id="509" w:name="_Toc312677503"/>
      <w:bookmarkStart w:id="510" w:name="_Toc312678029"/>
      <w:bookmarkStart w:id="511" w:name="_Toc304295570"/>
      <w:r>
        <w:rPr>
          <w:rFonts w:hint="eastAsia" w:ascii="宋体" w:hAnsi="宋体" w:eastAsia="宋体"/>
          <w:b/>
          <w:color w:val="auto"/>
          <w:sz w:val="24"/>
          <w:szCs w:val="24"/>
          <w:highlight w:val="none"/>
        </w:rPr>
        <w:t>0.5承</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Start w:id="512" w:name="_Toc296347202"/>
      <w:bookmarkStart w:id="513" w:name="_Toc296891243"/>
      <w:bookmarkStart w:id="514" w:name="_Toc303539151"/>
      <w:bookmarkStart w:id="515" w:name="_Toc300934994"/>
      <w:bookmarkStart w:id="516" w:name="_Toc296944542"/>
      <w:bookmarkStart w:id="517" w:name="_Toc292559913"/>
      <w:bookmarkStart w:id="518" w:name="_Toc297120503"/>
      <w:bookmarkStart w:id="519" w:name="_Toc296503203"/>
      <w:bookmarkStart w:id="520" w:name="_Toc297123545"/>
      <w:bookmarkStart w:id="521" w:name="_Toc297216204"/>
      <w:bookmarkStart w:id="522" w:name="_Toc297048389"/>
      <w:bookmarkStart w:id="523" w:name="_Toc296891031"/>
      <w:bookmarkStart w:id="524" w:name="_Toc292559408"/>
      <w:bookmarkStart w:id="525" w:name="_Toc296346704"/>
      <w:r>
        <w:rPr>
          <w:rFonts w:hint="eastAsia" w:ascii="宋体" w:hAnsi="宋体" w:eastAsia="宋体"/>
          <w:b/>
          <w:color w:val="auto"/>
          <w:sz w:val="24"/>
          <w:szCs w:val="24"/>
          <w:highlight w:val="none"/>
        </w:rPr>
        <w:t>包人的合理化建议</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14:paraId="31ED824D">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监理人审查承包人合理化建议的期限：</w:t>
      </w:r>
      <w:r>
        <w:rPr>
          <w:rFonts w:hint="eastAsia" w:ascii="宋体" w:hAnsi="宋体" w:eastAsia="宋体"/>
          <w:color w:val="auto"/>
          <w:sz w:val="24"/>
          <w:szCs w:val="24"/>
          <w:highlight w:val="none"/>
          <w:u w:val="single"/>
        </w:rPr>
        <w:t>/</w:t>
      </w:r>
      <w:r>
        <w:rPr>
          <w:rFonts w:hint="eastAsia" w:ascii="宋体" w:hAnsi="宋体" w:eastAsia="宋体"/>
          <w:color w:val="auto"/>
          <w:sz w:val="24"/>
          <w:szCs w:val="24"/>
          <w:highlight w:val="none"/>
        </w:rPr>
        <w:t>。</w:t>
      </w:r>
    </w:p>
    <w:p w14:paraId="1B2A3AA2">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发包人审批承包人合理化建议的期限：</w:t>
      </w:r>
      <w:r>
        <w:rPr>
          <w:rFonts w:hint="eastAsia" w:ascii="宋体" w:hAnsi="宋体" w:eastAsia="宋体"/>
          <w:color w:val="auto"/>
          <w:sz w:val="24"/>
          <w:szCs w:val="24"/>
          <w:highlight w:val="none"/>
          <w:u w:val="single"/>
        </w:rPr>
        <w:t>/</w:t>
      </w:r>
      <w:r>
        <w:rPr>
          <w:rFonts w:hint="eastAsia" w:ascii="宋体" w:hAnsi="宋体" w:eastAsia="宋体"/>
          <w:color w:val="auto"/>
          <w:sz w:val="24"/>
          <w:szCs w:val="24"/>
          <w:highlight w:val="none"/>
        </w:rPr>
        <w:t>。</w:t>
      </w:r>
    </w:p>
    <w:p w14:paraId="62774E2D">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rPr>
        <w:t>承</w:t>
      </w:r>
      <w:bookmarkStart w:id="526" w:name="_Toc318581175"/>
      <w:bookmarkStart w:id="527" w:name="_Toc312678030"/>
      <w:bookmarkStart w:id="528" w:name="_Toc312677504"/>
      <w:bookmarkStart w:id="529" w:name="_Toc300934995"/>
      <w:bookmarkStart w:id="530" w:name="_Toc297216205"/>
      <w:bookmarkStart w:id="531" w:name="_Toc297120504"/>
      <w:bookmarkStart w:id="532" w:name="_Toc296503204"/>
      <w:bookmarkStart w:id="533" w:name="_Toc297123546"/>
      <w:bookmarkStart w:id="534" w:name="_Toc296891244"/>
      <w:bookmarkStart w:id="535" w:name="_Toc296944543"/>
      <w:bookmarkStart w:id="536" w:name="_Toc292559409"/>
      <w:bookmarkStart w:id="537" w:name="_Toc304295571"/>
      <w:bookmarkStart w:id="538" w:name="_Toc296891032"/>
      <w:bookmarkStart w:id="539" w:name="_Toc297048390"/>
      <w:bookmarkStart w:id="540" w:name="_Toc296347203"/>
      <w:bookmarkStart w:id="541" w:name="_Toc303539152"/>
      <w:bookmarkStart w:id="542" w:name="_Toc296346705"/>
      <w:bookmarkStart w:id="543" w:name="_Toc292559914"/>
      <w:r>
        <w:rPr>
          <w:rFonts w:hint="eastAsia" w:ascii="宋体" w:hAnsi="宋体" w:eastAsia="宋体"/>
          <w:color w:val="auto"/>
          <w:sz w:val="24"/>
          <w:szCs w:val="24"/>
          <w:highlight w:val="none"/>
        </w:rPr>
        <w:t>包人提出的合理化建议降低了合同价格或者提高了工程经济效益的奖励的方法和金额为：</w:t>
      </w:r>
      <w:r>
        <w:rPr>
          <w:rFonts w:hint="eastAsia" w:ascii="宋体" w:hAnsi="宋体" w:eastAsia="宋体"/>
          <w:color w:val="auto"/>
          <w:sz w:val="24"/>
          <w:szCs w:val="24"/>
          <w:highlight w:val="none"/>
          <w:u w:val="single"/>
        </w:rPr>
        <w:t>/</w:t>
      </w:r>
      <w:r>
        <w:rPr>
          <w:rFonts w:hint="eastAsia" w:ascii="宋体" w:hAnsi="宋体" w:eastAsia="宋体"/>
          <w:color w:val="auto"/>
          <w:sz w:val="24"/>
          <w:szCs w:val="24"/>
          <w:highlight w:val="none"/>
        </w:rPr>
        <w:t>。</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14:paraId="78C3C905">
      <w:pPr>
        <w:pageBreakBefore w:val="0"/>
        <w:kinsoku/>
        <w:wordWrap/>
        <w:overflowPunct/>
        <w:topLinePunct w:val="0"/>
        <w:autoSpaceDE/>
        <w:autoSpaceDN/>
        <w:bidi w:val="0"/>
        <w:adjustRightInd w:val="0"/>
        <w:snapToGrid w:val="0"/>
        <w:spacing w:line="360" w:lineRule="auto"/>
        <w:ind w:left="0" w:firstLine="422"/>
        <w:textAlignment w:val="auto"/>
        <w:outlineLvl w:val="0"/>
        <w:rPr>
          <w:rFonts w:hint="eastAsia" w:ascii="宋体" w:hAnsi="宋体" w:eastAsia="宋体"/>
          <w:b/>
          <w:color w:val="auto"/>
          <w:sz w:val="24"/>
          <w:szCs w:val="24"/>
          <w:highlight w:val="none"/>
        </w:rPr>
      </w:pPr>
      <w:bookmarkStart w:id="544" w:name="_Toc28262"/>
      <w:r>
        <w:rPr>
          <w:rFonts w:hint="eastAsia" w:ascii="宋体" w:hAnsi="宋体" w:eastAsia="宋体"/>
          <w:b/>
          <w:color w:val="auto"/>
          <w:sz w:val="24"/>
          <w:szCs w:val="24"/>
          <w:highlight w:val="none"/>
        </w:rPr>
        <w:t>1</w:t>
      </w:r>
      <w:bookmarkStart w:id="545" w:name="_Toc297120499"/>
      <w:bookmarkStart w:id="546" w:name="_Toc292559909"/>
      <w:bookmarkStart w:id="547" w:name="_Toc292559404"/>
      <w:bookmarkStart w:id="548" w:name="_Toc300934997"/>
      <w:bookmarkStart w:id="549" w:name="_Toc296944538"/>
      <w:bookmarkStart w:id="550" w:name="_Toc296891239"/>
      <w:bookmarkStart w:id="551" w:name="_Toc296891027"/>
      <w:bookmarkStart w:id="552" w:name="_Toc296346700"/>
      <w:bookmarkStart w:id="553" w:name="_Toc304295574"/>
      <w:bookmarkStart w:id="554" w:name="_Toc297216207"/>
      <w:bookmarkStart w:id="555" w:name="_Toc296347198"/>
      <w:bookmarkStart w:id="556" w:name="_Toc297048385"/>
      <w:bookmarkStart w:id="557" w:name="_Toc296503199"/>
      <w:bookmarkStart w:id="558" w:name="_Toc297123548"/>
      <w:bookmarkStart w:id="559" w:name="_Toc312677507"/>
      <w:bookmarkStart w:id="560" w:name="_Toc303539154"/>
      <w:bookmarkStart w:id="561" w:name="_Toc312678033"/>
      <w:r>
        <w:rPr>
          <w:rFonts w:hint="eastAsia" w:ascii="宋体" w:hAnsi="宋体" w:eastAsia="宋体"/>
          <w:b/>
          <w:color w:val="auto"/>
          <w:sz w:val="24"/>
          <w:szCs w:val="24"/>
          <w:highlight w:val="none"/>
        </w:rPr>
        <w:t>0.7 暂估价</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14:paraId="14E306E4">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暂</w:t>
      </w:r>
      <w:bookmarkStart w:id="562" w:name="_Toc312677508"/>
      <w:bookmarkStart w:id="563" w:name="_Toc312678034"/>
      <w:bookmarkStart w:id="564" w:name="_Toc318581176"/>
      <w:r>
        <w:rPr>
          <w:rFonts w:hint="eastAsia" w:ascii="宋体" w:hAnsi="宋体" w:eastAsia="宋体"/>
          <w:color w:val="auto"/>
          <w:sz w:val="24"/>
          <w:szCs w:val="24"/>
          <w:highlight w:val="none"/>
        </w:rPr>
        <w:t>估价材料和工程设备的明细详见附件11：《暂估价一览表》。</w:t>
      </w:r>
      <w:bookmarkEnd w:id="562"/>
      <w:bookmarkEnd w:id="563"/>
      <w:bookmarkEnd w:id="564"/>
    </w:p>
    <w:p w14:paraId="4882A3DC">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w:t>
      </w:r>
      <w:bookmarkStart w:id="565" w:name="_Toc318581177"/>
      <w:bookmarkStart w:id="566" w:name="_Toc312678035"/>
      <w:bookmarkStart w:id="567" w:name="_Toc312677509"/>
      <w:r>
        <w:rPr>
          <w:rFonts w:hint="eastAsia" w:ascii="宋体" w:hAnsi="宋体" w:eastAsia="宋体"/>
          <w:color w:val="auto"/>
          <w:sz w:val="24"/>
          <w:szCs w:val="24"/>
          <w:highlight w:val="none"/>
        </w:rPr>
        <w:t>0.7.1 依法必须招标的暂估价项目</w:t>
      </w:r>
      <w:bookmarkEnd w:id="565"/>
      <w:bookmarkEnd w:id="566"/>
      <w:bookmarkEnd w:id="567"/>
    </w:p>
    <w:p w14:paraId="0698CCF3">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对于依法必须招标的暂估价项目的确认和批准采取第</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种方式确定</w:t>
      </w:r>
      <w:r>
        <w:rPr>
          <w:rFonts w:hint="eastAsia" w:ascii="宋体" w:hAnsi="宋体" w:eastAsia="宋体"/>
          <w:color w:val="auto"/>
          <w:sz w:val="24"/>
          <w:szCs w:val="24"/>
          <w:highlight w:val="none"/>
          <w:u w:val="single"/>
        </w:rPr>
        <w:t>（参照通用条款10.7条）</w:t>
      </w:r>
      <w:r>
        <w:rPr>
          <w:rFonts w:hint="eastAsia" w:ascii="宋体" w:hAnsi="宋体" w:eastAsia="宋体"/>
          <w:color w:val="auto"/>
          <w:sz w:val="24"/>
          <w:szCs w:val="24"/>
          <w:highlight w:val="none"/>
        </w:rPr>
        <w:t>。</w:t>
      </w:r>
    </w:p>
    <w:p w14:paraId="18C76B55">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10.7.2 不属于依法必须招标的暂估价项目</w:t>
      </w:r>
    </w:p>
    <w:p w14:paraId="6DCD8319">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对于不属于依法必须招标的暂估价项目的确认和批准采取第</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 xml:space="preserve"> 种方式确定</w:t>
      </w:r>
      <w:r>
        <w:rPr>
          <w:rFonts w:hint="eastAsia" w:ascii="宋体" w:hAnsi="宋体" w:eastAsia="宋体"/>
          <w:color w:val="auto"/>
          <w:sz w:val="24"/>
          <w:szCs w:val="24"/>
          <w:highlight w:val="none"/>
          <w:u w:val="single"/>
        </w:rPr>
        <w:t>（参照通用条款10.7条）</w:t>
      </w:r>
      <w:r>
        <w:rPr>
          <w:rFonts w:hint="eastAsia" w:ascii="宋体" w:hAnsi="宋体" w:eastAsia="宋体"/>
          <w:color w:val="auto"/>
          <w:sz w:val="24"/>
          <w:szCs w:val="24"/>
          <w:highlight w:val="none"/>
        </w:rPr>
        <w:t>。</w:t>
      </w:r>
    </w:p>
    <w:p w14:paraId="2A2B6944">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第3种方式：承包人直接实施的暂估价项目</w:t>
      </w:r>
    </w:p>
    <w:p w14:paraId="47A4FCEB">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承包人直接实施的暂估价项目的约定：</w:t>
      </w:r>
      <w:r>
        <w:rPr>
          <w:rFonts w:hint="eastAsia" w:ascii="宋体" w:hAnsi="宋体" w:eastAsia="宋体"/>
          <w:color w:val="auto"/>
          <w:sz w:val="24"/>
          <w:szCs w:val="24"/>
          <w:highlight w:val="none"/>
          <w:u w:val="single"/>
        </w:rPr>
        <w:t>/</w:t>
      </w:r>
      <w:r>
        <w:rPr>
          <w:rFonts w:hint="eastAsia" w:ascii="宋体" w:hAnsi="宋体" w:eastAsia="宋体"/>
          <w:color w:val="auto"/>
          <w:sz w:val="24"/>
          <w:szCs w:val="24"/>
          <w:highlight w:val="none"/>
        </w:rPr>
        <w:t>。</w:t>
      </w:r>
    </w:p>
    <w:p w14:paraId="68B49189">
      <w:pPr>
        <w:pageBreakBefore w:val="0"/>
        <w:kinsoku/>
        <w:wordWrap/>
        <w:overflowPunct/>
        <w:topLinePunct w:val="0"/>
        <w:autoSpaceDE/>
        <w:autoSpaceDN/>
        <w:bidi w:val="0"/>
        <w:adjustRightInd w:val="0"/>
        <w:snapToGrid w:val="0"/>
        <w:spacing w:line="360" w:lineRule="auto"/>
        <w:ind w:left="0" w:firstLine="422"/>
        <w:textAlignment w:val="auto"/>
        <w:rPr>
          <w:rFonts w:hint="eastAsia" w:ascii="宋体" w:hAnsi="宋体" w:eastAsia="宋体"/>
          <w:b/>
          <w:color w:val="auto"/>
          <w:sz w:val="24"/>
          <w:szCs w:val="24"/>
          <w:highlight w:val="none"/>
        </w:rPr>
      </w:pPr>
      <w:r>
        <w:rPr>
          <w:rFonts w:hint="eastAsia" w:ascii="宋体" w:hAnsi="宋体" w:eastAsia="宋体"/>
          <w:b/>
          <w:color w:val="auto"/>
          <w:sz w:val="24"/>
          <w:szCs w:val="24"/>
          <w:highlight w:val="none"/>
        </w:rPr>
        <w:t>10.8 暂列金额</w:t>
      </w:r>
    </w:p>
    <w:p w14:paraId="5E0D22CA">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rPr>
        <w:t>合同当事人关于暂列金额使用的约定：</w:t>
      </w:r>
      <w:r>
        <w:rPr>
          <w:rFonts w:hint="eastAsia" w:ascii="宋体" w:hAnsi="宋体" w:eastAsia="宋体"/>
          <w:color w:val="auto"/>
          <w:sz w:val="24"/>
          <w:szCs w:val="24"/>
          <w:highlight w:val="none"/>
          <w:u w:val="single"/>
        </w:rPr>
        <w:t>暂列金是指发包人为可能发生工程变更而暂列的金额，包括因发包人提供的工程量清单漏项、清单有误引起的工程数量增加和施工过程中设计变更引起新的清单项目或工程数量增加等需要增加的金额，采购人委托具有建设行政主管部门颁发资质的造价咨询机构审定后，按照审定造价支付部分暂列金。暂列金是采购人自行确定设立的，承包人无权使用此笔费用。此费用按实际发生经采购人签证后确定全部使用、部分使用或不使用。暂列金额不计入工程款付款的基数。</w:t>
      </w:r>
    </w:p>
    <w:p w14:paraId="44DFE856">
      <w:pPr>
        <w:pStyle w:val="7"/>
        <w:pageBreakBefore w:val="0"/>
        <w:kinsoku/>
        <w:wordWrap/>
        <w:overflowPunct/>
        <w:topLinePunct w:val="0"/>
        <w:autoSpaceDE/>
        <w:autoSpaceDN/>
        <w:bidi w:val="0"/>
        <w:adjustRightInd w:val="0"/>
        <w:snapToGrid w:val="0"/>
        <w:spacing w:before="0" w:after="0" w:line="360" w:lineRule="auto"/>
        <w:ind w:left="0"/>
        <w:textAlignment w:val="auto"/>
        <w:rPr>
          <w:rFonts w:hint="eastAsia" w:ascii="宋体" w:hAnsi="宋体"/>
          <w:color w:val="auto"/>
          <w:sz w:val="24"/>
          <w:szCs w:val="24"/>
          <w:highlight w:val="none"/>
        </w:rPr>
      </w:pPr>
      <w:bookmarkStart w:id="568" w:name="_Toc351203643"/>
      <w:r>
        <w:rPr>
          <w:rFonts w:hint="eastAsia" w:ascii="宋体" w:hAnsi="宋体"/>
          <w:color w:val="auto"/>
          <w:sz w:val="24"/>
          <w:szCs w:val="24"/>
          <w:highlight w:val="none"/>
        </w:rPr>
        <w:t>11. 价格调整</w:t>
      </w:r>
      <w:bookmarkEnd w:id="568"/>
    </w:p>
    <w:p w14:paraId="2F9CFB57">
      <w:pPr>
        <w:pageBreakBefore w:val="0"/>
        <w:kinsoku/>
        <w:wordWrap/>
        <w:overflowPunct/>
        <w:topLinePunct w:val="0"/>
        <w:autoSpaceDE/>
        <w:autoSpaceDN/>
        <w:bidi w:val="0"/>
        <w:adjustRightInd w:val="0"/>
        <w:snapToGrid w:val="0"/>
        <w:spacing w:line="360" w:lineRule="auto"/>
        <w:ind w:left="0" w:firstLine="422"/>
        <w:textAlignment w:val="auto"/>
        <w:rPr>
          <w:rFonts w:hint="eastAsia" w:ascii="宋体" w:hAnsi="宋体" w:eastAsia="宋体"/>
          <w:b/>
          <w:color w:val="auto"/>
          <w:sz w:val="24"/>
          <w:szCs w:val="24"/>
          <w:highlight w:val="none"/>
        </w:rPr>
      </w:pPr>
      <w:bookmarkStart w:id="569" w:name="_Toc292559406"/>
      <w:bookmarkStart w:id="570" w:name="_Toc296891029"/>
      <w:bookmarkStart w:id="571" w:name="_Toc297048387"/>
      <w:bookmarkStart w:id="572" w:name="_Toc304295577"/>
      <w:bookmarkStart w:id="573" w:name="_Toc297216209"/>
      <w:bookmarkStart w:id="574" w:name="_Toc303539157"/>
      <w:bookmarkStart w:id="575" w:name="_Toc297120501"/>
      <w:bookmarkStart w:id="576" w:name="_Toc296891241"/>
      <w:bookmarkStart w:id="577" w:name="_Toc300935000"/>
      <w:bookmarkStart w:id="578" w:name="_Toc296346702"/>
      <w:bookmarkStart w:id="579" w:name="_Toc312678039"/>
      <w:bookmarkStart w:id="580" w:name="_Toc292559911"/>
      <w:bookmarkStart w:id="581" w:name="_Toc296503201"/>
      <w:bookmarkStart w:id="582" w:name="_Toc296347200"/>
      <w:bookmarkStart w:id="583" w:name="_Toc296944540"/>
      <w:bookmarkStart w:id="584" w:name="_Toc297123550"/>
      <w:r>
        <w:rPr>
          <w:rFonts w:hint="eastAsia" w:ascii="宋体" w:hAnsi="宋体" w:eastAsia="宋体"/>
          <w:b/>
          <w:color w:val="auto"/>
          <w:sz w:val="24"/>
          <w:szCs w:val="24"/>
          <w:highlight w:val="none"/>
        </w:rPr>
        <w:t>11.1 市场价格波动引起的调整：</w:t>
      </w:r>
    </w:p>
    <w:p w14:paraId="4C53C474">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市场价格波动是否调整合同价格的约定：</w:t>
      </w:r>
    </w:p>
    <w:p w14:paraId="06A6874C">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lang w:bidi="ar"/>
        </w:rPr>
        <w:t>人工费结算不再调整，由承包人按照江苏省人工费调整幅度预测，在投标报价时综合考虑上涨因素进行报价，风险由承包人承担。</w:t>
      </w:r>
    </w:p>
    <w:p w14:paraId="2742F76C">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lang w:bidi="ar"/>
        </w:rPr>
        <w:t>物价波动引起价格的调整参照执行南通市建设工程造价管理处（通建价[2016]22号）“关于建筑业实施营改增后进一步明确建设工程材料价格风险控制及价差调整计算方法的通知”。</w:t>
      </w:r>
    </w:p>
    <w:p w14:paraId="047D89D5">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因市场价格波动调整合同价格，采用以下第</w:t>
      </w:r>
      <w:r>
        <w:rPr>
          <w:rFonts w:hint="eastAsia" w:ascii="宋体" w:hAnsi="宋体" w:eastAsia="宋体" w:cs="宋体"/>
          <w:color w:val="auto"/>
          <w:sz w:val="24"/>
          <w:szCs w:val="24"/>
          <w:highlight w:val="none"/>
          <w:u w:val="single"/>
          <w:lang w:bidi="ar"/>
        </w:rPr>
        <w:t>2</w:t>
      </w:r>
      <w:r>
        <w:rPr>
          <w:rFonts w:hint="eastAsia" w:ascii="宋体" w:hAnsi="宋体" w:eastAsia="宋体" w:cs="宋体"/>
          <w:color w:val="auto"/>
          <w:sz w:val="24"/>
          <w:szCs w:val="24"/>
          <w:highlight w:val="none"/>
          <w:lang w:bidi="ar"/>
        </w:rPr>
        <w:t>种方式对合同价格进行调整：</w:t>
      </w:r>
    </w:p>
    <w:p w14:paraId="0289A302">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第1种方式：采用价格指数进行价格调整。</w:t>
      </w:r>
    </w:p>
    <w:p w14:paraId="0F33D967">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bidi="ar"/>
        </w:rPr>
        <w:t>关于各可调因子、定值和变值权重，以及基本价格指数及其来源的约定：</w:t>
      </w:r>
      <w:r>
        <w:rPr>
          <w:rFonts w:hint="eastAsia" w:ascii="宋体" w:hAnsi="宋体" w:eastAsia="宋体" w:cs="宋体"/>
          <w:color w:val="auto"/>
          <w:sz w:val="24"/>
          <w:szCs w:val="24"/>
          <w:highlight w:val="none"/>
          <w:u w:val="single"/>
          <w:lang w:bidi="ar"/>
        </w:rPr>
        <w:t>/</w:t>
      </w:r>
      <w:r>
        <w:rPr>
          <w:rFonts w:hint="eastAsia" w:ascii="宋体" w:hAnsi="宋体" w:eastAsia="宋体" w:cs="宋体"/>
          <w:color w:val="auto"/>
          <w:sz w:val="24"/>
          <w:szCs w:val="24"/>
          <w:highlight w:val="none"/>
          <w:lang w:bidi="ar"/>
        </w:rPr>
        <w:t xml:space="preserve">；  </w:t>
      </w:r>
    </w:p>
    <w:p w14:paraId="61709E8C">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第2种方式：采用造价信息进行价格调整。</w:t>
      </w:r>
    </w:p>
    <w:p w14:paraId="68F3A117">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（2）关于基准价格的约定：</w:t>
      </w:r>
    </w:p>
    <w:p w14:paraId="4A9F3F25">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lang w:bidi="ar"/>
        </w:rPr>
        <w:t>1)．主要建筑材料费用占单位工程费用的比值a确定方法：</w:t>
      </w:r>
    </w:p>
    <w:p w14:paraId="40A8A08B">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lang w:bidi="ar"/>
        </w:rPr>
        <w:t>a=【单位工程某类别建筑材料工程总数量（包括变更调整数量）×中标单价／单位工程结算总造价（不含人工、材料风险价差部分）】×100%。</w:t>
      </w:r>
    </w:p>
    <w:p w14:paraId="32F866F1">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lang w:bidi="ar"/>
        </w:rPr>
        <w:t>当a值＞5%时，该建筑材料为主要建筑材料，当a值≤5%，该建筑材料为非主要建筑材料。</w:t>
      </w:r>
    </w:p>
    <w:p w14:paraId="7D028E84">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lang w:bidi="ar"/>
        </w:rPr>
        <w:t>2).承包人应承担的主要建筑材料价格涨跌风险幅度b应为5%：</w:t>
      </w:r>
    </w:p>
    <w:p w14:paraId="5EB1ED1C">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lang w:bidi="ar"/>
        </w:rPr>
        <w:t>采用固定价格合同形式的建设工程，当工程施工期间非主要建筑材料价格上涨或下跌的，其差价均由承包人承担或收益；当工程施工期间主要建筑材料价格上涨或下跌幅度在5%以内（含5%）的，其差价由承包人承担或受益，超过5%的部分由发包人承担或受益。</w:t>
      </w:r>
    </w:p>
    <w:p w14:paraId="620E47E7">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lang w:bidi="ar"/>
        </w:rPr>
        <w:t>3)．主要建筑材料单价价差的取定：</w:t>
      </w:r>
    </w:p>
    <w:p w14:paraId="55E491BE">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lang w:bidi="ar"/>
        </w:rPr>
        <w:t>应以南通市造价管理部门发布的材料指导价格为基准（缺指导价的材料以双方确认的市场信息价为准），差价为施工期间同类材料加权平均指导价格与合同工程基准日（招标工程以投标截止日前28天，非招标工程以合同签订前28天为基准日）当月的材料指导价格的差额。</w:t>
      </w:r>
    </w:p>
    <w:p w14:paraId="002860DA">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lang w:bidi="ar"/>
        </w:rPr>
        <w:t>施工期间主要建筑材料加权平均指导价=Σ（每月实际使用量×当月材料指导价）／该材料总用量。</w:t>
      </w:r>
    </w:p>
    <w:p w14:paraId="691979E6">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lang w:bidi="ar"/>
        </w:rPr>
        <w:t>4．主要建筑材料数量的取定：</w:t>
      </w:r>
    </w:p>
    <w:p w14:paraId="61B0204F">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lang w:bidi="ar"/>
        </w:rPr>
        <w:t>原则上调整主要建筑材料的数量应为已标价工程量清单及其综合单价分析表中的含量乘以实际完成的相应工程量。</w:t>
      </w:r>
    </w:p>
    <w:p w14:paraId="7A4CC4F5">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lang w:bidi="ar"/>
        </w:rPr>
        <w:t>5．主要建筑材料价差调整金额的计算：</w:t>
      </w:r>
    </w:p>
    <w:p w14:paraId="156B33D2">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lang w:bidi="ar"/>
        </w:rPr>
        <w:t>施工期间可调价材料价格的涨、跌幅度以工程基准日当月所采用的材料指导价格为基础，指导价格涨、跌幅度在b以内（含b）时，其差价由承包人承担或受益；涨、跌幅度超出b时，其超出部分的差价由发包人承担或受益，计算公式如下：</w:t>
      </w:r>
    </w:p>
    <w:p w14:paraId="75D67D7A">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lang w:bidi="ar"/>
        </w:rPr>
        <w:t>①上涨超出b时，差价（正值）=【施工期间可调价材料加权平均指导价格-基准日档期的月份指导价格×(1+b)）】×该类主要建筑材料数量</w:t>
      </w:r>
      <w:r>
        <w:rPr>
          <w:rFonts w:hint="eastAsia" w:ascii="宋体" w:hAnsi="宋体" w:eastAsia="宋体" w:cs="宋体"/>
          <w:color w:val="auto"/>
          <w:sz w:val="24"/>
          <w:szCs w:val="24"/>
          <w:highlight w:val="none"/>
          <w:u w:val="single"/>
          <w:lang w:eastAsia="zh-CN" w:bidi="ar"/>
        </w:rPr>
        <w:t>；</w:t>
      </w:r>
    </w:p>
    <w:p w14:paraId="23899B05">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lang w:bidi="ar"/>
        </w:rPr>
        <w:t>②下跌超出b时，差价（负值）=【施工期间可调价材料加权平均指导价格-基准日档期的月份指导价格×（1-b）】× 该类主要建筑材料数量。</w:t>
      </w:r>
    </w:p>
    <w:p w14:paraId="611390C2">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lang w:bidi="ar"/>
        </w:rPr>
        <w:t>6．主要建筑材料差价应根据计价定额规则计取相关费用和税金，并作为追加（减）合同价款和工程进度款同期支付。</w:t>
      </w:r>
    </w:p>
    <w:p w14:paraId="61CEDD8D">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lang w:bidi="ar"/>
        </w:rPr>
        <w:t>7．因发包人原因造成工期延误的，延误期间发生的材料价格上涨差额由发包人承担；因承包人原因造成工期延误的，延误期间发生的材料价格上涨差额由承包人承担。</w:t>
      </w:r>
    </w:p>
    <w:p w14:paraId="5ECCDD31">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b/>
          <w:color w:val="auto"/>
          <w:sz w:val="24"/>
          <w:szCs w:val="24"/>
          <w:highlight w:val="none"/>
        </w:rPr>
      </w:pPr>
      <w:r>
        <w:rPr>
          <w:rFonts w:hint="eastAsia" w:ascii="宋体" w:hAnsi="宋体" w:eastAsia="宋体" w:cs="宋体"/>
          <w:color w:val="auto"/>
          <w:sz w:val="24"/>
          <w:szCs w:val="24"/>
          <w:highlight w:val="none"/>
          <w:lang w:bidi="ar"/>
        </w:rPr>
        <w:t>第3种方式：其他价格调整方式：</w:t>
      </w:r>
      <w:r>
        <w:rPr>
          <w:rFonts w:hint="eastAsia" w:ascii="宋体" w:hAnsi="宋体" w:eastAsia="宋体" w:cs="宋体"/>
          <w:color w:val="auto"/>
          <w:sz w:val="24"/>
          <w:szCs w:val="24"/>
          <w:highlight w:val="none"/>
          <w:u w:val="single"/>
          <w:lang w:bidi="ar"/>
        </w:rPr>
        <w:t>/</w:t>
      </w:r>
      <w:r>
        <w:rPr>
          <w:rFonts w:hint="eastAsia" w:ascii="宋体" w:hAnsi="宋体" w:eastAsia="宋体" w:cs="宋体"/>
          <w:color w:val="auto"/>
          <w:sz w:val="24"/>
          <w:szCs w:val="24"/>
          <w:highlight w:val="none"/>
          <w:lang w:bidi="ar"/>
        </w:rPr>
        <w:t>。</w:t>
      </w:r>
      <w:bookmarkEnd w:id="471"/>
      <w:bookmarkEnd w:id="472"/>
      <w:bookmarkEnd w:id="473"/>
      <w:bookmarkEnd w:id="474"/>
      <w:bookmarkEnd w:id="475"/>
      <w:bookmarkEnd w:id="476"/>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14:paraId="05435FDC">
      <w:pPr>
        <w:pStyle w:val="7"/>
        <w:pageBreakBefore w:val="0"/>
        <w:kinsoku/>
        <w:wordWrap/>
        <w:overflowPunct/>
        <w:topLinePunct w:val="0"/>
        <w:autoSpaceDE/>
        <w:autoSpaceDN/>
        <w:bidi w:val="0"/>
        <w:adjustRightInd w:val="0"/>
        <w:snapToGrid w:val="0"/>
        <w:spacing w:before="0" w:after="0" w:line="360" w:lineRule="auto"/>
        <w:ind w:left="0"/>
        <w:textAlignment w:val="auto"/>
        <w:rPr>
          <w:rFonts w:hint="eastAsia" w:ascii="宋体" w:hAnsi="宋体"/>
          <w:color w:val="auto"/>
          <w:sz w:val="24"/>
          <w:szCs w:val="24"/>
          <w:highlight w:val="none"/>
        </w:rPr>
      </w:pPr>
      <w:bookmarkStart w:id="585" w:name="_Toc296346706"/>
      <w:bookmarkStart w:id="586" w:name="_Toc297048391"/>
      <w:bookmarkStart w:id="587" w:name="_Toc297120505"/>
      <w:bookmarkStart w:id="588" w:name="_Toc296891033"/>
      <w:bookmarkStart w:id="589" w:name="_Toc296347204"/>
      <w:bookmarkStart w:id="590" w:name="_Toc296891245"/>
      <w:bookmarkStart w:id="591" w:name="_Toc292559410"/>
      <w:bookmarkStart w:id="592" w:name="_Toc292559915"/>
      <w:bookmarkStart w:id="593" w:name="_Toc296503205"/>
      <w:bookmarkStart w:id="594" w:name="_Toc296944544"/>
      <w:bookmarkStart w:id="595" w:name="_Toc312678040"/>
      <w:bookmarkStart w:id="596" w:name="_Toc300935002"/>
      <w:bookmarkStart w:id="597" w:name="_Toc297216211"/>
      <w:bookmarkStart w:id="598" w:name="_Toc297123552"/>
      <w:bookmarkStart w:id="599" w:name="_Toc303539159"/>
      <w:bookmarkStart w:id="600" w:name="_Toc304295579"/>
      <w:bookmarkStart w:id="601" w:name="_Toc351203644"/>
      <w:r>
        <w:rPr>
          <w:rFonts w:hint="eastAsia" w:ascii="宋体" w:hAnsi="宋体"/>
          <w:color w:val="auto"/>
          <w:sz w:val="24"/>
          <w:szCs w:val="24"/>
          <w:highlight w:val="none"/>
        </w:rPr>
        <w:t xml:space="preserve">12. </w:t>
      </w:r>
      <w:bookmarkEnd w:id="585"/>
      <w:bookmarkEnd w:id="586"/>
      <w:bookmarkEnd w:id="587"/>
      <w:bookmarkEnd w:id="588"/>
      <w:bookmarkEnd w:id="589"/>
      <w:bookmarkEnd w:id="590"/>
      <w:bookmarkEnd w:id="591"/>
      <w:bookmarkEnd w:id="592"/>
      <w:bookmarkEnd w:id="593"/>
      <w:bookmarkEnd w:id="594"/>
      <w:r>
        <w:rPr>
          <w:rFonts w:hint="eastAsia" w:ascii="宋体" w:hAnsi="宋体"/>
          <w:color w:val="auto"/>
          <w:sz w:val="24"/>
          <w:szCs w:val="24"/>
          <w:highlight w:val="none"/>
        </w:rPr>
        <w:t>合同价格、计量与支付</w:t>
      </w:r>
      <w:bookmarkEnd w:id="595"/>
      <w:bookmarkEnd w:id="596"/>
      <w:bookmarkEnd w:id="597"/>
      <w:bookmarkEnd w:id="598"/>
      <w:bookmarkEnd w:id="599"/>
      <w:bookmarkEnd w:id="600"/>
      <w:bookmarkEnd w:id="601"/>
    </w:p>
    <w:p w14:paraId="1BC50A1E">
      <w:pPr>
        <w:pageBreakBefore w:val="0"/>
        <w:kinsoku/>
        <w:wordWrap/>
        <w:overflowPunct/>
        <w:topLinePunct w:val="0"/>
        <w:autoSpaceDE/>
        <w:autoSpaceDN/>
        <w:bidi w:val="0"/>
        <w:adjustRightInd w:val="0"/>
        <w:snapToGrid w:val="0"/>
        <w:spacing w:line="360" w:lineRule="auto"/>
        <w:ind w:left="0" w:firstLine="422"/>
        <w:textAlignment w:val="auto"/>
        <w:rPr>
          <w:rFonts w:hint="eastAsia" w:ascii="宋体" w:hAnsi="宋体" w:eastAsia="宋体"/>
          <w:b/>
          <w:color w:val="auto"/>
          <w:sz w:val="24"/>
          <w:szCs w:val="24"/>
          <w:highlight w:val="none"/>
        </w:rPr>
      </w:pPr>
      <w:bookmarkStart w:id="602" w:name="_Toc292559411"/>
      <w:bookmarkStart w:id="603" w:name="_Toc292559916"/>
      <w:bookmarkStart w:id="604" w:name="_Toc267251461"/>
      <w:bookmarkStart w:id="605" w:name="_Toc296891034"/>
      <w:bookmarkStart w:id="606" w:name="_Toc297120506"/>
      <w:bookmarkStart w:id="607" w:name="_Toc296346707"/>
      <w:bookmarkStart w:id="608" w:name="_Toc297048392"/>
      <w:bookmarkStart w:id="609" w:name="_Toc296347205"/>
      <w:bookmarkStart w:id="610" w:name="_Toc296891246"/>
      <w:bookmarkStart w:id="611" w:name="_Toc296944545"/>
      <w:bookmarkStart w:id="612" w:name="_Toc296503206"/>
      <w:bookmarkStart w:id="613" w:name="_Toc312678041"/>
      <w:bookmarkStart w:id="614" w:name="_Toc297123553"/>
      <w:bookmarkStart w:id="615" w:name="_Toc297216212"/>
      <w:bookmarkStart w:id="616" w:name="_Toc300935003"/>
      <w:bookmarkStart w:id="617" w:name="_Toc304295580"/>
      <w:bookmarkStart w:id="618" w:name="_Toc303539160"/>
      <w:r>
        <w:rPr>
          <w:rFonts w:hint="eastAsia" w:ascii="宋体" w:hAnsi="宋体" w:eastAsia="宋体"/>
          <w:b/>
          <w:color w:val="auto"/>
          <w:sz w:val="24"/>
          <w:szCs w:val="24"/>
          <w:highlight w:val="none"/>
        </w:rPr>
        <w:t>12.1 合</w:t>
      </w:r>
      <w:bookmarkEnd w:id="602"/>
      <w:bookmarkEnd w:id="603"/>
      <w:bookmarkEnd w:id="604"/>
      <w:r>
        <w:rPr>
          <w:rFonts w:hint="eastAsia" w:ascii="宋体" w:hAnsi="宋体" w:eastAsia="宋体"/>
          <w:b/>
          <w:color w:val="auto"/>
          <w:sz w:val="24"/>
          <w:szCs w:val="24"/>
          <w:highlight w:val="none"/>
        </w:rPr>
        <w:t>同价</w:t>
      </w:r>
      <w:bookmarkEnd w:id="605"/>
      <w:bookmarkEnd w:id="606"/>
      <w:bookmarkEnd w:id="607"/>
      <w:bookmarkEnd w:id="608"/>
      <w:bookmarkEnd w:id="609"/>
      <w:bookmarkEnd w:id="610"/>
      <w:bookmarkEnd w:id="611"/>
      <w:bookmarkEnd w:id="612"/>
      <w:r>
        <w:rPr>
          <w:rFonts w:hint="eastAsia" w:ascii="宋体" w:hAnsi="宋体" w:eastAsia="宋体"/>
          <w:b/>
          <w:color w:val="auto"/>
          <w:sz w:val="24"/>
          <w:szCs w:val="24"/>
          <w:highlight w:val="none"/>
        </w:rPr>
        <w:t>格形式</w:t>
      </w:r>
      <w:bookmarkEnd w:id="613"/>
      <w:bookmarkEnd w:id="614"/>
      <w:bookmarkEnd w:id="615"/>
      <w:bookmarkEnd w:id="616"/>
      <w:bookmarkEnd w:id="617"/>
      <w:bookmarkEnd w:id="618"/>
    </w:p>
    <w:p w14:paraId="1802D27D">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1、单价合同。</w:t>
      </w:r>
    </w:p>
    <w:p w14:paraId="4876CF41">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综合单价包含的风险范围：</w:t>
      </w:r>
      <w:r>
        <w:rPr>
          <w:rFonts w:hint="eastAsia" w:ascii="宋体" w:hAnsi="宋体" w:eastAsia="宋体"/>
          <w:color w:val="auto"/>
          <w:sz w:val="24"/>
          <w:szCs w:val="24"/>
          <w:highlight w:val="none"/>
          <w:u w:val="single"/>
        </w:rPr>
        <w:t>各种因素引起的人工工资、施工机械使用费、管理费、利润等变化及风险因素均不作调整。</w:t>
      </w:r>
    </w:p>
    <w:p w14:paraId="7507EE04">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风险费用的计算方法：</w:t>
      </w:r>
      <w:r>
        <w:rPr>
          <w:rFonts w:hint="eastAsia" w:ascii="宋体" w:hAnsi="宋体" w:eastAsia="宋体"/>
          <w:color w:val="auto"/>
          <w:sz w:val="24"/>
          <w:szCs w:val="24"/>
          <w:highlight w:val="none"/>
          <w:u w:val="single"/>
        </w:rPr>
        <w:t>/</w:t>
      </w:r>
      <w:r>
        <w:rPr>
          <w:rFonts w:hint="eastAsia" w:ascii="宋体" w:hAnsi="宋体" w:eastAsia="宋体"/>
          <w:color w:val="auto"/>
          <w:sz w:val="24"/>
          <w:szCs w:val="24"/>
          <w:highlight w:val="none"/>
        </w:rPr>
        <w:t>。</w:t>
      </w:r>
    </w:p>
    <w:p w14:paraId="5AD2E487">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风险范围以外合同价格的调整方法：</w:t>
      </w:r>
      <w:r>
        <w:rPr>
          <w:rFonts w:hint="eastAsia" w:ascii="宋体" w:hAnsi="宋体" w:eastAsia="宋体"/>
          <w:color w:val="auto"/>
          <w:sz w:val="24"/>
          <w:szCs w:val="24"/>
          <w:highlight w:val="none"/>
          <w:u w:val="single"/>
        </w:rPr>
        <w:t>均不作调整</w:t>
      </w:r>
      <w:r>
        <w:rPr>
          <w:rFonts w:hint="eastAsia" w:ascii="宋体" w:hAnsi="宋体" w:eastAsia="宋体"/>
          <w:color w:val="auto"/>
          <w:sz w:val="24"/>
          <w:szCs w:val="24"/>
          <w:highlight w:val="none"/>
        </w:rPr>
        <w:t>。</w:t>
      </w:r>
    </w:p>
    <w:p w14:paraId="09AEDB45">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2、总价合同。</w:t>
      </w:r>
    </w:p>
    <w:p w14:paraId="43773812">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总价包含的风险范围：</w:t>
      </w:r>
      <w:r>
        <w:rPr>
          <w:rFonts w:hint="eastAsia" w:ascii="宋体" w:hAnsi="宋体" w:eastAsia="宋体"/>
          <w:color w:val="auto"/>
          <w:sz w:val="24"/>
          <w:szCs w:val="24"/>
          <w:highlight w:val="none"/>
          <w:u w:val="single"/>
        </w:rPr>
        <w:t>/</w:t>
      </w:r>
      <w:r>
        <w:rPr>
          <w:rFonts w:hint="eastAsia" w:ascii="宋体" w:hAnsi="宋体" w:eastAsia="宋体"/>
          <w:color w:val="auto"/>
          <w:sz w:val="24"/>
          <w:szCs w:val="24"/>
          <w:highlight w:val="none"/>
        </w:rPr>
        <w:t>。</w:t>
      </w:r>
    </w:p>
    <w:p w14:paraId="14648CC9">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风险费用的计算方法：</w:t>
      </w:r>
      <w:r>
        <w:rPr>
          <w:rFonts w:hint="eastAsia" w:ascii="宋体" w:hAnsi="宋体" w:eastAsia="宋体"/>
          <w:color w:val="auto"/>
          <w:sz w:val="24"/>
          <w:szCs w:val="24"/>
          <w:highlight w:val="none"/>
          <w:u w:val="single"/>
        </w:rPr>
        <w:t>/</w:t>
      </w:r>
      <w:r>
        <w:rPr>
          <w:rFonts w:hint="eastAsia" w:ascii="宋体" w:hAnsi="宋体" w:eastAsia="宋体"/>
          <w:color w:val="auto"/>
          <w:sz w:val="24"/>
          <w:szCs w:val="24"/>
          <w:highlight w:val="none"/>
        </w:rPr>
        <w:t>。</w:t>
      </w:r>
    </w:p>
    <w:p w14:paraId="0C199CF4">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风险范围以外合同价格的调整方法：</w:t>
      </w:r>
      <w:r>
        <w:rPr>
          <w:rFonts w:hint="eastAsia" w:ascii="宋体" w:hAnsi="宋体" w:eastAsia="宋体"/>
          <w:color w:val="auto"/>
          <w:sz w:val="24"/>
          <w:szCs w:val="24"/>
          <w:highlight w:val="none"/>
          <w:u w:val="single"/>
        </w:rPr>
        <w:t>/</w:t>
      </w:r>
      <w:r>
        <w:rPr>
          <w:rFonts w:hint="eastAsia" w:ascii="宋体" w:hAnsi="宋体" w:eastAsia="宋体"/>
          <w:color w:val="auto"/>
          <w:sz w:val="24"/>
          <w:szCs w:val="24"/>
          <w:highlight w:val="none"/>
        </w:rPr>
        <w:t>。</w:t>
      </w:r>
    </w:p>
    <w:p w14:paraId="497F26C8">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3、其他价格方式：</w:t>
      </w:r>
      <w:r>
        <w:rPr>
          <w:rFonts w:hint="eastAsia" w:ascii="宋体" w:hAnsi="宋体" w:eastAsia="宋体"/>
          <w:color w:val="auto"/>
          <w:sz w:val="24"/>
          <w:szCs w:val="24"/>
          <w:highlight w:val="none"/>
          <w:u w:val="single"/>
        </w:rPr>
        <w:t>/</w:t>
      </w:r>
      <w:r>
        <w:rPr>
          <w:rFonts w:hint="eastAsia" w:ascii="宋体" w:hAnsi="宋体" w:eastAsia="宋体"/>
          <w:color w:val="auto"/>
          <w:sz w:val="24"/>
          <w:szCs w:val="24"/>
          <w:highlight w:val="none"/>
        </w:rPr>
        <w:t>。</w:t>
      </w:r>
    </w:p>
    <w:p w14:paraId="6BE43F79">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bookmarkStart w:id="619" w:name="_Toc304295581"/>
      <w:bookmarkStart w:id="620" w:name="_Toc297216213"/>
      <w:bookmarkStart w:id="621" w:name="_Toc303539161"/>
      <w:bookmarkStart w:id="622" w:name="_Toc297123554"/>
      <w:bookmarkStart w:id="623" w:name="_Toc300935004"/>
      <w:bookmarkStart w:id="624" w:name="_Toc312678042"/>
      <w:bookmarkStart w:id="625" w:name="_Toc292559917"/>
      <w:bookmarkStart w:id="626" w:name="_Toc296346708"/>
      <w:bookmarkStart w:id="627" w:name="_Toc297120507"/>
      <w:bookmarkStart w:id="628" w:name="_Toc296503207"/>
      <w:bookmarkStart w:id="629" w:name="_Toc297048393"/>
      <w:bookmarkStart w:id="630" w:name="_Toc296891035"/>
      <w:bookmarkStart w:id="631" w:name="_Toc292559412"/>
      <w:bookmarkStart w:id="632" w:name="_Toc296347206"/>
      <w:bookmarkStart w:id="633" w:name="_Toc296944546"/>
      <w:bookmarkStart w:id="634" w:name="_Toc296891247"/>
      <w:r>
        <w:rPr>
          <w:rFonts w:hint="eastAsia" w:ascii="宋体" w:hAnsi="宋体" w:eastAsia="宋体"/>
          <w:color w:val="auto"/>
          <w:sz w:val="24"/>
          <w:szCs w:val="24"/>
          <w:highlight w:val="none"/>
        </w:rPr>
        <w:t>12.2 预付款</w:t>
      </w:r>
      <w:bookmarkEnd w:id="619"/>
      <w:bookmarkEnd w:id="620"/>
      <w:bookmarkEnd w:id="621"/>
      <w:bookmarkEnd w:id="622"/>
      <w:bookmarkEnd w:id="623"/>
      <w:bookmarkEnd w:id="624"/>
    </w:p>
    <w:p w14:paraId="4416299E">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12.2.1 预付款的支付</w:t>
      </w:r>
    </w:p>
    <w:p w14:paraId="5562155B">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预付款支付比例或金额：</w:t>
      </w:r>
      <w:r>
        <w:rPr>
          <w:rFonts w:hint="eastAsia" w:ascii="宋体" w:hAnsi="宋体" w:eastAsia="宋体"/>
          <w:color w:val="auto"/>
          <w:sz w:val="24"/>
          <w:szCs w:val="24"/>
          <w:highlight w:val="none"/>
          <w:u w:val="single"/>
        </w:rPr>
        <w:t>/</w:t>
      </w:r>
      <w:r>
        <w:rPr>
          <w:rFonts w:hint="eastAsia" w:ascii="宋体" w:hAnsi="宋体" w:eastAsia="宋体"/>
          <w:color w:val="auto"/>
          <w:sz w:val="24"/>
          <w:szCs w:val="24"/>
          <w:highlight w:val="none"/>
        </w:rPr>
        <w:t>。</w:t>
      </w:r>
    </w:p>
    <w:p w14:paraId="4E1FEE41">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预付款支付期限：</w:t>
      </w:r>
      <w:r>
        <w:rPr>
          <w:rFonts w:hint="eastAsia" w:ascii="宋体" w:hAnsi="宋体" w:eastAsia="宋体"/>
          <w:color w:val="auto"/>
          <w:sz w:val="24"/>
          <w:szCs w:val="24"/>
          <w:highlight w:val="none"/>
          <w:u w:val="single"/>
        </w:rPr>
        <w:t>/</w:t>
      </w:r>
      <w:r>
        <w:rPr>
          <w:rFonts w:hint="eastAsia" w:ascii="宋体" w:hAnsi="宋体" w:eastAsia="宋体"/>
          <w:color w:val="auto"/>
          <w:sz w:val="24"/>
          <w:szCs w:val="24"/>
          <w:highlight w:val="none"/>
        </w:rPr>
        <w:t>。</w:t>
      </w:r>
    </w:p>
    <w:p w14:paraId="151A0A08">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预付款扣回的方式：</w:t>
      </w:r>
      <w:r>
        <w:rPr>
          <w:rFonts w:hint="eastAsia" w:ascii="宋体" w:hAnsi="宋体" w:eastAsia="宋体"/>
          <w:color w:val="auto"/>
          <w:sz w:val="24"/>
          <w:szCs w:val="24"/>
          <w:highlight w:val="none"/>
          <w:u w:val="single"/>
        </w:rPr>
        <w:t>/</w:t>
      </w:r>
      <w:r>
        <w:rPr>
          <w:rFonts w:hint="eastAsia" w:ascii="宋体" w:hAnsi="宋体" w:eastAsia="宋体"/>
          <w:color w:val="auto"/>
          <w:sz w:val="24"/>
          <w:szCs w:val="24"/>
          <w:highlight w:val="none"/>
        </w:rPr>
        <w:t>。</w:t>
      </w:r>
    </w:p>
    <w:p w14:paraId="7AA91ED2">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12.2.2 预付款担保</w:t>
      </w:r>
    </w:p>
    <w:p w14:paraId="0C10C8A9">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承包人提交预付款担保的期限：</w:t>
      </w:r>
      <w:r>
        <w:rPr>
          <w:rFonts w:hint="eastAsia" w:ascii="宋体" w:hAnsi="宋体" w:eastAsia="宋体"/>
          <w:color w:val="auto"/>
          <w:sz w:val="24"/>
          <w:szCs w:val="24"/>
          <w:highlight w:val="none"/>
          <w:u w:val="single"/>
        </w:rPr>
        <w:t>/</w:t>
      </w:r>
      <w:r>
        <w:rPr>
          <w:rFonts w:hint="eastAsia" w:ascii="宋体" w:hAnsi="宋体" w:eastAsia="宋体"/>
          <w:color w:val="auto"/>
          <w:sz w:val="24"/>
          <w:szCs w:val="24"/>
          <w:highlight w:val="none"/>
        </w:rPr>
        <w:t>。</w:t>
      </w:r>
    </w:p>
    <w:p w14:paraId="7674001B">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预付款担保的形式为：</w:t>
      </w:r>
      <w:r>
        <w:rPr>
          <w:rFonts w:hint="eastAsia" w:ascii="宋体" w:hAnsi="宋体" w:eastAsia="宋体"/>
          <w:color w:val="auto"/>
          <w:sz w:val="24"/>
          <w:szCs w:val="24"/>
          <w:highlight w:val="none"/>
          <w:u w:val="single"/>
        </w:rPr>
        <w:t>/</w:t>
      </w:r>
      <w:r>
        <w:rPr>
          <w:rFonts w:hint="eastAsia" w:ascii="宋体" w:hAnsi="宋体" w:eastAsia="宋体"/>
          <w:color w:val="auto"/>
          <w:sz w:val="24"/>
          <w:szCs w:val="24"/>
          <w:highlight w:val="none"/>
        </w:rPr>
        <w:t>。</w:t>
      </w:r>
      <w:bookmarkEnd w:id="625"/>
      <w:bookmarkEnd w:id="626"/>
      <w:bookmarkEnd w:id="627"/>
      <w:bookmarkEnd w:id="628"/>
      <w:bookmarkEnd w:id="629"/>
      <w:bookmarkEnd w:id="630"/>
      <w:bookmarkEnd w:id="631"/>
      <w:bookmarkEnd w:id="632"/>
      <w:bookmarkEnd w:id="633"/>
      <w:bookmarkEnd w:id="634"/>
    </w:p>
    <w:p w14:paraId="4499A7F3">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12.3 计量</w:t>
      </w:r>
    </w:p>
    <w:p w14:paraId="3D9CCBBF">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12.3.1 计量原则</w:t>
      </w:r>
    </w:p>
    <w:p w14:paraId="0C3FB17C">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rPr>
        <w:t>工程量计算规则：</w:t>
      </w:r>
      <w:r>
        <w:rPr>
          <w:rFonts w:hint="eastAsia" w:ascii="宋体" w:hAnsi="宋体" w:eastAsia="宋体"/>
          <w:color w:val="auto"/>
          <w:sz w:val="24"/>
          <w:szCs w:val="24"/>
          <w:highlight w:val="none"/>
          <w:u w:val="single"/>
        </w:rPr>
        <w:t>《建设工程工程量清单计价规范》（2013）、《江苏省建筑与装饰工程计价表》（2014年）、《江苏省土建工程计价定额》（2014）、《江苏省建设工程费用定额》（2014）、《关于发布省住房城乡建设厅关于发布建设工程人工工资指导价的通知》。</w:t>
      </w:r>
    </w:p>
    <w:p w14:paraId="4A9F39ED">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12.3.2 计量周期</w:t>
      </w:r>
    </w:p>
    <w:p w14:paraId="09833B65">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关于计量周期的约定：</w:t>
      </w:r>
      <w:r>
        <w:rPr>
          <w:rFonts w:hint="eastAsia" w:ascii="宋体" w:hAnsi="宋体" w:eastAsia="宋体"/>
          <w:color w:val="auto"/>
          <w:sz w:val="24"/>
          <w:szCs w:val="24"/>
          <w:highlight w:val="none"/>
          <w:u w:val="single"/>
        </w:rPr>
        <w:t>按通用条款</w:t>
      </w:r>
      <w:r>
        <w:rPr>
          <w:rFonts w:hint="eastAsia" w:ascii="宋体" w:hAnsi="宋体" w:eastAsia="宋体"/>
          <w:color w:val="auto"/>
          <w:sz w:val="24"/>
          <w:szCs w:val="24"/>
          <w:highlight w:val="none"/>
        </w:rPr>
        <w:t>。</w:t>
      </w:r>
    </w:p>
    <w:p w14:paraId="37C802BD">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12.3.3 单价合同的计量</w:t>
      </w:r>
    </w:p>
    <w:p w14:paraId="49EA634E">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关于单价合同计量的约定：</w:t>
      </w:r>
      <w:r>
        <w:rPr>
          <w:rFonts w:hint="eastAsia" w:ascii="宋体" w:hAnsi="宋体" w:eastAsia="宋体"/>
          <w:color w:val="auto"/>
          <w:sz w:val="24"/>
          <w:szCs w:val="24"/>
          <w:highlight w:val="none"/>
          <w:u w:val="single"/>
        </w:rPr>
        <w:t>按通用条款</w:t>
      </w:r>
      <w:r>
        <w:rPr>
          <w:rFonts w:hint="eastAsia" w:ascii="宋体" w:hAnsi="宋体" w:eastAsia="宋体"/>
          <w:color w:val="auto"/>
          <w:sz w:val="24"/>
          <w:szCs w:val="24"/>
          <w:highlight w:val="none"/>
        </w:rPr>
        <w:t>。</w:t>
      </w:r>
    </w:p>
    <w:p w14:paraId="3D551AF2">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12.3.4 总价合同的计量</w:t>
      </w:r>
    </w:p>
    <w:p w14:paraId="7A2672B1">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关于总价合同计量的约定：</w:t>
      </w:r>
      <w:r>
        <w:rPr>
          <w:rFonts w:hint="eastAsia" w:ascii="宋体" w:hAnsi="宋体" w:eastAsia="宋体"/>
          <w:color w:val="auto"/>
          <w:sz w:val="24"/>
          <w:szCs w:val="24"/>
          <w:highlight w:val="none"/>
          <w:u w:val="single"/>
        </w:rPr>
        <w:t>/</w:t>
      </w:r>
      <w:r>
        <w:rPr>
          <w:rFonts w:hint="eastAsia" w:ascii="宋体" w:hAnsi="宋体" w:eastAsia="宋体"/>
          <w:color w:val="auto"/>
          <w:sz w:val="24"/>
          <w:szCs w:val="24"/>
          <w:highlight w:val="none"/>
        </w:rPr>
        <w:t>。</w:t>
      </w:r>
    </w:p>
    <w:p w14:paraId="035C07BB">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12.3.5总价合同采用支付分解表计量支付的，是否适用第12.3.4 项〔总价合同的计量〕约定进行计量：</w:t>
      </w:r>
      <w:r>
        <w:rPr>
          <w:rFonts w:hint="eastAsia" w:ascii="宋体" w:hAnsi="宋体" w:eastAsia="宋体"/>
          <w:color w:val="auto"/>
          <w:sz w:val="24"/>
          <w:szCs w:val="24"/>
          <w:highlight w:val="none"/>
          <w:u w:val="single"/>
        </w:rPr>
        <w:t>/</w:t>
      </w:r>
      <w:r>
        <w:rPr>
          <w:rFonts w:hint="eastAsia" w:ascii="宋体" w:hAnsi="宋体" w:eastAsia="宋体"/>
          <w:color w:val="auto"/>
          <w:sz w:val="24"/>
          <w:szCs w:val="24"/>
          <w:highlight w:val="none"/>
        </w:rPr>
        <w:t>。</w:t>
      </w:r>
    </w:p>
    <w:p w14:paraId="04E92D23">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12.3.6 其他价格形式合同的计量</w:t>
      </w:r>
    </w:p>
    <w:p w14:paraId="75DAB5DE">
      <w:pPr>
        <w:pageBreakBefore w:val="0"/>
        <w:kinsoku/>
        <w:wordWrap/>
        <w:overflowPunct/>
        <w:topLinePunct w:val="0"/>
        <w:autoSpaceDE/>
        <w:autoSpaceDN/>
        <w:bidi w:val="0"/>
        <w:adjustRightInd w:val="0"/>
        <w:snapToGrid w:val="0"/>
        <w:spacing w:line="360" w:lineRule="auto"/>
        <w:ind w:left="0" w:firstLine="420"/>
        <w:jc w:val="left"/>
        <w:textAlignment w:val="auto"/>
        <w:rPr>
          <w:rFonts w:hint="default" w:ascii="Times New Roman" w:hAnsi="Times New Roman" w:eastAsia="仿宋_GB2312"/>
          <w:color w:val="auto"/>
          <w:sz w:val="24"/>
          <w:szCs w:val="24"/>
          <w:highlight w:val="none"/>
        </w:rPr>
      </w:pPr>
      <w:r>
        <w:rPr>
          <w:rFonts w:hint="eastAsia" w:ascii="宋体" w:hAnsi="宋体" w:eastAsia="宋体"/>
          <w:color w:val="auto"/>
          <w:sz w:val="24"/>
          <w:szCs w:val="24"/>
          <w:highlight w:val="none"/>
        </w:rPr>
        <w:t>其他价格形式的计量方式和程序：</w:t>
      </w:r>
      <w:r>
        <w:rPr>
          <w:rFonts w:hint="eastAsia" w:ascii="宋体" w:hAnsi="宋体" w:eastAsia="宋体"/>
          <w:color w:val="auto"/>
          <w:sz w:val="24"/>
          <w:szCs w:val="24"/>
          <w:highlight w:val="none"/>
          <w:u w:val="single"/>
        </w:rPr>
        <w:t>/</w:t>
      </w:r>
      <w:r>
        <w:rPr>
          <w:rFonts w:hint="eastAsia" w:ascii="宋体" w:hAnsi="宋体" w:eastAsia="宋体"/>
          <w:color w:val="auto"/>
          <w:sz w:val="24"/>
          <w:szCs w:val="24"/>
          <w:highlight w:val="none"/>
        </w:rPr>
        <w:t>。</w:t>
      </w:r>
    </w:p>
    <w:p w14:paraId="7804A3C9">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12.4 工程进度款支付</w:t>
      </w:r>
    </w:p>
    <w:p w14:paraId="34900598">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12.4.1 付款周期</w:t>
      </w:r>
    </w:p>
    <w:p w14:paraId="42C112E4">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关于付款周期的约定：</w:t>
      </w:r>
    </w:p>
    <w:p w14:paraId="2E8B824B">
      <w:pPr>
        <w:pageBreakBefore w:val="0"/>
        <w:kinsoku/>
        <w:wordWrap/>
        <w:overflowPunct/>
        <w:topLinePunct w:val="0"/>
        <w:autoSpaceDE/>
        <w:autoSpaceDN/>
        <w:bidi w:val="0"/>
        <w:adjustRightInd w:val="0"/>
        <w:snapToGrid w:val="0"/>
        <w:spacing w:line="360" w:lineRule="auto"/>
        <w:ind w:left="0" w:firstLine="422"/>
        <w:jc w:val="left"/>
        <w:textAlignment w:val="auto"/>
        <w:rPr>
          <w:rFonts w:hint="default" w:ascii="宋体" w:hAnsi="宋体" w:eastAsia="宋体" w:cs="宋体"/>
          <w:b/>
          <w:color w:val="auto"/>
          <w:sz w:val="24"/>
          <w:szCs w:val="24"/>
          <w:highlight w:val="none"/>
          <w:lang w:val="en-US" w:eastAsia="zh-CN"/>
        </w:rPr>
      </w:pPr>
      <w:r>
        <w:rPr>
          <w:rFonts w:hint="eastAsia" w:ascii="宋体" w:hAnsi="宋体" w:cs="宋体"/>
          <w:b/>
          <w:color w:val="auto"/>
          <w:sz w:val="24"/>
          <w:szCs w:val="24"/>
          <w:highlight w:val="none"/>
          <w:lang w:val="en-US" w:eastAsia="zh-CN"/>
        </w:rPr>
        <w:t>工程竣工验收合格后于2028年春节前付至合同价的40%，</w:t>
      </w:r>
      <w:r>
        <w:rPr>
          <w:rFonts w:hint="eastAsia" w:ascii="宋体" w:hAnsi="宋体" w:eastAsia="宋体" w:cs="宋体"/>
          <w:b/>
          <w:color w:val="auto"/>
          <w:sz w:val="24"/>
          <w:szCs w:val="24"/>
          <w:highlight w:val="none"/>
        </w:rPr>
        <w:t>审计结束后于2029年春节前付至工程审计价的70%，余款2030年春节前付清</w:t>
      </w:r>
      <w:r>
        <w:rPr>
          <w:rFonts w:hint="eastAsia" w:ascii="宋体" w:hAnsi="宋体" w:cs="宋体"/>
          <w:b/>
          <w:color w:val="auto"/>
          <w:sz w:val="24"/>
          <w:szCs w:val="24"/>
          <w:highlight w:val="none"/>
          <w:lang w:val="en-US" w:eastAsia="zh-CN"/>
        </w:rPr>
        <w:t>。</w:t>
      </w:r>
    </w:p>
    <w:p w14:paraId="53810934">
      <w:pPr>
        <w:pageBreakBefore w:val="0"/>
        <w:kinsoku/>
        <w:wordWrap/>
        <w:overflowPunct/>
        <w:topLinePunct w:val="0"/>
        <w:autoSpaceDE/>
        <w:autoSpaceDN/>
        <w:bidi w:val="0"/>
        <w:adjustRightInd w:val="0"/>
        <w:snapToGrid w:val="0"/>
        <w:spacing w:line="360" w:lineRule="auto"/>
        <w:ind w:left="0" w:firstLine="422"/>
        <w:jc w:val="left"/>
        <w:textAlignment w:val="auto"/>
        <w:rPr>
          <w:rFonts w:hint="eastAsia" w:ascii="宋体" w:hAnsi="宋体" w:eastAsia="宋体"/>
          <w:b/>
          <w:color w:val="auto"/>
          <w:sz w:val="24"/>
          <w:szCs w:val="24"/>
          <w:highlight w:val="none"/>
          <w:u w:val="single"/>
        </w:rPr>
      </w:pPr>
      <w:r>
        <w:rPr>
          <w:rFonts w:hint="eastAsia" w:ascii="宋体" w:hAnsi="宋体" w:eastAsia="宋体" w:cs="宋体"/>
          <w:b/>
          <w:color w:val="auto"/>
          <w:sz w:val="24"/>
          <w:szCs w:val="24"/>
          <w:highlight w:val="none"/>
        </w:rPr>
        <w:t>每次支付前，承包人均应出具税务部门开具的相应金额的税务发票。否则发包人有权拒付工程款，且不承担延期支付款项的违约责任。</w:t>
      </w:r>
    </w:p>
    <w:p w14:paraId="6BE31AA4">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12.4.2 进度付款申请单的编制</w:t>
      </w:r>
    </w:p>
    <w:p w14:paraId="125CC95D">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关于进度付款申请单编制的约定：</w:t>
      </w:r>
      <w:r>
        <w:rPr>
          <w:rFonts w:hint="eastAsia" w:ascii="宋体" w:hAnsi="宋体" w:eastAsia="宋体"/>
          <w:color w:val="auto"/>
          <w:sz w:val="24"/>
          <w:szCs w:val="24"/>
          <w:highlight w:val="none"/>
          <w:u w:val="single"/>
        </w:rPr>
        <w:t>已完成约定进度的证明，相应金额的税务发票</w:t>
      </w:r>
      <w:r>
        <w:rPr>
          <w:rFonts w:hint="eastAsia" w:ascii="宋体" w:hAnsi="宋体" w:eastAsia="宋体"/>
          <w:color w:val="auto"/>
          <w:sz w:val="24"/>
          <w:szCs w:val="24"/>
          <w:highlight w:val="none"/>
        </w:rPr>
        <w:t>。</w:t>
      </w:r>
    </w:p>
    <w:p w14:paraId="2D3558B7">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12.4.3 进度付款申请单的提交</w:t>
      </w:r>
    </w:p>
    <w:p w14:paraId="719F48E5">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（1）单价合同进度付款申请单提交的约定：</w:t>
      </w:r>
      <w:r>
        <w:rPr>
          <w:rFonts w:hint="eastAsia" w:ascii="宋体" w:hAnsi="宋体" w:eastAsia="宋体"/>
          <w:color w:val="auto"/>
          <w:sz w:val="24"/>
          <w:szCs w:val="24"/>
          <w:highlight w:val="none"/>
          <w:u w:val="single"/>
        </w:rPr>
        <w:t>按节点提交</w:t>
      </w:r>
      <w:r>
        <w:rPr>
          <w:rFonts w:hint="eastAsia" w:ascii="宋体" w:hAnsi="宋体" w:eastAsia="宋体"/>
          <w:color w:val="auto"/>
          <w:sz w:val="24"/>
          <w:szCs w:val="24"/>
          <w:highlight w:val="none"/>
        </w:rPr>
        <w:t>。</w:t>
      </w:r>
    </w:p>
    <w:p w14:paraId="0C519A95">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（2）总价合同进度付款申请单提交的约定：</w:t>
      </w:r>
      <w:r>
        <w:rPr>
          <w:rFonts w:hint="eastAsia" w:ascii="宋体" w:hAnsi="宋体" w:eastAsia="宋体"/>
          <w:color w:val="auto"/>
          <w:sz w:val="24"/>
          <w:szCs w:val="24"/>
          <w:highlight w:val="none"/>
          <w:u w:val="single"/>
        </w:rPr>
        <w:t>/</w:t>
      </w:r>
      <w:r>
        <w:rPr>
          <w:rFonts w:hint="eastAsia" w:ascii="宋体" w:hAnsi="宋体" w:eastAsia="宋体"/>
          <w:color w:val="auto"/>
          <w:sz w:val="24"/>
          <w:szCs w:val="24"/>
          <w:highlight w:val="none"/>
        </w:rPr>
        <w:t>。</w:t>
      </w:r>
    </w:p>
    <w:p w14:paraId="55C17870">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（3）其他价格形式合同进度付款申请单提交的约定：</w:t>
      </w:r>
      <w:r>
        <w:rPr>
          <w:rFonts w:hint="eastAsia" w:ascii="宋体" w:hAnsi="宋体" w:eastAsia="宋体"/>
          <w:color w:val="auto"/>
          <w:sz w:val="24"/>
          <w:szCs w:val="24"/>
          <w:highlight w:val="none"/>
          <w:u w:val="single"/>
        </w:rPr>
        <w:t>/</w:t>
      </w:r>
      <w:r>
        <w:rPr>
          <w:rFonts w:hint="eastAsia" w:ascii="宋体" w:hAnsi="宋体" w:eastAsia="宋体"/>
          <w:color w:val="auto"/>
          <w:sz w:val="24"/>
          <w:szCs w:val="24"/>
          <w:highlight w:val="none"/>
        </w:rPr>
        <w:t>。</w:t>
      </w:r>
    </w:p>
    <w:p w14:paraId="054C9FF4">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12.4.4 进度款审核和支付</w:t>
      </w:r>
    </w:p>
    <w:p w14:paraId="3BBE28D9">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rPr>
        <w:t>（1）监理人审查并报送发包人的期限：</w:t>
      </w:r>
      <w:r>
        <w:rPr>
          <w:rFonts w:hint="eastAsia" w:ascii="宋体" w:hAnsi="宋体" w:eastAsia="宋体"/>
          <w:color w:val="auto"/>
          <w:sz w:val="24"/>
          <w:szCs w:val="24"/>
          <w:highlight w:val="none"/>
          <w:u w:val="single"/>
        </w:rPr>
        <w:t xml:space="preserve">  收到申请7天内   </w:t>
      </w:r>
      <w:r>
        <w:rPr>
          <w:rFonts w:hint="eastAsia" w:ascii="宋体" w:hAnsi="宋体" w:eastAsia="宋体"/>
          <w:color w:val="auto"/>
          <w:sz w:val="24"/>
          <w:szCs w:val="24"/>
          <w:highlight w:val="none"/>
        </w:rPr>
        <w:t>。</w:t>
      </w:r>
    </w:p>
    <w:p w14:paraId="1EF6B601">
      <w:pPr>
        <w:pageBreakBefore w:val="0"/>
        <w:widowControl/>
        <w:kinsoku/>
        <w:wordWrap/>
        <w:overflowPunct/>
        <w:topLinePunct w:val="0"/>
        <w:autoSpaceDE/>
        <w:autoSpaceDN/>
        <w:bidi w:val="0"/>
        <w:adjustRightInd w:val="0"/>
        <w:snapToGrid w:val="0"/>
        <w:spacing w:line="360" w:lineRule="auto"/>
        <w:ind w:left="0"/>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rPr>
        <w:t>发包人完成审批并签发进度款支付证书的期限：</w:t>
      </w:r>
      <w:r>
        <w:rPr>
          <w:rFonts w:hint="eastAsia" w:ascii="宋体" w:hAnsi="宋体" w:eastAsia="宋体"/>
          <w:color w:val="auto"/>
          <w:sz w:val="24"/>
          <w:szCs w:val="24"/>
          <w:highlight w:val="none"/>
          <w:u w:val="single"/>
        </w:rPr>
        <w:t>收到通过监理审查的审核表后10天内。</w:t>
      </w:r>
    </w:p>
    <w:p w14:paraId="37009D2E">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（2）发包人支付进度款的期限：</w:t>
      </w:r>
      <w:r>
        <w:rPr>
          <w:rFonts w:hint="eastAsia" w:ascii="宋体" w:hAnsi="宋体" w:eastAsia="宋体"/>
          <w:color w:val="auto"/>
          <w:sz w:val="24"/>
          <w:szCs w:val="24"/>
          <w:highlight w:val="none"/>
          <w:u w:val="single"/>
        </w:rPr>
        <w:t>按合同要求执行</w:t>
      </w:r>
      <w:r>
        <w:rPr>
          <w:rFonts w:hint="eastAsia" w:ascii="宋体" w:hAnsi="宋体" w:eastAsia="宋体"/>
          <w:color w:val="auto"/>
          <w:sz w:val="24"/>
          <w:szCs w:val="24"/>
          <w:highlight w:val="none"/>
        </w:rPr>
        <w:t>。</w:t>
      </w:r>
    </w:p>
    <w:p w14:paraId="667D3682">
      <w:pPr>
        <w:pageBreakBefore w:val="0"/>
        <w:kinsoku/>
        <w:wordWrap/>
        <w:overflowPunct/>
        <w:topLinePunct w:val="0"/>
        <w:autoSpaceDE/>
        <w:autoSpaceDN/>
        <w:bidi w:val="0"/>
        <w:adjustRightInd w:val="0"/>
        <w:snapToGrid w:val="0"/>
        <w:spacing w:line="360" w:lineRule="auto"/>
        <w:ind w:left="0" w:firstLine="525"/>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发包人逾期支付进度款的违约金的计算方式：</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w:t>
      </w:r>
    </w:p>
    <w:p w14:paraId="48557C83">
      <w:pPr>
        <w:pageBreakBefore w:val="0"/>
        <w:kinsoku/>
        <w:wordWrap/>
        <w:overflowPunct/>
        <w:topLinePunct w:val="0"/>
        <w:autoSpaceDE/>
        <w:autoSpaceDN/>
        <w:bidi w:val="0"/>
        <w:adjustRightInd w:val="0"/>
        <w:snapToGrid w:val="0"/>
        <w:spacing w:line="360" w:lineRule="auto"/>
        <w:ind w:left="0" w:firstLine="525"/>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12.4.6 支付分解表的编制</w:t>
      </w:r>
    </w:p>
    <w:p w14:paraId="152A490E">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color w:val="auto"/>
          <w:sz w:val="24"/>
          <w:szCs w:val="24"/>
          <w:highlight w:val="none"/>
          <w:lang w:val="en-US" w:eastAsia="zh-CN"/>
        </w:rPr>
        <w:t>1</w:t>
      </w:r>
      <w:r>
        <w:rPr>
          <w:rFonts w:hint="eastAsia" w:ascii="宋体" w:hAnsi="宋体" w:eastAsia="宋体"/>
          <w:color w:val="auto"/>
          <w:sz w:val="24"/>
          <w:szCs w:val="24"/>
          <w:highlight w:val="none"/>
        </w:rPr>
        <w:t>、总价合同支付分解表的编制与审批：</w:t>
      </w:r>
      <w:r>
        <w:rPr>
          <w:rFonts w:hint="eastAsia" w:ascii="宋体" w:hAnsi="宋体" w:eastAsia="宋体"/>
          <w:color w:val="auto"/>
          <w:sz w:val="24"/>
          <w:szCs w:val="24"/>
          <w:highlight w:val="none"/>
          <w:u w:val="single"/>
        </w:rPr>
        <w:t>/</w:t>
      </w:r>
      <w:r>
        <w:rPr>
          <w:rFonts w:hint="eastAsia" w:ascii="宋体" w:hAnsi="宋体" w:eastAsia="宋体"/>
          <w:color w:val="auto"/>
          <w:sz w:val="24"/>
          <w:szCs w:val="24"/>
          <w:highlight w:val="none"/>
        </w:rPr>
        <w:t>。</w:t>
      </w:r>
    </w:p>
    <w:p w14:paraId="493CD853">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color w:val="auto"/>
          <w:sz w:val="24"/>
          <w:szCs w:val="24"/>
          <w:highlight w:val="none"/>
          <w:lang w:val="en-US" w:eastAsia="zh-CN"/>
        </w:rPr>
        <w:t>3</w:t>
      </w:r>
      <w:r>
        <w:rPr>
          <w:rFonts w:hint="eastAsia" w:ascii="宋体" w:hAnsi="宋体" w:eastAsia="宋体"/>
          <w:color w:val="auto"/>
          <w:sz w:val="24"/>
          <w:szCs w:val="24"/>
          <w:highlight w:val="none"/>
        </w:rPr>
        <w:t>、单价合同的总价项目支付分解表的编制与审批：</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w:t>
      </w:r>
    </w:p>
    <w:p w14:paraId="3321DC7A">
      <w:pPr>
        <w:pStyle w:val="7"/>
        <w:pageBreakBefore w:val="0"/>
        <w:kinsoku/>
        <w:wordWrap/>
        <w:overflowPunct/>
        <w:topLinePunct w:val="0"/>
        <w:autoSpaceDE/>
        <w:autoSpaceDN/>
        <w:bidi w:val="0"/>
        <w:adjustRightInd w:val="0"/>
        <w:snapToGrid w:val="0"/>
        <w:spacing w:before="0" w:after="0" w:line="360" w:lineRule="auto"/>
        <w:ind w:left="0"/>
        <w:textAlignment w:val="auto"/>
        <w:rPr>
          <w:rFonts w:hint="eastAsia" w:ascii="宋体" w:hAnsi="宋体"/>
          <w:b w:val="0"/>
          <w:color w:val="auto"/>
          <w:sz w:val="24"/>
          <w:szCs w:val="24"/>
          <w:highlight w:val="none"/>
        </w:rPr>
      </w:pPr>
      <w:bookmarkStart w:id="635" w:name="_Toc296891259"/>
      <w:bookmarkStart w:id="636" w:name="_Toc297123564"/>
      <w:bookmarkStart w:id="637" w:name="_Toc312678053"/>
      <w:bookmarkStart w:id="638" w:name="_Toc303539172"/>
      <w:bookmarkStart w:id="639" w:name="_Toc292559424"/>
      <w:bookmarkStart w:id="640" w:name="_Toc300935015"/>
      <w:bookmarkStart w:id="641" w:name="_Toc292559929"/>
      <w:bookmarkStart w:id="642" w:name="_Toc297216223"/>
      <w:bookmarkStart w:id="643" w:name="_Toc297120519"/>
      <w:bookmarkStart w:id="644" w:name="_Toc297048405"/>
      <w:bookmarkStart w:id="645" w:name="_Toc296944558"/>
      <w:bookmarkStart w:id="646" w:name="_Toc296346720"/>
      <w:bookmarkStart w:id="647" w:name="_Toc351203645"/>
      <w:bookmarkStart w:id="648" w:name="_Toc304295593"/>
      <w:bookmarkStart w:id="649" w:name="_Toc296891047"/>
      <w:bookmarkStart w:id="650" w:name="_Toc296347218"/>
      <w:bookmarkStart w:id="651" w:name="_Toc296503219"/>
      <w:r>
        <w:rPr>
          <w:rFonts w:hint="eastAsia" w:ascii="宋体" w:hAnsi="宋体"/>
          <w:b w:val="0"/>
          <w:color w:val="auto"/>
          <w:sz w:val="24"/>
          <w:szCs w:val="24"/>
          <w:highlight w:val="none"/>
        </w:rPr>
        <w:t>13. 验收和工程试车</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14:paraId="21D5A293">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13.1 分部分项工程验收</w:t>
      </w:r>
    </w:p>
    <w:p w14:paraId="73258D81">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13.1.2监理人不能按时进行验收时，应提前</w:t>
      </w:r>
      <w:r>
        <w:rPr>
          <w:rFonts w:hint="eastAsia" w:ascii="宋体" w:hAnsi="宋体" w:eastAsia="宋体"/>
          <w:color w:val="auto"/>
          <w:sz w:val="24"/>
          <w:szCs w:val="24"/>
          <w:highlight w:val="none"/>
          <w:u w:val="single"/>
        </w:rPr>
        <w:t>12</w:t>
      </w:r>
      <w:r>
        <w:rPr>
          <w:rFonts w:hint="eastAsia" w:ascii="宋体" w:hAnsi="宋体" w:eastAsia="宋体"/>
          <w:color w:val="auto"/>
          <w:sz w:val="24"/>
          <w:szCs w:val="24"/>
          <w:highlight w:val="none"/>
        </w:rPr>
        <w:t>小时提交书面延期要求。</w:t>
      </w:r>
    </w:p>
    <w:p w14:paraId="2E4B502D">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b/>
          <w:color w:val="auto"/>
          <w:sz w:val="24"/>
          <w:szCs w:val="24"/>
          <w:highlight w:val="none"/>
        </w:rPr>
      </w:pPr>
      <w:r>
        <w:rPr>
          <w:rFonts w:hint="eastAsia" w:ascii="宋体" w:hAnsi="宋体" w:eastAsia="宋体"/>
          <w:color w:val="auto"/>
          <w:sz w:val="24"/>
          <w:szCs w:val="24"/>
          <w:highlight w:val="none"/>
        </w:rPr>
        <w:t>关于延期最长不得超过：</w:t>
      </w:r>
      <w:r>
        <w:rPr>
          <w:rFonts w:hint="eastAsia" w:ascii="宋体" w:hAnsi="宋体" w:eastAsia="宋体"/>
          <w:color w:val="auto"/>
          <w:sz w:val="24"/>
          <w:szCs w:val="24"/>
          <w:highlight w:val="none"/>
          <w:u w:val="single"/>
        </w:rPr>
        <w:t>24</w:t>
      </w:r>
      <w:r>
        <w:rPr>
          <w:rFonts w:hint="eastAsia" w:ascii="宋体" w:hAnsi="宋体" w:eastAsia="宋体"/>
          <w:color w:val="auto"/>
          <w:sz w:val="24"/>
          <w:szCs w:val="24"/>
          <w:highlight w:val="none"/>
        </w:rPr>
        <w:t>小时。</w:t>
      </w:r>
    </w:p>
    <w:p w14:paraId="00B934AD">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bookmarkStart w:id="652" w:name="_Toc292559428"/>
      <w:bookmarkStart w:id="653" w:name="_Toc312678056"/>
      <w:bookmarkStart w:id="654" w:name="_Toc296891263"/>
      <w:bookmarkStart w:id="655" w:name="_Toc297123565"/>
      <w:bookmarkStart w:id="656" w:name="_Toc303539173"/>
      <w:bookmarkStart w:id="657" w:name="_Toc297120523"/>
      <w:bookmarkStart w:id="658" w:name="_Toc297048409"/>
      <w:bookmarkStart w:id="659" w:name="_Toc297216224"/>
      <w:bookmarkStart w:id="660" w:name="_Toc296346724"/>
      <w:bookmarkStart w:id="661" w:name="_Toc292559933"/>
      <w:bookmarkStart w:id="662" w:name="_Toc296944562"/>
      <w:bookmarkStart w:id="663" w:name="_Toc296891051"/>
      <w:bookmarkStart w:id="664" w:name="_Toc296347222"/>
      <w:bookmarkStart w:id="665" w:name="_Toc296503223"/>
      <w:bookmarkStart w:id="666" w:name="_Toc304295596"/>
      <w:bookmarkStart w:id="667" w:name="_Toc300935016"/>
      <w:bookmarkStart w:id="668" w:name="_Toc267251476"/>
      <w:bookmarkStart w:id="669" w:name="_Toc267251474"/>
      <w:bookmarkStart w:id="670" w:name="_Toc267251472"/>
      <w:bookmarkStart w:id="671" w:name="_Toc267251470"/>
      <w:bookmarkStart w:id="672" w:name="_Toc267251473"/>
      <w:bookmarkStart w:id="673" w:name="_Toc267251475"/>
      <w:bookmarkStart w:id="674" w:name="_Toc267251471"/>
      <w:r>
        <w:rPr>
          <w:rFonts w:hint="eastAsia" w:ascii="宋体" w:hAnsi="宋体" w:eastAsia="宋体"/>
          <w:color w:val="auto"/>
          <w:sz w:val="24"/>
          <w:szCs w:val="24"/>
          <w:highlight w:val="none"/>
        </w:rPr>
        <w:t>13.2 竣工验收</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p>
    <w:p w14:paraId="584977BD">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bookmarkStart w:id="675" w:name="_Toc280868704"/>
      <w:bookmarkStart w:id="676" w:name="_Toc280868705"/>
      <w:bookmarkStart w:id="677" w:name="_Toc280868706"/>
      <w:bookmarkStart w:id="678" w:name="_Toc280868707"/>
      <w:bookmarkStart w:id="679" w:name="_Toc280868708"/>
      <w:bookmarkStart w:id="680" w:name="_Toc280868709"/>
      <w:r>
        <w:rPr>
          <w:rFonts w:hint="eastAsia" w:ascii="宋体" w:hAnsi="宋体" w:eastAsia="宋体"/>
          <w:color w:val="auto"/>
          <w:sz w:val="24"/>
          <w:szCs w:val="24"/>
          <w:highlight w:val="none"/>
        </w:rPr>
        <w:t>13.2.2竣工验收程序</w:t>
      </w:r>
      <w:bookmarkEnd w:id="675"/>
    </w:p>
    <w:p w14:paraId="4BBC0CAA">
      <w:pPr>
        <w:pageBreakBefore w:val="0"/>
        <w:widowControl/>
        <w:kinsoku/>
        <w:wordWrap/>
        <w:overflowPunct/>
        <w:topLinePunct w:val="0"/>
        <w:autoSpaceDE/>
        <w:autoSpaceDN/>
        <w:bidi w:val="0"/>
        <w:adjustRightInd w:val="0"/>
        <w:snapToGrid w:val="0"/>
        <w:spacing w:line="360" w:lineRule="auto"/>
        <w:ind w:left="0" w:firstLine="396"/>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rPr>
        <w:t>关于竣工验收程序的约定：</w:t>
      </w:r>
      <w:r>
        <w:rPr>
          <w:rFonts w:hint="eastAsia" w:ascii="宋体" w:hAnsi="宋体" w:eastAsia="宋体"/>
          <w:color w:val="auto"/>
          <w:sz w:val="24"/>
          <w:szCs w:val="24"/>
          <w:highlight w:val="none"/>
          <w:u w:val="single"/>
        </w:rPr>
        <w:t>（1）工程具备竣工验收条件，承包人按国家工程竣工验收有关规定的验收要求，提前15天向监理单位提供完整竣工资料、竣工报告及工程质量保修书。监理单位认为符合验收条件后组织发包人、监理单位初步验收。承包人必须按发包人要求做好验收“标识”工作。</w:t>
      </w:r>
    </w:p>
    <w:p w14:paraId="3D59FA7F">
      <w:pPr>
        <w:pageBreakBefore w:val="0"/>
        <w:widowControl/>
        <w:kinsoku/>
        <w:wordWrap/>
        <w:overflowPunct/>
        <w:topLinePunct w:val="0"/>
        <w:autoSpaceDE/>
        <w:autoSpaceDN/>
        <w:bidi w:val="0"/>
        <w:adjustRightInd w:val="0"/>
        <w:snapToGrid w:val="0"/>
        <w:spacing w:line="360" w:lineRule="auto"/>
        <w:ind w:left="0" w:firstLine="415"/>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u w:val="single"/>
        </w:rPr>
        <w:t>（2）初验合格后，发包人与有关部门联系，确定验收日期，组织有勘察、设计、监理单位、政府有关部门、发包人、承包人参加的竣工验收。发包人应在竣工验收通过后 5 天内对工程瑕疵及其他遗留问题等提出整改意见，承包人应立即按发包人意见整改。承包人未能按照发包人要求完成整改的，则不予竣工结算。</w:t>
      </w:r>
    </w:p>
    <w:p w14:paraId="426130D1">
      <w:pPr>
        <w:pageBreakBefore w:val="0"/>
        <w:widowControl/>
        <w:kinsoku/>
        <w:wordWrap/>
        <w:overflowPunct/>
        <w:topLinePunct w:val="0"/>
        <w:autoSpaceDE/>
        <w:autoSpaceDN/>
        <w:bidi w:val="0"/>
        <w:adjustRightInd w:val="0"/>
        <w:snapToGrid w:val="0"/>
        <w:spacing w:line="360" w:lineRule="auto"/>
        <w:ind w:left="0" w:firstLine="415"/>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u w:val="single"/>
        </w:rPr>
        <w:t>（3）承包人竣工验收通过后30天内向发包人移交完整的竣工资料及竣工图纸三套及相应的电子文档资料（竣工资料及竣工图纸必须准确真实的反映实际施工情况）。另外，</w:t>
      </w:r>
      <w:r>
        <w:rPr>
          <w:rFonts w:hint="eastAsia" w:ascii="宋体" w:hAnsi="宋体"/>
          <w:color w:val="auto"/>
          <w:sz w:val="24"/>
          <w:szCs w:val="24"/>
          <w:highlight w:val="none"/>
          <w:u w:val="single"/>
          <w:lang w:val="en-US" w:eastAsia="zh-CN"/>
        </w:rPr>
        <w:t>如有需要的，</w:t>
      </w:r>
      <w:r>
        <w:rPr>
          <w:rFonts w:hint="eastAsia" w:ascii="宋体" w:hAnsi="宋体" w:eastAsia="宋体"/>
          <w:color w:val="auto"/>
          <w:sz w:val="24"/>
          <w:szCs w:val="24"/>
          <w:highlight w:val="none"/>
          <w:u w:val="single"/>
        </w:rPr>
        <w:t>承包人应大力配合发包人办理工程资料验收和移交。属于发包人应提供的资料，由发包人负责及时提供给承包人，由承包人汇总整理后，交由发包人移交档案馆。承包人未按规定向发包人移交资料造成的损失，由承包人承担。</w:t>
      </w:r>
    </w:p>
    <w:p w14:paraId="01261F3A">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发包人不按照本项约定组织竣工验收、颁发工程接收证书的，</w:t>
      </w:r>
      <w:r>
        <w:rPr>
          <w:rFonts w:hint="eastAsia" w:ascii="宋体" w:hAnsi="宋体" w:eastAsia="宋体"/>
          <w:color w:val="auto"/>
          <w:sz w:val="24"/>
          <w:szCs w:val="24"/>
          <w:highlight w:val="none"/>
          <w:u w:val="single"/>
        </w:rPr>
        <w:t>竣工资料履约保证金不予退还，并额外承担违约金，违约金的计算方法：按通用条款执行</w:t>
      </w:r>
      <w:r>
        <w:rPr>
          <w:rFonts w:hint="eastAsia" w:ascii="宋体" w:hAnsi="宋体" w:eastAsia="宋体"/>
          <w:color w:val="auto"/>
          <w:sz w:val="24"/>
          <w:szCs w:val="24"/>
          <w:highlight w:val="none"/>
        </w:rPr>
        <w:t>。</w:t>
      </w:r>
    </w:p>
    <w:p w14:paraId="607030B6">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发包人不按照本项约定组织竣工验收、颁发工程接收证书的违约金的计算方法：</w:t>
      </w:r>
      <w:bookmarkEnd w:id="676"/>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w:t>
      </w:r>
    </w:p>
    <w:p w14:paraId="13F41AA3">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13.2.5移交、接收全部与部分工程</w:t>
      </w:r>
      <w:bookmarkEnd w:id="677"/>
    </w:p>
    <w:p w14:paraId="3C399FCF">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承包人向发包人移交工程的期限：</w:t>
      </w:r>
      <w:r>
        <w:rPr>
          <w:rFonts w:hint="eastAsia" w:ascii="宋体" w:hAnsi="宋体" w:eastAsia="宋体"/>
          <w:color w:val="auto"/>
          <w:sz w:val="24"/>
          <w:szCs w:val="24"/>
          <w:highlight w:val="none"/>
          <w:u w:val="single"/>
        </w:rPr>
        <w:t>按通用条款</w:t>
      </w:r>
      <w:r>
        <w:rPr>
          <w:rFonts w:hint="eastAsia" w:ascii="宋体" w:hAnsi="宋体" w:eastAsia="宋体"/>
          <w:color w:val="auto"/>
          <w:sz w:val="24"/>
          <w:szCs w:val="24"/>
          <w:highlight w:val="none"/>
        </w:rPr>
        <w:t>。</w:t>
      </w:r>
    </w:p>
    <w:p w14:paraId="3AC006A0">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发包人未按本合同约定接收全部或部分工程的，违约金的计算方法为：</w:t>
      </w:r>
      <w:r>
        <w:rPr>
          <w:rFonts w:hint="eastAsia" w:ascii="宋体" w:hAnsi="宋体" w:eastAsia="宋体"/>
          <w:color w:val="auto"/>
          <w:sz w:val="24"/>
          <w:szCs w:val="24"/>
          <w:highlight w:val="none"/>
          <w:u w:val="single"/>
        </w:rPr>
        <w:t xml:space="preserve">                               </w:t>
      </w:r>
      <w:bookmarkEnd w:id="678"/>
    </w:p>
    <w:p w14:paraId="6628DE3D">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承包人未按时移交工程的，违约金的计算方法为：</w:t>
      </w:r>
      <w:r>
        <w:rPr>
          <w:rFonts w:hint="eastAsia" w:ascii="宋体" w:hAnsi="宋体" w:eastAsia="宋体"/>
          <w:color w:val="auto"/>
          <w:sz w:val="24"/>
          <w:szCs w:val="24"/>
          <w:highlight w:val="none"/>
          <w:u w:val="single"/>
        </w:rPr>
        <w:t>承包人每日需向发包人按照工程合同暂定造价0.5‰承担违约责任，赔偿未按时移交工程给发包人产生的其他直接和间接损失。</w:t>
      </w:r>
    </w:p>
    <w:p w14:paraId="52399A46">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13.3 工程试车</w:t>
      </w:r>
      <w:bookmarkEnd w:id="679"/>
    </w:p>
    <w:p w14:paraId="2E0A2BB4">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13.3.1 试车程序</w:t>
      </w:r>
    </w:p>
    <w:p w14:paraId="0837A82D">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工程试车内容：</w:t>
      </w:r>
      <w:r>
        <w:rPr>
          <w:rFonts w:hint="eastAsia" w:ascii="宋体" w:hAnsi="宋体" w:eastAsia="宋体"/>
          <w:color w:val="auto"/>
          <w:sz w:val="24"/>
          <w:szCs w:val="24"/>
          <w:highlight w:val="none"/>
          <w:u w:val="single"/>
        </w:rPr>
        <w:t xml:space="preserve">    / </w:t>
      </w:r>
      <w:r>
        <w:rPr>
          <w:rFonts w:hint="eastAsia" w:ascii="宋体" w:hAnsi="宋体" w:eastAsia="宋体"/>
          <w:color w:val="auto"/>
          <w:sz w:val="24"/>
          <w:szCs w:val="24"/>
          <w:highlight w:val="none"/>
        </w:rPr>
        <w:t>。</w:t>
      </w:r>
    </w:p>
    <w:p w14:paraId="28A5ED8F">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（1）单机无负荷试车费用由</w:t>
      </w:r>
      <w:r>
        <w:rPr>
          <w:rFonts w:hint="eastAsia" w:ascii="宋体" w:hAnsi="宋体" w:eastAsia="宋体"/>
          <w:color w:val="auto"/>
          <w:sz w:val="24"/>
          <w:szCs w:val="24"/>
          <w:highlight w:val="none"/>
          <w:u w:val="single"/>
        </w:rPr>
        <w:t xml:space="preserve">  已含在双方约定的计价中  </w:t>
      </w:r>
      <w:r>
        <w:rPr>
          <w:rFonts w:hint="eastAsia" w:ascii="宋体" w:hAnsi="宋体" w:eastAsia="宋体"/>
          <w:color w:val="auto"/>
          <w:sz w:val="24"/>
          <w:szCs w:val="24"/>
          <w:highlight w:val="none"/>
        </w:rPr>
        <w:t>承担；</w:t>
      </w:r>
    </w:p>
    <w:p w14:paraId="07381F21">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（2）无负荷联动试车费用由</w:t>
      </w:r>
      <w:r>
        <w:rPr>
          <w:rFonts w:hint="eastAsia" w:ascii="宋体" w:hAnsi="宋体" w:eastAsia="宋体"/>
          <w:color w:val="auto"/>
          <w:sz w:val="24"/>
          <w:szCs w:val="24"/>
          <w:highlight w:val="none"/>
          <w:u w:val="single"/>
        </w:rPr>
        <w:t xml:space="preserve">  已含在双方约定的计价中  </w:t>
      </w:r>
      <w:r>
        <w:rPr>
          <w:rFonts w:hint="eastAsia" w:ascii="宋体" w:hAnsi="宋体" w:eastAsia="宋体"/>
          <w:color w:val="auto"/>
          <w:sz w:val="24"/>
          <w:szCs w:val="24"/>
          <w:highlight w:val="none"/>
        </w:rPr>
        <w:t>承担。</w:t>
      </w:r>
    </w:p>
    <w:p w14:paraId="22E4AD47">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13.3.3 投料试车</w:t>
      </w:r>
    </w:p>
    <w:p w14:paraId="7BC7E102">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关于投料试车相关事项的约定：</w:t>
      </w:r>
      <w:r>
        <w:rPr>
          <w:rFonts w:hint="eastAsia" w:ascii="宋体" w:hAnsi="宋体" w:eastAsia="宋体"/>
          <w:color w:val="auto"/>
          <w:sz w:val="24"/>
          <w:szCs w:val="24"/>
          <w:highlight w:val="none"/>
          <w:u w:val="single"/>
        </w:rPr>
        <w:t xml:space="preserve"> /  </w:t>
      </w:r>
      <w:r>
        <w:rPr>
          <w:rFonts w:hint="eastAsia" w:ascii="宋体" w:hAnsi="宋体" w:eastAsia="宋体"/>
          <w:color w:val="auto"/>
          <w:sz w:val="24"/>
          <w:szCs w:val="24"/>
          <w:highlight w:val="none"/>
        </w:rPr>
        <w:t>。</w:t>
      </w:r>
    </w:p>
    <w:p w14:paraId="211C13E1">
      <w:pPr>
        <w:pageBreakBefore w:val="0"/>
        <w:kinsoku/>
        <w:wordWrap/>
        <w:overflowPunct/>
        <w:topLinePunct w:val="0"/>
        <w:autoSpaceDE/>
        <w:autoSpaceDN/>
        <w:bidi w:val="0"/>
        <w:adjustRightInd w:val="0"/>
        <w:snapToGrid w:val="0"/>
        <w:spacing w:line="360" w:lineRule="auto"/>
        <w:ind w:left="0" w:firstLine="420"/>
        <w:textAlignment w:val="auto"/>
        <w:outlineLvl w:val="0"/>
        <w:rPr>
          <w:rFonts w:hint="eastAsia" w:ascii="宋体" w:hAnsi="宋体" w:eastAsia="宋体"/>
          <w:color w:val="auto"/>
          <w:sz w:val="24"/>
          <w:szCs w:val="24"/>
          <w:highlight w:val="none"/>
        </w:rPr>
      </w:pPr>
      <w:bookmarkStart w:id="681" w:name="_Toc17339"/>
      <w:r>
        <w:rPr>
          <w:rFonts w:hint="eastAsia" w:ascii="宋体" w:hAnsi="宋体" w:eastAsia="宋体"/>
          <w:color w:val="auto"/>
          <w:sz w:val="24"/>
          <w:szCs w:val="24"/>
          <w:highlight w:val="none"/>
        </w:rPr>
        <w:t>13.6 竣工退场</w:t>
      </w:r>
      <w:bookmarkEnd w:id="681"/>
    </w:p>
    <w:p w14:paraId="5C66ADDB">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13.6.1 竣工退场</w:t>
      </w:r>
    </w:p>
    <w:p w14:paraId="103C0C5A">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承包人完成竣工退场的期限：</w:t>
      </w:r>
      <w:r>
        <w:rPr>
          <w:rFonts w:hint="eastAsia" w:ascii="宋体" w:hAnsi="宋体" w:eastAsia="宋体"/>
          <w:color w:val="auto"/>
          <w:sz w:val="24"/>
          <w:szCs w:val="24"/>
          <w:highlight w:val="none"/>
          <w:u w:val="single"/>
        </w:rPr>
        <w:t>工程竣工验收后15天内</w:t>
      </w:r>
      <w:r>
        <w:rPr>
          <w:rFonts w:hint="eastAsia" w:ascii="宋体" w:hAnsi="宋体" w:eastAsia="宋体"/>
          <w:color w:val="auto"/>
          <w:sz w:val="24"/>
          <w:szCs w:val="24"/>
          <w:highlight w:val="none"/>
          <w:u w:val="single"/>
          <w:lang w:eastAsia="zh-CN"/>
        </w:rPr>
        <w:t>，</w:t>
      </w:r>
      <w:r>
        <w:rPr>
          <w:rFonts w:hint="eastAsia" w:ascii="宋体" w:hAnsi="宋体" w:eastAsia="宋体"/>
          <w:color w:val="auto"/>
          <w:sz w:val="24"/>
          <w:szCs w:val="24"/>
          <w:highlight w:val="none"/>
          <w:u w:val="single"/>
        </w:rPr>
        <w:t xml:space="preserve"> 撤出全部临建、施工人员、机械设备和剩余材料（除收尾工程所需的以外），并将所有承包范围内的工程清理干净。若未按照发包人指令执行，不能及时拆除或清理，原施工现场所有遗留物均视为建筑垃圾，发包人有权派人强行拆除并清理，所有损失由承包人承担，承包人还须承担发包人由此支付的所有费用（包括但不限于委托处理费用），相应的清场费用一并从工程款中扣除。</w:t>
      </w:r>
    </w:p>
    <w:p w14:paraId="68D3C4CD">
      <w:pPr>
        <w:pStyle w:val="7"/>
        <w:pageBreakBefore w:val="0"/>
        <w:kinsoku/>
        <w:wordWrap/>
        <w:overflowPunct/>
        <w:topLinePunct w:val="0"/>
        <w:autoSpaceDE/>
        <w:autoSpaceDN/>
        <w:bidi w:val="0"/>
        <w:adjustRightInd w:val="0"/>
        <w:snapToGrid w:val="0"/>
        <w:spacing w:before="0" w:after="0" w:line="360" w:lineRule="auto"/>
        <w:ind w:left="0"/>
        <w:textAlignment w:val="auto"/>
        <w:rPr>
          <w:rFonts w:hint="eastAsia" w:ascii="宋体" w:hAnsi="宋体"/>
          <w:b w:val="0"/>
          <w:color w:val="auto"/>
          <w:sz w:val="24"/>
          <w:szCs w:val="24"/>
          <w:highlight w:val="none"/>
        </w:rPr>
      </w:pPr>
      <w:bookmarkStart w:id="682" w:name="_Toc351203646"/>
      <w:r>
        <w:rPr>
          <w:rFonts w:hint="eastAsia" w:ascii="宋体" w:hAnsi="宋体"/>
          <w:b w:val="0"/>
          <w:color w:val="auto"/>
          <w:sz w:val="24"/>
          <w:szCs w:val="24"/>
          <w:highlight w:val="none"/>
        </w:rPr>
        <w:t>14. 竣工结算</w:t>
      </w:r>
      <w:bookmarkEnd w:id="682"/>
    </w:p>
    <w:p w14:paraId="185285C6">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14.1 竣工结算申请</w:t>
      </w:r>
    </w:p>
    <w:p w14:paraId="2061EA7D">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承包人提交竣工结算申请单的期限：</w:t>
      </w:r>
      <w:r>
        <w:rPr>
          <w:rFonts w:hint="eastAsia" w:ascii="宋体" w:hAnsi="宋体" w:eastAsia="宋体"/>
          <w:color w:val="auto"/>
          <w:sz w:val="24"/>
          <w:szCs w:val="24"/>
          <w:highlight w:val="none"/>
          <w:u w:val="single"/>
        </w:rPr>
        <w:t>工程竣工验收合格，经验收且工程竣工验收备案通过后30天内向发包人和监理人提交竣工结算申请单，并提交完整的结算资料。</w:t>
      </w:r>
    </w:p>
    <w:p w14:paraId="48EEC41E">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rPr>
        <w:t>竣工结算申请单应包括的内容：</w:t>
      </w:r>
      <w:r>
        <w:rPr>
          <w:rFonts w:hint="eastAsia" w:ascii="宋体" w:hAnsi="宋体" w:eastAsia="宋体"/>
          <w:color w:val="auto"/>
          <w:sz w:val="24"/>
          <w:szCs w:val="24"/>
          <w:highlight w:val="none"/>
          <w:u w:val="single"/>
        </w:rPr>
        <w:t>按通用条款，提交的竣工结算资料必须完整，发包人不分次接受竣工结算资料；承包人逾期提交结算资料，造成竣工结算迟延支付的，发包人不承担违约责任。</w:t>
      </w:r>
    </w:p>
    <w:p w14:paraId="7B67C74F">
      <w:pPr>
        <w:pageBreakBefore w:val="0"/>
        <w:kinsoku/>
        <w:wordWrap/>
        <w:overflowPunct/>
        <w:topLinePunct w:val="0"/>
        <w:autoSpaceDE/>
        <w:autoSpaceDN/>
        <w:bidi w:val="0"/>
        <w:adjustRightInd w:val="0"/>
        <w:snapToGrid w:val="0"/>
        <w:spacing w:line="360" w:lineRule="auto"/>
        <w:ind w:left="0" w:firstLine="420"/>
        <w:textAlignment w:val="auto"/>
        <w:outlineLvl w:val="0"/>
        <w:rPr>
          <w:rFonts w:hint="eastAsia" w:ascii="宋体" w:hAnsi="宋体" w:eastAsia="宋体"/>
          <w:color w:val="auto"/>
          <w:sz w:val="24"/>
          <w:szCs w:val="24"/>
          <w:highlight w:val="none"/>
        </w:rPr>
      </w:pPr>
      <w:bookmarkStart w:id="683" w:name="_Toc6846"/>
      <w:r>
        <w:rPr>
          <w:rFonts w:hint="eastAsia" w:ascii="宋体" w:hAnsi="宋体" w:eastAsia="宋体"/>
          <w:color w:val="auto"/>
          <w:sz w:val="24"/>
          <w:szCs w:val="24"/>
          <w:highlight w:val="none"/>
        </w:rPr>
        <w:t>14.2 竣工结算审核</w:t>
      </w:r>
      <w:bookmarkEnd w:id="683"/>
    </w:p>
    <w:p w14:paraId="094757E8">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rPr>
        <w:t>发包人审批竣工付款申请单的期限：</w:t>
      </w:r>
      <w:r>
        <w:rPr>
          <w:rFonts w:hint="eastAsia" w:ascii="宋体" w:hAnsi="宋体" w:eastAsia="宋体"/>
          <w:color w:val="auto"/>
          <w:sz w:val="24"/>
          <w:szCs w:val="24"/>
          <w:highlight w:val="none"/>
          <w:u w:val="single"/>
        </w:rPr>
        <w:t>承包人应在工程竣工验收后3- 6个月内提供完整的竣工结算报告及结算资料，发包人收到承包人递交的完整竣工结算报告及结算资料后6个月内审计完成，承包人应积极配合审计并</w:t>
      </w:r>
      <w:r>
        <w:rPr>
          <w:rFonts w:hint="eastAsia" w:ascii="宋体" w:hAnsi="宋体" w:eastAsia="宋体"/>
          <w:color w:val="auto"/>
          <w:sz w:val="24"/>
          <w:szCs w:val="24"/>
          <w:highlight w:val="none"/>
          <w:u w:val="single"/>
          <w:lang w:eastAsia="zh-CN"/>
        </w:rPr>
        <w:t>及时给予</w:t>
      </w:r>
      <w:r>
        <w:rPr>
          <w:rFonts w:hint="eastAsia" w:ascii="宋体" w:hAnsi="宋体" w:eastAsia="宋体"/>
          <w:color w:val="auto"/>
          <w:sz w:val="24"/>
          <w:szCs w:val="24"/>
          <w:highlight w:val="none"/>
          <w:u w:val="single"/>
        </w:rPr>
        <w:t>修正和确认，承包人不配合、不及时修正、不及时确认的，发包人有权相应顺延审计期；竣工结算的审计单位为发包人指定的具有相应资质的审计单位。</w:t>
      </w:r>
    </w:p>
    <w:p w14:paraId="312180C7">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发包人完成竣工付款的期限：</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w:t>
      </w:r>
    </w:p>
    <w:p w14:paraId="07A8C507">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关于竣工付款证书异议部分复核的方式和程序：</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w:t>
      </w:r>
    </w:p>
    <w:p w14:paraId="06021546">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14.4 最终结清</w:t>
      </w:r>
    </w:p>
    <w:p w14:paraId="08AA1A56">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14.4.1 最终结清申请单</w:t>
      </w:r>
    </w:p>
    <w:p w14:paraId="163C9ABA">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承包人提交最终结清申请单的份数：</w:t>
      </w:r>
      <w:r>
        <w:rPr>
          <w:rFonts w:hint="eastAsia" w:ascii="宋体" w:hAnsi="宋体" w:eastAsia="宋体"/>
          <w:color w:val="auto"/>
          <w:sz w:val="24"/>
          <w:szCs w:val="24"/>
          <w:highlight w:val="none"/>
          <w:u w:val="single"/>
        </w:rPr>
        <w:t xml:space="preserve">四份  </w:t>
      </w:r>
      <w:r>
        <w:rPr>
          <w:rFonts w:hint="eastAsia" w:ascii="宋体" w:hAnsi="宋体" w:eastAsia="宋体"/>
          <w:color w:val="auto"/>
          <w:sz w:val="24"/>
          <w:szCs w:val="24"/>
          <w:highlight w:val="none"/>
        </w:rPr>
        <w:t>。</w:t>
      </w:r>
    </w:p>
    <w:p w14:paraId="18BD359C">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承包人提交最终结算申请单的期限：</w:t>
      </w:r>
      <w:r>
        <w:rPr>
          <w:rFonts w:hint="eastAsia" w:ascii="宋体" w:hAnsi="宋体" w:eastAsia="宋体"/>
          <w:color w:val="auto"/>
          <w:sz w:val="24"/>
          <w:szCs w:val="24"/>
          <w:highlight w:val="none"/>
          <w:u w:val="single"/>
        </w:rPr>
        <w:t>质量保修期满</w:t>
      </w:r>
      <w:r>
        <w:rPr>
          <w:rFonts w:hint="eastAsia" w:ascii="宋体" w:hAnsi="宋体" w:eastAsia="宋体"/>
          <w:color w:val="auto"/>
          <w:sz w:val="24"/>
          <w:szCs w:val="24"/>
          <w:highlight w:val="none"/>
        </w:rPr>
        <w:t xml:space="preserve">。 </w:t>
      </w:r>
    </w:p>
    <w:p w14:paraId="568CDC00">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14.4.2 最终结清证书和支付</w:t>
      </w:r>
    </w:p>
    <w:p w14:paraId="371D6046">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（1）发包人完成最终结清申请单的审批并颁发最终结清证书的期限：</w:t>
      </w:r>
      <w:r>
        <w:rPr>
          <w:rFonts w:hint="eastAsia" w:ascii="宋体" w:hAnsi="宋体" w:eastAsia="宋体"/>
          <w:color w:val="auto"/>
          <w:sz w:val="24"/>
          <w:szCs w:val="24"/>
          <w:highlight w:val="none"/>
          <w:u w:val="single"/>
        </w:rPr>
        <w:t>收到申请28天内</w:t>
      </w:r>
      <w:r>
        <w:rPr>
          <w:rFonts w:hint="eastAsia" w:ascii="宋体" w:hAnsi="宋体" w:eastAsia="宋体"/>
          <w:color w:val="auto"/>
          <w:sz w:val="24"/>
          <w:szCs w:val="24"/>
          <w:highlight w:val="none"/>
        </w:rPr>
        <w:t>。</w:t>
      </w:r>
    </w:p>
    <w:p w14:paraId="1FEC14B9">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（2）发包人完成支付的期限：</w:t>
      </w:r>
      <w:r>
        <w:rPr>
          <w:rFonts w:hint="eastAsia" w:ascii="宋体" w:hAnsi="宋体" w:eastAsia="宋体"/>
          <w:color w:val="auto"/>
          <w:sz w:val="24"/>
          <w:szCs w:val="24"/>
          <w:highlight w:val="none"/>
          <w:u w:val="single"/>
        </w:rPr>
        <w:t>申请签发14天内</w:t>
      </w:r>
      <w:r>
        <w:rPr>
          <w:rFonts w:hint="eastAsia" w:ascii="宋体" w:hAnsi="宋体" w:eastAsia="宋体"/>
          <w:color w:val="auto"/>
          <w:sz w:val="24"/>
          <w:szCs w:val="24"/>
          <w:highlight w:val="none"/>
        </w:rPr>
        <w:t>。</w:t>
      </w:r>
      <w:bookmarkEnd w:id="668"/>
      <w:bookmarkEnd w:id="669"/>
      <w:bookmarkEnd w:id="670"/>
      <w:bookmarkEnd w:id="671"/>
      <w:bookmarkEnd w:id="672"/>
      <w:bookmarkEnd w:id="673"/>
      <w:bookmarkEnd w:id="674"/>
      <w:bookmarkEnd w:id="680"/>
    </w:p>
    <w:p w14:paraId="14F5EE7A">
      <w:pPr>
        <w:pStyle w:val="7"/>
        <w:pageBreakBefore w:val="0"/>
        <w:kinsoku/>
        <w:wordWrap/>
        <w:overflowPunct/>
        <w:topLinePunct w:val="0"/>
        <w:autoSpaceDE/>
        <w:autoSpaceDN/>
        <w:bidi w:val="0"/>
        <w:adjustRightInd w:val="0"/>
        <w:snapToGrid w:val="0"/>
        <w:spacing w:before="0" w:after="0" w:line="360" w:lineRule="auto"/>
        <w:ind w:left="0"/>
        <w:textAlignment w:val="auto"/>
        <w:rPr>
          <w:rFonts w:hint="eastAsia" w:ascii="宋体" w:hAnsi="宋体"/>
          <w:color w:val="auto"/>
          <w:sz w:val="24"/>
          <w:szCs w:val="24"/>
          <w:highlight w:val="none"/>
        </w:rPr>
      </w:pPr>
      <w:bookmarkStart w:id="684" w:name="_Toc351203647"/>
      <w:bookmarkStart w:id="685" w:name="_Toc267251485"/>
      <w:bookmarkStart w:id="686" w:name="_Toc267251488"/>
      <w:bookmarkStart w:id="687" w:name="_Toc267251483"/>
      <w:bookmarkStart w:id="688" w:name="_Toc267251486"/>
      <w:bookmarkStart w:id="689" w:name="_Toc267251489"/>
      <w:bookmarkStart w:id="690" w:name="_Toc267251484"/>
      <w:bookmarkStart w:id="691" w:name="_Toc267251482"/>
      <w:bookmarkStart w:id="692" w:name="_Toc267251490"/>
      <w:bookmarkStart w:id="693" w:name="_Toc267251493"/>
      <w:bookmarkStart w:id="694" w:name="_Toc267251501"/>
      <w:bookmarkStart w:id="695" w:name="_Toc267251502"/>
      <w:bookmarkStart w:id="696" w:name="_Toc267251496"/>
      <w:bookmarkStart w:id="697" w:name="_Toc267251495"/>
      <w:bookmarkStart w:id="698" w:name="_Toc267251494"/>
      <w:bookmarkStart w:id="699" w:name="_Toc267251503"/>
      <w:bookmarkStart w:id="700" w:name="_Toc267251497"/>
      <w:bookmarkStart w:id="701" w:name="_Toc267251499"/>
      <w:bookmarkStart w:id="702" w:name="_Toc267251491"/>
      <w:bookmarkStart w:id="703" w:name="_Toc267251492"/>
      <w:bookmarkStart w:id="704" w:name="_Toc267251498"/>
      <w:bookmarkStart w:id="705" w:name="_Toc267251506"/>
      <w:bookmarkStart w:id="706" w:name="_Toc267251504"/>
      <w:bookmarkStart w:id="707" w:name="_Toc267251507"/>
      <w:bookmarkStart w:id="708" w:name="_Toc267251508"/>
      <w:bookmarkStart w:id="709" w:name="_Toc267251514"/>
      <w:bookmarkStart w:id="710" w:name="_Toc267251515"/>
      <w:bookmarkStart w:id="711" w:name="_Toc267251513"/>
      <w:bookmarkStart w:id="712" w:name="_Toc267251509"/>
      <w:bookmarkStart w:id="713" w:name="_Toc267251510"/>
      <w:bookmarkStart w:id="714" w:name="_Toc267251511"/>
      <w:r>
        <w:rPr>
          <w:rFonts w:hint="eastAsia" w:ascii="宋体" w:hAnsi="宋体"/>
          <w:color w:val="auto"/>
          <w:sz w:val="24"/>
          <w:szCs w:val="24"/>
          <w:highlight w:val="none"/>
        </w:rPr>
        <w:t>15. 缺陷责任期与保修</w:t>
      </w:r>
      <w:bookmarkEnd w:id="684"/>
    </w:p>
    <w:bookmarkEnd w:id="685"/>
    <w:bookmarkEnd w:id="686"/>
    <w:bookmarkEnd w:id="687"/>
    <w:bookmarkEnd w:id="688"/>
    <w:bookmarkEnd w:id="689"/>
    <w:bookmarkEnd w:id="690"/>
    <w:bookmarkEnd w:id="691"/>
    <w:bookmarkEnd w:id="692"/>
    <w:p w14:paraId="7BE914E9">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s="Times New Roman"/>
          <w:color w:val="auto"/>
          <w:kern w:val="0"/>
          <w:sz w:val="24"/>
          <w:szCs w:val="24"/>
          <w:highlight w:val="none"/>
        </w:rPr>
      </w:pPr>
      <w:bookmarkStart w:id="715" w:name="_Toc351203648"/>
      <w:bookmarkStart w:id="716" w:name="_Toc280868717"/>
      <w:bookmarkStart w:id="717" w:name="_Toc280868718"/>
      <w:r>
        <w:rPr>
          <w:rFonts w:hint="eastAsia" w:ascii="宋体" w:hAnsi="宋体" w:eastAsia="宋体" w:cs="Times New Roman"/>
          <w:color w:val="auto"/>
          <w:kern w:val="0"/>
          <w:sz w:val="24"/>
          <w:szCs w:val="24"/>
          <w:highlight w:val="none"/>
        </w:rPr>
        <w:t>15.2缺陷责任期</w:t>
      </w:r>
    </w:p>
    <w:p w14:paraId="23C7731D">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s="Times New Roman"/>
          <w:color w:val="auto"/>
          <w:kern w:val="0"/>
          <w:sz w:val="24"/>
          <w:szCs w:val="24"/>
          <w:highlight w:val="none"/>
          <w:u w:val="single"/>
        </w:rPr>
      </w:pPr>
      <w:r>
        <w:rPr>
          <w:rFonts w:hint="eastAsia" w:ascii="宋体" w:hAnsi="宋体" w:eastAsia="宋体" w:cs="Times New Roman"/>
          <w:color w:val="auto"/>
          <w:kern w:val="0"/>
          <w:sz w:val="24"/>
          <w:szCs w:val="24"/>
          <w:highlight w:val="none"/>
        </w:rPr>
        <w:t>缺陷责任期的具体期限：</w:t>
      </w:r>
      <w:r>
        <w:rPr>
          <w:rFonts w:hint="eastAsia" w:ascii="宋体" w:hAnsi="宋体" w:eastAsia="宋体" w:cs="Times New Roman"/>
          <w:color w:val="auto"/>
          <w:kern w:val="0"/>
          <w:sz w:val="24"/>
          <w:szCs w:val="24"/>
          <w:highlight w:val="none"/>
          <w:u w:val="single"/>
          <w:lang w:val="en-US" w:eastAsia="zh-CN"/>
        </w:rPr>
        <w:t>24</w:t>
      </w:r>
      <w:r>
        <w:rPr>
          <w:rFonts w:hint="eastAsia" w:ascii="宋体" w:hAnsi="宋体" w:eastAsia="宋体" w:cs="Times New Roman"/>
          <w:color w:val="auto"/>
          <w:kern w:val="0"/>
          <w:sz w:val="24"/>
          <w:szCs w:val="24"/>
          <w:highlight w:val="none"/>
          <w:u w:val="single"/>
        </w:rPr>
        <w:t>个月。</w:t>
      </w:r>
    </w:p>
    <w:p w14:paraId="58330C04">
      <w:pPr>
        <w:pageBreakBefore w:val="0"/>
        <w:kinsoku/>
        <w:wordWrap/>
        <w:overflowPunct/>
        <w:topLinePunct w:val="0"/>
        <w:autoSpaceDE/>
        <w:autoSpaceDN/>
        <w:bidi w:val="0"/>
        <w:adjustRightInd w:val="0"/>
        <w:snapToGrid w:val="0"/>
        <w:spacing w:line="360" w:lineRule="auto"/>
        <w:ind w:left="0" w:firstLine="420"/>
        <w:textAlignment w:val="auto"/>
        <w:outlineLvl w:val="0"/>
        <w:rPr>
          <w:rFonts w:hint="eastAsia" w:ascii="宋体" w:hAnsi="宋体" w:eastAsia="宋体" w:cs="Times New Roman"/>
          <w:color w:val="auto"/>
          <w:kern w:val="0"/>
          <w:sz w:val="24"/>
          <w:szCs w:val="24"/>
          <w:highlight w:val="none"/>
        </w:rPr>
      </w:pPr>
      <w:bookmarkStart w:id="718" w:name="_Toc27683"/>
      <w:r>
        <w:rPr>
          <w:rFonts w:hint="eastAsia" w:ascii="宋体" w:hAnsi="宋体" w:eastAsia="宋体" w:cs="Times New Roman"/>
          <w:color w:val="auto"/>
          <w:kern w:val="0"/>
          <w:sz w:val="24"/>
          <w:szCs w:val="24"/>
          <w:highlight w:val="none"/>
        </w:rPr>
        <w:t>15.3 质量保证金</w:t>
      </w:r>
      <w:bookmarkEnd w:id="718"/>
    </w:p>
    <w:p w14:paraId="02CCBEC3">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关于是否扣留质量保证金的约定：</w:t>
      </w:r>
      <w:r>
        <w:rPr>
          <w:rFonts w:hint="eastAsia" w:ascii="宋体" w:hAnsi="宋体" w:eastAsia="宋体" w:cs="Times New Roman"/>
          <w:color w:val="auto"/>
          <w:kern w:val="0"/>
          <w:sz w:val="24"/>
          <w:szCs w:val="24"/>
          <w:highlight w:val="none"/>
          <w:u w:val="single"/>
        </w:rPr>
        <w:t xml:space="preserve">  扣留   </w:t>
      </w:r>
      <w:r>
        <w:rPr>
          <w:rFonts w:hint="eastAsia" w:ascii="宋体" w:hAnsi="宋体" w:eastAsia="宋体" w:cs="Times New Roman"/>
          <w:color w:val="auto"/>
          <w:kern w:val="0"/>
          <w:sz w:val="24"/>
          <w:szCs w:val="24"/>
          <w:highlight w:val="none"/>
        </w:rPr>
        <w:t>。在工程项目竣工前，承包人按专用合同条款第3.7条提供履约担保的，发包人不得同时预留工程质量保证金。</w:t>
      </w:r>
    </w:p>
    <w:p w14:paraId="7376AB4A">
      <w:pPr>
        <w:pageBreakBefore w:val="0"/>
        <w:kinsoku/>
        <w:wordWrap/>
        <w:overflowPunct/>
        <w:topLinePunct w:val="0"/>
        <w:autoSpaceDE/>
        <w:autoSpaceDN/>
        <w:bidi w:val="0"/>
        <w:adjustRightInd w:val="0"/>
        <w:snapToGrid w:val="0"/>
        <w:spacing w:line="360" w:lineRule="auto"/>
        <w:ind w:left="0" w:firstLine="420"/>
        <w:jc w:val="left"/>
        <w:textAlignment w:val="auto"/>
        <w:outlineLvl w:val="0"/>
        <w:rPr>
          <w:rFonts w:hint="eastAsia" w:ascii="宋体" w:hAnsi="宋体" w:eastAsia="宋体" w:cs="Times New Roman"/>
          <w:color w:val="auto"/>
          <w:kern w:val="0"/>
          <w:sz w:val="24"/>
          <w:szCs w:val="24"/>
          <w:highlight w:val="none"/>
        </w:rPr>
      </w:pPr>
      <w:bookmarkStart w:id="719" w:name="_Toc8790"/>
      <w:r>
        <w:rPr>
          <w:rFonts w:hint="eastAsia" w:ascii="宋体" w:hAnsi="宋体" w:eastAsia="宋体" w:cs="Times New Roman"/>
          <w:color w:val="auto"/>
          <w:kern w:val="0"/>
          <w:sz w:val="24"/>
          <w:szCs w:val="24"/>
          <w:highlight w:val="none"/>
        </w:rPr>
        <w:t>15.3.1 承包人提供质量保证金的方式</w:t>
      </w:r>
      <w:bookmarkEnd w:id="719"/>
    </w:p>
    <w:p w14:paraId="7B0A9D5A">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质量保证金采用以下第</w:t>
      </w:r>
      <w:r>
        <w:rPr>
          <w:rFonts w:hint="eastAsia" w:ascii="宋体" w:hAnsi="宋体" w:eastAsia="宋体" w:cs="Times New Roman"/>
          <w:color w:val="auto"/>
          <w:kern w:val="0"/>
          <w:sz w:val="24"/>
          <w:szCs w:val="24"/>
          <w:highlight w:val="none"/>
          <w:u w:val="single"/>
        </w:rPr>
        <w:t xml:space="preserve"> 2</w:t>
      </w:r>
      <w:r>
        <w:rPr>
          <w:rFonts w:hint="eastAsia" w:ascii="宋体" w:hAnsi="宋体" w:eastAsia="宋体" w:cs="Times New Roman"/>
          <w:color w:val="auto"/>
          <w:kern w:val="0"/>
          <w:sz w:val="24"/>
          <w:szCs w:val="24"/>
          <w:highlight w:val="none"/>
        </w:rPr>
        <w:t>种方式：</w:t>
      </w:r>
    </w:p>
    <w:p w14:paraId="63DCAB54">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（1）质量保证金保函，保证金额为：</w:t>
      </w:r>
      <w:r>
        <w:rPr>
          <w:rFonts w:hint="eastAsia" w:ascii="宋体" w:hAnsi="宋体" w:eastAsia="宋体" w:cs="Times New Roman"/>
          <w:color w:val="auto"/>
          <w:kern w:val="0"/>
          <w:sz w:val="24"/>
          <w:szCs w:val="24"/>
          <w:highlight w:val="none"/>
          <w:u w:val="single"/>
        </w:rPr>
        <w:t>/</w:t>
      </w:r>
      <w:r>
        <w:rPr>
          <w:rFonts w:hint="eastAsia" w:ascii="宋体" w:hAnsi="宋体" w:eastAsia="宋体" w:cs="Times New Roman"/>
          <w:color w:val="auto"/>
          <w:kern w:val="0"/>
          <w:sz w:val="24"/>
          <w:szCs w:val="24"/>
          <w:highlight w:val="none"/>
        </w:rPr>
        <w:t xml:space="preserve">； </w:t>
      </w:r>
    </w:p>
    <w:p w14:paraId="723D73C9">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（2）</w:t>
      </w:r>
      <w:r>
        <w:rPr>
          <w:rFonts w:hint="eastAsia" w:ascii="宋体" w:hAnsi="宋体" w:eastAsia="宋体" w:cs="Times New Roman"/>
          <w:color w:val="auto"/>
          <w:kern w:val="0"/>
          <w:sz w:val="24"/>
          <w:szCs w:val="24"/>
          <w:highlight w:val="none"/>
          <w:u w:val="single"/>
        </w:rPr>
        <w:t xml:space="preserve"> 3 </w:t>
      </w:r>
      <w:r>
        <w:rPr>
          <w:rFonts w:hint="eastAsia" w:ascii="宋体" w:hAnsi="宋体" w:eastAsia="宋体" w:cs="Times New Roman"/>
          <w:color w:val="auto"/>
          <w:kern w:val="0"/>
          <w:sz w:val="24"/>
          <w:szCs w:val="24"/>
          <w:highlight w:val="none"/>
        </w:rPr>
        <w:t>%的工程款；</w:t>
      </w:r>
    </w:p>
    <w:p w14:paraId="6F6F3B1F">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（3）其他方式:</w:t>
      </w:r>
      <w:r>
        <w:rPr>
          <w:rFonts w:hint="eastAsia" w:ascii="宋体" w:hAnsi="宋体" w:eastAsia="宋体" w:cs="Times New Roman"/>
          <w:color w:val="auto"/>
          <w:kern w:val="0"/>
          <w:sz w:val="24"/>
          <w:szCs w:val="24"/>
          <w:highlight w:val="none"/>
          <w:u w:val="single"/>
        </w:rPr>
        <w:t>/</w:t>
      </w:r>
      <w:r>
        <w:rPr>
          <w:rFonts w:hint="eastAsia" w:ascii="宋体" w:hAnsi="宋体" w:eastAsia="宋体" w:cs="Times New Roman"/>
          <w:color w:val="auto"/>
          <w:kern w:val="0"/>
          <w:sz w:val="24"/>
          <w:szCs w:val="24"/>
          <w:highlight w:val="none"/>
        </w:rPr>
        <w:t>。</w:t>
      </w:r>
    </w:p>
    <w:p w14:paraId="18B04BF2">
      <w:pPr>
        <w:pageBreakBefore w:val="0"/>
        <w:kinsoku/>
        <w:wordWrap/>
        <w:overflowPunct/>
        <w:topLinePunct w:val="0"/>
        <w:autoSpaceDE/>
        <w:autoSpaceDN/>
        <w:bidi w:val="0"/>
        <w:adjustRightInd w:val="0"/>
        <w:snapToGrid w:val="0"/>
        <w:spacing w:line="360" w:lineRule="auto"/>
        <w:ind w:left="0" w:firstLine="420"/>
        <w:jc w:val="left"/>
        <w:textAlignment w:val="auto"/>
        <w:outlineLvl w:val="0"/>
        <w:rPr>
          <w:rFonts w:hint="eastAsia" w:ascii="宋体" w:hAnsi="宋体" w:eastAsia="宋体" w:cs="Times New Roman"/>
          <w:color w:val="auto"/>
          <w:kern w:val="0"/>
          <w:sz w:val="24"/>
          <w:szCs w:val="24"/>
          <w:highlight w:val="none"/>
        </w:rPr>
      </w:pPr>
      <w:bookmarkStart w:id="720" w:name="_Toc14219"/>
      <w:r>
        <w:rPr>
          <w:rFonts w:hint="eastAsia" w:ascii="宋体" w:hAnsi="宋体" w:eastAsia="宋体" w:cs="Times New Roman"/>
          <w:color w:val="auto"/>
          <w:kern w:val="0"/>
          <w:sz w:val="24"/>
          <w:szCs w:val="24"/>
          <w:highlight w:val="none"/>
        </w:rPr>
        <w:t>15.3.2 质量保证金的扣留</w:t>
      </w:r>
      <w:bookmarkEnd w:id="720"/>
      <w:r>
        <w:rPr>
          <w:rFonts w:hint="eastAsia" w:ascii="宋体" w:hAnsi="宋体" w:eastAsia="宋体" w:cs="Times New Roman"/>
          <w:color w:val="auto"/>
          <w:kern w:val="0"/>
          <w:sz w:val="24"/>
          <w:szCs w:val="24"/>
          <w:highlight w:val="none"/>
        </w:rPr>
        <w:t xml:space="preserve"> </w:t>
      </w:r>
    </w:p>
    <w:p w14:paraId="6E5FE699">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质量保证金的扣留采取以下第</w:t>
      </w:r>
      <w:r>
        <w:rPr>
          <w:rFonts w:hint="eastAsia" w:ascii="宋体" w:hAnsi="宋体" w:eastAsia="宋体" w:cs="Times New Roman"/>
          <w:color w:val="auto"/>
          <w:kern w:val="0"/>
          <w:sz w:val="24"/>
          <w:szCs w:val="24"/>
          <w:highlight w:val="none"/>
          <w:u w:val="single"/>
        </w:rPr>
        <w:t>2</w:t>
      </w:r>
      <w:r>
        <w:rPr>
          <w:rFonts w:hint="eastAsia" w:ascii="宋体" w:hAnsi="宋体" w:eastAsia="宋体" w:cs="Times New Roman"/>
          <w:color w:val="auto"/>
          <w:kern w:val="0"/>
          <w:sz w:val="24"/>
          <w:szCs w:val="24"/>
          <w:highlight w:val="none"/>
        </w:rPr>
        <w:t>种方式：</w:t>
      </w:r>
    </w:p>
    <w:p w14:paraId="6922CF17">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（1）在支付工程进度款时逐次扣留，在此情形下，质量保证金的计算基数不包括预付款的支付、扣回以及价格调整的金额；</w:t>
      </w:r>
    </w:p>
    <w:p w14:paraId="45AF58F4">
      <w:pPr>
        <w:pageBreakBefore w:val="0"/>
        <w:kinsoku/>
        <w:wordWrap/>
        <w:overflowPunct/>
        <w:topLinePunct w:val="0"/>
        <w:autoSpaceDE/>
        <w:autoSpaceDN/>
        <w:bidi w:val="0"/>
        <w:adjustRightInd w:val="0"/>
        <w:snapToGrid w:val="0"/>
        <w:spacing w:line="360" w:lineRule="auto"/>
        <w:ind w:left="0" w:firstLine="420"/>
        <w:jc w:val="left"/>
        <w:textAlignment w:val="auto"/>
        <w:outlineLvl w:val="0"/>
        <w:rPr>
          <w:rFonts w:hint="eastAsia" w:ascii="宋体" w:hAnsi="宋体" w:eastAsia="宋体" w:cs="Times New Roman"/>
          <w:color w:val="auto"/>
          <w:kern w:val="0"/>
          <w:sz w:val="24"/>
          <w:szCs w:val="24"/>
          <w:highlight w:val="none"/>
        </w:rPr>
      </w:pPr>
      <w:bookmarkStart w:id="721" w:name="_Toc27572"/>
      <w:r>
        <w:rPr>
          <w:rFonts w:hint="eastAsia" w:ascii="宋体" w:hAnsi="宋体" w:eastAsia="宋体" w:cs="Times New Roman"/>
          <w:color w:val="auto"/>
          <w:kern w:val="0"/>
          <w:sz w:val="24"/>
          <w:szCs w:val="24"/>
          <w:highlight w:val="none"/>
        </w:rPr>
        <w:t>（2）退回履约保证金后，在工程竣工结算时一次性扣留质量保证金；</w:t>
      </w:r>
      <w:bookmarkEnd w:id="721"/>
    </w:p>
    <w:p w14:paraId="0D553DD3">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（3）其他扣留方式</w:t>
      </w:r>
      <w:r>
        <w:rPr>
          <w:rFonts w:hint="eastAsia" w:ascii="宋体" w:hAnsi="宋体" w:eastAsia="宋体" w:cs="Times New Roman"/>
          <w:color w:val="auto"/>
          <w:kern w:val="0"/>
          <w:sz w:val="24"/>
          <w:szCs w:val="24"/>
          <w:highlight w:val="none"/>
          <w:lang w:eastAsia="zh-CN"/>
        </w:rPr>
        <w:t>：</w:t>
      </w:r>
      <w:r>
        <w:rPr>
          <w:rFonts w:hint="eastAsia" w:ascii="宋体" w:hAnsi="宋体" w:eastAsia="宋体" w:cs="Times New Roman"/>
          <w:color w:val="auto"/>
          <w:kern w:val="0"/>
          <w:sz w:val="24"/>
          <w:szCs w:val="24"/>
          <w:highlight w:val="none"/>
          <w:u w:val="single"/>
        </w:rPr>
        <w:t xml:space="preserve"> / </w:t>
      </w:r>
      <w:r>
        <w:rPr>
          <w:rFonts w:hint="eastAsia" w:ascii="宋体" w:hAnsi="宋体" w:eastAsia="宋体" w:cs="Times New Roman"/>
          <w:color w:val="auto"/>
          <w:kern w:val="0"/>
          <w:sz w:val="24"/>
          <w:szCs w:val="24"/>
          <w:highlight w:val="none"/>
        </w:rPr>
        <w:t>。</w:t>
      </w:r>
    </w:p>
    <w:p w14:paraId="45C92DE1">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关于质量保证金的补充约定：</w:t>
      </w:r>
      <w:r>
        <w:rPr>
          <w:rFonts w:hint="eastAsia" w:ascii="宋体" w:hAnsi="宋体" w:eastAsia="宋体" w:cs="Times New Roman"/>
          <w:color w:val="auto"/>
          <w:kern w:val="0"/>
          <w:sz w:val="24"/>
          <w:szCs w:val="24"/>
          <w:highlight w:val="none"/>
          <w:u w:val="single"/>
        </w:rPr>
        <w:t>/</w:t>
      </w:r>
      <w:r>
        <w:rPr>
          <w:rFonts w:hint="eastAsia" w:ascii="宋体" w:hAnsi="宋体" w:eastAsia="宋体" w:cs="Times New Roman"/>
          <w:color w:val="auto"/>
          <w:kern w:val="0"/>
          <w:sz w:val="24"/>
          <w:szCs w:val="24"/>
          <w:highlight w:val="none"/>
        </w:rPr>
        <w:t>。</w:t>
      </w:r>
    </w:p>
    <w:p w14:paraId="53A1C3B2">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15.4保修</w:t>
      </w:r>
    </w:p>
    <w:p w14:paraId="0576883F">
      <w:pPr>
        <w:pageBreakBefore w:val="0"/>
        <w:kinsoku/>
        <w:wordWrap/>
        <w:overflowPunct/>
        <w:topLinePunct w:val="0"/>
        <w:autoSpaceDE/>
        <w:autoSpaceDN/>
        <w:bidi w:val="0"/>
        <w:adjustRightInd w:val="0"/>
        <w:snapToGrid w:val="0"/>
        <w:spacing w:line="360" w:lineRule="auto"/>
        <w:ind w:left="0" w:firstLine="409"/>
        <w:jc w:val="left"/>
        <w:textAlignment w:val="auto"/>
        <w:rPr>
          <w:rFonts w:hint="eastAsia"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15.4.1 保修责任</w:t>
      </w:r>
    </w:p>
    <w:p w14:paraId="675209F9">
      <w:pPr>
        <w:pageBreakBefore w:val="0"/>
        <w:kinsoku/>
        <w:wordWrap/>
        <w:overflowPunct/>
        <w:topLinePunct w:val="0"/>
        <w:autoSpaceDE/>
        <w:autoSpaceDN/>
        <w:bidi w:val="0"/>
        <w:adjustRightInd w:val="0"/>
        <w:snapToGrid w:val="0"/>
        <w:spacing w:line="360" w:lineRule="auto"/>
        <w:ind w:left="0" w:firstLine="409"/>
        <w:jc w:val="left"/>
        <w:textAlignment w:val="auto"/>
        <w:rPr>
          <w:rFonts w:hint="eastAsia" w:ascii="宋体" w:hAnsi="宋体" w:eastAsia="宋体" w:cs="Times New Roman"/>
          <w:color w:val="auto"/>
          <w:kern w:val="0"/>
          <w:sz w:val="24"/>
          <w:szCs w:val="24"/>
          <w:highlight w:val="none"/>
          <w:u w:val="single"/>
        </w:rPr>
      </w:pPr>
      <w:r>
        <w:rPr>
          <w:rFonts w:hint="eastAsia" w:ascii="宋体" w:hAnsi="宋体" w:eastAsia="宋体" w:cs="Times New Roman"/>
          <w:color w:val="auto"/>
          <w:kern w:val="0"/>
          <w:sz w:val="24"/>
          <w:szCs w:val="24"/>
          <w:highlight w:val="none"/>
        </w:rPr>
        <w:t>工程保修期为：</w:t>
      </w:r>
      <w:r>
        <w:rPr>
          <w:rFonts w:hint="eastAsia" w:ascii="宋体" w:hAnsi="宋体" w:eastAsia="宋体" w:cs="Times New Roman"/>
          <w:color w:val="auto"/>
          <w:kern w:val="0"/>
          <w:sz w:val="24"/>
          <w:szCs w:val="24"/>
          <w:highlight w:val="none"/>
          <w:u w:val="single"/>
        </w:rPr>
        <w:t>详见质量保修协议。</w:t>
      </w:r>
    </w:p>
    <w:p w14:paraId="22FA5D73">
      <w:pPr>
        <w:pageBreakBefore w:val="0"/>
        <w:kinsoku/>
        <w:wordWrap/>
        <w:overflowPunct/>
        <w:topLinePunct w:val="0"/>
        <w:autoSpaceDE/>
        <w:autoSpaceDN/>
        <w:bidi w:val="0"/>
        <w:adjustRightInd w:val="0"/>
        <w:snapToGrid w:val="0"/>
        <w:spacing w:line="360" w:lineRule="auto"/>
        <w:ind w:left="0" w:firstLine="409"/>
        <w:jc w:val="left"/>
        <w:textAlignment w:val="auto"/>
        <w:rPr>
          <w:rFonts w:hint="eastAsia"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15.4.3 修复通知</w:t>
      </w:r>
    </w:p>
    <w:p w14:paraId="5278DD4E">
      <w:pPr>
        <w:keepNext/>
        <w:keepLines/>
        <w:pageBreakBefore w:val="0"/>
        <w:widowControl w:val="0"/>
        <w:spacing w:before="0" w:after="0" w:line="360" w:lineRule="auto"/>
        <w:ind w:left="0" w:firstLine="420" w:firstLineChars="200"/>
        <w:jc w:val="both"/>
        <w:outlineLvl w:val="3"/>
        <w:rPr>
          <w:rFonts w:hint="eastAsia" w:ascii="宋体" w:hAnsi="宋体" w:eastAsia="宋体" w:cs="宋体"/>
          <w:color w:val="auto"/>
          <w:kern w:val="2"/>
          <w:sz w:val="21"/>
          <w:szCs w:val="21"/>
          <w:highlight w:val="none"/>
          <w:u w:val="single"/>
        </w:rPr>
      </w:pPr>
      <w:r>
        <w:rPr>
          <w:rFonts w:hint="eastAsia" w:ascii="宋体" w:hAnsi="宋体" w:eastAsia="宋体" w:cs="Times New Roman"/>
          <w:color w:val="auto"/>
          <w:kern w:val="0"/>
          <w:sz w:val="21"/>
          <w:szCs w:val="21"/>
          <w:highlight w:val="none"/>
        </w:rPr>
        <w:t>承包人收到保修通知并到达工程现场的合理时间：</w:t>
      </w:r>
      <w:r>
        <w:rPr>
          <w:rFonts w:hint="eastAsia" w:ascii="宋体" w:hAnsi="宋体" w:eastAsia="宋体" w:cs="Times New Roman"/>
          <w:color w:val="auto"/>
          <w:kern w:val="0"/>
          <w:sz w:val="21"/>
          <w:szCs w:val="21"/>
          <w:highlight w:val="none"/>
          <w:u w:val="single"/>
        </w:rPr>
        <w:t>详见质量保修协议。</w:t>
      </w:r>
    </w:p>
    <w:p w14:paraId="4549E195">
      <w:pPr>
        <w:pStyle w:val="7"/>
        <w:pageBreakBefore w:val="0"/>
        <w:kinsoku/>
        <w:wordWrap/>
        <w:overflowPunct/>
        <w:topLinePunct w:val="0"/>
        <w:autoSpaceDE/>
        <w:autoSpaceDN/>
        <w:bidi w:val="0"/>
        <w:adjustRightInd w:val="0"/>
        <w:snapToGrid w:val="0"/>
        <w:spacing w:before="0" w:after="0" w:line="360" w:lineRule="auto"/>
        <w:ind w:left="0"/>
        <w:textAlignment w:val="auto"/>
        <w:rPr>
          <w:rFonts w:hint="eastAsia" w:ascii="宋体" w:hAnsi="宋体"/>
          <w:color w:val="auto"/>
          <w:sz w:val="24"/>
          <w:szCs w:val="24"/>
          <w:highlight w:val="none"/>
        </w:rPr>
      </w:pPr>
      <w:r>
        <w:rPr>
          <w:rFonts w:hint="eastAsia" w:ascii="宋体" w:hAnsi="宋体"/>
          <w:color w:val="auto"/>
          <w:sz w:val="24"/>
          <w:szCs w:val="24"/>
          <w:highlight w:val="none"/>
        </w:rPr>
        <w:t>16. 违约</w:t>
      </w:r>
      <w:bookmarkEnd w:id="715"/>
    </w:p>
    <w:p w14:paraId="46CA6D80">
      <w:pPr>
        <w:pageBreakBefore w:val="0"/>
        <w:kinsoku/>
        <w:wordWrap/>
        <w:overflowPunct/>
        <w:topLinePunct w:val="0"/>
        <w:autoSpaceDE/>
        <w:autoSpaceDN/>
        <w:bidi w:val="0"/>
        <w:adjustRightInd w:val="0"/>
        <w:snapToGrid w:val="0"/>
        <w:spacing w:line="360" w:lineRule="auto"/>
        <w:ind w:left="0" w:firstLine="420"/>
        <w:textAlignment w:val="auto"/>
        <w:outlineLvl w:val="0"/>
        <w:rPr>
          <w:rFonts w:hint="eastAsia" w:ascii="宋体" w:hAnsi="宋体" w:eastAsia="宋体"/>
          <w:color w:val="auto"/>
          <w:sz w:val="24"/>
          <w:szCs w:val="24"/>
          <w:highlight w:val="none"/>
        </w:rPr>
      </w:pPr>
      <w:bookmarkStart w:id="722" w:name="_Toc25166"/>
      <w:r>
        <w:rPr>
          <w:rFonts w:hint="eastAsia" w:ascii="宋体" w:hAnsi="宋体" w:eastAsia="宋体"/>
          <w:color w:val="auto"/>
          <w:sz w:val="24"/>
          <w:szCs w:val="24"/>
          <w:highlight w:val="none"/>
        </w:rPr>
        <w:t>16.1 发包人违约</w:t>
      </w:r>
      <w:bookmarkEnd w:id="722"/>
    </w:p>
    <w:p w14:paraId="594FDD6C">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16.1.1发包人违约的情形</w:t>
      </w:r>
    </w:p>
    <w:p w14:paraId="6F2F21F4">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发包人违约的其他情形：</w:t>
      </w:r>
      <w:r>
        <w:rPr>
          <w:rFonts w:hint="eastAsia" w:ascii="宋体" w:hAnsi="宋体" w:eastAsia="宋体"/>
          <w:color w:val="auto"/>
          <w:sz w:val="24"/>
          <w:szCs w:val="24"/>
          <w:highlight w:val="none"/>
          <w:u w:val="single"/>
        </w:rPr>
        <w:t xml:space="preserve">  / </w:t>
      </w:r>
      <w:r>
        <w:rPr>
          <w:rFonts w:hint="eastAsia" w:ascii="宋体" w:hAnsi="宋体" w:eastAsia="宋体"/>
          <w:color w:val="auto"/>
          <w:sz w:val="24"/>
          <w:szCs w:val="24"/>
          <w:highlight w:val="none"/>
        </w:rPr>
        <w:t>。</w:t>
      </w:r>
    </w:p>
    <w:p w14:paraId="6C4BAA8B">
      <w:pPr>
        <w:pageBreakBefore w:val="0"/>
        <w:kinsoku/>
        <w:wordWrap/>
        <w:overflowPunct/>
        <w:topLinePunct w:val="0"/>
        <w:autoSpaceDE/>
        <w:autoSpaceDN/>
        <w:bidi w:val="0"/>
        <w:adjustRightInd w:val="0"/>
        <w:snapToGrid w:val="0"/>
        <w:spacing w:line="360" w:lineRule="auto"/>
        <w:ind w:left="0" w:hanging="105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 xml:space="preserve">    16.1.2 发包人违约的责任</w:t>
      </w:r>
    </w:p>
    <w:p w14:paraId="7B513BC3">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发包人违约责任的承担方式和计算方法：</w:t>
      </w:r>
    </w:p>
    <w:p w14:paraId="37737077">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rPr>
        <w:t>（1）因发包人原因未能在计划开工日期前7天内下达开工通知的违约责任：</w:t>
      </w:r>
      <w:r>
        <w:rPr>
          <w:rFonts w:hint="eastAsia" w:ascii="宋体" w:hAnsi="宋体" w:eastAsia="宋体"/>
          <w:color w:val="auto"/>
          <w:sz w:val="24"/>
          <w:szCs w:val="24"/>
          <w:highlight w:val="none"/>
          <w:u w:val="single"/>
        </w:rPr>
        <w:t>/</w:t>
      </w:r>
      <w:r>
        <w:rPr>
          <w:rFonts w:hint="eastAsia" w:ascii="宋体" w:hAnsi="宋体" w:eastAsia="宋体"/>
          <w:color w:val="auto"/>
          <w:sz w:val="24"/>
          <w:szCs w:val="24"/>
          <w:highlight w:val="none"/>
        </w:rPr>
        <w:t>。</w:t>
      </w:r>
    </w:p>
    <w:p w14:paraId="0B915A85">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（2）因发包人原因未能按合同约定支付合同价款的违约责任：</w:t>
      </w:r>
      <w:r>
        <w:rPr>
          <w:rFonts w:hint="eastAsia" w:ascii="宋体" w:hAnsi="宋体" w:eastAsia="宋体"/>
          <w:color w:val="auto"/>
          <w:sz w:val="24"/>
          <w:szCs w:val="24"/>
          <w:highlight w:val="none"/>
          <w:u w:val="single"/>
        </w:rPr>
        <w:t>/</w:t>
      </w:r>
      <w:r>
        <w:rPr>
          <w:rFonts w:hint="eastAsia" w:ascii="宋体" w:hAnsi="宋体" w:eastAsia="宋体"/>
          <w:color w:val="auto"/>
          <w:sz w:val="24"/>
          <w:szCs w:val="24"/>
          <w:highlight w:val="none"/>
        </w:rPr>
        <w:t>。</w:t>
      </w:r>
    </w:p>
    <w:p w14:paraId="62CC8BCB">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rPr>
        <w:t>（3）发包人违反第10.1款〔变更的范围〕第（2）项约定，自行实施被取消的工作或转由他人实施的违约责任：</w:t>
      </w:r>
      <w:r>
        <w:rPr>
          <w:rFonts w:hint="eastAsia" w:ascii="宋体" w:hAnsi="宋体" w:eastAsia="宋体"/>
          <w:color w:val="auto"/>
          <w:sz w:val="24"/>
          <w:szCs w:val="24"/>
          <w:highlight w:val="none"/>
          <w:u w:val="single"/>
        </w:rPr>
        <w:t>发包人有权根据实际情况增减部分工程量，承包人对此不提出索赔</w:t>
      </w:r>
      <w:r>
        <w:rPr>
          <w:rFonts w:hint="eastAsia" w:ascii="宋体" w:hAnsi="宋体" w:eastAsia="宋体"/>
          <w:color w:val="auto"/>
          <w:sz w:val="24"/>
          <w:szCs w:val="24"/>
          <w:highlight w:val="none"/>
        </w:rPr>
        <w:t>。</w:t>
      </w:r>
    </w:p>
    <w:p w14:paraId="72FA42CB">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（4）发包人提供的材料、工程设备的规格、数量或质量不符合合同约定，或因发包人原因导致交货日期延误或交货地点变更等情况的违约责任：</w:t>
      </w:r>
      <w:r>
        <w:rPr>
          <w:rFonts w:hint="eastAsia" w:ascii="宋体" w:hAnsi="宋体" w:eastAsia="宋体"/>
          <w:color w:val="auto"/>
          <w:sz w:val="24"/>
          <w:szCs w:val="24"/>
          <w:highlight w:val="none"/>
          <w:u w:val="single"/>
        </w:rPr>
        <w:t>/</w:t>
      </w:r>
      <w:r>
        <w:rPr>
          <w:rFonts w:hint="eastAsia" w:ascii="宋体" w:hAnsi="宋体" w:eastAsia="宋体"/>
          <w:color w:val="auto"/>
          <w:sz w:val="24"/>
          <w:szCs w:val="24"/>
          <w:highlight w:val="none"/>
        </w:rPr>
        <w:t>。</w:t>
      </w:r>
    </w:p>
    <w:p w14:paraId="288531DD">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（5）因发包人违反合同约定造成暂停施工的违约责任：</w:t>
      </w:r>
      <w:r>
        <w:rPr>
          <w:rFonts w:hint="eastAsia" w:ascii="宋体" w:hAnsi="宋体" w:eastAsia="宋体"/>
          <w:color w:val="auto"/>
          <w:sz w:val="24"/>
          <w:szCs w:val="24"/>
          <w:highlight w:val="none"/>
          <w:u w:val="single"/>
        </w:rPr>
        <w:t>/</w:t>
      </w:r>
      <w:r>
        <w:rPr>
          <w:rFonts w:hint="eastAsia" w:ascii="宋体" w:hAnsi="宋体" w:eastAsia="宋体"/>
          <w:color w:val="auto"/>
          <w:sz w:val="24"/>
          <w:szCs w:val="24"/>
          <w:highlight w:val="none"/>
        </w:rPr>
        <w:t>。</w:t>
      </w:r>
    </w:p>
    <w:p w14:paraId="1C549069">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（6）发包人无正当理由没有在约定期限内发出复工指示，导致承包人无法复工的违约责任：</w:t>
      </w:r>
      <w:r>
        <w:rPr>
          <w:rFonts w:hint="eastAsia" w:ascii="宋体" w:hAnsi="宋体" w:eastAsia="宋体"/>
          <w:color w:val="auto"/>
          <w:sz w:val="24"/>
          <w:szCs w:val="24"/>
          <w:highlight w:val="none"/>
          <w:u w:val="single"/>
        </w:rPr>
        <w:t>/</w:t>
      </w:r>
      <w:r>
        <w:rPr>
          <w:rFonts w:hint="eastAsia" w:ascii="宋体" w:hAnsi="宋体" w:eastAsia="宋体"/>
          <w:color w:val="auto"/>
          <w:sz w:val="24"/>
          <w:szCs w:val="24"/>
          <w:highlight w:val="none"/>
        </w:rPr>
        <w:t>。</w:t>
      </w:r>
    </w:p>
    <w:p w14:paraId="5DC1089B">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（7）其他：</w:t>
      </w:r>
      <w:r>
        <w:rPr>
          <w:rFonts w:hint="eastAsia" w:ascii="宋体" w:hAnsi="宋体" w:eastAsia="宋体"/>
          <w:color w:val="auto"/>
          <w:sz w:val="24"/>
          <w:szCs w:val="24"/>
          <w:highlight w:val="none"/>
          <w:u w:val="single"/>
        </w:rPr>
        <w:t>/</w:t>
      </w:r>
      <w:r>
        <w:rPr>
          <w:rFonts w:hint="eastAsia" w:ascii="宋体" w:hAnsi="宋体" w:eastAsia="宋体"/>
          <w:color w:val="auto"/>
          <w:sz w:val="24"/>
          <w:szCs w:val="24"/>
          <w:highlight w:val="none"/>
        </w:rPr>
        <w:t>。</w:t>
      </w:r>
    </w:p>
    <w:p w14:paraId="712A96BC">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16.1.3 因发包人违约解除合同</w:t>
      </w:r>
    </w:p>
    <w:p w14:paraId="4FC1F469">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承包人按16.1.1项〔发包人违约的情形〕约定暂停施工满</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天后发包人仍不纠正其违约行为并致使合同目的不能实现的，承包人有权解除合同。</w:t>
      </w:r>
    </w:p>
    <w:p w14:paraId="04E3C68C">
      <w:pPr>
        <w:pageBreakBefore w:val="0"/>
        <w:kinsoku/>
        <w:wordWrap/>
        <w:overflowPunct/>
        <w:topLinePunct w:val="0"/>
        <w:autoSpaceDE/>
        <w:autoSpaceDN/>
        <w:bidi w:val="0"/>
        <w:adjustRightInd w:val="0"/>
        <w:snapToGrid w:val="0"/>
        <w:spacing w:line="360" w:lineRule="auto"/>
        <w:ind w:left="0" w:firstLine="420"/>
        <w:textAlignment w:val="auto"/>
        <w:outlineLvl w:val="0"/>
        <w:rPr>
          <w:rFonts w:hint="eastAsia" w:ascii="宋体" w:hAnsi="宋体" w:eastAsia="宋体"/>
          <w:color w:val="auto"/>
          <w:sz w:val="24"/>
          <w:szCs w:val="24"/>
          <w:highlight w:val="none"/>
        </w:rPr>
      </w:pPr>
      <w:bookmarkStart w:id="723" w:name="_Toc14831"/>
      <w:r>
        <w:rPr>
          <w:rFonts w:hint="eastAsia" w:ascii="宋体" w:hAnsi="宋体" w:eastAsia="宋体"/>
          <w:color w:val="auto"/>
          <w:sz w:val="24"/>
          <w:szCs w:val="24"/>
          <w:highlight w:val="none"/>
        </w:rPr>
        <w:t>16.2 承包人违约</w:t>
      </w:r>
      <w:bookmarkEnd w:id="723"/>
    </w:p>
    <w:p w14:paraId="6F30C2E7">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16.2.1 承包人违约的情形</w:t>
      </w:r>
    </w:p>
    <w:p w14:paraId="57F9A084">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承包人违约的其他情形：</w:t>
      </w:r>
      <w:r>
        <w:rPr>
          <w:rFonts w:hint="eastAsia" w:ascii="宋体" w:hAnsi="宋体" w:eastAsia="宋体"/>
          <w:color w:val="auto"/>
          <w:sz w:val="24"/>
          <w:szCs w:val="24"/>
          <w:highlight w:val="none"/>
          <w:u w:val="single"/>
        </w:rPr>
        <w:t>按本合同16.2.2条及其它条款的约定。</w:t>
      </w:r>
    </w:p>
    <w:p w14:paraId="17217144">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16.2.2承包人违约的责任</w:t>
      </w:r>
    </w:p>
    <w:p w14:paraId="07A4C6AC">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承包人违约责任的承担方式和计算方法：</w:t>
      </w:r>
    </w:p>
    <w:p w14:paraId="128F31A6">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u w:val="single"/>
        </w:rPr>
        <w:t>1. 承包人明确表示或者以其行为表明不履行合同主要义务的违约责任：工程施工期间，承包人未按工程师确认的进度计划施工且在工程师通知要求的期限内整改赶不上进度计划的，或因承包人原因造成暂停施工7天以上不能复工的，或经工程师通知复工而承包人拒绝复工达7天以上的，或承包人擅自停工5天以上的，以及本合同约定承包人行为表明不履行合同的其他情形，发包人均有权认为承包人的行为已不能实现合同目的而解除合同，有权没收全部的履约保证金，承包人已完成的工程量价款不予结算和支付，且发包人有权另行落实施工单位继续施工，而无需对承包人已完成的工程量进行固定，承包人自行撤场。</w:t>
      </w:r>
    </w:p>
    <w:p w14:paraId="04965FB4">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u w:val="single"/>
        </w:rPr>
        <w:t>2.合同约定的工程施工管理和工程结算审核、工程交付使用中的扣罚款应由双方当场及时履行，承包人不履行的发包人有权要求停止施工或在履约保证金中或在支付工程款时按扣罚额的双倍扣除。</w:t>
      </w:r>
    </w:p>
    <w:p w14:paraId="5ED53D6C">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u w:val="single"/>
        </w:rPr>
        <w:t>3. 承包人违反合同约定进行转包或违法分包的违约责任：本工程严禁转包和违法分包。如发现转包或违法分包的，发包人有权取消承包人承包资格、解除合同且要求承包人清场，已完成的工程量不予结算支付或要求返还已支付的款项，因此给发包人造成的一切损失由承包人承担。</w:t>
      </w:r>
    </w:p>
    <w:p w14:paraId="29431616">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u w:val="single"/>
        </w:rPr>
        <w:t>4. 承包人违反合同约定采购和使用不合格的材料与工程设备的违约责任：本工程严禁使用不合格或不符合设计要求的材料，一经发现，限期退场，不按要求退场的，造成的损失由承包人负责，工期不予顺延；如购进的材料设备与提供的样品不一致时，由承包人无条件退货，造成的损失由承包人负责，工期不予顺延。</w:t>
      </w:r>
    </w:p>
    <w:p w14:paraId="67A1B4E2">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u w:val="single"/>
        </w:rPr>
        <w:t>5. 因承包人原因导致工程质量不符合合同要求的违约责任：未能一次性验收认定工程质量达到施工合同约定的质量要求标准的，由承包人无偿返工直至达到质量标准为止，因此影响工期的同时承担工期违约责任。施工期间每发生一起严重质量事故，视情况由承包人承担1-3万元的违约金，每发生一起重大质量事故，承包人除接受政府相关部门的处罚外，还应向发包人承担10万元的违约金。同时，承包人应无条件返工至合格并采取措施清除不良影响。</w:t>
      </w:r>
    </w:p>
    <w:p w14:paraId="52A8805B">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u w:val="single"/>
        </w:rPr>
        <w:t>6. 承包人违反第8.9款[材料与设备专用于工程]的约定，未经批准，私自将已按照合同约定进入施工现场的材料或设备撤离施工现场的违约责任：由承包人重新运回或采购并承担所有损失，工期不予顺延，同时按壹万元/次罚款。</w:t>
      </w:r>
    </w:p>
    <w:p w14:paraId="5CC5EE43">
      <w:pPr>
        <w:pageBreakBefore w:val="0"/>
        <w:widowControl/>
        <w:kinsoku/>
        <w:wordWrap/>
        <w:overflowPunct/>
        <w:topLinePunct w:val="0"/>
        <w:autoSpaceDE/>
        <w:autoSpaceDN/>
        <w:bidi w:val="0"/>
        <w:adjustRightInd w:val="0"/>
        <w:snapToGrid w:val="0"/>
        <w:spacing w:line="360" w:lineRule="auto"/>
        <w:ind w:left="0" w:firstLine="411"/>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u w:val="single"/>
        </w:rPr>
        <w:t>7.承包人未能按施工进度计划及时完成合同约定的工作，造成工期延误的违约责任：按7.5条约定 。</w:t>
      </w:r>
    </w:p>
    <w:p w14:paraId="727E9A81">
      <w:pPr>
        <w:pageBreakBefore w:val="0"/>
        <w:widowControl/>
        <w:kinsoku/>
        <w:wordWrap/>
        <w:overflowPunct/>
        <w:topLinePunct w:val="0"/>
        <w:autoSpaceDE/>
        <w:autoSpaceDN/>
        <w:bidi w:val="0"/>
        <w:adjustRightInd w:val="0"/>
        <w:snapToGrid w:val="0"/>
        <w:spacing w:line="360" w:lineRule="auto"/>
        <w:ind w:left="0" w:firstLine="411"/>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u w:val="single"/>
        </w:rPr>
        <w:t>8.承包人在缺陷责任期及保修期内，未能在合理期限对工程缺陷进行修复，或拒绝按发包人要求进行修复的违约责任：发包人两次通知未到场处置或维修，由发包人另行派人维修，按发生维修费用的三倍从保修金中扣除。</w:t>
      </w:r>
    </w:p>
    <w:p w14:paraId="5021CC9F">
      <w:pPr>
        <w:pageBreakBefore w:val="0"/>
        <w:widowControl/>
        <w:kinsoku/>
        <w:wordWrap/>
        <w:overflowPunct/>
        <w:topLinePunct w:val="0"/>
        <w:autoSpaceDE/>
        <w:autoSpaceDN/>
        <w:bidi w:val="0"/>
        <w:adjustRightInd w:val="0"/>
        <w:snapToGrid w:val="0"/>
        <w:spacing w:line="360" w:lineRule="auto"/>
        <w:ind w:left="0" w:firstLine="411"/>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u w:val="single"/>
        </w:rPr>
        <w:t>9.承包人未能按照合同约定履行其他义务的违约责任：</w:t>
      </w:r>
    </w:p>
    <w:p w14:paraId="66E65AB8">
      <w:pPr>
        <w:pageBreakBefore w:val="0"/>
        <w:widowControl/>
        <w:kinsoku/>
        <w:wordWrap/>
        <w:overflowPunct/>
        <w:topLinePunct w:val="0"/>
        <w:autoSpaceDE/>
        <w:autoSpaceDN/>
        <w:bidi w:val="0"/>
        <w:adjustRightInd w:val="0"/>
        <w:snapToGrid w:val="0"/>
        <w:spacing w:line="360" w:lineRule="auto"/>
        <w:ind w:left="0" w:firstLine="411"/>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u w:val="single"/>
        </w:rPr>
        <w:t>①承包人应按时按规定自行组织发放农民工工资，承包人未按上述要求发放，造成农民工上访事件，发包人有权在应付工程款中先行垫付，因此造成发包人的利息等损失由承包人承担，并在支付工程款时扣除；承包人无应付工程款的，如发包人先行垫付的，承包人按同期银行贷款利率的四倍承担发包人的利息损失和其它所有损失。</w:t>
      </w:r>
    </w:p>
    <w:p w14:paraId="50256252">
      <w:pPr>
        <w:pageBreakBefore w:val="0"/>
        <w:widowControl/>
        <w:kinsoku/>
        <w:wordWrap/>
        <w:overflowPunct/>
        <w:topLinePunct w:val="0"/>
        <w:autoSpaceDE/>
        <w:autoSpaceDN/>
        <w:bidi w:val="0"/>
        <w:adjustRightInd w:val="0"/>
        <w:snapToGrid w:val="0"/>
        <w:spacing w:line="360" w:lineRule="auto"/>
        <w:ind w:left="0" w:firstLine="411"/>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u w:val="single"/>
        </w:rPr>
        <w:t>②承包人未按约定履行本合同义务，由此而造成发包人的其它损失（包括但不限于发包人为实现合同权利而支出的诉讼费、财产保全费、律师费，调查取证费用，执行费，公告费用等），均由承包人承担。</w:t>
      </w:r>
    </w:p>
    <w:p w14:paraId="6E7440FC">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u w:val="single"/>
        </w:rPr>
        <w:t>③承包人要做到减少噪音及环境污染，文明施工达标，如因承包人原因导致工地在市、区检查中被评为不合格工地的，按每有一起罚款4000元。</w:t>
      </w:r>
    </w:p>
    <w:p w14:paraId="554EF414">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u w:val="single"/>
        </w:rPr>
        <w:t>④承包人在施工过程中，如有以下情形，发包人可对承包人直接处以200～2000元的罚款：A：施工期间工程资料不能及时到位的；B：隐蔽部位不经验收通过就进行下一道工序的；C：不论以何种形式被发现偷工减料、以次充好的；D：不按施工图及设计规范的要求，擅自施工的；E：安全文明生产措施不到位。</w:t>
      </w:r>
    </w:p>
    <w:p w14:paraId="66E82F4D">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u w:val="single"/>
        </w:rPr>
        <w:t xml:space="preserve">⑤施工过程中，因承包人施工原因，而造成煤气、自来水管道、雨污分流管等受到破坏的，除承包人须按规定修复或承担相应修复费用外，发包人可对承包人处以2000元/次处罚，并承担一切责任。   </w:t>
      </w:r>
      <w:r>
        <w:rPr>
          <w:rFonts w:hint="eastAsia" w:ascii="宋体" w:hAnsi="宋体" w:eastAsia="宋体"/>
          <w:color w:val="auto"/>
          <w:sz w:val="24"/>
          <w:szCs w:val="24"/>
          <w:highlight w:val="none"/>
        </w:rPr>
        <w:t xml:space="preserve">    </w:t>
      </w:r>
    </w:p>
    <w:p w14:paraId="02F12401">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16.2.3 因承包人违约解除合同</w:t>
      </w:r>
    </w:p>
    <w:p w14:paraId="2FB335F5">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rPr>
        <w:t>关于承包人违约解除合同的特别约定：</w:t>
      </w:r>
      <w:r>
        <w:rPr>
          <w:rFonts w:hint="eastAsia" w:ascii="宋体" w:hAnsi="宋体" w:eastAsia="宋体"/>
          <w:color w:val="auto"/>
          <w:sz w:val="24"/>
          <w:szCs w:val="24"/>
          <w:highlight w:val="none"/>
          <w:u w:val="single"/>
        </w:rPr>
        <w:t>任何一方依约依法解除合同后，承包人均应在解除合同之日起7日内清场完毕，承包人不及时清场的，按每天贰万元计算违约金，在发包人应支付给承包人已完工程量价款中直接扣除。因承包人的违约行为导致合同解除，承包人已完工程量根据监理工程师和发包人已签认的《已完工程量报表》确定并按其70%计价结算，承包人放弃任何损失赔偿。其它条款对合同解除有特别约定的，从其特别约定。</w:t>
      </w:r>
    </w:p>
    <w:p w14:paraId="2D500CE3">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发包人继续使用承包人在施工现场的材料、设备、临时工程、承包人文件和由承包人或以其名义编制的其他文件的费用承担方式：</w:t>
      </w:r>
      <w:r>
        <w:rPr>
          <w:rFonts w:hint="eastAsia" w:ascii="宋体" w:hAnsi="宋体" w:eastAsia="宋体"/>
          <w:color w:val="auto"/>
          <w:sz w:val="24"/>
          <w:szCs w:val="24"/>
          <w:highlight w:val="none"/>
          <w:u w:val="single"/>
        </w:rPr>
        <w:t>不计费用</w:t>
      </w:r>
      <w:r>
        <w:rPr>
          <w:rFonts w:hint="eastAsia" w:ascii="宋体" w:hAnsi="宋体" w:eastAsia="宋体"/>
          <w:color w:val="auto"/>
          <w:sz w:val="24"/>
          <w:szCs w:val="24"/>
          <w:highlight w:val="none"/>
        </w:rPr>
        <w:t>。</w:t>
      </w:r>
    </w:p>
    <w:p w14:paraId="581C59B0">
      <w:pPr>
        <w:pStyle w:val="7"/>
        <w:pageBreakBefore w:val="0"/>
        <w:kinsoku/>
        <w:wordWrap/>
        <w:overflowPunct/>
        <w:topLinePunct w:val="0"/>
        <w:autoSpaceDE/>
        <w:autoSpaceDN/>
        <w:bidi w:val="0"/>
        <w:adjustRightInd w:val="0"/>
        <w:snapToGrid w:val="0"/>
        <w:spacing w:before="0" w:after="0" w:line="360" w:lineRule="auto"/>
        <w:ind w:left="0"/>
        <w:textAlignment w:val="auto"/>
        <w:rPr>
          <w:rFonts w:hint="eastAsia" w:ascii="宋体" w:hAnsi="宋体"/>
          <w:color w:val="auto"/>
          <w:sz w:val="24"/>
          <w:szCs w:val="24"/>
          <w:highlight w:val="none"/>
        </w:rPr>
      </w:pPr>
      <w:bookmarkStart w:id="724" w:name="_Toc351203649"/>
      <w:r>
        <w:rPr>
          <w:rFonts w:hint="eastAsia" w:ascii="宋体" w:hAnsi="宋体"/>
          <w:color w:val="auto"/>
          <w:sz w:val="24"/>
          <w:szCs w:val="24"/>
          <w:highlight w:val="none"/>
        </w:rPr>
        <w:t>17. 不可抗力</w:t>
      </w:r>
      <w:bookmarkEnd w:id="724"/>
      <w:r>
        <w:rPr>
          <w:rFonts w:hint="eastAsia" w:ascii="宋体" w:hAnsi="宋体"/>
          <w:color w:val="auto"/>
          <w:sz w:val="24"/>
          <w:szCs w:val="24"/>
          <w:highlight w:val="none"/>
        </w:rPr>
        <w:t xml:space="preserve"> </w:t>
      </w:r>
      <w:bookmarkEnd w:id="716"/>
    </w:p>
    <w:p w14:paraId="70AC9E4C">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17.1 不可抗力的确认</w:t>
      </w:r>
    </w:p>
    <w:p w14:paraId="4E229FAE">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rPr>
        <w:t>除通用合同条款约定的不可抗力事件之外，视为不可抗力的其他情形：</w:t>
      </w:r>
      <w:r>
        <w:rPr>
          <w:rFonts w:hint="eastAsia" w:ascii="宋体" w:hAnsi="宋体" w:eastAsia="宋体"/>
          <w:color w:val="auto"/>
          <w:sz w:val="24"/>
          <w:szCs w:val="24"/>
          <w:highlight w:val="none"/>
          <w:u w:val="single"/>
        </w:rPr>
        <w:t>由市级以上有关部门正式发布和认定的自然灾害。</w:t>
      </w:r>
    </w:p>
    <w:p w14:paraId="41A5986B">
      <w:pPr>
        <w:pageBreakBefore w:val="0"/>
        <w:kinsoku/>
        <w:wordWrap/>
        <w:overflowPunct/>
        <w:topLinePunct w:val="0"/>
        <w:autoSpaceDE/>
        <w:autoSpaceDN/>
        <w:bidi w:val="0"/>
        <w:adjustRightInd w:val="0"/>
        <w:snapToGrid w:val="0"/>
        <w:spacing w:line="360" w:lineRule="auto"/>
        <w:ind w:left="0" w:firstLine="420"/>
        <w:textAlignment w:val="auto"/>
        <w:outlineLvl w:val="0"/>
        <w:rPr>
          <w:rFonts w:hint="eastAsia" w:ascii="宋体" w:hAnsi="宋体" w:eastAsia="宋体"/>
          <w:color w:val="auto"/>
          <w:sz w:val="24"/>
          <w:szCs w:val="24"/>
          <w:highlight w:val="none"/>
        </w:rPr>
      </w:pPr>
      <w:bookmarkStart w:id="725" w:name="_Toc25261"/>
      <w:r>
        <w:rPr>
          <w:rFonts w:hint="eastAsia" w:ascii="宋体" w:hAnsi="宋体" w:eastAsia="宋体"/>
          <w:color w:val="auto"/>
          <w:sz w:val="24"/>
          <w:szCs w:val="24"/>
          <w:highlight w:val="none"/>
        </w:rPr>
        <w:t>17.4 因不可抗力解除合同</w:t>
      </w:r>
      <w:bookmarkEnd w:id="725"/>
    </w:p>
    <w:p w14:paraId="51DF5A10">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合同解除后，发包人应在商定或确定发包人应支付款项后</w:t>
      </w:r>
      <w:r>
        <w:rPr>
          <w:rFonts w:hint="eastAsia" w:ascii="宋体" w:hAnsi="宋体" w:eastAsia="宋体"/>
          <w:color w:val="auto"/>
          <w:sz w:val="24"/>
          <w:szCs w:val="24"/>
          <w:highlight w:val="none"/>
          <w:u w:val="single"/>
        </w:rPr>
        <w:t>60</w:t>
      </w:r>
      <w:r>
        <w:rPr>
          <w:rFonts w:hint="eastAsia" w:ascii="宋体" w:hAnsi="宋体" w:eastAsia="宋体"/>
          <w:color w:val="auto"/>
          <w:sz w:val="24"/>
          <w:szCs w:val="24"/>
          <w:highlight w:val="none"/>
        </w:rPr>
        <w:t>天内完成款项的支付。</w:t>
      </w:r>
    </w:p>
    <w:p w14:paraId="01D2FD91">
      <w:pPr>
        <w:pStyle w:val="7"/>
        <w:pageBreakBefore w:val="0"/>
        <w:kinsoku/>
        <w:wordWrap/>
        <w:overflowPunct/>
        <w:topLinePunct w:val="0"/>
        <w:autoSpaceDE/>
        <w:autoSpaceDN/>
        <w:bidi w:val="0"/>
        <w:adjustRightInd w:val="0"/>
        <w:snapToGrid w:val="0"/>
        <w:spacing w:before="0" w:after="0" w:line="360" w:lineRule="auto"/>
        <w:ind w:left="0"/>
        <w:textAlignment w:val="auto"/>
        <w:rPr>
          <w:rFonts w:hint="eastAsia" w:ascii="宋体" w:hAnsi="宋体"/>
          <w:color w:val="auto"/>
          <w:sz w:val="24"/>
          <w:szCs w:val="24"/>
          <w:highlight w:val="none"/>
        </w:rPr>
      </w:pPr>
      <w:bookmarkStart w:id="726" w:name="_Toc351203650"/>
      <w:r>
        <w:rPr>
          <w:rFonts w:hint="eastAsia" w:ascii="宋体" w:hAnsi="宋体"/>
          <w:color w:val="auto"/>
          <w:sz w:val="24"/>
          <w:szCs w:val="24"/>
          <w:highlight w:val="none"/>
        </w:rPr>
        <w:t>18. 保险</w:t>
      </w:r>
      <w:bookmarkEnd w:id="717"/>
      <w:bookmarkEnd w:id="726"/>
    </w:p>
    <w:p w14:paraId="370353C5">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18.1 工程保险</w:t>
      </w:r>
    </w:p>
    <w:p w14:paraId="0F010640">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rPr>
        <w:t>关于工程保险的特别约定：</w:t>
      </w:r>
      <w:r>
        <w:rPr>
          <w:rFonts w:hint="eastAsia" w:ascii="宋体" w:hAnsi="宋体" w:eastAsia="宋体"/>
          <w:color w:val="auto"/>
          <w:sz w:val="24"/>
          <w:szCs w:val="24"/>
          <w:highlight w:val="none"/>
          <w:u w:val="single"/>
        </w:rPr>
        <w:t>发包人投保内容：建设工程和施工场地内的自有人员生命财产险。</w:t>
      </w:r>
    </w:p>
    <w:p w14:paraId="49BAAF23">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u w:val="single"/>
        </w:rPr>
        <w:t>发包人委托承包人办理的保险事项：         /          。</w:t>
      </w:r>
    </w:p>
    <w:p w14:paraId="4C8507D9">
      <w:pPr>
        <w:pageBreakBefore w:val="0"/>
        <w:widowControl/>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u w:val="single"/>
        </w:rPr>
        <w:t>承包人投保内容： 从事危险作业职工的意外伤害险、施工场地内自有人员的生命财产险、施工机械设备的财产险、第三方人员的生命财产险、运至施工场地内用于工程的材料和待安装设备的财产险。</w:t>
      </w:r>
    </w:p>
    <w:p w14:paraId="08A9A1D3">
      <w:pPr>
        <w:pageBreakBefore w:val="0"/>
        <w:kinsoku/>
        <w:wordWrap/>
        <w:overflowPunct/>
        <w:topLinePunct w:val="0"/>
        <w:autoSpaceDE/>
        <w:autoSpaceDN/>
        <w:bidi w:val="0"/>
        <w:adjustRightInd w:val="0"/>
        <w:snapToGrid w:val="0"/>
        <w:spacing w:line="360" w:lineRule="auto"/>
        <w:ind w:left="0" w:firstLine="420"/>
        <w:textAlignment w:val="auto"/>
        <w:outlineLvl w:val="0"/>
        <w:rPr>
          <w:rFonts w:hint="eastAsia" w:ascii="宋体" w:hAnsi="宋体" w:eastAsia="宋体"/>
          <w:color w:val="auto"/>
          <w:sz w:val="24"/>
          <w:szCs w:val="24"/>
          <w:highlight w:val="none"/>
        </w:rPr>
      </w:pPr>
      <w:bookmarkStart w:id="727" w:name="_Toc29633"/>
      <w:r>
        <w:rPr>
          <w:rFonts w:hint="eastAsia" w:ascii="宋体" w:hAnsi="宋体" w:eastAsia="宋体"/>
          <w:color w:val="auto"/>
          <w:sz w:val="24"/>
          <w:szCs w:val="24"/>
          <w:highlight w:val="none"/>
        </w:rPr>
        <w:t>18.3 其他保险</w:t>
      </w:r>
      <w:bookmarkEnd w:id="727"/>
    </w:p>
    <w:p w14:paraId="65131B37">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关于其他保险的约定：</w:t>
      </w:r>
      <w:r>
        <w:rPr>
          <w:rFonts w:hint="eastAsia" w:ascii="宋体" w:hAnsi="宋体" w:eastAsia="宋体"/>
          <w:color w:val="auto"/>
          <w:sz w:val="24"/>
          <w:szCs w:val="24"/>
          <w:highlight w:val="none"/>
          <w:u w:val="single"/>
        </w:rPr>
        <w:t xml:space="preserve">各自办理 </w:t>
      </w:r>
      <w:r>
        <w:rPr>
          <w:rFonts w:hint="eastAsia" w:ascii="宋体" w:hAnsi="宋体" w:eastAsia="宋体"/>
          <w:color w:val="auto"/>
          <w:sz w:val="24"/>
          <w:szCs w:val="24"/>
          <w:highlight w:val="none"/>
        </w:rPr>
        <w:t>。</w:t>
      </w:r>
    </w:p>
    <w:p w14:paraId="072F431E">
      <w:pPr>
        <w:pageBreakBefore w:val="0"/>
        <w:kinsoku/>
        <w:wordWrap/>
        <w:overflowPunct/>
        <w:topLinePunct w:val="0"/>
        <w:autoSpaceDE/>
        <w:autoSpaceDN/>
        <w:bidi w:val="0"/>
        <w:adjustRightInd w:val="0"/>
        <w:snapToGrid w:val="0"/>
        <w:spacing w:line="360" w:lineRule="auto"/>
        <w:ind w:left="0" w:firstLine="420"/>
        <w:textAlignment w:val="auto"/>
        <w:outlineLvl w:val="0"/>
        <w:rPr>
          <w:rFonts w:hint="eastAsia" w:ascii="宋体" w:hAnsi="宋体" w:eastAsia="宋体"/>
          <w:color w:val="auto"/>
          <w:sz w:val="24"/>
          <w:szCs w:val="24"/>
          <w:highlight w:val="none"/>
          <w:u w:val="single"/>
        </w:rPr>
      </w:pPr>
      <w:bookmarkStart w:id="728" w:name="_Toc4108"/>
      <w:r>
        <w:rPr>
          <w:rFonts w:hint="eastAsia" w:ascii="宋体" w:hAnsi="宋体" w:eastAsia="宋体"/>
          <w:color w:val="auto"/>
          <w:sz w:val="24"/>
          <w:szCs w:val="24"/>
          <w:highlight w:val="none"/>
        </w:rPr>
        <w:t>承包人是否应为其施工设备等办理财产保险：</w:t>
      </w:r>
      <w:r>
        <w:rPr>
          <w:rFonts w:hint="eastAsia" w:ascii="宋体" w:hAnsi="宋体" w:eastAsia="宋体"/>
          <w:color w:val="auto"/>
          <w:sz w:val="24"/>
          <w:szCs w:val="24"/>
          <w:highlight w:val="none"/>
          <w:u w:val="single"/>
        </w:rPr>
        <w:t>按通用条款执行。</w:t>
      </w:r>
      <w:bookmarkEnd w:id="728"/>
    </w:p>
    <w:p w14:paraId="4BBEAEBF">
      <w:pPr>
        <w:pageBreakBefore w:val="0"/>
        <w:kinsoku/>
        <w:wordWrap/>
        <w:overflowPunct/>
        <w:topLinePunct w:val="0"/>
        <w:autoSpaceDE/>
        <w:autoSpaceDN/>
        <w:bidi w:val="0"/>
        <w:adjustRightInd w:val="0"/>
        <w:snapToGrid w:val="0"/>
        <w:spacing w:line="360" w:lineRule="auto"/>
        <w:ind w:left="0" w:firstLine="420"/>
        <w:textAlignment w:val="auto"/>
        <w:outlineLvl w:val="0"/>
        <w:rPr>
          <w:rFonts w:hint="eastAsia" w:ascii="宋体" w:hAnsi="宋体" w:eastAsia="宋体"/>
          <w:color w:val="auto"/>
          <w:sz w:val="24"/>
          <w:szCs w:val="24"/>
          <w:highlight w:val="none"/>
        </w:rPr>
      </w:pPr>
      <w:bookmarkStart w:id="729" w:name="_Toc14405"/>
      <w:r>
        <w:rPr>
          <w:rFonts w:hint="eastAsia" w:ascii="宋体" w:hAnsi="宋体" w:eastAsia="宋体"/>
          <w:color w:val="auto"/>
          <w:sz w:val="24"/>
          <w:szCs w:val="24"/>
          <w:highlight w:val="none"/>
        </w:rPr>
        <w:t>18.7 通知义务</w:t>
      </w:r>
      <w:bookmarkEnd w:id="729"/>
    </w:p>
    <w:p w14:paraId="25BB783B">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关于变更保险合同时的通知义务的约定：</w:t>
      </w:r>
      <w:r>
        <w:rPr>
          <w:rFonts w:hint="eastAsia" w:ascii="宋体" w:hAnsi="宋体" w:eastAsia="宋体"/>
          <w:color w:val="auto"/>
          <w:sz w:val="24"/>
          <w:szCs w:val="24"/>
          <w:highlight w:val="none"/>
          <w:u w:val="single"/>
        </w:rPr>
        <w:t>按通用条款执行。</w:t>
      </w:r>
      <w:bookmarkEnd w:id="693"/>
      <w:bookmarkEnd w:id="694"/>
      <w:bookmarkEnd w:id="695"/>
      <w:bookmarkEnd w:id="696"/>
      <w:bookmarkEnd w:id="697"/>
      <w:bookmarkEnd w:id="698"/>
      <w:bookmarkEnd w:id="699"/>
      <w:bookmarkEnd w:id="700"/>
      <w:bookmarkEnd w:id="701"/>
      <w:bookmarkEnd w:id="702"/>
      <w:bookmarkEnd w:id="703"/>
      <w:bookmarkEnd w:id="704"/>
    </w:p>
    <w:p w14:paraId="1A084D5E">
      <w:pPr>
        <w:pStyle w:val="7"/>
        <w:pageBreakBefore w:val="0"/>
        <w:kinsoku/>
        <w:wordWrap/>
        <w:overflowPunct/>
        <w:topLinePunct w:val="0"/>
        <w:autoSpaceDE/>
        <w:autoSpaceDN/>
        <w:bidi w:val="0"/>
        <w:adjustRightInd w:val="0"/>
        <w:snapToGrid w:val="0"/>
        <w:spacing w:before="0" w:after="0" w:line="360" w:lineRule="auto"/>
        <w:ind w:left="0"/>
        <w:textAlignment w:val="auto"/>
        <w:rPr>
          <w:rFonts w:hint="eastAsia" w:ascii="宋体" w:hAnsi="宋体"/>
          <w:color w:val="auto"/>
          <w:sz w:val="24"/>
          <w:szCs w:val="24"/>
          <w:highlight w:val="none"/>
        </w:rPr>
      </w:pPr>
      <w:bookmarkStart w:id="730" w:name="_Toc351203651"/>
      <w:r>
        <w:rPr>
          <w:rFonts w:hint="eastAsia" w:ascii="宋体" w:hAnsi="宋体"/>
          <w:color w:val="auto"/>
          <w:sz w:val="24"/>
          <w:szCs w:val="24"/>
          <w:highlight w:val="none"/>
        </w:rPr>
        <w:t>20. 争议解决</w:t>
      </w:r>
      <w:bookmarkEnd w:id="705"/>
      <w:bookmarkEnd w:id="706"/>
      <w:bookmarkEnd w:id="730"/>
    </w:p>
    <w:p w14:paraId="435E2AF7">
      <w:pPr>
        <w:pageBreakBefore w:val="0"/>
        <w:kinsoku/>
        <w:wordWrap/>
        <w:overflowPunct/>
        <w:topLinePunct w:val="0"/>
        <w:autoSpaceDE/>
        <w:autoSpaceDN/>
        <w:bidi w:val="0"/>
        <w:adjustRightInd w:val="0"/>
        <w:snapToGrid w:val="0"/>
        <w:spacing w:line="360" w:lineRule="auto"/>
        <w:ind w:left="0" w:firstLine="420"/>
        <w:textAlignment w:val="auto"/>
        <w:outlineLvl w:val="0"/>
        <w:rPr>
          <w:rFonts w:hint="eastAsia" w:ascii="宋体" w:hAnsi="宋体" w:eastAsia="宋体"/>
          <w:color w:val="auto"/>
          <w:sz w:val="24"/>
          <w:szCs w:val="24"/>
          <w:highlight w:val="none"/>
        </w:rPr>
      </w:pPr>
      <w:bookmarkStart w:id="731" w:name="_Toc17723"/>
      <w:r>
        <w:rPr>
          <w:rFonts w:hint="eastAsia" w:ascii="宋体" w:hAnsi="宋体" w:eastAsia="宋体"/>
          <w:color w:val="auto"/>
          <w:sz w:val="24"/>
          <w:szCs w:val="24"/>
          <w:highlight w:val="none"/>
        </w:rPr>
        <w:t>20.3 争</w:t>
      </w:r>
      <w:bookmarkEnd w:id="707"/>
      <w:r>
        <w:rPr>
          <w:rFonts w:hint="eastAsia" w:ascii="宋体" w:hAnsi="宋体" w:eastAsia="宋体"/>
          <w:color w:val="auto"/>
          <w:sz w:val="24"/>
          <w:szCs w:val="24"/>
          <w:highlight w:val="none"/>
        </w:rPr>
        <w:t>议评审</w:t>
      </w:r>
      <w:bookmarkEnd w:id="731"/>
    </w:p>
    <w:p w14:paraId="48954BE5">
      <w:pPr>
        <w:pageBreakBefore w:val="0"/>
        <w:kinsoku/>
        <w:wordWrap/>
        <w:overflowPunct/>
        <w:topLinePunct w:val="0"/>
        <w:autoSpaceDE/>
        <w:autoSpaceDN/>
        <w:bidi w:val="0"/>
        <w:adjustRightInd w:val="0"/>
        <w:snapToGrid w:val="0"/>
        <w:spacing w:line="360" w:lineRule="auto"/>
        <w:ind w:left="0" w:firstLine="315"/>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合同当事人是否同意将工程争议提交争议评审小组决定：</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 xml:space="preserve">。  </w:t>
      </w:r>
    </w:p>
    <w:p w14:paraId="48030618">
      <w:pPr>
        <w:pageBreakBefore w:val="0"/>
        <w:kinsoku/>
        <w:wordWrap/>
        <w:overflowPunct/>
        <w:topLinePunct w:val="0"/>
        <w:autoSpaceDE/>
        <w:autoSpaceDN/>
        <w:bidi w:val="0"/>
        <w:adjustRightInd w:val="0"/>
        <w:snapToGrid w:val="0"/>
        <w:spacing w:line="360" w:lineRule="auto"/>
        <w:ind w:left="0" w:firstLine="420"/>
        <w:jc w:val="left"/>
        <w:textAlignment w:val="auto"/>
        <w:outlineLvl w:val="0"/>
        <w:rPr>
          <w:rFonts w:hint="eastAsia" w:ascii="宋体" w:hAnsi="宋体" w:eastAsia="宋体"/>
          <w:color w:val="auto"/>
          <w:sz w:val="24"/>
          <w:szCs w:val="24"/>
          <w:highlight w:val="none"/>
        </w:rPr>
      </w:pPr>
      <w:bookmarkStart w:id="732" w:name="_Toc22184"/>
      <w:r>
        <w:rPr>
          <w:rFonts w:hint="eastAsia" w:ascii="宋体" w:hAnsi="宋体" w:eastAsia="宋体"/>
          <w:color w:val="auto"/>
          <w:sz w:val="24"/>
          <w:szCs w:val="24"/>
          <w:highlight w:val="none"/>
        </w:rPr>
        <w:t>20.3.1 争议评审小组的确定</w:t>
      </w:r>
      <w:bookmarkEnd w:id="732"/>
    </w:p>
    <w:p w14:paraId="6E02EC1C">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rPr>
        <w:t>争议评审小组成员的确定：</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w:t>
      </w:r>
    </w:p>
    <w:p w14:paraId="22E5BB26">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选定争议评审员的期限：</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w:t>
      </w:r>
    </w:p>
    <w:p w14:paraId="78717A8B">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争议评审小组成员的报酬承担方式：</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w:t>
      </w:r>
    </w:p>
    <w:p w14:paraId="5A2AC490">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其他事项的约定：</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w:t>
      </w:r>
    </w:p>
    <w:p w14:paraId="72ECAEE9">
      <w:pPr>
        <w:pageBreakBefore w:val="0"/>
        <w:kinsoku/>
        <w:wordWrap/>
        <w:overflowPunct/>
        <w:topLinePunct w:val="0"/>
        <w:autoSpaceDE/>
        <w:autoSpaceDN/>
        <w:bidi w:val="0"/>
        <w:adjustRightInd w:val="0"/>
        <w:snapToGrid w:val="0"/>
        <w:spacing w:line="360" w:lineRule="auto"/>
        <w:ind w:left="0" w:firstLine="420"/>
        <w:jc w:val="left"/>
        <w:textAlignment w:val="auto"/>
        <w:outlineLvl w:val="0"/>
        <w:rPr>
          <w:rFonts w:hint="eastAsia" w:ascii="宋体" w:hAnsi="宋体" w:eastAsia="宋体"/>
          <w:color w:val="auto"/>
          <w:sz w:val="24"/>
          <w:szCs w:val="24"/>
          <w:highlight w:val="none"/>
        </w:rPr>
      </w:pPr>
      <w:bookmarkStart w:id="733" w:name="_Toc24037"/>
      <w:r>
        <w:rPr>
          <w:rFonts w:hint="eastAsia" w:ascii="宋体" w:hAnsi="宋体" w:eastAsia="宋体"/>
          <w:color w:val="auto"/>
          <w:sz w:val="24"/>
          <w:szCs w:val="24"/>
          <w:highlight w:val="none"/>
        </w:rPr>
        <w:t>20.3.2 争议评审小组的决定</w:t>
      </w:r>
      <w:bookmarkEnd w:id="733"/>
    </w:p>
    <w:p w14:paraId="24EF043C">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合同当事人关于本项的约定：</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w:t>
      </w:r>
    </w:p>
    <w:p w14:paraId="60DD792B">
      <w:pPr>
        <w:pageBreakBefore w:val="0"/>
        <w:kinsoku/>
        <w:wordWrap/>
        <w:overflowPunct/>
        <w:topLinePunct w:val="0"/>
        <w:autoSpaceDE/>
        <w:autoSpaceDN/>
        <w:bidi w:val="0"/>
        <w:adjustRightInd w:val="0"/>
        <w:snapToGrid w:val="0"/>
        <w:spacing w:line="360" w:lineRule="auto"/>
        <w:ind w:left="0" w:firstLine="420"/>
        <w:textAlignment w:val="auto"/>
        <w:outlineLvl w:val="0"/>
        <w:rPr>
          <w:rFonts w:hint="eastAsia" w:ascii="宋体" w:hAnsi="宋体" w:eastAsia="宋体"/>
          <w:color w:val="auto"/>
          <w:sz w:val="24"/>
          <w:szCs w:val="24"/>
          <w:highlight w:val="none"/>
        </w:rPr>
      </w:pPr>
      <w:bookmarkStart w:id="734" w:name="_Toc10320"/>
      <w:r>
        <w:rPr>
          <w:rFonts w:hint="eastAsia" w:ascii="宋体" w:hAnsi="宋体" w:eastAsia="宋体"/>
          <w:color w:val="auto"/>
          <w:sz w:val="24"/>
          <w:szCs w:val="24"/>
          <w:highlight w:val="none"/>
        </w:rPr>
        <w:t>20.4仲裁或诉讼</w:t>
      </w:r>
      <w:bookmarkEnd w:id="708"/>
      <w:bookmarkEnd w:id="734"/>
    </w:p>
    <w:p w14:paraId="6A279811">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因合同及合同有关事项发生的争议，按下列第</w:t>
      </w:r>
      <w:r>
        <w:rPr>
          <w:rFonts w:hint="eastAsia" w:ascii="宋体" w:hAnsi="宋体" w:eastAsia="宋体"/>
          <w:color w:val="auto"/>
          <w:sz w:val="24"/>
          <w:szCs w:val="24"/>
          <w:highlight w:val="none"/>
          <w:u w:val="single"/>
        </w:rPr>
        <w:t xml:space="preserve"> 2 </w:t>
      </w:r>
      <w:r>
        <w:rPr>
          <w:rFonts w:hint="eastAsia" w:ascii="宋体" w:hAnsi="宋体" w:eastAsia="宋体"/>
          <w:color w:val="auto"/>
          <w:sz w:val="24"/>
          <w:szCs w:val="24"/>
          <w:highlight w:val="none"/>
        </w:rPr>
        <w:t>种方式解决：</w:t>
      </w:r>
    </w:p>
    <w:p w14:paraId="7F582607">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（1）向</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仲裁委员会申请仲裁；</w:t>
      </w:r>
    </w:p>
    <w:p w14:paraId="7A2701D9">
      <w:pPr>
        <w:pageBreakBefore w:val="0"/>
        <w:kinsoku/>
        <w:wordWrap/>
        <w:overflowPunct/>
        <w:topLinePunct w:val="0"/>
        <w:autoSpaceDE/>
        <w:autoSpaceDN/>
        <w:bidi w:val="0"/>
        <w:adjustRightInd w:val="0"/>
        <w:snapToGrid w:val="0"/>
        <w:spacing w:line="360" w:lineRule="auto"/>
        <w:ind w:left="0" w:firstLine="42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（2）向</w:t>
      </w:r>
      <w:r>
        <w:rPr>
          <w:rFonts w:hint="eastAsia" w:ascii="宋体" w:hAnsi="宋体" w:eastAsia="宋体"/>
          <w:color w:val="auto"/>
          <w:sz w:val="24"/>
          <w:szCs w:val="24"/>
          <w:highlight w:val="none"/>
          <w:u w:val="single"/>
        </w:rPr>
        <w:t>南通市通州区</w:t>
      </w:r>
      <w:r>
        <w:rPr>
          <w:rFonts w:hint="eastAsia" w:ascii="宋体" w:hAnsi="宋体" w:eastAsia="宋体"/>
          <w:color w:val="auto"/>
          <w:sz w:val="24"/>
          <w:szCs w:val="24"/>
          <w:highlight w:val="none"/>
        </w:rPr>
        <w:t>人民法院起诉。</w:t>
      </w:r>
      <w:bookmarkEnd w:id="709"/>
      <w:bookmarkEnd w:id="710"/>
      <w:bookmarkEnd w:id="711"/>
      <w:bookmarkEnd w:id="712"/>
      <w:bookmarkEnd w:id="713"/>
      <w:bookmarkEnd w:id="714"/>
    </w:p>
    <w:p w14:paraId="59DE3833">
      <w:pPr>
        <w:pageBreakBefore w:val="0"/>
        <w:kinsoku/>
        <w:wordWrap/>
        <w:overflowPunct/>
        <w:topLinePunct w:val="0"/>
        <w:autoSpaceDE/>
        <w:autoSpaceDN/>
        <w:bidi w:val="0"/>
        <w:adjustRightInd w:val="0"/>
        <w:snapToGrid w:val="0"/>
        <w:spacing w:line="360" w:lineRule="auto"/>
        <w:ind w:left="0"/>
        <w:textAlignment w:val="auto"/>
        <w:outlineLvl w:val="0"/>
        <w:rPr>
          <w:rFonts w:hint="eastAsia" w:ascii="宋体" w:hAnsi="宋体" w:eastAsia="宋体"/>
          <w:color w:val="auto"/>
          <w:sz w:val="24"/>
          <w:szCs w:val="24"/>
          <w:highlight w:val="none"/>
        </w:rPr>
        <w:sectPr>
          <w:pgSz w:w="11906" w:h="16838"/>
          <w:pgMar w:top="1418" w:right="1555" w:bottom="1418" w:left="1531" w:header="851" w:footer="992" w:gutter="0"/>
          <w:lnNumType w:countBy="0" w:distance="360"/>
          <w:cols w:space="720" w:num="1"/>
          <w:titlePg/>
          <w:docGrid w:linePitch="360" w:charSpace="0"/>
        </w:sectPr>
      </w:pPr>
    </w:p>
    <w:p w14:paraId="77CFA92C">
      <w:pPr>
        <w:pageBreakBefore w:val="0"/>
        <w:kinsoku/>
        <w:wordWrap/>
        <w:overflowPunct/>
        <w:topLinePunct w:val="0"/>
        <w:autoSpaceDE/>
        <w:autoSpaceDN/>
        <w:bidi w:val="0"/>
        <w:adjustRightInd w:val="0"/>
        <w:snapToGrid w:val="0"/>
        <w:spacing w:line="360" w:lineRule="auto"/>
        <w:ind w:left="0"/>
        <w:jc w:val="lef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 xml:space="preserve">附件、                             </w:t>
      </w:r>
    </w:p>
    <w:p w14:paraId="61B20CEE">
      <w:pPr>
        <w:pageBreakBefore w:val="0"/>
        <w:kinsoku/>
        <w:wordWrap/>
        <w:overflowPunct/>
        <w:topLinePunct w:val="0"/>
        <w:autoSpaceDE/>
        <w:autoSpaceDN/>
        <w:bidi w:val="0"/>
        <w:adjustRightInd w:val="0"/>
        <w:snapToGrid w:val="0"/>
        <w:spacing w:line="360" w:lineRule="auto"/>
        <w:ind w:left="0"/>
        <w:jc w:val="center"/>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廉政协议</w:t>
      </w:r>
    </w:p>
    <w:p w14:paraId="1F8760CE">
      <w:pPr>
        <w:pageBreakBefore w:val="0"/>
        <w:kinsoku/>
        <w:wordWrap/>
        <w:overflowPunct/>
        <w:topLinePunct w:val="0"/>
        <w:autoSpaceDE/>
        <w:autoSpaceDN/>
        <w:bidi w:val="0"/>
        <w:adjustRightInd w:val="0"/>
        <w:snapToGrid w:val="0"/>
        <w:spacing w:line="360" w:lineRule="auto"/>
        <w:ind w:left="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协议单位：发包人（简称甲方）：</w:t>
      </w:r>
      <w:r>
        <w:rPr>
          <w:rFonts w:hint="eastAsia" w:ascii="宋体" w:hAnsi="宋体" w:eastAsia="宋体"/>
          <w:color w:val="auto"/>
          <w:sz w:val="24"/>
          <w:szCs w:val="24"/>
          <w:highlight w:val="none"/>
          <w:u w:val="single"/>
        </w:rPr>
        <w:t xml:space="preserve"> </w:t>
      </w:r>
      <w:r>
        <w:rPr>
          <w:rFonts w:hint="eastAsia" w:ascii="宋体" w:hAnsi="宋体"/>
          <w:color w:val="auto"/>
          <w:sz w:val="24"/>
          <w:szCs w:val="24"/>
          <w:highlight w:val="none"/>
          <w:u w:val="single"/>
          <w:lang w:eastAsia="zh-CN"/>
        </w:rPr>
        <w:t>南通市通州区东社镇人民政府</w:t>
      </w:r>
      <w:r>
        <w:rPr>
          <w:rFonts w:hint="eastAsia" w:ascii="宋体" w:hAnsi="宋体" w:eastAsia="宋体"/>
          <w:color w:val="auto"/>
          <w:sz w:val="24"/>
          <w:szCs w:val="24"/>
          <w:highlight w:val="none"/>
          <w:u w:val="single"/>
        </w:rPr>
        <w:t xml:space="preserve"> </w:t>
      </w:r>
    </w:p>
    <w:p w14:paraId="0E9A98FB">
      <w:pPr>
        <w:pageBreakBefore w:val="0"/>
        <w:kinsoku/>
        <w:wordWrap/>
        <w:overflowPunct/>
        <w:topLinePunct w:val="0"/>
        <w:autoSpaceDE/>
        <w:autoSpaceDN/>
        <w:bidi w:val="0"/>
        <w:adjustRightInd w:val="0"/>
        <w:snapToGrid w:val="0"/>
        <w:spacing w:line="360" w:lineRule="auto"/>
        <w:ind w:left="0" w:firstLine="120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承包人（简称乙方）：</w:t>
      </w:r>
      <w:r>
        <w:rPr>
          <w:rFonts w:hint="eastAsia" w:ascii="宋体" w:hAnsi="宋体" w:eastAsia="宋体"/>
          <w:color w:val="auto"/>
          <w:sz w:val="24"/>
          <w:szCs w:val="24"/>
          <w:highlight w:val="none"/>
          <w:u w:val="single"/>
        </w:rPr>
        <w:t xml:space="preserve">                            </w:t>
      </w:r>
    </w:p>
    <w:p w14:paraId="04DA51CA">
      <w:pPr>
        <w:pageBreakBefore w:val="0"/>
        <w:kinsoku/>
        <w:wordWrap/>
        <w:overflowPunct/>
        <w:topLinePunct w:val="0"/>
        <w:autoSpaceDE/>
        <w:autoSpaceDN/>
        <w:bidi w:val="0"/>
        <w:adjustRightInd w:val="0"/>
        <w:snapToGrid w:val="0"/>
        <w:spacing w:line="360" w:lineRule="auto"/>
        <w:ind w:left="0" w:firstLine="48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为加强工程建设中的廉政建设，规范工程建设项目承、发包双方的各项活动，共同维护建设市场的秩序，确保工程质量。经甲乙双方协商，现就</w:t>
      </w:r>
      <w:r>
        <w:rPr>
          <w:rFonts w:hint="eastAsia" w:ascii="宋体" w:hAnsi="宋体" w:eastAsia="宋体"/>
          <w:color w:val="auto"/>
          <w:sz w:val="24"/>
          <w:szCs w:val="24"/>
          <w:highlight w:val="none"/>
          <w:u w:val="single"/>
        </w:rPr>
        <w:t xml:space="preserve"> </w:t>
      </w:r>
      <w:r>
        <w:rPr>
          <w:rFonts w:hint="eastAsia" w:ascii="宋体" w:hAnsi="宋体"/>
          <w:color w:val="auto"/>
          <w:sz w:val="24"/>
          <w:szCs w:val="24"/>
          <w:highlight w:val="none"/>
          <w:u w:val="single"/>
          <w:lang w:eastAsia="zh-CN"/>
        </w:rPr>
        <w:t>南通市通州区东社镇社北路道路工程</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自愿签订廉政协议：</w:t>
      </w:r>
    </w:p>
    <w:p w14:paraId="37A468A0">
      <w:pPr>
        <w:pageBreakBefore w:val="0"/>
        <w:kinsoku/>
        <w:wordWrap/>
        <w:overflowPunct/>
        <w:topLinePunct w:val="0"/>
        <w:autoSpaceDE/>
        <w:autoSpaceDN/>
        <w:bidi w:val="0"/>
        <w:adjustRightInd w:val="0"/>
        <w:snapToGrid w:val="0"/>
        <w:spacing w:line="360" w:lineRule="auto"/>
        <w:ind w:left="0" w:firstLine="48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一、遵守《通州区建设工程廉政管理暂行办法》的规定，乙方同意在签订工程承包合同时，一次性向甲方交纳廉政保证金为合同价的1%。如发生不正当行为，则自愿放弃所交廉政保证金的所有权。</w:t>
      </w:r>
    </w:p>
    <w:p w14:paraId="1D48F2A5">
      <w:pPr>
        <w:pageBreakBefore w:val="0"/>
        <w:kinsoku/>
        <w:wordWrap/>
        <w:overflowPunct/>
        <w:topLinePunct w:val="0"/>
        <w:autoSpaceDE/>
        <w:autoSpaceDN/>
        <w:bidi w:val="0"/>
        <w:adjustRightInd w:val="0"/>
        <w:snapToGrid w:val="0"/>
        <w:spacing w:line="360" w:lineRule="auto"/>
        <w:ind w:left="0" w:firstLine="48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二、乙方不得以任何形式向甲方管理人员赠送各种贵重物品、礼金礼券和回扣、好处费等。如有违反，将移送有关单位，视情节轻重，给予党纪、政纪处分，构成犯罪的追究刑事责任。</w:t>
      </w:r>
    </w:p>
    <w:p w14:paraId="397F9357">
      <w:pPr>
        <w:pageBreakBefore w:val="0"/>
        <w:kinsoku/>
        <w:wordWrap/>
        <w:overflowPunct/>
        <w:topLinePunct w:val="0"/>
        <w:autoSpaceDE/>
        <w:autoSpaceDN/>
        <w:bidi w:val="0"/>
        <w:adjustRightInd w:val="0"/>
        <w:snapToGrid w:val="0"/>
        <w:spacing w:line="360" w:lineRule="auto"/>
        <w:ind w:left="0" w:firstLine="48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三、乙方在工程建设中贿赂甲方管理人员，经检举被核实查证的，甲方有权中止工程承包合同，乙方承担甲方造成的经济损失。</w:t>
      </w:r>
    </w:p>
    <w:p w14:paraId="3A3BF144">
      <w:pPr>
        <w:pageBreakBefore w:val="0"/>
        <w:kinsoku/>
        <w:wordWrap/>
        <w:overflowPunct/>
        <w:topLinePunct w:val="0"/>
        <w:autoSpaceDE/>
        <w:autoSpaceDN/>
        <w:bidi w:val="0"/>
        <w:adjustRightInd w:val="0"/>
        <w:snapToGrid w:val="0"/>
        <w:spacing w:line="360" w:lineRule="auto"/>
        <w:ind w:left="0" w:firstLine="48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四、甲方管理人员向乙方索贿，经检举被核实查证的，给予检举人奖励，奖金由甲方承担。</w:t>
      </w:r>
    </w:p>
    <w:p w14:paraId="227D3F10">
      <w:pPr>
        <w:pageBreakBefore w:val="0"/>
        <w:kinsoku/>
        <w:wordWrap/>
        <w:overflowPunct/>
        <w:topLinePunct w:val="0"/>
        <w:autoSpaceDE/>
        <w:autoSpaceDN/>
        <w:bidi w:val="0"/>
        <w:adjustRightInd w:val="0"/>
        <w:snapToGrid w:val="0"/>
        <w:spacing w:line="360" w:lineRule="auto"/>
        <w:ind w:left="0" w:firstLine="48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五、乙方在承建工程中，若违反廉政协议，甲方可拒绝乙方以后参加的由甲方实施的政府项目的建设，直至取消乙方的政府投资项目投标资格。</w:t>
      </w:r>
    </w:p>
    <w:p w14:paraId="67A58087">
      <w:pPr>
        <w:pageBreakBefore w:val="0"/>
        <w:kinsoku/>
        <w:wordWrap/>
        <w:overflowPunct/>
        <w:topLinePunct w:val="0"/>
        <w:autoSpaceDE/>
        <w:autoSpaceDN/>
        <w:bidi w:val="0"/>
        <w:adjustRightInd w:val="0"/>
        <w:snapToGrid w:val="0"/>
        <w:spacing w:line="360" w:lineRule="auto"/>
        <w:ind w:left="0" w:firstLine="48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六、此协议与建设工程承包合同同时签订，一式捌份，甲乙双方各执肆份。</w:t>
      </w:r>
    </w:p>
    <w:p w14:paraId="6AF4E4D8">
      <w:pPr>
        <w:pageBreakBefore w:val="0"/>
        <w:kinsoku/>
        <w:wordWrap/>
        <w:overflowPunct/>
        <w:topLinePunct w:val="0"/>
        <w:autoSpaceDE/>
        <w:autoSpaceDN/>
        <w:bidi w:val="0"/>
        <w:adjustRightInd w:val="0"/>
        <w:snapToGrid w:val="0"/>
        <w:spacing w:line="360" w:lineRule="auto"/>
        <w:ind w:left="0" w:firstLine="48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七、此协议自双方签字盖章之日起生效。</w:t>
      </w:r>
    </w:p>
    <w:p w14:paraId="361EEA3D">
      <w:pPr>
        <w:pageBreakBefore w:val="0"/>
        <w:kinsoku/>
        <w:wordWrap/>
        <w:overflowPunct/>
        <w:topLinePunct w:val="0"/>
        <w:autoSpaceDE/>
        <w:autoSpaceDN/>
        <w:bidi w:val="0"/>
        <w:adjustRightInd w:val="0"/>
        <w:snapToGrid w:val="0"/>
        <w:spacing w:line="360" w:lineRule="auto"/>
        <w:ind w:left="0" w:firstLine="48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甲方单位：（公章）             乙方单位：（公章）</w:t>
      </w:r>
    </w:p>
    <w:p w14:paraId="3E3FAA33">
      <w:pPr>
        <w:pageBreakBefore w:val="0"/>
        <w:kinsoku/>
        <w:wordWrap/>
        <w:overflowPunct/>
        <w:topLinePunct w:val="0"/>
        <w:autoSpaceDE/>
        <w:autoSpaceDN/>
        <w:bidi w:val="0"/>
        <w:adjustRightInd w:val="0"/>
        <w:snapToGrid w:val="0"/>
        <w:spacing w:line="360" w:lineRule="auto"/>
        <w:ind w:left="0" w:firstLine="48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 xml:space="preserve">法定代表人：                  </w:t>
      </w:r>
      <w:r>
        <w:rPr>
          <w:rFonts w:hint="eastAsia" w:ascii="宋体" w:hAnsi="宋体" w:eastAsia="宋体"/>
          <w:color w:val="auto"/>
          <w:sz w:val="24"/>
          <w:szCs w:val="24"/>
          <w:highlight w:val="none"/>
          <w:lang w:val="en-US" w:eastAsia="zh-CN"/>
        </w:rPr>
        <w:t xml:space="preserve"> </w:t>
      </w:r>
      <w:r>
        <w:rPr>
          <w:rFonts w:hint="eastAsia" w:ascii="宋体" w:hAnsi="宋体" w:eastAsia="宋体"/>
          <w:color w:val="auto"/>
          <w:sz w:val="24"/>
          <w:szCs w:val="24"/>
          <w:highlight w:val="none"/>
        </w:rPr>
        <w:t>法定代表人：</w:t>
      </w:r>
    </w:p>
    <w:p w14:paraId="5809E705">
      <w:pPr>
        <w:pageBreakBefore w:val="0"/>
        <w:kinsoku/>
        <w:wordWrap/>
        <w:overflowPunct/>
        <w:topLinePunct w:val="0"/>
        <w:autoSpaceDE/>
        <w:autoSpaceDN/>
        <w:bidi w:val="0"/>
        <w:adjustRightInd w:val="0"/>
        <w:snapToGrid w:val="0"/>
        <w:spacing w:line="360" w:lineRule="auto"/>
        <w:ind w:left="0" w:firstLine="48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 xml:space="preserve">委托代理人：                  </w:t>
      </w:r>
      <w:r>
        <w:rPr>
          <w:rFonts w:hint="eastAsia" w:ascii="宋体" w:hAnsi="宋体" w:eastAsia="宋体"/>
          <w:color w:val="auto"/>
          <w:sz w:val="24"/>
          <w:szCs w:val="24"/>
          <w:highlight w:val="none"/>
          <w:lang w:val="en-US" w:eastAsia="zh-CN"/>
        </w:rPr>
        <w:t xml:space="preserve"> </w:t>
      </w:r>
      <w:r>
        <w:rPr>
          <w:rFonts w:hint="eastAsia" w:ascii="宋体" w:hAnsi="宋体" w:eastAsia="宋体"/>
          <w:color w:val="auto"/>
          <w:sz w:val="24"/>
          <w:szCs w:val="24"/>
          <w:highlight w:val="none"/>
        </w:rPr>
        <w:t>委托代理人：</w:t>
      </w:r>
    </w:p>
    <w:p w14:paraId="1CDCF47B">
      <w:pPr>
        <w:pageBreakBefore w:val="0"/>
        <w:kinsoku/>
        <w:wordWrap/>
        <w:overflowPunct/>
        <w:topLinePunct w:val="0"/>
        <w:autoSpaceDE/>
        <w:autoSpaceDN/>
        <w:bidi w:val="0"/>
        <w:adjustRightInd w:val="0"/>
        <w:snapToGrid w:val="0"/>
        <w:spacing w:line="360" w:lineRule="auto"/>
        <w:ind w:left="0" w:firstLine="48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 xml:space="preserve">地址：                       </w:t>
      </w:r>
      <w:r>
        <w:rPr>
          <w:rFonts w:hint="eastAsia" w:ascii="宋体" w:hAnsi="宋体" w:eastAsia="宋体"/>
          <w:color w:val="auto"/>
          <w:sz w:val="24"/>
          <w:szCs w:val="24"/>
          <w:highlight w:val="none"/>
          <w:lang w:val="en-US" w:eastAsia="zh-CN"/>
        </w:rPr>
        <w:t xml:space="preserve"> </w:t>
      </w:r>
      <w:r>
        <w:rPr>
          <w:rFonts w:hint="eastAsia" w:ascii="宋体" w:hAnsi="宋体" w:eastAsia="宋体"/>
          <w:color w:val="auto"/>
          <w:sz w:val="24"/>
          <w:szCs w:val="24"/>
          <w:highlight w:val="none"/>
        </w:rPr>
        <w:t xml:space="preserve"> 地址：</w:t>
      </w:r>
    </w:p>
    <w:p w14:paraId="24364BC2">
      <w:pPr>
        <w:pageBreakBefore w:val="0"/>
        <w:kinsoku/>
        <w:wordWrap/>
        <w:overflowPunct/>
        <w:topLinePunct w:val="0"/>
        <w:autoSpaceDE/>
        <w:autoSpaceDN/>
        <w:bidi w:val="0"/>
        <w:adjustRightInd w:val="0"/>
        <w:snapToGrid w:val="0"/>
        <w:spacing w:line="360" w:lineRule="auto"/>
        <w:ind w:left="0" w:firstLine="48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 xml:space="preserve">电话：                       </w:t>
      </w:r>
      <w:r>
        <w:rPr>
          <w:rFonts w:hint="eastAsia" w:ascii="宋体" w:hAnsi="宋体" w:eastAsia="宋体"/>
          <w:color w:val="auto"/>
          <w:sz w:val="24"/>
          <w:szCs w:val="24"/>
          <w:highlight w:val="none"/>
          <w:lang w:val="en-US" w:eastAsia="zh-CN"/>
        </w:rPr>
        <w:t xml:space="preserve"> </w:t>
      </w:r>
      <w:r>
        <w:rPr>
          <w:rFonts w:hint="eastAsia" w:ascii="宋体" w:hAnsi="宋体" w:eastAsia="宋体"/>
          <w:color w:val="auto"/>
          <w:sz w:val="24"/>
          <w:szCs w:val="24"/>
          <w:highlight w:val="none"/>
        </w:rPr>
        <w:t xml:space="preserve"> 电话：</w:t>
      </w:r>
    </w:p>
    <w:p w14:paraId="1398CA1E">
      <w:pPr>
        <w:pageBreakBefore w:val="0"/>
        <w:kinsoku/>
        <w:wordWrap/>
        <w:overflowPunct/>
        <w:topLinePunct w:val="0"/>
        <w:autoSpaceDE/>
        <w:autoSpaceDN/>
        <w:bidi w:val="0"/>
        <w:adjustRightInd w:val="0"/>
        <w:snapToGrid w:val="0"/>
        <w:spacing w:line="360" w:lineRule="auto"/>
        <w:ind w:left="0" w:firstLine="48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年    月    日                  年    月    日</w:t>
      </w:r>
    </w:p>
    <w:p w14:paraId="37A51DDA">
      <w:pPr>
        <w:pageBreakBefore w:val="0"/>
        <w:kinsoku/>
        <w:wordWrap/>
        <w:overflowPunct/>
        <w:topLinePunct w:val="0"/>
        <w:autoSpaceDE/>
        <w:autoSpaceDN/>
        <w:bidi w:val="0"/>
        <w:adjustRightInd w:val="0"/>
        <w:snapToGrid w:val="0"/>
        <w:spacing w:line="360" w:lineRule="auto"/>
        <w:ind w:left="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 xml:space="preserve">    监督单位（盖章）：</w:t>
      </w:r>
    </w:p>
    <w:p w14:paraId="0C437F13">
      <w:pPr>
        <w:pageBreakBefore w:val="0"/>
        <w:kinsoku/>
        <w:wordWrap/>
        <w:overflowPunct/>
        <w:topLinePunct w:val="0"/>
        <w:autoSpaceDE/>
        <w:autoSpaceDN/>
        <w:bidi w:val="0"/>
        <w:adjustRightInd w:val="0"/>
        <w:snapToGrid w:val="0"/>
        <w:spacing w:line="360" w:lineRule="auto"/>
        <w:ind w:left="0" w:firstLine="480"/>
        <w:textAlignment w:val="auto"/>
        <w:rPr>
          <w:rFonts w:hint="eastAsia" w:ascii="宋体" w:hAnsi="宋体" w:eastAsia="宋体" w:cs="Arial"/>
          <w:color w:val="auto"/>
          <w:sz w:val="24"/>
          <w:szCs w:val="24"/>
          <w:highlight w:val="none"/>
        </w:rPr>
      </w:pPr>
      <w:r>
        <w:rPr>
          <w:rFonts w:hint="eastAsia" w:ascii="宋体" w:hAnsi="宋体" w:eastAsia="宋体"/>
          <w:color w:val="auto"/>
          <w:sz w:val="24"/>
          <w:szCs w:val="24"/>
          <w:highlight w:val="none"/>
        </w:rPr>
        <w:t>年    月    日</w:t>
      </w:r>
    </w:p>
    <w:p w14:paraId="2ED11332">
      <w:pPr>
        <w:pageBreakBefore w:val="0"/>
        <w:kinsoku/>
        <w:wordWrap/>
        <w:overflowPunct/>
        <w:topLinePunct w:val="0"/>
        <w:autoSpaceDE/>
        <w:autoSpaceDN/>
        <w:bidi w:val="0"/>
        <w:adjustRightInd w:val="0"/>
        <w:snapToGrid w:val="0"/>
        <w:spacing w:line="360" w:lineRule="auto"/>
        <w:ind w:left="0"/>
        <w:jc w:val="center"/>
        <w:textAlignment w:val="auto"/>
        <w:rPr>
          <w:rFonts w:hint="eastAsia" w:ascii="宋体" w:hAnsi="宋体" w:eastAsia="宋体" w:cs="宋体"/>
          <w:color w:val="auto"/>
          <w:sz w:val="24"/>
          <w:szCs w:val="24"/>
          <w:highlight w:val="none"/>
        </w:rPr>
        <w:sectPr>
          <w:pgSz w:w="11907" w:h="16840"/>
          <w:pgMar w:top="1440" w:right="1559" w:bottom="1440" w:left="1560" w:header="851" w:footer="851" w:gutter="0"/>
          <w:lnNumType w:countBy="0" w:distance="360"/>
          <w:cols w:space="720" w:num="1"/>
          <w:docGrid w:linePitch="360" w:charSpace="0"/>
        </w:sectPr>
      </w:pPr>
    </w:p>
    <w:p w14:paraId="3717AC18">
      <w:pPr>
        <w:pageBreakBefore w:val="0"/>
        <w:kinsoku/>
        <w:wordWrap/>
        <w:overflowPunct/>
        <w:topLinePunct w:val="0"/>
        <w:autoSpaceDE/>
        <w:autoSpaceDN/>
        <w:bidi w:val="0"/>
        <w:adjustRightInd w:val="0"/>
        <w:snapToGrid w:val="0"/>
        <w:spacing w:line="360" w:lineRule="auto"/>
        <w:ind w:left="0"/>
        <w:jc w:val="left"/>
        <w:textAlignment w:val="auto"/>
        <w:rPr>
          <w:rFonts w:hint="eastAsia" w:ascii="宋体" w:hAnsi="宋体" w:cs="宋体"/>
          <w:b/>
          <w:bCs/>
          <w:color w:val="auto"/>
          <w:sz w:val="24"/>
          <w:szCs w:val="24"/>
          <w:highlight w:val="none"/>
        </w:rPr>
      </w:pPr>
      <w:r>
        <w:rPr>
          <w:rFonts w:hint="eastAsia" w:ascii="宋体" w:hAnsi="宋体" w:eastAsia="宋体" w:cs="宋体"/>
          <w:color w:val="auto"/>
          <w:sz w:val="24"/>
          <w:szCs w:val="24"/>
          <w:highlight w:val="none"/>
        </w:rPr>
        <w:t>附件、                        安全生产合同</w:t>
      </w:r>
    </w:p>
    <w:p w14:paraId="23D5F074">
      <w:pPr>
        <w:pageBreakBefore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发包人：</w:t>
      </w:r>
      <w:r>
        <w:rPr>
          <w:rFonts w:hint="eastAsia" w:ascii="宋体" w:hAnsi="宋体" w:eastAsia="宋体" w:cs="宋体"/>
          <w:color w:val="auto"/>
          <w:sz w:val="24"/>
          <w:szCs w:val="24"/>
          <w:highlight w:val="none"/>
          <w:u w:val="single"/>
        </w:rPr>
        <w:t xml:space="preserve"> </w:t>
      </w:r>
      <w:r>
        <w:rPr>
          <w:rFonts w:hint="eastAsia" w:ascii="宋体" w:hAnsi="宋体"/>
          <w:color w:val="auto"/>
          <w:sz w:val="24"/>
          <w:szCs w:val="24"/>
          <w:highlight w:val="none"/>
          <w:u w:val="single"/>
          <w:lang w:eastAsia="zh-CN"/>
        </w:rPr>
        <w:t>南通市通州区东社镇人民政府</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46FEB319">
      <w:pPr>
        <w:pageBreakBefore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54404559">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为在</w:t>
      </w:r>
      <w:r>
        <w:rPr>
          <w:rFonts w:hint="eastAsia" w:ascii="宋体" w:hAnsi="宋体" w:eastAsia="宋体" w:cs="宋体"/>
          <w:color w:val="auto"/>
          <w:sz w:val="24"/>
          <w:szCs w:val="24"/>
          <w:highlight w:val="none"/>
          <w:u w:val="single"/>
        </w:rPr>
        <w:t xml:space="preserve"> </w:t>
      </w:r>
      <w:r>
        <w:rPr>
          <w:rFonts w:hint="eastAsia" w:ascii="宋体" w:hAnsi="宋体"/>
          <w:color w:val="auto"/>
          <w:sz w:val="24"/>
          <w:szCs w:val="24"/>
          <w:highlight w:val="none"/>
          <w:u w:val="single"/>
          <w:lang w:eastAsia="zh-CN"/>
        </w:rPr>
        <w:t>南通市通州区东社镇社北路道路工程</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施工合同的实施过程中创造安全、整洁的施工环境，切实搞好本项目的安全管理工作，本项目发包人与承包人特此签订安全生产合同：</w:t>
      </w:r>
    </w:p>
    <w:p w14:paraId="38503A3D">
      <w:pPr>
        <w:pageBreakBefore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 xml:space="preserve">一、发包人职责 </w:t>
      </w:r>
    </w:p>
    <w:p w14:paraId="1E5436C1">
      <w:pPr>
        <w:pageBreakBefore w:val="0"/>
        <w:numPr>
          <w:ilvl w:val="0"/>
          <w:numId w:val="6"/>
        </w:numPr>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严格遵守国家有关安全生产的法律法规、认真执行工程承包合同中的有关安全要求。</w:t>
      </w:r>
    </w:p>
    <w:p w14:paraId="343CF6BB">
      <w:pPr>
        <w:pageBreakBefore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2．按照“安全</w:t>
      </w:r>
      <w:r>
        <w:rPr>
          <w:rFonts w:hint="eastAsia" w:ascii="宋体" w:hAnsi="宋体" w:eastAsia="宋体" w:cs="宋体"/>
          <w:color w:val="auto"/>
          <w:sz w:val="24"/>
          <w:szCs w:val="24"/>
          <w:highlight w:val="none"/>
          <w:lang w:eastAsia="zh-CN"/>
        </w:rPr>
        <w:t>第一，</w:t>
      </w:r>
      <w:r>
        <w:rPr>
          <w:rFonts w:hint="eastAsia" w:ascii="宋体" w:hAnsi="宋体" w:eastAsia="宋体" w:cs="宋体"/>
          <w:color w:val="auto"/>
          <w:sz w:val="24"/>
          <w:szCs w:val="24"/>
          <w:highlight w:val="none"/>
        </w:rPr>
        <w:t>预防为主”和坚持“管生产必须管安全”的原则进行安全生产管理，做到生产与安全工作同时计划、布置、检查、总结和评比。</w:t>
      </w:r>
    </w:p>
    <w:p w14:paraId="30073E1C">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3.重要的安全设施必须坚持与主体工程“三同时”的原则，即：同时设计、审批，同时施工，同时验收，投入使用。</w:t>
      </w:r>
    </w:p>
    <w:p w14:paraId="6DD4053B">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4.定期召开安全生产调度会，及时传达中央及地方有关安全生产的精神。</w:t>
      </w:r>
    </w:p>
    <w:p w14:paraId="386592CD">
      <w:pPr>
        <w:pageBreakBefore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5.组织对承包人施工现场安全生产检查，监督</w:t>
      </w:r>
      <w:r>
        <w:rPr>
          <w:rFonts w:hint="eastAsia" w:ascii="宋体" w:hAnsi="宋体" w:eastAsia="宋体" w:cs="宋体"/>
          <w:color w:val="auto"/>
          <w:sz w:val="24"/>
          <w:szCs w:val="24"/>
          <w:highlight w:val="none"/>
          <w:lang w:eastAsia="zh-CN"/>
        </w:rPr>
        <w:t>承包人</w:t>
      </w:r>
      <w:r>
        <w:rPr>
          <w:rFonts w:hint="eastAsia" w:ascii="宋体" w:hAnsi="宋体" w:eastAsia="宋体" w:cs="宋体"/>
          <w:color w:val="auto"/>
          <w:sz w:val="24"/>
          <w:szCs w:val="24"/>
          <w:highlight w:val="none"/>
        </w:rPr>
        <w:t>及时处理发现的各项隐患。</w:t>
      </w:r>
    </w:p>
    <w:p w14:paraId="685F7FC1">
      <w:pPr>
        <w:pageBreakBefore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二、承包人职责</w:t>
      </w:r>
    </w:p>
    <w:p w14:paraId="053E2E4C">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1．严格遵守国家有关安全生产的法律法规和有关安全生产的规定，认真执行工程承包合同中的有关安全要求。</w:t>
      </w:r>
    </w:p>
    <w:p w14:paraId="7490548C">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2．坚持“安全</w:t>
      </w:r>
      <w:r>
        <w:rPr>
          <w:rFonts w:hint="eastAsia" w:ascii="宋体" w:hAnsi="宋体" w:eastAsia="宋体" w:cs="宋体"/>
          <w:color w:val="auto"/>
          <w:sz w:val="24"/>
          <w:szCs w:val="24"/>
          <w:highlight w:val="none"/>
          <w:lang w:eastAsia="zh-CN"/>
        </w:rPr>
        <w:t>第一，</w:t>
      </w:r>
      <w:r>
        <w:rPr>
          <w:rFonts w:hint="eastAsia" w:ascii="宋体" w:hAnsi="宋体" w:eastAsia="宋体" w:cs="宋体"/>
          <w:color w:val="auto"/>
          <w:sz w:val="24"/>
          <w:szCs w:val="24"/>
          <w:highlight w:val="none"/>
        </w:rPr>
        <w:t>预防为主”和坚持“管生产必须管安全”的原则，加强安全生产宣传教育，增强安全员安全生产意识，建立健全各项安全生产的管理机构和安全生产管理制度，配备专职及兼职安全检查人员，有组织有领导地开展安全生产活动。各级领导、工程技术人员、生产管理人员和具体操作人员，必须熟悉和遵守本条款的各项规定，做到生产与安全工作同时计划、布置、检查、总结和评比。</w:t>
      </w:r>
    </w:p>
    <w:p w14:paraId="21821E71">
      <w:pPr>
        <w:pageBreakBefore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3．建立健全安全生产责任制。从派往项目实施的项目经理到生产工人（包括临时雇请的民工）的安全生产管理系统必须做到纵向到底，一环不漏；各职能部门、人员的安全生产责任制做到横向到边，人人有责。项目经理是安全生产的第一责任人。现场设置的安全机构，应按施工人员1%-3%配备安全员，专职负责所有员工的安全和治安保卫工作及预防事故的发生。安全机构人员，有权按有关规定发布指令，并采取保护性措施防止事故发生。</w:t>
      </w:r>
    </w:p>
    <w:p w14:paraId="6721ECD8">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4．承包人在任何时候都应采取各种合理的预防措施，防止其员工发生任何违法、违禁、暴力或妨碍治安的行为。</w:t>
      </w:r>
    </w:p>
    <w:p w14:paraId="2F7D2348">
      <w:pPr>
        <w:pageBreakBefore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5．承包人必须具有劳动安全管理部门颁发的安全生产证书，参加施工的人员，必须接受安全技术教育，熟知和遵守本工种的各项安全技术操作规程，定期进行安全技术考核，合格者方准上岗操作。对于从事电气、起重、建筑</w:t>
      </w:r>
      <w:r>
        <w:rPr>
          <w:rFonts w:hint="eastAsia" w:ascii="宋体" w:hAnsi="宋体" w:eastAsia="宋体" w:cs="宋体"/>
          <w:color w:val="auto"/>
          <w:sz w:val="24"/>
          <w:szCs w:val="24"/>
          <w:highlight w:val="none"/>
          <w:lang w:val="en-US" w:eastAsia="zh-CN"/>
        </w:rPr>
        <w:t>登</w:t>
      </w:r>
      <w:r>
        <w:rPr>
          <w:rFonts w:hint="eastAsia" w:ascii="宋体" w:hAnsi="宋体" w:eastAsia="宋体" w:cs="宋体"/>
          <w:color w:val="auto"/>
          <w:sz w:val="24"/>
          <w:szCs w:val="24"/>
          <w:highlight w:val="none"/>
        </w:rPr>
        <w:t>高架设作业、锅炉、压力容器、焊接、机动车船驾驶、爆破、潜水、瓦斯检验等特殊工种的人员。经过专业培训，获得《安全操作合格证》后，方准持证上岗。施工现场如出现特种作业无证操作现象时，项目经理必须承担管理责任。</w:t>
      </w:r>
    </w:p>
    <w:p w14:paraId="17634851">
      <w:pPr>
        <w:pageBreakBefore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6．对于易燃易爆的材料除应专门妥善保管之外，还应配备有足够的消防设施，所有施工人员都应熟悉消防设备的性能和使用方法；承包人不得将任何种类的爆炸物给予、易货或以其他方式转让给任何其他人，或允许、容忍上述同样行为。</w:t>
      </w:r>
    </w:p>
    <w:p w14:paraId="042EACDF">
      <w:pPr>
        <w:pageBreakBefore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7．操作人员上岗，必须按规定穿戴防护用品。施工负责人和安全检查员应随时检查劳动防护用品的穿戴情况，不按规定穿戴防护用品的人员不得上岗。</w:t>
      </w:r>
    </w:p>
    <w:p w14:paraId="334459CE">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8.所有施工机具设备和高空作业的设备均应定期检查，并有安全员的签字记录，保证其经常处于完好状态；不合格的机具、设备和劳动保护用品严禁使用。</w:t>
      </w:r>
    </w:p>
    <w:p w14:paraId="06CB1A8C">
      <w:pPr>
        <w:pageBreakBefore w:val="0"/>
        <w:kinsoku/>
        <w:wordWrap/>
        <w:overflowPunct/>
        <w:topLinePunct w:val="0"/>
        <w:autoSpaceDE/>
        <w:autoSpaceDN/>
        <w:bidi w:val="0"/>
        <w:adjustRightInd w:val="0"/>
        <w:snapToGrid w:val="0"/>
        <w:spacing w:line="360" w:lineRule="auto"/>
        <w:ind w:left="0" w:firstLine="420"/>
        <w:textAlignment w:val="auto"/>
        <w:rPr>
          <w:rFonts w:hint="default" w:ascii="Calibri" w:hAnsi="Calibri" w:eastAsia="宋体"/>
          <w:color w:val="auto"/>
          <w:sz w:val="24"/>
          <w:szCs w:val="24"/>
          <w:highlight w:val="none"/>
        </w:rPr>
      </w:pPr>
      <w:r>
        <w:rPr>
          <w:rFonts w:hint="eastAsia" w:ascii="宋体" w:hAnsi="宋体" w:eastAsia="宋体" w:cs="宋体"/>
          <w:color w:val="auto"/>
          <w:sz w:val="24"/>
          <w:szCs w:val="24"/>
          <w:highlight w:val="none"/>
        </w:rPr>
        <w:t>9．施工中采用新技术、新工艺、新设备、新材料时，必须制定相应的安全技术措施，施工现场必须具有相关的安全标志牌。</w:t>
      </w:r>
    </w:p>
    <w:p w14:paraId="1DFFA835">
      <w:pPr>
        <w:pageBreakBefore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10．承包人必须按照本工程项目特点，组织制定本工程实施中的生产安全事故应急救援预案；如果发生安全事故，应按照《国务院关于特大安全事故行政责任追究的规定》以及其它有关规定，及时上报有关部门，并坚持“三不放过”的原则，严肃处理相关责任人。</w:t>
      </w:r>
    </w:p>
    <w:p w14:paraId="75507D5E">
      <w:pPr>
        <w:pageBreakBefore w:val="0"/>
        <w:numPr>
          <w:ilvl w:val="0"/>
          <w:numId w:val="7"/>
        </w:numPr>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违约责任</w:t>
      </w:r>
    </w:p>
    <w:p w14:paraId="04E4F443">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如因发包人或承包人违约造成安全事故，将依法追究责任。</w:t>
      </w:r>
    </w:p>
    <w:p w14:paraId="70AB7AA1">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本合同正本一式二份，副本八份，合同双方各执正本一份，副本四份。由双方法定代表人或其授权的代理人签署与加盖公章后生效，全部工程竣工验收后失效。</w:t>
      </w:r>
    </w:p>
    <w:p w14:paraId="256F9BD3">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s="宋体"/>
          <w:color w:val="auto"/>
          <w:sz w:val="24"/>
          <w:szCs w:val="24"/>
          <w:highlight w:val="none"/>
        </w:rPr>
      </w:pPr>
    </w:p>
    <w:p w14:paraId="1C6C57A9">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发包人：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公章</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 xml:space="preserve">                     承 包 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公章</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 xml:space="preserve"> </w:t>
      </w:r>
    </w:p>
    <w:p w14:paraId="0C2AF01C">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法定代表人：                 </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法定代表人： </w:t>
      </w:r>
    </w:p>
    <w:p w14:paraId="334D4A26">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委托代表人：                   </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委托代表人：</w:t>
      </w:r>
    </w:p>
    <w:p w14:paraId="0B84529A">
      <w:pPr>
        <w:pageBreakBefore w:val="0"/>
        <w:kinsoku/>
        <w:wordWrap/>
        <w:overflowPunct/>
        <w:topLinePunct w:val="0"/>
        <w:autoSpaceDE/>
        <w:autoSpaceDN/>
        <w:bidi w:val="0"/>
        <w:adjustRightInd w:val="0"/>
        <w:snapToGrid w:val="0"/>
        <w:spacing w:line="360" w:lineRule="auto"/>
        <w:ind w:left="0" w:firstLine="1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年 月 日                     </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年 月 日</w:t>
      </w:r>
    </w:p>
    <w:p w14:paraId="29EE45C2">
      <w:pPr>
        <w:rPr>
          <w:rFonts w:hint="eastAsia" w:ascii="宋体" w:hAnsi="宋体" w:eastAsia="宋体" w:cs="Times New Roman"/>
          <w:b/>
          <w:color w:val="auto"/>
          <w:kern w:val="0"/>
          <w:sz w:val="24"/>
          <w:szCs w:val="24"/>
          <w:highlight w:val="none"/>
          <w:lang w:val="en-US" w:eastAsia="zh-CN"/>
        </w:rPr>
      </w:pPr>
      <w:r>
        <w:rPr>
          <w:rFonts w:hint="eastAsia" w:ascii="宋体" w:hAnsi="宋体" w:eastAsia="宋体" w:cs="Times New Roman"/>
          <w:b/>
          <w:color w:val="auto"/>
          <w:kern w:val="0"/>
          <w:sz w:val="24"/>
          <w:szCs w:val="24"/>
          <w:highlight w:val="none"/>
          <w:lang w:val="en-US" w:eastAsia="zh-CN"/>
        </w:rPr>
        <w:br w:type="page"/>
      </w:r>
    </w:p>
    <w:p w14:paraId="4083D5DF">
      <w:pPr>
        <w:pageBreakBefore w:val="0"/>
        <w:kinsoku/>
        <w:wordWrap/>
        <w:overflowPunct/>
        <w:topLinePunct w:val="0"/>
        <w:autoSpaceDE/>
        <w:autoSpaceDN/>
        <w:bidi w:val="0"/>
        <w:adjustRightInd w:val="0"/>
        <w:snapToGrid w:val="0"/>
        <w:spacing w:line="360" w:lineRule="auto"/>
        <w:ind w:left="0"/>
        <w:jc w:val="both"/>
        <w:textAlignment w:val="auto"/>
        <w:rPr>
          <w:rFonts w:hint="default" w:ascii="宋体" w:hAnsi="宋体" w:eastAsia="宋体" w:cs="Times New Roman"/>
          <w:b/>
          <w:color w:val="auto"/>
          <w:kern w:val="0"/>
          <w:sz w:val="24"/>
          <w:szCs w:val="24"/>
          <w:highlight w:val="none"/>
          <w:lang w:val="en-US" w:eastAsia="zh-CN"/>
        </w:rPr>
      </w:pPr>
      <w:r>
        <w:rPr>
          <w:rFonts w:hint="eastAsia" w:ascii="宋体" w:hAnsi="宋体" w:eastAsia="宋体" w:cs="Times New Roman"/>
          <w:b/>
          <w:color w:val="auto"/>
          <w:kern w:val="0"/>
          <w:sz w:val="24"/>
          <w:szCs w:val="24"/>
          <w:highlight w:val="none"/>
          <w:lang w:val="en-US" w:eastAsia="zh-CN"/>
        </w:rPr>
        <w:t>附件3</w:t>
      </w:r>
    </w:p>
    <w:p w14:paraId="769AFD04">
      <w:pPr>
        <w:pageBreakBefore w:val="0"/>
        <w:kinsoku/>
        <w:wordWrap/>
        <w:overflowPunct/>
        <w:topLinePunct w:val="0"/>
        <w:autoSpaceDE/>
        <w:autoSpaceDN/>
        <w:bidi w:val="0"/>
        <w:adjustRightInd w:val="0"/>
        <w:snapToGrid w:val="0"/>
        <w:spacing w:line="360" w:lineRule="auto"/>
        <w:ind w:left="0"/>
        <w:jc w:val="center"/>
        <w:textAlignment w:val="auto"/>
        <w:rPr>
          <w:rFonts w:hint="eastAsia" w:ascii="宋体" w:hAnsi="宋体" w:eastAsia="宋体" w:cs="Times New Roman"/>
          <w:b/>
          <w:color w:val="auto"/>
          <w:kern w:val="0"/>
          <w:sz w:val="24"/>
          <w:szCs w:val="24"/>
          <w:highlight w:val="none"/>
        </w:rPr>
      </w:pPr>
      <w:r>
        <w:rPr>
          <w:rFonts w:hint="eastAsia" w:ascii="宋体" w:hAnsi="宋体" w:eastAsia="宋体" w:cs="Times New Roman"/>
          <w:b/>
          <w:color w:val="auto"/>
          <w:kern w:val="0"/>
          <w:sz w:val="24"/>
          <w:szCs w:val="24"/>
          <w:highlight w:val="none"/>
        </w:rPr>
        <w:t>工程质量保修书</w:t>
      </w:r>
    </w:p>
    <w:p w14:paraId="0EA69AD0">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s="Times New Roman"/>
          <w:color w:val="auto"/>
          <w:kern w:val="0"/>
          <w:sz w:val="24"/>
          <w:szCs w:val="24"/>
          <w:highlight w:val="none"/>
          <w:u w:val="single"/>
        </w:rPr>
      </w:pPr>
      <w:r>
        <w:rPr>
          <w:rFonts w:hint="eastAsia" w:ascii="宋体" w:hAnsi="宋体" w:eastAsia="宋体" w:cs="Times New Roman"/>
          <w:color w:val="auto"/>
          <w:kern w:val="0"/>
          <w:sz w:val="24"/>
          <w:szCs w:val="24"/>
          <w:highlight w:val="none"/>
        </w:rPr>
        <w:t>发包人（全称）：</w:t>
      </w:r>
      <w:r>
        <w:rPr>
          <w:rFonts w:hint="eastAsia" w:ascii="宋体" w:hAnsi="宋体" w:eastAsia="宋体" w:cs="Times New Roman"/>
          <w:color w:val="auto"/>
          <w:kern w:val="0"/>
          <w:sz w:val="24"/>
          <w:szCs w:val="24"/>
          <w:highlight w:val="none"/>
          <w:u w:val="single"/>
        </w:rPr>
        <w:t xml:space="preserve"> </w:t>
      </w:r>
    </w:p>
    <w:p w14:paraId="0DF56DFD">
      <w:pPr>
        <w:pageBreakBefore w:val="0"/>
        <w:kinsoku/>
        <w:wordWrap/>
        <w:overflowPunct/>
        <w:topLinePunct w:val="0"/>
        <w:autoSpaceDE/>
        <w:autoSpaceDN/>
        <w:bidi w:val="0"/>
        <w:adjustRightInd w:val="0"/>
        <w:snapToGrid w:val="0"/>
        <w:spacing w:line="360" w:lineRule="auto"/>
        <w:ind w:left="0"/>
        <w:textAlignment w:val="auto"/>
        <w:rPr>
          <w:rFonts w:hint="eastAsia"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　　承包人（全称）：</w:t>
      </w:r>
      <w:r>
        <w:rPr>
          <w:rFonts w:hint="eastAsia" w:ascii="宋体" w:hAnsi="宋体" w:eastAsia="宋体" w:cs="Times New Roman"/>
          <w:color w:val="auto"/>
          <w:kern w:val="0"/>
          <w:sz w:val="24"/>
          <w:szCs w:val="24"/>
          <w:highlight w:val="none"/>
          <w:u w:val="single"/>
        </w:rPr>
        <w:t xml:space="preserve">                           </w:t>
      </w:r>
    </w:p>
    <w:p w14:paraId="7939BDE1">
      <w:pPr>
        <w:pageBreakBefore w:val="0"/>
        <w:kinsoku/>
        <w:wordWrap/>
        <w:overflowPunct/>
        <w:topLinePunct w:val="0"/>
        <w:autoSpaceDE/>
        <w:autoSpaceDN/>
        <w:bidi w:val="0"/>
        <w:adjustRightInd w:val="0"/>
        <w:snapToGrid w:val="0"/>
        <w:spacing w:line="360" w:lineRule="auto"/>
        <w:ind w:left="0"/>
        <w:textAlignment w:val="auto"/>
        <w:rPr>
          <w:rFonts w:hint="eastAsia"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　　发包人和承包人根据《中华人民共和国建筑法》和《建设工程质量管理条例》，经协商一致就</w:t>
      </w:r>
      <w:r>
        <w:rPr>
          <w:rFonts w:hint="eastAsia" w:ascii="宋体" w:hAnsi="宋体" w:eastAsia="宋体" w:cs="Times New Roman"/>
          <w:color w:val="auto"/>
          <w:kern w:val="0"/>
          <w:sz w:val="24"/>
          <w:szCs w:val="24"/>
          <w:highlight w:val="none"/>
          <w:u w:val="single"/>
        </w:rPr>
        <w:t xml:space="preserve"> </w:t>
      </w:r>
      <w:r>
        <w:rPr>
          <w:rFonts w:hint="eastAsia" w:ascii="宋体" w:hAnsi="宋体" w:eastAsia="宋体" w:cs="Times New Roman"/>
          <w:color w:val="auto"/>
          <w:kern w:val="0"/>
          <w:sz w:val="24"/>
          <w:szCs w:val="24"/>
          <w:highlight w:val="none"/>
          <w:u w:val="single"/>
          <w:lang w:val="en-US" w:eastAsia="zh-CN"/>
        </w:rPr>
        <w:t xml:space="preserve">                        </w:t>
      </w:r>
      <w:r>
        <w:rPr>
          <w:rFonts w:hint="eastAsia" w:ascii="宋体" w:hAnsi="宋体" w:eastAsia="宋体" w:cs="Times New Roman"/>
          <w:color w:val="auto"/>
          <w:kern w:val="0"/>
          <w:sz w:val="24"/>
          <w:szCs w:val="24"/>
          <w:highlight w:val="none"/>
          <w:u w:val="single"/>
        </w:rPr>
        <w:t xml:space="preserve"> </w:t>
      </w:r>
      <w:r>
        <w:rPr>
          <w:rFonts w:hint="eastAsia" w:ascii="宋体" w:hAnsi="宋体" w:eastAsia="宋体" w:cs="Times New Roman"/>
          <w:color w:val="auto"/>
          <w:kern w:val="0"/>
          <w:sz w:val="24"/>
          <w:szCs w:val="24"/>
          <w:highlight w:val="none"/>
        </w:rPr>
        <w:t>签订工程质量保修书。</w:t>
      </w:r>
    </w:p>
    <w:p w14:paraId="320460E4">
      <w:pPr>
        <w:pageBreakBefore w:val="0"/>
        <w:kinsoku/>
        <w:wordWrap/>
        <w:overflowPunct/>
        <w:topLinePunct w:val="0"/>
        <w:autoSpaceDE/>
        <w:autoSpaceDN/>
        <w:bidi w:val="0"/>
        <w:adjustRightInd w:val="0"/>
        <w:snapToGrid w:val="0"/>
        <w:spacing w:line="360" w:lineRule="auto"/>
        <w:ind w:left="0"/>
        <w:textAlignment w:val="auto"/>
        <w:outlineLvl w:val="0"/>
        <w:rPr>
          <w:rFonts w:hint="eastAsia"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　　</w:t>
      </w:r>
      <w:bookmarkStart w:id="735" w:name="_Toc2372"/>
      <w:r>
        <w:rPr>
          <w:rFonts w:hint="eastAsia" w:ascii="宋体" w:hAnsi="宋体" w:eastAsia="宋体" w:cs="Times New Roman"/>
          <w:color w:val="auto"/>
          <w:kern w:val="0"/>
          <w:sz w:val="24"/>
          <w:szCs w:val="24"/>
          <w:highlight w:val="none"/>
        </w:rPr>
        <w:t>一、工程质量保修范围和内容</w:t>
      </w:r>
      <w:bookmarkEnd w:id="735"/>
    </w:p>
    <w:p w14:paraId="3C5A28DC">
      <w:pPr>
        <w:pageBreakBefore w:val="0"/>
        <w:kinsoku/>
        <w:wordWrap/>
        <w:overflowPunct/>
        <w:topLinePunct w:val="0"/>
        <w:autoSpaceDE/>
        <w:autoSpaceDN/>
        <w:bidi w:val="0"/>
        <w:adjustRightInd w:val="0"/>
        <w:snapToGrid w:val="0"/>
        <w:spacing w:line="360" w:lineRule="auto"/>
        <w:ind w:left="0"/>
        <w:textAlignment w:val="auto"/>
        <w:rPr>
          <w:rFonts w:hint="eastAsia"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　　承包人在质量保修期内，按照有关法律规定和合同约定，承担工程质量保修责任。</w:t>
      </w:r>
    </w:p>
    <w:p w14:paraId="2C7880B6">
      <w:pPr>
        <w:pageBreakBefore w:val="0"/>
        <w:kinsoku/>
        <w:wordWrap/>
        <w:overflowPunct/>
        <w:topLinePunct w:val="0"/>
        <w:autoSpaceDE/>
        <w:autoSpaceDN/>
        <w:bidi w:val="0"/>
        <w:adjustRightInd w:val="0"/>
        <w:snapToGrid w:val="0"/>
        <w:spacing w:line="360" w:lineRule="auto"/>
        <w:ind w:left="0"/>
        <w:textAlignment w:val="auto"/>
        <w:rPr>
          <w:rFonts w:hint="eastAsia"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　　质量保修范围包括</w:t>
      </w:r>
      <w:r>
        <w:rPr>
          <w:rFonts w:hint="eastAsia" w:ascii="宋体" w:hAnsi="宋体" w:eastAsia="宋体" w:cs="Times New Roman"/>
          <w:color w:val="auto"/>
          <w:kern w:val="0"/>
          <w:sz w:val="24"/>
          <w:szCs w:val="24"/>
          <w:highlight w:val="none"/>
          <w:u w:val="single"/>
        </w:rPr>
        <w:t xml:space="preserve">        </w:t>
      </w:r>
      <w:r>
        <w:rPr>
          <w:rFonts w:hint="eastAsia" w:ascii="宋体" w:hAnsi="宋体" w:eastAsia="宋体" w:cs="Times New Roman"/>
          <w:color w:val="auto"/>
          <w:kern w:val="0"/>
          <w:sz w:val="24"/>
          <w:szCs w:val="24"/>
          <w:highlight w:val="none"/>
        </w:rPr>
        <w:t>，以及双方约定的其他项目。具体保修的内容，双方约定如下：</w:t>
      </w:r>
    </w:p>
    <w:p w14:paraId="12E7B3F9">
      <w:pPr>
        <w:pageBreakBefore w:val="0"/>
        <w:kinsoku/>
        <w:wordWrap/>
        <w:overflowPunct/>
        <w:topLinePunct w:val="0"/>
        <w:autoSpaceDE/>
        <w:autoSpaceDN/>
        <w:bidi w:val="0"/>
        <w:adjustRightInd w:val="0"/>
        <w:snapToGrid w:val="0"/>
        <w:spacing w:line="360" w:lineRule="auto"/>
        <w:ind w:left="0"/>
        <w:textAlignment w:val="auto"/>
        <w:rPr>
          <w:rFonts w:hint="eastAsia"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　</w:t>
      </w:r>
      <w:r>
        <w:rPr>
          <w:rFonts w:hint="eastAsia" w:ascii="宋体" w:hAnsi="宋体" w:eastAsia="宋体" w:cs="Times New Roman"/>
          <w:color w:val="auto"/>
          <w:kern w:val="0"/>
          <w:sz w:val="24"/>
          <w:szCs w:val="24"/>
          <w:highlight w:val="none"/>
          <w:u w:val="single"/>
        </w:rPr>
        <w:t xml:space="preserve">  详见工程量清单及本工程竣工后实际完成的所有工作内容    </w:t>
      </w:r>
      <w:r>
        <w:rPr>
          <w:rFonts w:hint="eastAsia" w:ascii="宋体" w:hAnsi="宋体" w:eastAsia="宋体" w:cs="Times New Roman"/>
          <w:color w:val="auto"/>
          <w:kern w:val="0"/>
          <w:sz w:val="24"/>
          <w:szCs w:val="24"/>
          <w:highlight w:val="none"/>
        </w:rPr>
        <w:t>。</w:t>
      </w:r>
    </w:p>
    <w:p w14:paraId="4A015ED7">
      <w:pPr>
        <w:pageBreakBefore w:val="0"/>
        <w:kinsoku/>
        <w:wordWrap/>
        <w:overflowPunct/>
        <w:topLinePunct w:val="0"/>
        <w:autoSpaceDE/>
        <w:autoSpaceDN/>
        <w:bidi w:val="0"/>
        <w:adjustRightInd w:val="0"/>
        <w:snapToGrid w:val="0"/>
        <w:spacing w:line="360" w:lineRule="auto"/>
        <w:ind w:left="0"/>
        <w:textAlignment w:val="auto"/>
        <w:outlineLvl w:val="0"/>
        <w:rPr>
          <w:rFonts w:hint="eastAsia" w:ascii="宋体" w:hAnsi="宋体" w:eastAsia="宋体" w:cs="Times New Roman"/>
          <w:color w:val="auto"/>
          <w:kern w:val="0"/>
          <w:sz w:val="24"/>
          <w:szCs w:val="24"/>
          <w:highlight w:val="none"/>
        </w:rPr>
      </w:pPr>
      <w:r>
        <w:rPr>
          <w:rFonts w:hint="eastAsia" w:ascii="宋体" w:hAnsi="宋体" w:eastAsia="宋体" w:cs="Times New Roman"/>
          <w:b/>
          <w:color w:val="auto"/>
          <w:kern w:val="0"/>
          <w:sz w:val="24"/>
          <w:szCs w:val="24"/>
          <w:highlight w:val="none"/>
        </w:rPr>
        <w:t>　　</w:t>
      </w:r>
      <w:bookmarkStart w:id="736" w:name="_Toc29208"/>
      <w:r>
        <w:rPr>
          <w:rFonts w:hint="eastAsia" w:ascii="宋体" w:hAnsi="宋体" w:eastAsia="宋体" w:cs="Times New Roman"/>
          <w:color w:val="auto"/>
          <w:kern w:val="0"/>
          <w:sz w:val="24"/>
          <w:szCs w:val="24"/>
          <w:highlight w:val="none"/>
        </w:rPr>
        <w:t>二、质量保修期</w:t>
      </w:r>
      <w:bookmarkEnd w:id="736"/>
    </w:p>
    <w:p w14:paraId="489ED723">
      <w:pPr>
        <w:spacing w:line="400" w:lineRule="exact"/>
        <w:ind w:firstLine="480"/>
        <w:rPr>
          <w:rFonts w:hint="eastAsia"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根据《建设工程质量管理条例》及有关规定，工程的质量保修期如下：</w:t>
      </w:r>
    </w:p>
    <w:p w14:paraId="20548EE6">
      <w:pPr>
        <w:spacing w:line="400" w:lineRule="exact"/>
        <w:ind w:firstLine="480"/>
        <w:rPr>
          <w:rFonts w:hint="eastAsia"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 xml:space="preserve"> 1．地基基础工程和主体结构工程为设计文件规定的工程合理使用年限；</w:t>
      </w:r>
    </w:p>
    <w:p w14:paraId="598D3E7D">
      <w:pPr>
        <w:spacing w:line="400" w:lineRule="exact"/>
        <w:ind w:firstLine="480"/>
        <w:rPr>
          <w:rFonts w:hint="eastAsia"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 xml:space="preserve"> 2．屋面防水工程、有防水要求的卫生间、房间和外墙面的防渗为</w:t>
      </w:r>
      <w:r>
        <w:rPr>
          <w:rFonts w:hint="eastAsia" w:ascii="宋体" w:hAnsi="宋体" w:eastAsia="宋体" w:cs="Times New Roman"/>
          <w:color w:val="auto"/>
          <w:kern w:val="0"/>
          <w:sz w:val="24"/>
          <w:szCs w:val="24"/>
          <w:highlight w:val="none"/>
          <w:u w:val="single"/>
        </w:rPr>
        <w:t xml:space="preserve">    </w:t>
      </w:r>
      <w:r>
        <w:rPr>
          <w:rFonts w:hint="eastAsia" w:ascii="宋体" w:hAnsi="宋体" w:eastAsia="宋体" w:cs="Times New Roman"/>
          <w:color w:val="auto"/>
          <w:kern w:val="0"/>
          <w:sz w:val="24"/>
          <w:szCs w:val="24"/>
          <w:highlight w:val="none"/>
        </w:rPr>
        <w:t>年；</w:t>
      </w:r>
    </w:p>
    <w:p w14:paraId="4BEF96B6">
      <w:pPr>
        <w:spacing w:line="400" w:lineRule="exact"/>
        <w:ind w:left="420" w:firstLine="120"/>
        <w:rPr>
          <w:rFonts w:hint="eastAsia"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3．装修工程为</w:t>
      </w:r>
      <w:r>
        <w:rPr>
          <w:rFonts w:hint="eastAsia" w:ascii="宋体" w:hAnsi="宋体" w:eastAsia="宋体" w:cs="Times New Roman"/>
          <w:color w:val="auto"/>
          <w:kern w:val="0"/>
          <w:sz w:val="24"/>
          <w:szCs w:val="24"/>
          <w:highlight w:val="none"/>
          <w:u w:val="single"/>
        </w:rPr>
        <w:t xml:space="preserve">   </w:t>
      </w:r>
      <w:r>
        <w:rPr>
          <w:rFonts w:hint="eastAsia" w:ascii="宋体" w:hAnsi="宋体" w:eastAsia="宋体" w:cs="Times New Roman"/>
          <w:color w:val="auto"/>
          <w:kern w:val="0"/>
          <w:sz w:val="24"/>
          <w:szCs w:val="24"/>
          <w:highlight w:val="none"/>
        </w:rPr>
        <w:t>年；</w:t>
      </w:r>
    </w:p>
    <w:p w14:paraId="1DF0411A">
      <w:pPr>
        <w:spacing w:line="400" w:lineRule="exact"/>
        <w:ind w:left="420" w:firstLine="120"/>
        <w:rPr>
          <w:rFonts w:hint="eastAsia"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4．电气管线、给排水管道、设备安装工程为</w:t>
      </w:r>
      <w:r>
        <w:rPr>
          <w:rFonts w:hint="eastAsia" w:ascii="宋体" w:hAnsi="宋体" w:eastAsia="宋体" w:cs="Times New Roman"/>
          <w:color w:val="auto"/>
          <w:kern w:val="0"/>
          <w:sz w:val="24"/>
          <w:szCs w:val="24"/>
          <w:highlight w:val="none"/>
          <w:u w:val="single"/>
        </w:rPr>
        <w:t xml:space="preserve">     </w:t>
      </w:r>
      <w:r>
        <w:rPr>
          <w:rFonts w:hint="eastAsia" w:ascii="宋体" w:hAnsi="宋体" w:eastAsia="宋体" w:cs="Times New Roman"/>
          <w:color w:val="auto"/>
          <w:kern w:val="0"/>
          <w:sz w:val="24"/>
          <w:szCs w:val="24"/>
          <w:highlight w:val="none"/>
        </w:rPr>
        <w:t>年；</w:t>
      </w:r>
    </w:p>
    <w:p w14:paraId="42BA3B50">
      <w:pPr>
        <w:spacing w:line="400" w:lineRule="exact"/>
        <w:ind w:left="420" w:firstLine="120"/>
        <w:rPr>
          <w:rFonts w:hint="eastAsia"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5．供热与供冷系统为</w:t>
      </w:r>
      <w:r>
        <w:rPr>
          <w:rFonts w:hint="eastAsia" w:ascii="宋体" w:hAnsi="宋体" w:eastAsia="宋体" w:cs="Times New Roman"/>
          <w:color w:val="auto"/>
          <w:kern w:val="0"/>
          <w:sz w:val="24"/>
          <w:szCs w:val="24"/>
          <w:highlight w:val="none"/>
          <w:u w:val="single"/>
        </w:rPr>
        <w:t xml:space="preserve">    </w:t>
      </w:r>
      <w:r>
        <w:rPr>
          <w:rFonts w:hint="eastAsia" w:ascii="宋体" w:hAnsi="宋体" w:eastAsia="宋体" w:cs="Times New Roman"/>
          <w:color w:val="auto"/>
          <w:kern w:val="0"/>
          <w:sz w:val="24"/>
          <w:szCs w:val="24"/>
          <w:highlight w:val="none"/>
        </w:rPr>
        <w:t>个采暖期、供冷期；</w:t>
      </w:r>
    </w:p>
    <w:p w14:paraId="5EF56539">
      <w:pPr>
        <w:spacing w:line="400" w:lineRule="exact"/>
        <w:ind w:left="420" w:firstLine="120"/>
        <w:rPr>
          <w:rFonts w:hint="eastAsia"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6．住宅小区内的给排水设施、道路等配套工程为</w:t>
      </w:r>
      <w:r>
        <w:rPr>
          <w:rFonts w:hint="eastAsia" w:ascii="宋体" w:hAnsi="宋体" w:eastAsia="宋体" w:cs="Times New Roman"/>
          <w:color w:val="auto"/>
          <w:kern w:val="0"/>
          <w:sz w:val="24"/>
          <w:szCs w:val="24"/>
          <w:highlight w:val="none"/>
          <w:u w:val="single"/>
        </w:rPr>
        <w:t xml:space="preserve">     </w:t>
      </w:r>
      <w:r>
        <w:rPr>
          <w:rFonts w:hint="eastAsia" w:ascii="宋体" w:hAnsi="宋体" w:eastAsia="宋体" w:cs="Times New Roman"/>
          <w:color w:val="auto"/>
          <w:kern w:val="0"/>
          <w:sz w:val="24"/>
          <w:szCs w:val="24"/>
          <w:highlight w:val="none"/>
        </w:rPr>
        <w:t>年；</w:t>
      </w:r>
    </w:p>
    <w:p w14:paraId="663BD41D">
      <w:pPr>
        <w:spacing w:line="400" w:lineRule="exact"/>
        <w:ind w:left="420" w:firstLine="120"/>
        <w:rPr>
          <w:rFonts w:hint="eastAsia"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7．其他项目保修期限约定如下：</w:t>
      </w:r>
    </w:p>
    <w:p w14:paraId="7DCE9BBA">
      <w:pPr>
        <w:spacing w:line="400" w:lineRule="exact"/>
        <w:ind w:firstLine="240"/>
        <w:rPr>
          <w:rFonts w:hint="eastAsia"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u w:val="single"/>
        </w:rPr>
        <w:t xml:space="preserve">  </w:t>
      </w:r>
      <w:r>
        <w:rPr>
          <w:rFonts w:hint="eastAsia" w:ascii="Times New Roman" w:hAnsi="宋体" w:eastAsia="宋体" w:cs="Times New Roman"/>
          <w:b/>
          <w:color w:val="auto"/>
          <w:kern w:val="0"/>
          <w:sz w:val="24"/>
          <w:szCs w:val="24"/>
          <w:highlight w:val="none"/>
          <w:u w:val="single"/>
        </w:rPr>
        <w:t>本工程</w:t>
      </w:r>
      <w:r>
        <w:rPr>
          <w:rFonts w:hint="eastAsia" w:ascii="Times New Roman" w:hAnsi="宋体" w:eastAsia="宋体" w:cs="Times New Roman"/>
          <w:b/>
          <w:color w:val="auto"/>
          <w:kern w:val="0"/>
          <w:sz w:val="24"/>
          <w:szCs w:val="24"/>
          <w:highlight w:val="none"/>
          <w:u w:val="single"/>
          <w:lang w:val="en-US" w:eastAsia="zh-CN"/>
        </w:rPr>
        <w:t>质量</w:t>
      </w:r>
      <w:r>
        <w:rPr>
          <w:rFonts w:hint="eastAsia" w:ascii="Times New Roman" w:hAnsi="宋体" w:eastAsia="宋体" w:cs="Times New Roman"/>
          <w:b/>
          <w:color w:val="auto"/>
          <w:kern w:val="0"/>
          <w:sz w:val="24"/>
          <w:szCs w:val="24"/>
          <w:highlight w:val="none"/>
          <w:u w:val="single"/>
        </w:rPr>
        <w:t>保修期</w:t>
      </w:r>
      <w:r>
        <w:rPr>
          <w:rFonts w:hint="eastAsia" w:ascii="Times New Roman" w:hAnsi="宋体" w:eastAsia="宋体" w:cs="Times New Roman"/>
          <w:b/>
          <w:color w:val="auto"/>
          <w:kern w:val="0"/>
          <w:sz w:val="24"/>
          <w:szCs w:val="24"/>
          <w:highlight w:val="none"/>
          <w:u w:val="single"/>
          <w:lang w:val="en-US" w:eastAsia="zh-CN"/>
        </w:rPr>
        <w:t>三年（其中绿化一级养护两年）</w:t>
      </w:r>
      <w:r>
        <w:rPr>
          <w:rFonts w:hint="eastAsia" w:ascii="Calibri" w:hAnsi="宋体" w:eastAsia="宋体" w:cs="Times New Roman"/>
          <w:b/>
          <w:color w:val="auto"/>
          <w:kern w:val="0"/>
          <w:sz w:val="24"/>
          <w:szCs w:val="24"/>
          <w:highlight w:val="none"/>
          <w:u w:val="single"/>
        </w:rPr>
        <w:t xml:space="preserve">   </w:t>
      </w:r>
      <w:r>
        <w:rPr>
          <w:rFonts w:hint="eastAsia" w:ascii="宋体" w:hAnsi="宋体" w:eastAsia="宋体" w:cs="Times New Roman"/>
          <w:color w:val="auto"/>
          <w:kern w:val="0"/>
          <w:sz w:val="24"/>
          <w:szCs w:val="24"/>
          <w:highlight w:val="none"/>
          <w:u w:val="single"/>
        </w:rPr>
        <w:t xml:space="preserve">  </w:t>
      </w:r>
      <w:r>
        <w:rPr>
          <w:rFonts w:hint="eastAsia" w:ascii="宋体" w:hAnsi="宋体" w:eastAsia="宋体" w:cs="Times New Roman"/>
          <w:color w:val="auto"/>
          <w:kern w:val="0"/>
          <w:sz w:val="24"/>
          <w:szCs w:val="24"/>
          <w:highlight w:val="none"/>
        </w:rPr>
        <w:t>。</w:t>
      </w:r>
    </w:p>
    <w:p w14:paraId="338F6A9F">
      <w:pPr>
        <w:pageBreakBefore w:val="0"/>
        <w:kinsoku/>
        <w:wordWrap/>
        <w:overflowPunct/>
        <w:topLinePunct w:val="0"/>
        <w:autoSpaceDE/>
        <w:autoSpaceDN/>
        <w:bidi w:val="0"/>
        <w:adjustRightInd w:val="0"/>
        <w:snapToGrid w:val="0"/>
        <w:spacing w:line="360" w:lineRule="auto"/>
        <w:ind w:left="0"/>
        <w:textAlignment w:val="auto"/>
        <w:rPr>
          <w:rFonts w:hint="eastAsia"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　　质量保修期自工程竣工验收合格之日起计算。</w:t>
      </w:r>
    </w:p>
    <w:p w14:paraId="0B3FA41B">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s="Times New Roman"/>
          <w:color w:val="auto"/>
          <w:kern w:val="0"/>
          <w:sz w:val="24"/>
          <w:szCs w:val="24"/>
          <w:highlight w:val="none"/>
        </w:rPr>
      </w:pPr>
      <w:bookmarkStart w:id="737" w:name="_Toc18658"/>
      <w:r>
        <w:rPr>
          <w:rFonts w:hint="eastAsia" w:ascii="宋体" w:hAnsi="宋体" w:eastAsia="宋体" w:cs="Times New Roman"/>
          <w:color w:val="auto"/>
          <w:kern w:val="0"/>
          <w:sz w:val="24"/>
          <w:szCs w:val="24"/>
          <w:highlight w:val="none"/>
        </w:rPr>
        <w:t>三、缺陷责任期</w:t>
      </w:r>
      <w:bookmarkEnd w:id="737"/>
      <w:r>
        <w:rPr>
          <w:rFonts w:hint="eastAsia" w:ascii="宋体" w:hAnsi="宋体" w:eastAsia="宋体" w:cs="Times New Roman"/>
          <w:color w:val="auto"/>
          <w:kern w:val="0"/>
          <w:sz w:val="24"/>
          <w:szCs w:val="24"/>
          <w:highlight w:val="none"/>
          <w:u w:val="single"/>
          <w:lang w:val="en-US" w:eastAsia="zh-CN"/>
        </w:rPr>
        <w:t>24</w:t>
      </w:r>
      <w:r>
        <w:rPr>
          <w:rFonts w:hint="eastAsia" w:ascii="宋体" w:hAnsi="宋体" w:eastAsia="宋体" w:cs="Times New Roman"/>
          <w:color w:val="auto"/>
          <w:kern w:val="0"/>
          <w:sz w:val="24"/>
          <w:szCs w:val="24"/>
          <w:highlight w:val="none"/>
        </w:rPr>
        <w:t>个月，缺陷责任期自工程通过竣工验收之日起计算。单位工程先于全部工程进行验收，单位工程缺陷责任期自单位工程验收合格之日起算。</w:t>
      </w:r>
    </w:p>
    <w:p w14:paraId="120B07BC">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缺陷责任期终止后，发包人应退还剩余的质量保证金。</w:t>
      </w:r>
    </w:p>
    <w:p w14:paraId="50E6F97F">
      <w:pPr>
        <w:pageBreakBefore w:val="0"/>
        <w:kinsoku/>
        <w:wordWrap/>
        <w:overflowPunct/>
        <w:topLinePunct w:val="0"/>
        <w:autoSpaceDE/>
        <w:autoSpaceDN/>
        <w:bidi w:val="0"/>
        <w:adjustRightInd w:val="0"/>
        <w:snapToGrid w:val="0"/>
        <w:spacing w:line="360" w:lineRule="auto"/>
        <w:ind w:left="0"/>
        <w:textAlignment w:val="auto"/>
        <w:outlineLvl w:val="0"/>
        <w:rPr>
          <w:rFonts w:hint="eastAsia"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 xml:space="preserve">    </w:t>
      </w:r>
      <w:bookmarkStart w:id="738" w:name="_Toc5031"/>
      <w:r>
        <w:rPr>
          <w:rFonts w:hint="eastAsia" w:ascii="宋体" w:hAnsi="宋体" w:eastAsia="宋体" w:cs="Times New Roman"/>
          <w:color w:val="auto"/>
          <w:kern w:val="0"/>
          <w:sz w:val="24"/>
          <w:szCs w:val="24"/>
          <w:highlight w:val="none"/>
        </w:rPr>
        <w:t>四、质量保修责任</w:t>
      </w:r>
      <w:bookmarkEnd w:id="738"/>
    </w:p>
    <w:p w14:paraId="62AAFCBA">
      <w:pPr>
        <w:pageBreakBefore w:val="0"/>
        <w:kinsoku/>
        <w:wordWrap/>
        <w:overflowPunct/>
        <w:topLinePunct w:val="0"/>
        <w:autoSpaceDE/>
        <w:autoSpaceDN/>
        <w:bidi w:val="0"/>
        <w:adjustRightInd w:val="0"/>
        <w:snapToGrid w:val="0"/>
        <w:spacing w:line="360" w:lineRule="auto"/>
        <w:ind w:left="0" w:firstLine="430"/>
        <w:textAlignment w:val="auto"/>
        <w:rPr>
          <w:rFonts w:hint="eastAsia"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1．属于保修范围、内容的项目，承包人应当在接到保修通知之日起7天内派人保修。承包人不在约定期限内派人保修的，发包人可以委托他人修理。</w:t>
      </w:r>
    </w:p>
    <w:p w14:paraId="1BCA84D6">
      <w:pPr>
        <w:pageBreakBefore w:val="0"/>
        <w:kinsoku/>
        <w:wordWrap/>
        <w:overflowPunct/>
        <w:topLinePunct w:val="0"/>
        <w:autoSpaceDE/>
        <w:autoSpaceDN/>
        <w:bidi w:val="0"/>
        <w:adjustRightInd w:val="0"/>
        <w:snapToGrid w:val="0"/>
        <w:spacing w:line="360" w:lineRule="auto"/>
        <w:ind w:left="0" w:firstLine="430"/>
        <w:textAlignment w:val="auto"/>
        <w:rPr>
          <w:rFonts w:hint="eastAsia"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2．发生紧急事故需抢修的，承包人在接到事故通知后，应当立即到达事故现场抢修。</w:t>
      </w:r>
    </w:p>
    <w:p w14:paraId="1EC4EE88">
      <w:pPr>
        <w:pageBreakBefore w:val="0"/>
        <w:kinsoku/>
        <w:wordWrap/>
        <w:overflowPunct/>
        <w:topLinePunct w:val="0"/>
        <w:autoSpaceDE/>
        <w:autoSpaceDN/>
        <w:bidi w:val="0"/>
        <w:adjustRightInd w:val="0"/>
        <w:snapToGrid w:val="0"/>
        <w:spacing w:line="360" w:lineRule="auto"/>
        <w:ind w:left="0" w:firstLine="430"/>
        <w:textAlignment w:val="auto"/>
        <w:rPr>
          <w:rFonts w:hint="eastAsia"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3．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2473D671">
      <w:pPr>
        <w:pageBreakBefore w:val="0"/>
        <w:kinsoku/>
        <w:wordWrap/>
        <w:overflowPunct/>
        <w:topLinePunct w:val="0"/>
        <w:autoSpaceDE/>
        <w:autoSpaceDN/>
        <w:bidi w:val="0"/>
        <w:adjustRightInd w:val="0"/>
        <w:snapToGrid w:val="0"/>
        <w:spacing w:line="360" w:lineRule="auto"/>
        <w:ind w:left="0" w:firstLine="105"/>
        <w:textAlignment w:val="auto"/>
        <w:rPr>
          <w:rFonts w:hint="eastAsia"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4．质量保修完成后，由发包人组织验收。</w:t>
      </w:r>
    </w:p>
    <w:p w14:paraId="7C2C17F6">
      <w:pPr>
        <w:pageBreakBefore w:val="0"/>
        <w:kinsoku/>
        <w:wordWrap/>
        <w:overflowPunct/>
        <w:topLinePunct w:val="0"/>
        <w:autoSpaceDE/>
        <w:autoSpaceDN/>
        <w:bidi w:val="0"/>
        <w:adjustRightInd w:val="0"/>
        <w:snapToGrid w:val="0"/>
        <w:spacing w:line="360" w:lineRule="auto"/>
        <w:ind w:left="0"/>
        <w:textAlignment w:val="auto"/>
        <w:outlineLvl w:val="0"/>
        <w:rPr>
          <w:rFonts w:hint="eastAsia"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　　</w:t>
      </w:r>
      <w:bookmarkStart w:id="739" w:name="_Toc32029"/>
      <w:r>
        <w:rPr>
          <w:rFonts w:hint="eastAsia" w:ascii="宋体" w:hAnsi="宋体" w:eastAsia="宋体" w:cs="Times New Roman"/>
          <w:color w:val="auto"/>
          <w:kern w:val="0"/>
          <w:sz w:val="24"/>
          <w:szCs w:val="24"/>
          <w:highlight w:val="none"/>
        </w:rPr>
        <w:t>五、保修费用</w:t>
      </w:r>
      <w:bookmarkEnd w:id="739"/>
    </w:p>
    <w:p w14:paraId="39AF7733">
      <w:pPr>
        <w:pageBreakBefore w:val="0"/>
        <w:kinsoku/>
        <w:wordWrap/>
        <w:overflowPunct/>
        <w:topLinePunct w:val="0"/>
        <w:autoSpaceDE/>
        <w:autoSpaceDN/>
        <w:bidi w:val="0"/>
        <w:adjustRightInd w:val="0"/>
        <w:snapToGrid w:val="0"/>
        <w:spacing w:line="360" w:lineRule="auto"/>
        <w:ind w:left="0"/>
        <w:textAlignment w:val="auto"/>
        <w:rPr>
          <w:rFonts w:hint="eastAsia"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　　保修费用由造成质量缺陷的责任方承担。</w:t>
      </w:r>
    </w:p>
    <w:p w14:paraId="4DF0FBB1">
      <w:pPr>
        <w:pageBreakBefore w:val="0"/>
        <w:kinsoku/>
        <w:wordWrap/>
        <w:overflowPunct/>
        <w:topLinePunct w:val="0"/>
        <w:autoSpaceDE/>
        <w:autoSpaceDN/>
        <w:bidi w:val="0"/>
        <w:adjustRightInd w:val="0"/>
        <w:snapToGrid w:val="0"/>
        <w:spacing w:line="360" w:lineRule="auto"/>
        <w:ind w:left="0" w:firstLine="420"/>
        <w:jc w:val="left"/>
        <w:textAlignment w:val="auto"/>
        <w:outlineLvl w:val="0"/>
        <w:rPr>
          <w:rFonts w:hint="eastAsia" w:ascii="宋体" w:hAnsi="宋体" w:eastAsia="宋体" w:cs="Times New Roman"/>
          <w:color w:val="auto"/>
          <w:kern w:val="0"/>
          <w:sz w:val="24"/>
          <w:szCs w:val="24"/>
          <w:highlight w:val="none"/>
        </w:rPr>
      </w:pPr>
      <w:bookmarkStart w:id="740" w:name="_Toc32222"/>
      <w:r>
        <w:rPr>
          <w:rFonts w:hint="eastAsia" w:ascii="宋体" w:hAnsi="宋体" w:eastAsia="宋体" w:cs="Times New Roman"/>
          <w:color w:val="auto"/>
          <w:kern w:val="0"/>
          <w:sz w:val="24"/>
          <w:szCs w:val="24"/>
          <w:highlight w:val="none"/>
        </w:rPr>
        <w:t>六、双方约定的其他工程质量保修项：</w:t>
      </w:r>
      <w:r>
        <w:rPr>
          <w:rFonts w:hint="eastAsia" w:ascii="宋体" w:hAnsi="宋体" w:eastAsia="宋体" w:cs="Times New Roman"/>
          <w:color w:val="auto"/>
          <w:kern w:val="0"/>
          <w:sz w:val="24"/>
          <w:szCs w:val="24"/>
          <w:highlight w:val="none"/>
          <w:u w:val="single"/>
        </w:rPr>
        <w:t xml:space="preserve">                                          </w:t>
      </w:r>
      <w:r>
        <w:rPr>
          <w:rFonts w:hint="eastAsia" w:ascii="宋体" w:hAnsi="宋体" w:eastAsia="宋体" w:cs="Times New Roman"/>
          <w:color w:val="auto"/>
          <w:kern w:val="0"/>
          <w:sz w:val="24"/>
          <w:szCs w:val="24"/>
          <w:highlight w:val="none"/>
        </w:rPr>
        <w:t>。</w:t>
      </w:r>
      <w:bookmarkEnd w:id="740"/>
    </w:p>
    <w:p w14:paraId="437C3E63">
      <w:pPr>
        <w:pageBreakBefore w:val="0"/>
        <w:kinsoku/>
        <w:wordWrap/>
        <w:overflowPunct/>
        <w:topLinePunct w:val="0"/>
        <w:autoSpaceDE/>
        <w:autoSpaceDN/>
        <w:bidi w:val="0"/>
        <w:adjustRightInd w:val="0"/>
        <w:snapToGrid w:val="0"/>
        <w:spacing w:line="360" w:lineRule="auto"/>
        <w:ind w:left="0" w:firstLine="399"/>
        <w:textAlignment w:val="auto"/>
        <w:rPr>
          <w:rFonts w:hint="eastAsia"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工程质量保修书由发包人、承包人在工程竣工验收前共同签署，作为施工合同附件，其有效期限至保修期满。</w:t>
      </w:r>
    </w:p>
    <w:p w14:paraId="47554A36">
      <w:pPr>
        <w:pageBreakBefore w:val="0"/>
        <w:kinsoku/>
        <w:wordWrap/>
        <w:overflowPunct/>
        <w:topLinePunct w:val="0"/>
        <w:autoSpaceDE/>
        <w:autoSpaceDN/>
        <w:bidi w:val="0"/>
        <w:adjustRightInd w:val="0"/>
        <w:snapToGrid w:val="0"/>
        <w:spacing w:line="360" w:lineRule="auto"/>
        <w:ind w:left="0" w:firstLine="420"/>
        <w:textAlignment w:val="auto"/>
        <w:rPr>
          <w:rFonts w:hint="eastAsia" w:ascii="宋体" w:hAnsi="宋体" w:eastAsia="宋体" w:cs="Times New Roman"/>
          <w:color w:val="auto"/>
          <w:kern w:val="0"/>
          <w:sz w:val="24"/>
          <w:szCs w:val="24"/>
          <w:highlight w:val="none"/>
        </w:rPr>
      </w:pPr>
    </w:p>
    <w:p w14:paraId="7B08A9C5">
      <w:pPr>
        <w:pageBreakBefore w:val="0"/>
        <w:kinsoku/>
        <w:wordWrap/>
        <w:overflowPunct/>
        <w:topLinePunct w:val="0"/>
        <w:autoSpaceDE/>
        <w:autoSpaceDN/>
        <w:bidi w:val="0"/>
        <w:adjustRightInd w:val="0"/>
        <w:snapToGrid w:val="0"/>
        <w:spacing w:line="360" w:lineRule="auto"/>
        <w:ind w:left="0"/>
        <w:textAlignment w:val="auto"/>
        <w:rPr>
          <w:rFonts w:hint="eastAsia"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发包人</w:t>
      </w:r>
      <w:r>
        <w:rPr>
          <w:rFonts w:hint="eastAsia" w:ascii="宋体" w:hAnsi="宋体" w:eastAsia="宋体" w:cs="Times New Roman"/>
          <w:color w:val="auto"/>
          <w:kern w:val="0"/>
          <w:sz w:val="24"/>
          <w:szCs w:val="24"/>
          <w:highlight w:val="none"/>
          <w:lang w:eastAsia="zh-CN"/>
        </w:rPr>
        <w:t>（</w:t>
      </w:r>
      <w:r>
        <w:rPr>
          <w:rFonts w:hint="eastAsia" w:ascii="宋体" w:hAnsi="宋体" w:eastAsia="宋体" w:cs="Times New Roman"/>
          <w:color w:val="auto"/>
          <w:kern w:val="0"/>
          <w:sz w:val="24"/>
          <w:szCs w:val="24"/>
          <w:highlight w:val="none"/>
        </w:rPr>
        <w:t>公章</w:t>
      </w:r>
      <w:r>
        <w:rPr>
          <w:rFonts w:hint="eastAsia" w:ascii="宋体" w:hAnsi="宋体" w:eastAsia="宋体" w:cs="Times New Roman"/>
          <w:color w:val="auto"/>
          <w:kern w:val="0"/>
          <w:sz w:val="24"/>
          <w:szCs w:val="24"/>
          <w:highlight w:val="none"/>
          <w:lang w:eastAsia="zh-CN"/>
        </w:rPr>
        <w:t>）</w:t>
      </w:r>
      <w:r>
        <w:rPr>
          <w:rFonts w:hint="eastAsia" w:ascii="宋体" w:hAnsi="宋体" w:eastAsia="宋体" w:cs="Times New Roman"/>
          <w:color w:val="auto"/>
          <w:kern w:val="0"/>
          <w:sz w:val="24"/>
          <w:szCs w:val="24"/>
          <w:highlight w:val="none"/>
        </w:rPr>
        <w:t>：</w:t>
      </w:r>
      <w:r>
        <w:rPr>
          <w:rFonts w:hint="eastAsia" w:ascii="宋体" w:hAnsi="宋体" w:eastAsia="宋体" w:cs="Times New Roman"/>
          <w:color w:val="auto"/>
          <w:kern w:val="0"/>
          <w:sz w:val="24"/>
          <w:szCs w:val="24"/>
          <w:highlight w:val="none"/>
          <w:u w:val="single"/>
        </w:rPr>
        <w:t xml:space="preserve">             </w:t>
      </w:r>
      <w:r>
        <w:rPr>
          <w:rFonts w:hint="eastAsia" w:ascii="宋体" w:hAnsi="宋体" w:eastAsia="宋体" w:cs="Times New Roman"/>
          <w:color w:val="auto"/>
          <w:kern w:val="0"/>
          <w:sz w:val="24"/>
          <w:szCs w:val="24"/>
          <w:highlight w:val="none"/>
        </w:rPr>
        <w:t xml:space="preserve">         承包人</w:t>
      </w:r>
      <w:r>
        <w:rPr>
          <w:rFonts w:hint="eastAsia" w:ascii="宋体" w:hAnsi="宋体" w:eastAsia="宋体" w:cs="Times New Roman"/>
          <w:color w:val="auto"/>
          <w:kern w:val="0"/>
          <w:sz w:val="24"/>
          <w:szCs w:val="24"/>
          <w:highlight w:val="none"/>
          <w:lang w:eastAsia="zh-CN"/>
        </w:rPr>
        <w:t>（</w:t>
      </w:r>
      <w:r>
        <w:rPr>
          <w:rFonts w:hint="eastAsia" w:ascii="宋体" w:hAnsi="宋体" w:eastAsia="宋体" w:cs="Times New Roman"/>
          <w:color w:val="auto"/>
          <w:kern w:val="0"/>
          <w:sz w:val="24"/>
          <w:szCs w:val="24"/>
          <w:highlight w:val="none"/>
        </w:rPr>
        <w:t>公章</w:t>
      </w:r>
      <w:r>
        <w:rPr>
          <w:rFonts w:hint="eastAsia" w:ascii="宋体" w:hAnsi="宋体" w:eastAsia="宋体" w:cs="Times New Roman"/>
          <w:color w:val="auto"/>
          <w:kern w:val="0"/>
          <w:sz w:val="24"/>
          <w:szCs w:val="24"/>
          <w:highlight w:val="none"/>
          <w:lang w:eastAsia="zh-CN"/>
        </w:rPr>
        <w:t>）</w:t>
      </w:r>
      <w:r>
        <w:rPr>
          <w:rFonts w:hint="eastAsia" w:ascii="宋体" w:hAnsi="宋体" w:eastAsia="宋体" w:cs="Times New Roman"/>
          <w:color w:val="auto"/>
          <w:kern w:val="0"/>
          <w:sz w:val="24"/>
          <w:szCs w:val="24"/>
          <w:highlight w:val="none"/>
        </w:rPr>
        <w:t>：</w:t>
      </w:r>
      <w:r>
        <w:rPr>
          <w:rFonts w:hint="eastAsia" w:ascii="宋体" w:hAnsi="宋体" w:eastAsia="宋体" w:cs="Times New Roman"/>
          <w:color w:val="auto"/>
          <w:kern w:val="0"/>
          <w:sz w:val="24"/>
          <w:szCs w:val="24"/>
          <w:highlight w:val="none"/>
          <w:u w:val="single"/>
        </w:rPr>
        <w:t xml:space="preserve">                       </w:t>
      </w:r>
    </w:p>
    <w:p w14:paraId="5ABAB182">
      <w:pPr>
        <w:pageBreakBefore w:val="0"/>
        <w:kinsoku/>
        <w:wordWrap/>
        <w:overflowPunct/>
        <w:topLinePunct w:val="0"/>
        <w:autoSpaceDE/>
        <w:autoSpaceDN/>
        <w:bidi w:val="0"/>
        <w:adjustRightInd w:val="0"/>
        <w:snapToGrid w:val="0"/>
        <w:spacing w:line="360" w:lineRule="auto"/>
        <w:ind w:left="0"/>
        <w:textAlignment w:val="auto"/>
        <w:rPr>
          <w:rFonts w:hint="eastAsia"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地  址：</w:t>
      </w:r>
      <w:r>
        <w:rPr>
          <w:rFonts w:hint="eastAsia" w:ascii="宋体" w:hAnsi="宋体" w:eastAsia="宋体" w:cs="Times New Roman"/>
          <w:color w:val="auto"/>
          <w:kern w:val="0"/>
          <w:sz w:val="24"/>
          <w:szCs w:val="24"/>
          <w:highlight w:val="none"/>
          <w:u w:val="single"/>
        </w:rPr>
        <w:t xml:space="preserve">        </w:t>
      </w:r>
      <w:r>
        <w:rPr>
          <w:rFonts w:hint="eastAsia" w:ascii="宋体" w:hAnsi="宋体" w:eastAsia="宋体" w:cs="Times New Roman"/>
          <w:color w:val="auto"/>
          <w:kern w:val="0"/>
          <w:sz w:val="24"/>
          <w:szCs w:val="24"/>
          <w:highlight w:val="none"/>
          <w:u w:val="single"/>
          <w:lang w:val="en-US" w:eastAsia="zh-CN"/>
        </w:rPr>
        <w:t xml:space="preserve">  </w:t>
      </w:r>
      <w:r>
        <w:rPr>
          <w:rFonts w:hint="eastAsia" w:ascii="宋体" w:hAnsi="宋体" w:eastAsia="宋体" w:cs="Times New Roman"/>
          <w:color w:val="auto"/>
          <w:kern w:val="0"/>
          <w:sz w:val="24"/>
          <w:szCs w:val="24"/>
          <w:highlight w:val="none"/>
          <w:u w:val="single"/>
        </w:rPr>
        <w:t xml:space="preserve">           </w:t>
      </w:r>
      <w:r>
        <w:rPr>
          <w:rFonts w:hint="eastAsia" w:ascii="宋体" w:hAnsi="宋体" w:eastAsia="宋体" w:cs="Times New Roman"/>
          <w:color w:val="auto"/>
          <w:kern w:val="0"/>
          <w:sz w:val="24"/>
          <w:szCs w:val="24"/>
          <w:highlight w:val="none"/>
        </w:rPr>
        <w:t xml:space="preserve">         地  址：</w:t>
      </w:r>
      <w:r>
        <w:rPr>
          <w:rFonts w:hint="eastAsia" w:ascii="宋体" w:hAnsi="宋体" w:eastAsia="宋体" w:cs="Times New Roman"/>
          <w:color w:val="auto"/>
          <w:kern w:val="0"/>
          <w:sz w:val="24"/>
          <w:szCs w:val="24"/>
          <w:highlight w:val="none"/>
          <w:u w:val="single"/>
        </w:rPr>
        <w:t xml:space="preserve">                          </w:t>
      </w:r>
    </w:p>
    <w:p w14:paraId="393B1E3E">
      <w:pPr>
        <w:pageBreakBefore w:val="0"/>
        <w:kinsoku/>
        <w:wordWrap/>
        <w:overflowPunct/>
        <w:topLinePunct w:val="0"/>
        <w:autoSpaceDE/>
        <w:autoSpaceDN/>
        <w:bidi w:val="0"/>
        <w:adjustRightInd w:val="0"/>
        <w:snapToGrid w:val="0"/>
        <w:spacing w:line="360" w:lineRule="auto"/>
        <w:ind w:left="0"/>
        <w:textAlignment w:val="auto"/>
        <w:rPr>
          <w:rFonts w:hint="eastAsia"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法定代表人</w:t>
      </w:r>
      <w:r>
        <w:rPr>
          <w:rFonts w:hint="eastAsia" w:ascii="宋体" w:hAnsi="宋体" w:eastAsia="宋体" w:cs="Times New Roman"/>
          <w:color w:val="auto"/>
          <w:kern w:val="0"/>
          <w:sz w:val="24"/>
          <w:szCs w:val="24"/>
          <w:highlight w:val="none"/>
          <w:lang w:eastAsia="zh-CN"/>
        </w:rPr>
        <w:t>（</w:t>
      </w:r>
      <w:r>
        <w:rPr>
          <w:rFonts w:hint="eastAsia" w:ascii="宋体" w:hAnsi="宋体" w:eastAsia="宋体" w:cs="Times New Roman"/>
          <w:color w:val="auto"/>
          <w:kern w:val="0"/>
          <w:sz w:val="24"/>
          <w:szCs w:val="24"/>
          <w:highlight w:val="none"/>
        </w:rPr>
        <w:t>签字</w:t>
      </w:r>
      <w:r>
        <w:rPr>
          <w:rFonts w:hint="eastAsia" w:ascii="宋体" w:hAnsi="宋体" w:eastAsia="宋体" w:cs="Times New Roman"/>
          <w:color w:val="auto"/>
          <w:kern w:val="0"/>
          <w:sz w:val="24"/>
          <w:szCs w:val="24"/>
          <w:highlight w:val="none"/>
          <w:lang w:eastAsia="zh-CN"/>
        </w:rPr>
        <w:t>）</w:t>
      </w:r>
      <w:r>
        <w:rPr>
          <w:rFonts w:hint="eastAsia" w:ascii="宋体" w:hAnsi="宋体" w:eastAsia="宋体" w:cs="Times New Roman"/>
          <w:color w:val="auto"/>
          <w:kern w:val="0"/>
          <w:sz w:val="24"/>
          <w:szCs w:val="24"/>
          <w:highlight w:val="none"/>
        </w:rPr>
        <w:t>：</w:t>
      </w:r>
      <w:r>
        <w:rPr>
          <w:rFonts w:hint="eastAsia" w:ascii="宋体" w:hAnsi="宋体" w:eastAsia="宋体" w:cs="Times New Roman"/>
          <w:color w:val="auto"/>
          <w:kern w:val="0"/>
          <w:sz w:val="24"/>
          <w:szCs w:val="24"/>
          <w:highlight w:val="none"/>
          <w:u w:val="single"/>
        </w:rPr>
        <w:t xml:space="preserve">         </w:t>
      </w:r>
      <w:r>
        <w:rPr>
          <w:rFonts w:hint="eastAsia" w:ascii="宋体" w:hAnsi="宋体" w:eastAsia="宋体" w:cs="Times New Roman"/>
          <w:color w:val="auto"/>
          <w:kern w:val="0"/>
          <w:sz w:val="24"/>
          <w:szCs w:val="24"/>
          <w:highlight w:val="none"/>
        </w:rPr>
        <w:t xml:space="preserve">         法定代表人</w:t>
      </w:r>
      <w:r>
        <w:rPr>
          <w:rFonts w:hint="eastAsia" w:ascii="宋体" w:hAnsi="宋体" w:eastAsia="宋体" w:cs="Times New Roman"/>
          <w:color w:val="auto"/>
          <w:kern w:val="0"/>
          <w:sz w:val="24"/>
          <w:szCs w:val="24"/>
          <w:highlight w:val="none"/>
          <w:lang w:eastAsia="zh-CN"/>
        </w:rPr>
        <w:t>（</w:t>
      </w:r>
      <w:r>
        <w:rPr>
          <w:rFonts w:hint="eastAsia" w:ascii="宋体" w:hAnsi="宋体" w:eastAsia="宋体" w:cs="Times New Roman"/>
          <w:color w:val="auto"/>
          <w:kern w:val="0"/>
          <w:sz w:val="24"/>
          <w:szCs w:val="24"/>
          <w:highlight w:val="none"/>
        </w:rPr>
        <w:t>签字</w:t>
      </w:r>
      <w:r>
        <w:rPr>
          <w:rFonts w:hint="eastAsia" w:ascii="宋体" w:hAnsi="宋体" w:eastAsia="宋体" w:cs="Times New Roman"/>
          <w:color w:val="auto"/>
          <w:kern w:val="0"/>
          <w:sz w:val="24"/>
          <w:szCs w:val="24"/>
          <w:highlight w:val="none"/>
          <w:lang w:eastAsia="zh-CN"/>
        </w:rPr>
        <w:t>）</w:t>
      </w:r>
      <w:r>
        <w:rPr>
          <w:rFonts w:hint="eastAsia" w:ascii="宋体" w:hAnsi="宋体" w:eastAsia="宋体" w:cs="Times New Roman"/>
          <w:color w:val="auto"/>
          <w:kern w:val="0"/>
          <w:sz w:val="24"/>
          <w:szCs w:val="24"/>
          <w:highlight w:val="none"/>
        </w:rPr>
        <w:t>：</w:t>
      </w:r>
      <w:r>
        <w:rPr>
          <w:rFonts w:hint="eastAsia" w:ascii="宋体" w:hAnsi="宋体" w:eastAsia="宋体" w:cs="Times New Roman"/>
          <w:color w:val="auto"/>
          <w:kern w:val="0"/>
          <w:sz w:val="24"/>
          <w:szCs w:val="24"/>
          <w:highlight w:val="none"/>
          <w:u w:val="single"/>
        </w:rPr>
        <w:t xml:space="preserve">                </w:t>
      </w:r>
    </w:p>
    <w:p w14:paraId="0FD2965C">
      <w:pPr>
        <w:pageBreakBefore w:val="0"/>
        <w:kinsoku/>
        <w:wordWrap/>
        <w:overflowPunct/>
        <w:topLinePunct w:val="0"/>
        <w:autoSpaceDE/>
        <w:autoSpaceDN/>
        <w:bidi w:val="0"/>
        <w:adjustRightInd w:val="0"/>
        <w:snapToGrid w:val="0"/>
        <w:spacing w:line="360" w:lineRule="auto"/>
        <w:ind w:left="0"/>
        <w:textAlignment w:val="auto"/>
        <w:rPr>
          <w:rFonts w:hint="eastAsia"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委托代理人</w:t>
      </w:r>
      <w:r>
        <w:rPr>
          <w:rFonts w:hint="eastAsia" w:ascii="宋体" w:hAnsi="宋体" w:eastAsia="宋体" w:cs="Times New Roman"/>
          <w:color w:val="auto"/>
          <w:kern w:val="0"/>
          <w:sz w:val="24"/>
          <w:szCs w:val="24"/>
          <w:highlight w:val="none"/>
          <w:lang w:eastAsia="zh-CN"/>
        </w:rPr>
        <w:t>（</w:t>
      </w:r>
      <w:r>
        <w:rPr>
          <w:rFonts w:hint="eastAsia" w:ascii="宋体" w:hAnsi="宋体" w:eastAsia="宋体" w:cs="Times New Roman"/>
          <w:color w:val="auto"/>
          <w:kern w:val="0"/>
          <w:sz w:val="24"/>
          <w:szCs w:val="24"/>
          <w:highlight w:val="none"/>
        </w:rPr>
        <w:t>签字</w:t>
      </w:r>
      <w:r>
        <w:rPr>
          <w:rFonts w:hint="eastAsia" w:ascii="宋体" w:hAnsi="宋体" w:eastAsia="宋体" w:cs="Times New Roman"/>
          <w:color w:val="auto"/>
          <w:kern w:val="0"/>
          <w:sz w:val="24"/>
          <w:szCs w:val="24"/>
          <w:highlight w:val="none"/>
          <w:lang w:eastAsia="zh-CN"/>
        </w:rPr>
        <w:t>）</w:t>
      </w:r>
      <w:r>
        <w:rPr>
          <w:rFonts w:hint="eastAsia" w:ascii="宋体" w:hAnsi="宋体" w:eastAsia="宋体" w:cs="Times New Roman"/>
          <w:color w:val="auto"/>
          <w:kern w:val="0"/>
          <w:sz w:val="24"/>
          <w:szCs w:val="24"/>
          <w:highlight w:val="none"/>
        </w:rPr>
        <w:t>：</w:t>
      </w:r>
      <w:r>
        <w:rPr>
          <w:rFonts w:hint="eastAsia" w:ascii="宋体" w:hAnsi="宋体" w:eastAsia="宋体" w:cs="Times New Roman"/>
          <w:color w:val="auto"/>
          <w:kern w:val="0"/>
          <w:sz w:val="24"/>
          <w:szCs w:val="24"/>
          <w:highlight w:val="none"/>
          <w:u w:val="single"/>
        </w:rPr>
        <w:t xml:space="preserve">         </w:t>
      </w:r>
      <w:r>
        <w:rPr>
          <w:rFonts w:hint="eastAsia" w:ascii="宋体" w:hAnsi="宋体" w:eastAsia="宋体" w:cs="Times New Roman"/>
          <w:color w:val="auto"/>
          <w:kern w:val="0"/>
          <w:sz w:val="24"/>
          <w:szCs w:val="24"/>
          <w:highlight w:val="none"/>
        </w:rPr>
        <w:t xml:space="preserve">         委托代理人</w:t>
      </w:r>
      <w:r>
        <w:rPr>
          <w:rFonts w:hint="eastAsia" w:ascii="宋体" w:hAnsi="宋体" w:eastAsia="宋体" w:cs="Times New Roman"/>
          <w:color w:val="auto"/>
          <w:kern w:val="0"/>
          <w:sz w:val="24"/>
          <w:szCs w:val="24"/>
          <w:highlight w:val="none"/>
          <w:lang w:eastAsia="zh-CN"/>
        </w:rPr>
        <w:t>（</w:t>
      </w:r>
      <w:r>
        <w:rPr>
          <w:rFonts w:hint="eastAsia" w:ascii="宋体" w:hAnsi="宋体" w:eastAsia="宋体" w:cs="Times New Roman"/>
          <w:color w:val="auto"/>
          <w:kern w:val="0"/>
          <w:sz w:val="24"/>
          <w:szCs w:val="24"/>
          <w:highlight w:val="none"/>
        </w:rPr>
        <w:t>签字</w:t>
      </w:r>
      <w:r>
        <w:rPr>
          <w:rFonts w:hint="eastAsia" w:ascii="宋体" w:hAnsi="宋体" w:eastAsia="宋体" w:cs="Times New Roman"/>
          <w:color w:val="auto"/>
          <w:kern w:val="0"/>
          <w:sz w:val="24"/>
          <w:szCs w:val="24"/>
          <w:highlight w:val="none"/>
          <w:lang w:eastAsia="zh-CN"/>
        </w:rPr>
        <w:t>）</w:t>
      </w:r>
      <w:r>
        <w:rPr>
          <w:rFonts w:hint="eastAsia" w:ascii="宋体" w:hAnsi="宋体" w:eastAsia="宋体" w:cs="Times New Roman"/>
          <w:color w:val="auto"/>
          <w:kern w:val="0"/>
          <w:sz w:val="24"/>
          <w:szCs w:val="24"/>
          <w:highlight w:val="none"/>
        </w:rPr>
        <w:t>：</w:t>
      </w:r>
      <w:r>
        <w:rPr>
          <w:rFonts w:hint="eastAsia" w:ascii="宋体" w:hAnsi="宋体" w:eastAsia="宋体" w:cs="Times New Roman"/>
          <w:color w:val="auto"/>
          <w:kern w:val="0"/>
          <w:sz w:val="24"/>
          <w:szCs w:val="24"/>
          <w:highlight w:val="none"/>
          <w:u w:val="single"/>
        </w:rPr>
        <w:t xml:space="preserve">                </w:t>
      </w:r>
    </w:p>
    <w:p w14:paraId="2B628451">
      <w:pPr>
        <w:pageBreakBefore w:val="0"/>
        <w:kinsoku/>
        <w:wordWrap/>
        <w:overflowPunct/>
        <w:topLinePunct w:val="0"/>
        <w:autoSpaceDE/>
        <w:autoSpaceDN/>
        <w:bidi w:val="0"/>
        <w:adjustRightInd w:val="0"/>
        <w:snapToGrid w:val="0"/>
        <w:spacing w:line="360" w:lineRule="auto"/>
        <w:ind w:left="0"/>
        <w:textAlignment w:val="auto"/>
        <w:rPr>
          <w:rFonts w:hint="eastAsia"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电  话：</w:t>
      </w:r>
      <w:r>
        <w:rPr>
          <w:rFonts w:hint="eastAsia" w:ascii="宋体" w:hAnsi="宋体" w:eastAsia="宋体" w:cs="Times New Roman"/>
          <w:color w:val="auto"/>
          <w:kern w:val="0"/>
          <w:sz w:val="24"/>
          <w:szCs w:val="24"/>
          <w:highlight w:val="none"/>
          <w:u w:val="single"/>
        </w:rPr>
        <w:t xml:space="preserve">             </w:t>
      </w:r>
      <w:r>
        <w:rPr>
          <w:rFonts w:hint="eastAsia" w:ascii="宋体" w:hAnsi="宋体" w:eastAsia="宋体" w:cs="Times New Roman"/>
          <w:color w:val="auto"/>
          <w:kern w:val="0"/>
          <w:sz w:val="24"/>
          <w:szCs w:val="24"/>
          <w:highlight w:val="none"/>
          <w:u w:val="single"/>
          <w:lang w:val="en-US" w:eastAsia="zh-CN"/>
        </w:rPr>
        <w:t xml:space="preserve">  </w:t>
      </w:r>
      <w:r>
        <w:rPr>
          <w:rFonts w:hint="eastAsia" w:ascii="宋体" w:hAnsi="宋体" w:eastAsia="宋体" w:cs="Times New Roman"/>
          <w:color w:val="auto"/>
          <w:kern w:val="0"/>
          <w:sz w:val="24"/>
          <w:szCs w:val="24"/>
          <w:highlight w:val="none"/>
          <w:u w:val="single"/>
        </w:rPr>
        <w:t xml:space="preserve">      </w:t>
      </w:r>
      <w:r>
        <w:rPr>
          <w:rFonts w:hint="eastAsia" w:ascii="宋体" w:hAnsi="宋体" w:eastAsia="宋体" w:cs="Times New Roman"/>
          <w:color w:val="auto"/>
          <w:kern w:val="0"/>
          <w:sz w:val="24"/>
          <w:szCs w:val="24"/>
          <w:highlight w:val="none"/>
        </w:rPr>
        <w:t xml:space="preserve">         电  话：</w:t>
      </w:r>
      <w:r>
        <w:rPr>
          <w:rFonts w:hint="eastAsia" w:ascii="宋体" w:hAnsi="宋体" w:eastAsia="宋体" w:cs="Times New Roman"/>
          <w:color w:val="auto"/>
          <w:kern w:val="0"/>
          <w:sz w:val="24"/>
          <w:szCs w:val="24"/>
          <w:highlight w:val="none"/>
          <w:u w:val="single"/>
        </w:rPr>
        <w:t xml:space="preserve">                          </w:t>
      </w:r>
    </w:p>
    <w:p w14:paraId="3960A608">
      <w:pPr>
        <w:pageBreakBefore w:val="0"/>
        <w:kinsoku/>
        <w:wordWrap/>
        <w:overflowPunct/>
        <w:topLinePunct w:val="0"/>
        <w:autoSpaceDE/>
        <w:autoSpaceDN/>
        <w:bidi w:val="0"/>
        <w:adjustRightInd w:val="0"/>
        <w:snapToGrid w:val="0"/>
        <w:spacing w:line="360" w:lineRule="auto"/>
        <w:ind w:left="0"/>
        <w:textAlignment w:val="auto"/>
        <w:rPr>
          <w:rFonts w:hint="eastAsia"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传  真：</w:t>
      </w:r>
      <w:r>
        <w:rPr>
          <w:rFonts w:hint="eastAsia" w:ascii="宋体" w:hAnsi="宋体" w:eastAsia="宋体" w:cs="Times New Roman"/>
          <w:color w:val="auto"/>
          <w:kern w:val="0"/>
          <w:sz w:val="24"/>
          <w:szCs w:val="24"/>
          <w:highlight w:val="none"/>
          <w:u w:val="single"/>
        </w:rPr>
        <w:t xml:space="preserve">            </w:t>
      </w:r>
      <w:r>
        <w:rPr>
          <w:rFonts w:hint="eastAsia" w:ascii="宋体" w:hAnsi="宋体" w:eastAsia="宋体" w:cs="Times New Roman"/>
          <w:color w:val="auto"/>
          <w:kern w:val="0"/>
          <w:sz w:val="24"/>
          <w:szCs w:val="24"/>
          <w:highlight w:val="none"/>
          <w:u w:val="single"/>
          <w:lang w:val="en-US" w:eastAsia="zh-CN"/>
        </w:rPr>
        <w:t xml:space="preserve">  </w:t>
      </w:r>
      <w:r>
        <w:rPr>
          <w:rFonts w:hint="eastAsia" w:ascii="宋体" w:hAnsi="宋体" w:eastAsia="宋体" w:cs="Times New Roman"/>
          <w:color w:val="auto"/>
          <w:kern w:val="0"/>
          <w:sz w:val="24"/>
          <w:szCs w:val="24"/>
          <w:highlight w:val="none"/>
          <w:u w:val="single"/>
        </w:rPr>
        <w:t xml:space="preserve">       </w:t>
      </w:r>
      <w:r>
        <w:rPr>
          <w:rFonts w:hint="eastAsia" w:ascii="宋体" w:hAnsi="宋体" w:eastAsia="宋体" w:cs="Times New Roman"/>
          <w:color w:val="auto"/>
          <w:kern w:val="0"/>
          <w:sz w:val="24"/>
          <w:szCs w:val="24"/>
          <w:highlight w:val="none"/>
        </w:rPr>
        <w:t xml:space="preserve">         传  真：</w:t>
      </w:r>
      <w:r>
        <w:rPr>
          <w:rFonts w:hint="eastAsia" w:ascii="宋体" w:hAnsi="宋体" w:eastAsia="宋体" w:cs="Times New Roman"/>
          <w:color w:val="auto"/>
          <w:kern w:val="0"/>
          <w:sz w:val="24"/>
          <w:szCs w:val="24"/>
          <w:highlight w:val="none"/>
          <w:u w:val="single"/>
        </w:rPr>
        <w:t xml:space="preserve">                          </w:t>
      </w:r>
    </w:p>
    <w:p w14:paraId="4C7D046A">
      <w:pPr>
        <w:pageBreakBefore w:val="0"/>
        <w:kinsoku/>
        <w:wordWrap/>
        <w:overflowPunct/>
        <w:topLinePunct w:val="0"/>
        <w:autoSpaceDE/>
        <w:autoSpaceDN/>
        <w:bidi w:val="0"/>
        <w:adjustRightInd w:val="0"/>
        <w:snapToGrid w:val="0"/>
        <w:spacing w:line="360" w:lineRule="auto"/>
        <w:ind w:left="0"/>
        <w:textAlignment w:val="auto"/>
        <w:rPr>
          <w:rFonts w:hint="eastAsia"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开户银行：</w:t>
      </w:r>
      <w:r>
        <w:rPr>
          <w:rFonts w:hint="eastAsia" w:ascii="宋体" w:hAnsi="宋体" w:eastAsia="宋体" w:cs="Times New Roman"/>
          <w:color w:val="auto"/>
          <w:kern w:val="0"/>
          <w:sz w:val="24"/>
          <w:szCs w:val="24"/>
          <w:highlight w:val="none"/>
          <w:u w:val="single"/>
        </w:rPr>
        <w:t xml:space="preserve">          </w:t>
      </w:r>
      <w:r>
        <w:rPr>
          <w:rFonts w:hint="eastAsia" w:ascii="宋体" w:hAnsi="宋体" w:eastAsia="宋体" w:cs="Times New Roman"/>
          <w:color w:val="auto"/>
          <w:kern w:val="0"/>
          <w:sz w:val="24"/>
          <w:szCs w:val="24"/>
          <w:highlight w:val="none"/>
          <w:u w:val="single"/>
          <w:lang w:val="en-US" w:eastAsia="zh-CN"/>
        </w:rPr>
        <w:t xml:space="preserve">  </w:t>
      </w:r>
      <w:r>
        <w:rPr>
          <w:rFonts w:hint="eastAsia" w:ascii="宋体" w:hAnsi="宋体" w:eastAsia="宋体" w:cs="Times New Roman"/>
          <w:color w:val="auto"/>
          <w:kern w:val="0"/>
          <w:sz w:val="24"/>
          <w:szCs w:val="24"/>
          <w:highlight w:val="none"/>
          <w:u w:val="single"/>
        </w:rPr>
        <w:t xml:space="preserve">       </w:t>
      </w:r>
      <w:r>
        <w:rPr>
          <w:rFonts w:hint="eastAsia" w:ascii="宋体" w:hAnsi="宋体" w:eastAsia="宋体" w:cs="Times New Roman"/>
          <w:color w:val="auto"/>
          <w:kern w:val="0"/>
          <w:sz w:val="24"/>
          <w:szCs w:val="24"/>
          <w:highlight w:val="none"/>
        </w:rPr>
        <w:t xml:space="preserve">         开户银行：</w:t>
      </w:r>
      <w:r>
        <w:rPr>
          <w:rFonts w:hint="eastAsia" w:ascii="宋体" w:hAnsi="宋体" w:eastAsia="宋体" w:cs="Times New Roman"/>
          <w:color w:val="auto"/>
          <w:kern w:val="0"/>
          <w:sz w:val="24"/>
          <w:szCs w:val="24"/>
          <w:highlight w:val="none"/>
          <w:u w:val="single"/>
        </w:rPr>
        <w:t xml:space="preserve">                        </w:t>
      </w:r>
    </w:p>
    <w:p w14:paraId="08E83460">
      <w:pPr>
        <w:pageBreakBefore w:val="0"/>
        <w:kinsoku/>
        <w:wordWrap/>
        <w:overflowPunct/>
        <w:topLinePunct w:val="0"/>
        <w:autoSpaceDE/>
        <w:autoSpaceDN/>
        <w:bidi w:val="0"/>
        <w:adjustRightInd w:val="0"/>
        <w:snapToGrid w:val="0"/>
        <w:spacing w:line="360" w:lineRule="auto"/>
        <w:ind w:left="0"/>
        <w:textAlignment w:val="auto"/>
        <w:rPr>
          <w:rFonts w:hint="eastAsia"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账  号：</w:t>
      </w:r>
      <w:r>
        <w:rPr>
          <w:rFonts w:hint="eastAsia" w:ascii="宋体" w:hAnsi="宋体" w:eastAsia="宋体" w:cs="Times New Roman"/>
          <w:color w:val="auto"/>
          <w:kern w:val="0"/>
          <w:sz w:val="24"/>
          <w:szCs w:val="24"/>
          <w:highlight w:val="none"/>
          <w:u w:val="single"/>
        </w:rPr>
        <w:t xml:space="preserve">            </w:t>
      </w:r>
      <w:r>
        <w:rPr>
          <w:rFonts w:hint="eastAsia" w:ascii="宋体" w:hAnsi="宋体" w:eastAsia="宋体" w:cs="Times New Roman"/>
          <w:color w:val="auto"/>
          <w:kern w:val="0"/>
          <w:sz w:val="24"/>
          <w:szCs w:val="24"/>
          <w:highlight w:val="none"/>
          <w:u w:val="single"/>
          <w:lang w:val="en-US" w:eastAsia="zh-CN"/>
        </w:rPr>
        <w:t xml:space="preserve">  </w:t>
      </w:r>
      <w:r>
        <w:rPr>
          <w:rFonts w:hint="eastAsia" w:ascii="宋体" w:hAnsi="宋体" w:eastAsia="宋体" w:cs="Times New Roman"/>
          <w:color w:val="auto"/>
          <w:kern w:val="0"/>
          <w:sz w:val="24"/>
          <w:szCs w:val="24"/>
          <w:highlight w:val="none"/>
          <w:u w:val="single"/>
        </w:rPr>
        <w:t xml:space="preserve">       </w:t>
      </w:r>
      <w:r>
        <w:rPr>
          <w:rFonts w:hint="eastAsia" w:ascii="宋体" w:hAnsi="宋体" w:eastAsia="宋体" w:cs="Times New Roman"/>
          <w:color w:val="auto"/>
          <w:kern w:val="0"/>
          <w:sz w:val="24"/>
          <w:szCs w:val="24"/>
          <w:highlight w:val="none"/>
        </w:rPr>
        <w:t xml:space="preserve">         账  号：</w:t>
      </w:r>
      <w:r>
        <w:rPr>
          <w:rFonts w:hint="eastAsia" w:ascii="宋体" w:hAnsi="宋体" w:eastAsia="宋体" w:cs="Times New Roman"/>
          <w:color w:val="auto"/>
          <w:kern w:val="0"/>
          <w:sz w:val="24"/>
          <w:szCs w:val="24"/>
          <w:highlight w:val="none"/>
          <w:u w:val="single"/>
        </w:rPr>
        <w:t xml:space="preserve">                          </w:t>
      </w:r>
    </w:p>
    <w:p w14:paraId="33C4AFC0">
      <w:pPr>
        <w:pageBreakBefore w:val="0"/>
        <w:kinsoku/>
        <w:wordWrap/>
        <w:overflowPunct/>
        <w:topLinePunct w:val="0"/>
        <w:autoSpaceDE/>
        <w:autoSpaceDN/>
        <w:bidi w:val="0"/>
        <w:adjustRightInd w:val="0"/>
        <w:snapToGrid w:val="0"/>
        <w:spacing w:line="360" w:lineRule="auto"/>
        <w:ind w:left="0"/>
        <w:textAlignment w:val="auto"/>
        <w:rPr>
          <w:rFonts w:hint="eastAsia"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邮政编码：</w:t>
      </w:r>
      <w:r>
        <w:rPr>
          <w:rFonts w:hint="eastAsia" w:ascii="宋体" w:hAnsi="宋体" w:eastAsia="宋体" w:cs="Times New Roman"/>
          <w:color w:val="auto"/>
          <w:kern w:val="0"/>
          <w:sz w:val="24"/>
          <w:szCs w:val="24"/>
          <w:highlight w:val="none"/>
          <w:u w:val="single"/>
        </w:rPr>
        <w:t xml:space="preserve">           </w:t>
      </w:r>
      <w:r>
        <w:rPr>
          <w:rFonts w:hint="eastAsia" w:ascii="宋体" w:hAnsi="宋体" w:eastAsia="宋体" w:cs="Times New Roman"/>
          <w:color w:val="auto"/>
          <w:kern w:val="0"/>
          <w:sz w:val="24"/>
          <w:szCs w:val="24"/>
          <w:highlight w:val="none"/>
          <w:u w:val="single"/>
          <w:lang w:val="en-US" w:eastAsia="zh-CN"/>
        </w:rPr>
        <w:t xml:space="preserve">  </w:t>
      </w:r>
      <w:r>
        <w:rPr>
          <w:rFonts w:hint="eastAsia" w:ascii="宋体" w:hAnsi="宋体" w:eastAsia="宋体" w:cs="Times New Roman"/>
          <w:color w:val="auto"/>
          <w:kern w:val="0"/>
          <w:sz w:val="24"/>
          <w:szCs w:val="24"/>
          <w:highlight w:val="none"/>
          <w:u w:val="single"/>
        </w:rPr>
        <w:t xml:space="preserve">      </w:t>
      </w:r>
      <w:r>
        <w:rPr>
          <w:rFonts w:hint="eastAsia" w:ascii="宋体" w:hAnsi="宋体" w:eastAsia="宋体" w:cs="Times New Roman"/>
          <w:color w:val="auto"/>
          <w:kern w:val="0"/>
          <w:sz w:val="24"/>
          <w:szCs w:val="24"/>
          <w:highlight w:val="none"/>
        </w:rPr>
        <w:t xml:space="preserve">         邮政编码：</w:t>
      </w:r>
      <w:r>
        <w:rPr>
          <w:rFonts w:hint="eastAsia" w:ascii="宋体" w:hAnsi="宋体" w:eastAsia="宋体" w:cs="Times New Roman"/>
          <w:color w:val="auto"/>
          <w:kern w:val="0"/>
          <w:sz w:val="24"/>
          <w:szCs w:val="24"/>
          <w:highlight w:val="none"/>
          <w:u w:val="single"/>
        </w:rPr>
        <w:t xml:space="preserve">                        </w:t>
      </w:r>
    </w:p>
    <w:p w14:paraId="06FD05FA">
      <w:pPr>
        <w:rPr>
          <w:rFonts w:hint="eastAsia" w:ascii="宋体" w:hAnsi="宋体" w:eastAsia="宋体" w:cs="宋体"/>
          <w:b/>
          <w:color w:val="auto"/>
          <w:kern w:val="2"/>
          <w:sz w:val="24"/>
          <w:szCs w:val="24"/>
          <w:highlight w:val="none"/>
        </w:rPr>
      </w:pPr>
    </w:p>
    <w:p w14:paraId="4FD2E981">
      <w:pPr>
        <w:rPr>
          <w:rFonts w:hint="eastAsia" w:ascii="宋体" w:hAnsi="宋体" w:eastAsia="宋体" w:cs="宋体"/>
          <w:b w:val="0"/>
          <w:bCs w:val="0"/>
          <w:color w:val="auto"/>
          <w:kern w:val="2"/>
          <w:sz w:val="24"/>
          <w:szCs w:val="24"/>
          <w:highlight w:val="none"/>
        </w:rPr>
      </w:pPr>
    </w:p>
    <w:p w14:paraId="47F68378">
      <w:pPr>
        <w:rPr>
          <w:rFonts w:hint="eastAsia" w:ascii="宋体" w:hAnsi="宋体" w:eastAsia="宋体" w:cs="宋体"/>
          <w:b w:val="0"/>
          <w:bCs w:val="0"/>
          <w:color w:val="auto"/>
          <w:kern w:val="2"/>
          <w:sz w:val="24"/>
          <w:szCs w:val="24"/>
          <w:highlight w:val="none"/>
        </w:rPr>
      </w:pPr>
    </w:p>
    <w:p w14:paraId="3EDC3917">
      <w:pPr>
        <w:rPr>
          <w:rFonts w:hint="eastAsia" w:ascii="宋体" w:hAnsi="宋体" w:eastAsia="宋体" w:cs="宋体"/>
          <w:b w:val="0"/>
          <w:bCs w:val="0"/>
          <w:color w:val="auto"/>
          <w:kern w:val="2"/>
          <w:sz w:val="24"/>
          <w:szCs w:val="24"/>
          <w:highlight w:val="none"/>
        </w:rPr>
      </w:pPr>
    </w:p>
    <w:p w14:paraId="02D4C683">
      <w:pPr>
        <w:pageBreakBefore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b/>
          <w:color w:val="auto"/>
          <w:sz w:val="24"/>
          <w:szCs w:val="24"/>
          <w:highlight w:val="none"/>
          <w:lang w:eastAsia="zh-CN"/>
        </w:rPr>
      </w:pPr>
      <w:r>
        <w:rPr>
          <w:rFonts w:hint="eastAsia" w:ascii="宋体" w:hAnsi="宋体" w:eastAsia="宋体" w:cs="宋体"/>
          <w:b/>
          <w:color w:val="auto"/>
          <w:sz w:val="24"/>
          <w:szCs w:val="24"/>
          <w:highlight w:val="none"/>
        </w:rPr>
        <w:t>发包人保留对本合同修改的权</w:t>
      </w:r>
      <w:r>
        <w:rPr>
          <w:rFonts w:hint="eastAsia" w:ascii="宋体" w:hAnsi="宋体" w:eastAsia="宋体" w:cs="宋体"/>
          <w:b/>
          <w:color w:val="auto"/>
          <w:sz w:val="24"/>
          <w:szCs w:val="24"/>
          <w:highlight w:val="none"/>
          <w:lang w:eastAsia="zh-CN"/>
        </w:rPr>
        <w:t>利</w:t>
      </w:r>
      <w:bookmarkEnd w:id="157"/>
    </w:p>
    <w:p w14:paraId="5F0D3E1F">
      <w:pPr>
        <w:rPr>
          <w:rFonts w:ascii="宋体" w:hAnsi="宋体" w:eastAsia="宋体" w:cs="宋体"/>
          <w:b/>
          <w:color w:val="auto"/>
          <w:spacing w:val="20"/>
          <w:sz w:val="35"/>
          <w:highlight w:val="none"/>
        </w:rPr>
      </w:pPr>
      <w:r>
        <w:rPr>
          <w:rFonts w:ascii="宋体" w:hAnsi="宋体" w:eastAsia="宋体" w:cs="宋体"/>
          <w:b/>
          <w:color w:val="auto"/>
          <w:spacing w:val="20"/>
          <w:sz w:val="35"/>
          <w:highlight w:val="none"/>
        </w:rPr>
        <w:br w:type="page"/>
      </w:r>
    </w:p>
    <w:p w14:paraId="77B56021">
      <w:pPr>
        <w:pBdr>
          <w:top w:val="none" w:color="000000" w:sz="0" w:space="0"/>
          <w:left w:val="none" w:color="000000" w:sz="0" w:space="0"/>
          <w:bottom w:val="none" w:color="000000" w:sz="0" w:space="0"/>
          <w:right w:val="none" w:color="000000" w:sz="0" w:space="0"/>
        </w:pBdr>
        <w:spacing w:before="216" w:after="0" w:line="493" w:lineRule="atLeast"/>
        <w:ind w:left="1423" w:right="0" w:firstLine="0"/>
        <w:jc w:val="both"/>
        <w:rPr>
          <w:rFonts w:ascii="Times New Roman" w:hAnsi="Times New Roman" w:eastAsia="宋体" w:cs="Times New Roman"/>
          <w:color w:val="auto"/>
          <w:highlight w:val="none"/>
        </w:rPr>
      </w:pPr>
      <w:r>
        <w:rPr>
          <w:rFonts w:ascii="宋体" w:hAnsi="宋体" w:eastAsia="宋体" w:cs="宋体"/>
          <w:b/>
          <w:color w:val="auto"/>
          <w:spacing w:val="20"/>
          <w:sz w:val="35"/>
          <w:highlight w:val="none"/>
        </w:rPr>
        <w:t>政府采购履约验收通知单（参考样本）</w:t>
      </w:r>
    </w:p>
    <w:p w14:paraId="398930A2">
      <w:pPr>
        <w:pBdr>
          <w:top w:val="none" w:color="000000" w:sz="0" w:space="0"/>
          <w:left w:val="none" w:color="000000" w:sz="0" w:space="0"/>
          <w:bottom w:val="none" w:color="000000" w:sz="0" w:space="0"/>
          <w:right w:val="none" w:color="000000" w:sz="0" w:space="0"/>
        </w:pBdr>
        <w:spacing w:before="254" w:after="0"/>
        <w:ind w:left="90" w:right="0" w:firstLine="0"/>
        <w:jc w:val="both"/>
        <w:rPr>
          <w:rFonts w:ascii="Times New Roman" w:hAnsi="Times New Roman" w:eastAsia="宋体" w:cs="Times New Roman"/>
          <w:color w:val="auto"/>
          <w:highlight w:val="none"/>
        </w:rPr>
      </w:pPr>
      <w:r>
        <w:rPr>
          <w:rFonts w:ascii="宋体" w:hAnsi="宋体" w:eastAsia="宋体" w:cs="宋体"/>
          <w:b/>
          <w:color w:val="auto"/>
          <w:spacing w:val="9"/>
          <w:sz w:val="23"/>
          <w:highlight w:val="none"/>
        </w:rPr>
        <w:t>供应商：</w:t>
      </w:r>
    </w:p>
    <w:p w14:paraId="001857B9">
      <w:pPr>
        <w:pBdr>
          <w:top w:val="none" w:color="000000" w:sz="0" w:space="0"/>
          <w:left w:val="none" w:color="000000" w:sz="0" w:space="0"/>
          <w:bottom w:val="none" w:color="000000" w:sz="0" w:space="0"/>
          <w:right w:val="none" w:color="000000" w:sz="0" w:space="0"/>
        </w:pBdr>
        <w:spacing w:before="0" w:after="0" w:line="34" w:lineRule="atLeast"/>
        <w:ind w:left="0" w:right="0" w:firstLine="0"/>
        <w:jc w:val="both"/>
        <w:rPr>
          <w:rFonts w:ascii="Times New Roman" w:hAnsi="Times New Roman" w:eastAsia="宋体" w:cs="Times New Roman"/>
          <w:color w:val="auto"/>
          <w:highlight w:val="none"/>
        </w:rPr>
      </w:pPr>
      <w:r>
        <w:rPr>
          <w:rFonts w:ascii="Times New Roman" w:hAnsi="Times New Roman" w:eastAsia="Times New Roman" w:cs="Times New Roman"/>
          <w:b/>
          <w:color w:val="auto"/>
          <w:sz w:val="21"/>
          <w:highlight w:val="none"/>
        </w:rPr>
        <w:t> </w:t>
      </w:r>
    </w:p>
    <w:tbl>
      <w:tblPr>
        <w:tblStyle w:val="263"/>
        <w:tblW w:w="8979" w:type="dxa"/>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CellMar>
          <w:top w:w="0" w:type="dxa"/>
          <w:left w:w="0" w:type="dxa"/>
          <w:bottom w:w="0" w:type="dxa"/>
          <w:right w:w="0" w:type="dxa"/>
        </w:tblCellMar>
      </w:tblPr>
      <w:tblGrid>
        <w:gridCol w:w="2818"/>
        <w:gridCol w:w="1762"/>
        <w:gridCol w:w="2309"/>
        <w:gridCol w:w="2090"/>
      </w:tblGrid>
      <w:tr w14:paraId="62CD4B55">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0" w:type="dxa"/>
            <w:bottom w:w="0" w:type="dxa"/>
            <w:right w:w="0" w:type="dxa"/>
          </w:tblCellMar>
        </w:tblPrEx>
        <w:trPr>
          <w:trHeight w:val="562" w:hRule="atLeast"/>
        </w:trPr>
        <w:tc>
          <w:tcPr>
            <w:tcW w:w="2818" w:type="dxa"/>
            <w:noWrap w:val="0"/>
            <w:tcMar>
              <w:top w:w="0" w:type="dxa"/>
              <w:left w:w="0" w:type="dxa"/>
              <w:bottom w:w="0" w:type="dxa"/>
              <w:right w:w="0" w:type="dxa"/>
            </w:tcMar>
            <w:vAlign w:val="top"/>
          </w:tcPr>
          <w:p w14:paraId="3B5FF784">
            <w:pPr>
              <w:pBdr>
                <w:top w:val="none" w:color="000000" w:sz="0" w:space="0"/>
                <w:left w:val="none" w:color="000000" w:sz="0" w:space="0"/>
                <w:bottom w:val="none" w:color="000000" w:sz="0" w:space="0"/>
                <w:right w:val="none" w:color="000000" w:sz="0" w:space="0"/>
              </w:pBdr>
              <w:spacing w:before="231" w:after="0" w:line="315" w:lineRule="atLeast"/>
              <w:ind w:left="956" w:right="0" w:firstLine="0"/>
              <w:jc w:val="both"/>
              <w:rPr>
                <w:rFonts w:ascii="Times New Roman" w:hAnsi="Times New Roman" w:eastAsia="宋体" w:cs="Times New Roman"/>
                <w:color w:val="auto"/>
                <w:highlight w:val="none"/>
              </w:rPr>
            </w:pPr>
            <w:r>
              <w:rPr>
                <w:rFonts w:ascii="黑体" w:hAnsi="黑体" w:eastAsia="黑体" w:cs="黑体"/>
                <w:color w:val="auto"/>
                <w:spacing w:val="4"/>
                <w:sz w:val="23"/>
                <w:highlight w:val="none"/>
              </w:rPr>
              <w:t>采购人</w:t>
            </w:r>
          </w:p>
        </w:tc>
        <w:tc>
          <w:tcPr>
            <w:tcW w:w="6161" w:type="dxa"/>
            <w:gridSpan w:val="3"/>
            <w:noWrap w:val="0"/>
            <w:tcMar>
              <w:top w:w="0" w:type="dxa"/>
              <w:left w:w="0" w:type="dxa"/>
              <w:bottom w:w="0" w:type="dxa"/>
              <w:right w:w="0" w:type="dxa"/>
            </w:tcMar>
            <w:vAlign w:val="top"/>
          </w:tcPr>
          <w:p w14:paraId="22841C01">
            <w:pPr>
              <w:pBdr>
                <w:top w:val="none" w:color="000000" w:sz="0" w:space="0"/>
                <w:left w:val="none" w:color="000000" w:sz="0" w:space="0"/>
                <w:bottom w:val="none" w:color="000000" w:sz="0" w:space="0"/>
                <w:right w:val="none" w:color="000000" w:sz="0" w:space="0"/>
              </w:pBdr>
              <w:spacing w:before="240" w:after="240" w:line="240" w:lineRule="auto"/>
              <w:ind w:left="0" w:right="0" w:firstLine="0"/>
              <w:rPr>
                <w:rFonts w:ascii="Times New Roman" w:hAnsi="Times New Roman" w:eastAsia="宋体" w:cs="Times New Roman"/>
                <w:color w:val="auto"/>
                <w:highlight w:val="none"/>
              </w:rPr>
            </w:pPr>
            <w:r>
              <w:rPr>
                <w:rFonts w:ascii="Arial" w:hAnsi="Arial" w:eastAsia="Arial" w:cs="Arial"/>
                <w:color w:val="auto"/>
                <w:sz w:val="21"/>
                <w:highlight w:val="none"/>
              </w:rPr>
              <w:t> </w:t>
            </w:r>
          </w:p>
        </w:tc>
      </w:tr>
      <w:tr w14:paraId="41731422">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0" w:type="dxa"/>
            <w:bottom w:w="0" w:type="dxa"/>
            <w:right w:w="0" w:type="dxa"/>
          </w:tblCellMar>
        </w:tblPrEx>
        <w:trPr>
          <w:trHeight w:val="560" w:hRule="atLeast"/>
        </w:trPr>
        <w:tc>
          <w:tcPr>
            <w:tcW w:w="2818" w:type="dxa"/>
            <w:noWrap w:val="0"/>
            <w:tcMar>
              <w:top w:w="0" w:type="dxa"/>
              <w:left w:w="0" w:type="dxa"/>
              <w:bottom w:w="0" w:type="dxa"/>
              <w:right w:w="0" w:type="dxa"/>
            </w:tcMar>
            <w:vAlign w:val="top"/>
          </w:tcPr>
          <w:p w14:paraId="1130BD01">
            <w:pPr>
              <w:pBdr>
                <w:top w:val="none" w:color="000000" w:sz="0" w:space="0"/>
                <w:left w:val="none" w:color="000000" w:sz="0" w:space="0"/>
                <w:bottom w:val="none" w:color="000000" w:sz="0" w:space="0"/>
                <w:right w:val="none" w:color="000000" w:sz="0" w:space="0"/>
              </w:pBdr>
              <w:spacing w:before="231" w:after="0" w:line="312" w:lineRule="atLeast"/>
              <w:ind w:left="845" w:right="0" w:firstLine="0"/>
              <w:jc w:val="both"/>
              <w:rPr>
                <w:rFonts w:ascii="Times New Roman" w:hAnsi="Times New Roman" w:eastAsia="宋体" w:cs="Times New Roman"/>
                <w:color w:val="auto"/>
                <w:highlight w:val="none"/>
              </w:rPr>
            </w:pPr>
            <w:r>
              <w:rPr>
                <w:rFonts w:ascii="黑体" w:hAnsi="黑体" w:eastAsia="黑体" w:cs="黑体"/>
                <w:color w:val="auto"/>
                <w:spacing w:val="1"/>
                <w:sz w:val="23"/>
                <w:highlight w:val="none"/>
              </w:rPr>
              <w:t>项目名称</w:t>
            </w:r>
          </w:p>
        </w:tc>
        <w:tc>
          <w:tcPr>
            <w:tcW w:w="6161" w:type="dxa"/>
            <w:gridSpan w:val="3"/>
            <w:noWrap w:val="0"/>
            <w:tcMar>
              <w:top w:w="0" w:type="dxa"/>
              <w:left w:w="0" w:type="dxa"/>
              <w:bottom w:w="0" w:type="dxa"/>
              <w:right w:w="0" w:type="dxa"/>
            </w:tcMar>
            <w:vAlign w:val="top"/>
          </w:tcPr>
          <w:p w14:paraId="24981319">
            <w:pPr>
              <w:pBdr>
                <w:top w:val="none" w:color="000000" w:sz="0" w:space="0"/>
                <w:left w:val="none" w:color="000000" w:sz="0" w:space="0"/>
                <w:bottom w:val="none" w:color="000000" w:sz="0" w:space="0"/>
                <w:right w:val="none" w:color="000000" w:sz="0" w:space="0"/>
              </w:pBdr>
              <w:spacing w:before="240" w:after="240" w:line="240" w:lineRule="auto"/>
              <w:ind w:left="0" w:right="0" w:firstLine="0"/>
              <w:rPr>
                <w:rFonts w:ascii="Times New Roman" w:hAnsi="Times New Roman" w:eastAsia="宋体" w:cs="Times New Roman"/>
                <w:color w:val="auto"/>
                <w:highlight w:val="none"/>
              </w:rPr>
            </w:pPr>
            <w:r>
              <w:rPr>
                <w:rFonts w:ascii="Arial" w:hAnsi="Arial" w:eastAsia="Arial" w:cs="Arial"/>
                <w:color w:val="auto"/>
                <w:sz w:val="21"/>
                <w:highlight w:val="none"/>
              </w:rPr>
              <w:t> </w:t>
            </w:r>
          </w:p>
        </w:tc>
      </w:tr>
      <w:tr w14:paraId="35E286D0">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0" w:type="dxa"/>
            <w:bottom w:w="0" w:type="dxa"/>
            <w:right w:w="0" w:type="dxa"/>
          </w:tblCellMar>
        </w:tblPrEx>
        <w:trPr>
          <w:trHeight w:val="559" w:hRule="atLeast"/>
        </w:trPr>
        <w:tc>
          <w:tcPr>
            <w:tcW w:w="2818" w:type="dxa"/>
            <w:noWrap w:val="0"/>
            <w:tcMar>
              <w:top w:w="0" w:type="dxa"/>
              <w:left w:w="0" w:type="dxa"/>
              <w:bottom w:w="0" w:type="dxa"/>
              <w:right w:w="0" w:type="dxa"/>
            </w:tcMar>
            <w:vAlign w:val="top"/>
          </w:tcPr>
          <w:p w14:paraId="73ADCC34">
            <w:pPr>
              <w:pBdr>
                <w:top w:val="none" w:color="000000" w:sz="0" w:space="0"/>
                <w:left w:val="none" w:color="000000" w:sz="0" w:space="0"/>
                <w:bottom w:val="none" w:color="000000" w:sz="0" w:space="0"/>
                <w:right w:val="none" w:color="000000" w:sz="0" w:space="0"/>
              </w:pBdr>
              <w:spacing w:before="230" w:after="0" w:line="312" w:lineRule="atLeast"/>
              <w:ind w:left="842" w:right="0" w:firstLine="0"/>
              <w:jc w:val="both"/>
              <w:rPr>
                <w:rFonts w:ascii="Times New Roman" w:hAnsi="Times New Roman" w:eastAsia="宋体" w:cs="Times New Roman"/>
                <w:color w:val="auto"/>
                <w:highlight w:val="none"/>
              </w:rPr>
            </w:pPr>
            <w:r>
              <w:rPr>
                <w:rFonts w:ascii="黑体" w:hAnsi="黑体" w:eastAsia="黑体" w:cs="黑体"/>
                <w:color w:val="auto"/>
                <w:spacing w:val="2"/>
                <w:sz w:val="23"/>
                <w:highlight w:val="none"/>
              </w:rPr>
              <w:t>合同名称</w:t>
            </w:r>
          </w:p>
        </w:tc>
        <w:tc>
          <w:tcPr>
            <w:tcW w:w="6161" w:type="dxa"/>
            <w:gridSpan w:val="3"/>
            <w:noWrap w:val="0"/>
            <w:tcMar>
              <w:top w:w="0" w:type="dxa"/>
              <w:left w:w="0" w:type="dxa"/>
              <w:bottom w:w="0" w:type="dxa"/>
              <w:right w:w="0" w:type="dxa"/>
            </w:tcMar>
            <w:vAlign w:val="top"/>
          </w:tcPr>
          <w:p w14:paraId="63EFADC8">
            <w:pPr>
              <w:pBdr>
                <w:top w:val="none" w:color="000000" w:sz="0" w:space="0"/>
                <w:left w:val="none" w:color="000000" w:sz="0" w:space="0"/>
                <w:bottom w:val="none" w:color="000000" w:sz="0" w:space="0"/>
                <w:right w:val="none" w:color="000000" w:sz="0" w:space="0"/>
              </w:pBdr>
              <w:spacing w:before="240" w:after="240" w:line="240" w:lineRule="auto"/>
              <w:ind w:left="0" w:right="0" w:firstLine="0"/>
              <w:rPr>
                <w:rFonts w:ascii="Times New Roman" w:hAnsi="Times New Roman" w:eastAsia="宋体" w:cs="Times New Roman"/>
                <w:color w:val="auto"/>
                <w:highlight w:val="none"/>
              </w:rPr>
            </w:pPr>
            <w:r>
              <w:rPr>
                <w:rFonts w:ascii="Arial" w:hAnsi="Arial" w:eastAsia="Arial" w:cs="Arial"/>
                <w:color w:val="auto"/>
                <w:sz w:val="21"/>
                <w:highlight w:val="none"/>
              </w:rPr>
              <w:t> </w:t>
            </w:r>
          </w:p>
        </w:tc>
      </w:tr>
      <w:tr w14:paraId="6AA75397">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0" w:type="dxa"/>
            <w:bottom w:w="0" w:type="dxa"/>
            <w:right w:w="0" w:type="dxa"/>
          </w:tblCellMar>
        </w:tblPrEx>
        <w:trPr>
          <w:trHeight w:val="560" w:hRule="atLeast"/>
        </w:trPr>
        <w:tc>
          <w:tcPr>
            <w:tcW w:w="2818" w:type="dxa"/>
            <w:noWrap w:val="0"/>
            <w:tcMar>
              <w:top w:w="0" w:type="dxa"/>
              <w:left w:w="0" w:type="dxa"/>
              <w:bottom w:w="0" w:type="dxa"/>
              <w:right w:w="0" w:type="dxa"/>
            </w:tcMar>
            <w:vAlign w:val="top"/>
          </w:tcPr>
          <w:p w14:paraId="1383ECAC">
            <w:pPr>
              <w:pBdr>
                <w:top w:val="none" w:color="000000" w:sz="0" w:space="0"/>
                <w:left w:val="none" w:color="000000" w:sz="0" w:space="0"/>
                <w:bottom w:val="none" w:color="000000" w:sz="0" w:space="0"/>
                <w:right w:val="none" w:color="000000" w:sz="0" w:space="0"/>
              </w:pBdr>
              <w:spacing w:before="230" w:after="0" w:line="311" w:lineRule="atLeast"/>
              <w:ind w:left="842" w:right="0" w:firstLine="0"/>
              <w:jc w:val="both"/>
              <w:rPr>
                <w:rFonts w:ascii="Times New Roman" w:hAnsi="Times New Roman" w:eastAsia="宋体" w:cs="Times New Roman"/>
                <w:color w:val="auto"/>
                <w:highlight w:val="none"/>
              </w:rPr>
            </w:pPr>
            <w:r>
              <w:rPr>
                <w:rFonts w:ascii="黑体" w:hAnsi="黑体" w:eastAsia="黑体" w:cs="黑体"/>
                <w:color w:val="auto"/>
                <w:spacing w:val="2"/>
                <w:sz w:val="23"/>
                <w:highlight w:val="none"/>
              </w:rPr>
              <w:t>合同编号</w:t>
            </w:r>
          </w:p>
        </w:tc>
        <w:tc>
          <w:tcPr>
            <w:tcW w:w="1762" w:type="dxa"/>
            <w:noWrap w:val="0"/>
            <w:tcMar>
              <w:top w:w="0" w:type="dxa"/>
              <w:left w:w="0" w:type="dxa"/>
              <w:bottom w:w="0" w:type="dxa"/>
              <w:right w:w="0" w:type="dxa"/>
            </w:tcMar>
            <w:vAlign w:val="top"/>
          </w:tcPr>
          <w:p w14:paraId="19384353">
            <w:pPr>
              <w:pBdr>
                <w:top w:val="none" w:color="000000" w:sz="0" w:space="0"/>
                <w:left w:val="none" w:color="000000" w:sz="0" w:space="0"/>
                <w:bottom w:val="none" w:color="000000" w:sz="0" w:space="0"/>
                <w:right w:val="none" w:color="000000" w:sz="0" w:space="0"/>
              </w:pBdr>
              <w:spacing w:before="240" w:after="240" w:line="240" w:lineRule="auto"/>
              <w:ind w:left="0" w:right="0" w:firstLine="0"/>
              <w:rPr>
                <w:rFonts w:ascii="Times New Roman" w:hAnsi="Times New Roman" w:eastAsia="宋体" w:cs="Times New Roman"/>
                <w:color w:val="auto"/>
                <w:highlight w:val="none"/>
              </w:rPr>
            </w:pPr>
            <w:r>
              <w:rPr>
                <w:rFonts w:ascii="Arial" w:hAnsi="Arial" w:eastAsia="Arial" w:cs="Arial"/>
                <w:color w:val="auto"/>
                <w:sz w:val="21"/>
                <w:highlight w:val="none"/>
              </w:rPr>
              <w:t> </w:t>
            </w:r>
          </w:p>
        </w:tc>
        <w:tc>
          <w:tcPr>
            <w:tcW w:w="2309" w:type="dxa"/>
            <w:noWrap w:val="0"/>
            <w:tcMar>
              <w:top w:w="0" w:type="dxa"/>
              <w:left w:w="0" w:type="dxa"/>
              <w:bottom w:w="0" w:type="dxa"/>
              <w:right w:w="0" w:type="dxa"/>
            </w:tcMar>
            <w:vAlign w:val="top"/>
          </w:tcPr>
          <w:p w14:paraId="64D9DD72">
            <w:pPr>
              <w:pBdr>
                <w:top w:val="none" w:color="000000" w:sz="0" w:space="0"/>
                <w:left w:val="none" w:color="000000" w:sz="0" w:space="0"/>
                <w:bottom w:val="none" w:color="000000" w:sz="0" w:space="0"/>
                <w:right w:val="none" w:color="000000" w:sz="0" w:space="0"/>
              </w:pBdr>
              <w:spacing w:before="230" w:after="0" w:line="312" w:lineRule="atLeast"/>
              <w:ind w:left="608" w:right="0" w:firstLine="0"/>
              <w:jc w:val="both"/>
              <w:rPr>
                <w:rFonts w:ascii="Times New Roman" w:hAnsi="Times New Roman" w:eastAsia="宋体" w:cs="Times New Roman"/>
                <w:color w:val="auto"/>
                <w:highlight w:val="none"/>
              </w:rPr>
            </w:pPr>
            <w:r>
              <w:rPr>
                <w:rFonts w:ascii="黑体" w:hAnsi="黑体" w:eastAsia="黑体" w:cs="黑体"/>
                <w:color w:val="auto"/>
                <w:spacing w:val="2"/>
                <w:sz w:val="23"/>
                <w:highlight w:val="none"/>
              </w:rPr>
              <w:t>合同金额</w:t>
            </w:r>
          </w:p>
        </w:tc>
        <w:tc>
          <w:tcPr>
            <w:tcW w:w="2090" w:type="dxa"/>
            <w:noWrap w:val="0"/>
            <w:tcMar>
              <w:top w:w="0" w:type="dxa"/>
              <w:left w:w="0" w:type="dxa"/>
              <w:bottom w:w="0" w:type="dxa"/>
              <w:right w:w="0" w:type="dxa"/>
            </w:tcMar>
            <w:vAlign w:val="top"/>
          </w:tcPr>
          <w:p w14:paraId="2763AE2E">
            <w:pPr>
              <w:pBdr>
                <w:top w:val="none" w:color="000000" w:sz="0" w:space="0"/>
                <w:left w:val="none" w:color="000000" w:sz="0" w:space="0"/>
                <w:bottom w:val="none" w:color="000000" w:sz="0" w:space="0"/>
                <w:right w:val="none" w:color="000000" w:sz="0" w:space="0"/>
              </w:pBdr>
              <w:spacing w:before="240" w:after="240" w:line="240" w:lineRule="auto"/>
              <w:ind w:left="0" w:right="0" w:firstLine="0"/>
              <w:rPr>
                <w:rFonts w:ascii="Times New Roman" w:hAnsi="Times New Roman" w:eastAsia="宋体" w:cs="Times New Roman"/>
                <w:color w:val="auto"/>
                <w:highlight w:val="none"/>
              </w:rPr>
            </w:pPr>
            <w:r>
              <w:rPr>
                <w:rFonts w:ascii="Arial" w:hAnsi="Arial" w:eastAsia="Arial" w:cs="Arial"/>
                <w:color w:val="auto"/>
                <w:sz w:val="21"/>
                <w:highlight w:val="none"/>
              </w:rPr>
              <w:t> </w:t>
            </w:r>
          </w:p>
        </w:tc>
      </w:tr>
      <w:tr w14:paraId="06B10A15">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0" w:type="dxa"/>
            <w:bottom w:w="0" w:type="dxa"/>
            <w:right w:w="0" w:type="dxa"/>
          </w:tblCellMar>
        </w:tblPrEx>
        <w:trPr>
          <w:trHeight w:val="559" w:hRule="atLeast"/>
        </w:trPr>
        <w:tc>
          <w:tcPr>
            <w:tcW w:w="2818" w:type="dxa"/>
            <w:noWrap w:val="0"/>
            <w:tcMar>
              <w:top w:w="0" w:type="dxa"/>
              <w:left w:w="0" w:type="dxa"/>
              <w:bottom w:w="0" w:type="dxa"/>
              <w:right w:w="0" w:type="dxa"/>
            </w:tcMar>
            <w:vAlign w:val="top"/>
          </w:tcPr>
          <w:p w14:paraId="64BF9EE4">
            <w:pPr>
              <w:pBdr>
                <w:top w:val="none" w:color="000000" w:sz="0" w:space="0"/>
                <w:left w:val="none" w:color="000000" w:sz="0" w:space="0"/>
                <w:bottom w:val="none" w:color="000000" w:sz="0" w:space="0"/>
                <w:right w:val="none" w:color="000000" w:sz="0" w:space="0"/>
              </w:pBdr>
              <w:spacing w:before="231" w:after="0" w:line="312" w:lineRule="atLeast"/>
              <w:ind w:left="838" w:right="0" w:firstLine="0"/>
              <w:jc w:val="both"/>
              <w:rPr>
                <w:rFonts w:ascii="Times New Roman" w:hAnsi="Times New Roman" w:eastAsia="宋体" w:cs="Times New Roman"/>
                <w:color w:val="auto"/>
                <w:highlight w:val="none"/>
              </w:rPr>
            </w:pPr>
            <w:r>
              <w:rPr>
                <w:rFonts w:ascii="黑体" w:hAnsi="黑体" w:eastAsia="黑体" w:cs="黑体"/>
                <w:color w:val="auto"/>
                <w:spacing w:val="4"/>
                <w:sz w:val="23"/>
                <w:highlight w:val="none"/>
              </w:rPr>
              <w:t>验收时间</w:t>
            </w:r>
          </w:p>
        </w:tc>
        <w:tc>
          <w:tcPr>
            <w:tcW w:w="1762" w:type="dxa"/>
            <w:noWrap w:val="0"/>
            <w:tcMar>
              <w:top w:w="0" w:type="dxa"/>
              <w:left w:w="0" w:type="dxa"/>
              <w:bottom w:w="0" w:type="dxa"/>
              <w:right w:w="0" w:type="dxa"/>
            </w:tcMar>
            <w:vAlign w:val="top"/>
          </w:tcPr>
          <w:p w14:paraId="4FF1A4AC">
            <w:pPr>
              <w:pBdr>
                <w:top w:val="none" w:color="000000" w:sz="0" w:space="0"/>
                <w:left w:val="none" w:color="000000" w:sz="0" w:space="0"/>
                <w:bottom w:val="none" w:color="000000" w:sz="0" w:space="0"/>
                <w:right w:val="none" w:color="000000" w:sz="0" w:space="0"/>
              </w:pBdr>
              <w:spacing w:before="240" w:after="240" w:line="240" w:lineRule="auto"/>
              <w:ind w:left="0" w:right="0" w:firstLine="0"/>
              <w:rPr>
                <w:rFonts w:ascii="Times New Roman" w:hAnsi="Times New Roman" w:eastAsia="宋体" w:cs="Times New Roman"/>
                <w:color w:val="auto"/>
                <w:highlight w:val="none"/>
              </w:rPr>
            </w:pPr>
            <w:r>
              <w:rPr>
                <w:rFonts w:ascii="Arial" w:hAnsi="Arial" w:eastAsia="Arial" w:cs="Arial"/>
                <w:color w:val="auto"/>
                <w:sz w:val="21"/>
                <w:highlight w:val="none"/>
              </w:rPr>
              <w:t> </w:t>
            </w:r>
          </w:p>
        </w:tc>
        <w:tc>
          <w:tcPr>
            <w:tcW w:w="2309" w:type="dxa"/>
            <w:noWrap w:val="0"/>
            <w:tcMar>
              <w:top w:w="0" w:type="dxa"/>
              <w:left w:w="0" w:type="dxa"/>
              <w:bottom w:w="0" w:type="dxa"/>
              <w:right w:w="0" w:type="dxa"/>
            </w:tcMar>
            <w:vAlign w:val="top"/>
          </w:tcPr>
          <w:p w14:paraId="1A0565D9">
            <w:pPr>
              <w:pBdr>
                <w:top w:val="none" w:color="000000" w:sz="0" w:space="0"/>
                <w:left w:val="none" w:color="000000" w:sz="0" w:space="0"/>
                <w:bottom w:val="none" w:color="000000" w:sz="0" w:space="0"/>
                <w:right w:val="none" w:color="000000" w:sz="0" w:space="0"/>
              </w:pBdr>
              <w:spacing w:before="231" w:after="0" w:line="312" w:lineRule="atLeast"/>
              <w:ind w:left="604" w:right="0" w:firstLine="0"/>
              <w:jc w:val="both"/>
              <w:rPr>
                <w:rFonts w:ascii="Times New Roman" w:hAnsi="Times New Roman" w:eastAsia="宋体" w:cs="Times New Roman"/>
                <w:color w:val="auto"/>
                <w:highlight w:val="none"/>
              </w:rPr>
            </w:pPr>
            <w:r>
              <w:rPr>
                <w:rFonts w:ascii="黑体" w:hAnsi="黑体" w:eastAsia="黑体" w:cs="黑体"/>
                <w:color w:val="auto"/>
                <w:spacing w:val="4"/>
                <w:sz w:val="23"/>
                <w:highlight w:val="none"/>
              </w:rPr>
              <w:t>验收地点</w:t>
            </w:r>
          </w:p>
        </w:tc>
        <w:tc>
          <w:tcPr>
            <w:tcW w:w="2090" w:type="dxa"/>
            <w:noWrap w:val="0"/>
            <w:tcMar>
              <w:top w:w="0" w:type="dxa"/>
              <w:left w:w="0" w:type="dxa"/>
              <w:bottom w:w="0" w:type="dxa"/>
              <w:right w:w="0" w:type="dxa"/>
            </w:tcMar>
            <w:vAlign w:val="top"/>
          </w:tcPr>
          <w:p w14:paraId="245C5DE2">
            <w:pPr>
              <w:pBdr>
                <w:top w:val="none" w:color="000000" w:sz="0" w:space="0"/>
                <w:left w:val="none" w:color="000000" w:sz="0" w:space="0"/>
                <w:bottom w:val="none" w:color="000000" w:sz="0" w:space="0"/>
                <w:right w:val="none" w:color="000000" w:sz="0" w:space="0"/>
              </w:pBdr>
              <w:spacing w:before="240" w:after="240" w:line="240" w:lineRule="auto"/>
              <w:ind w:left="0" w:right="0" w:firstLine="0"/>
              <w:rPr>
                <w:rFonts w:ascii="Times New Roman" w:hAnsi="Times New Roman" w:eastAsia="宋体" w:cs="Times New Roman"/>
                <w:color w:val="auto"/>
                <w:highlight w:val="none"/>
              </w:rPr>
            </w:pPr>
            <w:r>
              <w:rPr>
                <w:rFonts w:ascii="Arial" w:hAnsi="Arial" w:eastAsia="Arial" w:cs="Arial"/>
                <w:color w:val="auto"/>
                <w:sz w:val="21"/>
                <w:highlight w:val="none"/>
              </w:rPr>
              <w:t> </w:t>
            </w:r>
          </w:p>
        </w:tc>
      </w:tr>
      <w:tr w14:paraId="166E630F">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0" w:type="dxa"/>
            <w:bottom w:w="0" w:type="dxa"/>
            <w:right w:w="0" w:type="dxa"/>
          </w:tblCellMar>
        </w:tblPrEx>
        <w:trPr>
          <w:trHeight w:val="560" w:hRule="atLeast"/>
        </w:trPr>
        <w:tc>
          <w:tcPr>
            <w:tcW w:w="2818" w:type="dxa"/>
            <w:noWrap w:val="0"/>
            <w:tcMar>
              <w:top w:w="0" w:type="dxa"/>
              <w:left w:w="0" w:type="dxa"/>
              <w:bottom w:w="0" w:type="dxa"/>
              <w:right w:w="0" w:type="dxa"/>
            </w:tcMar>
            <w:vAlign w:val="top"/>
          </w:tcPr>
          <w:p w14:paraId="747D0EC9">
            <w:pPr>
              <w:pBdr>
                <w:top w:val="none" w:color="000000" w:sz="0" w:space="0"/>
                <w:left w:val="none" w:color="000000" w:sz="0" w:space="0"/>
                <w:bottom w:val="none" w:color="000000" w:sz="0" w:space="0"/>
                <w:right w:val="none" w:color="000000" w:sz="0" w:space="0"/>
              </w:pBdr>
              <w:spacing w:before="231" w:after="0" w:line="312" w:lineRule="atLeast"/>
              <w:ind w:left="962" w:right="0" w:firstLine="0"/>
              <w:jc w:val="both"/>
              <w:rPr>
                <w:rFonts w:ascii="Times New Roman" w:hAnsi="Times New Roman" w:eastAsia="宋体" w:cs="Times New Roman"/>
                <w:color w:val="auto"/>
                <w:highlight w:val="none"/>
              </w:rPr>
            </w:pPr>
            <w:r>
              <w:rPr>
                <w:rFonts w:ascii="黑体" w:hAnsi="黑体" w:eastAsia="黑体" w:cs="黑体"/>
                <w:color w:val="auto"/>
                <w:sz w:val="23"/>
                <w:highlight w:val="none"/>
              </w:rPr>
              <w:t>联系人</w:t>
            </w:r>
          </w:p>
        </w:tc>
        <w:tc>
          <w:tcPr>
            <w:tcW w:w="1762" w:type="dxa"/>
            <w:noWrap w:val="0"/>
            <w:tcMar>
              <w:top w:w="0" w:type="dxa"/>
              <w:left w:w="0" w:type="dxa"/>
              <w:bottom w:w="0" w:type="dxa"/>
              <w:right w:w="0" w:type="dxa"/>
            </w:tcMar>
            <w:vAlign w:val="top"/>
          </w:tcPr>
          <w:p w14:paraId="4FA91D40">
            <w:pPr>
              <w:pBdr>
                <w:top w:val="none" w:color="000000" w:sz="0" w:space="0"/>
                <w:left w:val="none" w:color="000000" w:sz="0" w:space="0"/>
                <w:bottom w:val="none" w:color="000000" w:sz="0" w:space="0"/>
                <w:right w:val="none" w:color="000000" w:sz="0" w:space="0"/>
              </w:pBdr>
              <w:spacing w:before="240" w:after="240" w:line="240" w:lineRule="auto"/>
              <w:ind w:left="0" w:right="0" w:firstLine="0"/>
              <w:rPr>
                <w:rFonts w:ascii="Times New Roman" w:hAnsi="Times New Roman" w:eastAsia="宋体" w:cs="Times New Roman"/>
                <w:color w:val="auto"/>
                <w:highlight w:val="none"/>
              </w:rPr>
            </w:pPr>
            <w:r>
              <w:rPr>
                <w:rFonts w:ascii="Arial" w:hAnsi="Arial" w:eastAsia="Arial" w:cs="Arial"/>
                <w:color w:val="auto"/>
                <w:sz w:val="21"/>
                <w:highlight w:val="none"/>
              </w:rPr>
              <w:t> </w:t>
            </w:r>
          </w:p>
        </w:tc>
        <w:tc>
          <w:tcPr>
            <w:tcW w:w="2309" w:type="dxa"/>
            <w:noWrap w:val="0"/>
            <w:tcMar>
              <w:top w:w="0" w:type="dxa"/>
              <w:left w:w="0" w:type="dxa"/>
              <w:bottom w:w="0" w:type="dxa"/>
              <w:right w:w="0" w:type="dxa"/>
            </w:tcMar>
            <w:vAlign w:val="top"/>
          </w:tcPr>
          <w:p w14:paraId="0CB2D47F">
            <w:pPr>
              <w:pBdr>
                <w:top w:val="none" w:color="000000" w:sz="0" w:space="0"/>
                <w:left w:val="none" w:color="000000" w:sz="0" w:space="0"/>
                <w:bottom w:val="none" w:color="000000" w:sz="0" w:space="0"/>
                <w:right w:val="none" w:color="000000" w:sz="0" w:space="0"/>
              </w:pBdr>
              <w:spacing w:before="231" w:after="0" w:line="312" w:lineRule="atLeast"/>
              <w:ind w:left="608" w:right="0" w:firstLine="0"/>
              <w:jc w:val="both"/>
              <w:rPr>
                <w:rFonts w:ascii="Times New Roman" w:hAnsi="Times New Roman" w:eastAsia="宋体" w:cs="Times New Roman"/>
                <w:color w:val="auto"/>
                <w:highlight w:val="none"/>
              </w:rPr>
            </w:pPr>
            <w:r>
              <w:rPr>
                <w:rFonts w:ascii="黑体" w:hAnsi="黑体" w:eastAsia="黑体" w:cs="黑体"/>
                <w:color w:val="auto"/>
                <w:spacing w:val="2"/>
                <w:sz w:val="23"/>
                <w:highlight w:val="none"/>
              </w:rPr>
              <w:t>联系电话</w:t>
            </w:r>
          </w:p>
        </w:tc>
        <w:tc>
          <w:tcPr>
            <w:tcW w:w="2090" w:type="dxa"/>
            <w:noWrap w:val="0"/>
            <w:tcMar>
              <w:top w:w="0" w:type="dxa"/>
              <w:left w:w="0" w:type="dxa"/>
              <w:bottom w:w="0" w:type="dxa"/>
              <w:right w:w="0" w:type="dxa"/>
            </w:tcMar>
            <w:vAlign w:val="top"/>
          </w:tcPr>
          <w:p w14:paraId="7D0DDB5B">
            <w:pPr>
              <w:pBdr>
                <w:top w:val="none" w:color="000000" w:sz="0" w:space="0"/>
                <w:left w:val="none" w:color="000000" w:sz="0" w:space="0"/>
                <w:bottom w:val="none" w:color="000000" w:sz="0" w:space="0"/>
                <w:right w:val="none" w:color="000000" w:sz="0" w:space="0"/>
              </w:pBdr>
              <w:spacing w:before="240" w:after="240" w:line="240" w:lineRule="auto"/>
              <w:ind w:left="0" w:right="0" w:firstLine="0"/>
              <w:rPr>
                <w:rFonts w:ascii="Times New Roman" w:hAnsi="Times New Roman" w:eastAsia="宋体" w:cs="Times New Roman"/>
                <w:color w:val="auto"/>
                <w:highlight w:val="none"/>
              </w:rPr>
            </w:pPr>
            <w:r>
              <w:rPr>
                <w:rFonts w:ascii="Arial" w:hAnsi="Arial" w:eastAsia="Arial" w:cs="Arial"/>
                <w:color w:val="auto"/>
                <w:sz w:val="21"/>
                <w:highlight w:val="none"/>
              </w:rPr>
              <w:t> </w:t>
            </w:r>
          </w:p>
        </w:tc>
      </w:tr>
      <w:tr w14:paraId="0F57E6E0">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0" w:type="dxa"/>
            <w:bottom w:w="0" w:type="dxa"/>
            <w:right w:w="0" w:type="dxa"/>
          </w:tblCellMar>
        </w:tblPrEx>
        <w:trPr>
          <w:trHeight w:val="560" w:hRule="atLeast"/>
        </w:trPr>
        <w:tc>
          <w:tcPr>
            <w:tcW w:w="8979" w:type="dxa"/>
            <w:gridSpan w:val="4"/>
            <w:noWrap w:val="0"/>
            <w:tcMar>
              <w:top w:w="0" w:type="dxa"/>
              <w:left w:w="0" w:type="dxa"/>
              <w:bottom w:w="0" w:type="dxa"/>
              <w:right w:w="0" w:type="dxa"/>
            </w:tcMar>
            <w:vAlign w:val="top"/>
          </w:tcPr>
          <w:p w14:paraId="16E85E91">
            <w:pPr>
              <w:pBdr>
                <w:top w:val="none" w:color="000000" w:sz="0" w:space="0"/>
                <w:left w:val="none" w:color="000000" w:sz="0" w:space="0"/>
                <w:bottom w:val="none" w:color="000000" w:sz="0" w:space="0"/>
                <w:right w:val="none" w:color="000000" w:sz="0" w:space="0"/>
              </w:pBdr>
              <w:spacing w:before="233" w:after="0" w:line="311" w:lineRule="atLeast"/>
              <w:ind w:left="3360" w:right="0" w:firstLine="0"/>
              <w:jc w:val="both"/>
              <w:rPr>
                <w:rFonts w:ascii="Times New Roman" w:hAnsi="Times New Roman" w:eastAsia="宋体" w:cs="Times New Roman"/>
                <w:color w:val="auto"/>
                <w:highlight w:val="none"/>
              </w:rPr>
            </w:pPr>
            <w:r>
              <w:rPr>
                <w:rFonts w:ascii="黑体" w:hAnsi="黑体" w:eastAsia="黑体" w:cs="黑体"/>
                <w:color w:val="auto"/>
                <w:spacing w:val="7"/>
                <w:sz w:val="23"/>
                <w:highlight w:val="none"/>
              </w:rPr>
              <w:t>履约验收方案及工作要求</w:t>
            </w:r>
          </w:p>
        </w:tc>
      </w:tr>
      <w:tr w14:paraId="61532DCF">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0" w:type="dxa"/>
            <w:bottom w:w="0" w:type="dxa"/>
            <w:right w:w="0" w:type="dxa"/>
          </w:tblCellMar>
        </w:tblPrEx>
        <w:trPr>
          <w:trHeight w:val="4656" w:hRule="atLeast"/>
        </w:trPr>
        <w:tc>
          <w:tcPr>
            <w:tcW w:w="8979" w:type="dxa"/>
            <w:gridSpan w:val="4"/>
            <w:noWrap w:val="0"/>
            <w:tcMar>
              <w:top w:w="0" w:type="dxa"/>
              <w:left w:w="0" w:type="dxa"/>
              <w:bottom w:w="0" w:type="dxa"/>
              <w:right w:w="0" w:type="dxa"/>
            </w:tcMar>
            <w:vAlign w:val="top"/>
          </w:tcPr>
          <w:p w14:paraId="2AFC298A">
            <w:pPr>
              <w:pBdr>
                <w:top w:val="none" w:color="000000" w:sz="0" w:space="0"/>
                <w:left w:val="none" w:color="000000" w:sz="0" w:space="0"/>
                <w:bottom w:val="none" w:color="000000" w:sz="0" w:space="0"/>
                <w:right w:val="none" w:color="000000" w:sz="0" w:space="0"/>
              </w:pBdr>
              <w:spacing w:before="240" w:after="240" w:line="240" w:lineRule="auto"/>
              <w:ind w:left="0" w:right="0" w:firstLine="0"/>
              <w:rPr>
                <w:rFonts w:ascii="Times New Roman" w:hAnsi="Times New Roman" w:eastAsia="宋体" w:cs="Times New Roman"/>
                <w:color w:val="auto"/>
                <w:highlight w:val="none"/>
              </w:rPr>
            </w:pPr>
            <w:r>
              <w:rPr>
                <w:rFonts w:ascii="Arial" w:hAnsi="Arial" w:eastAsia="Arial" w:cs="Arial"/>
                <w:color w:val="auto"/>
                <w:sz w:val="21"/>
                <w:highlight w:val="none"/>
              </w:rPr>
              <w:t> </w:t>
            </w:r>
          </w:p>
          <w:p w14:paraId="26538EFF">
            <w:pPr>
              <w:pBdr>
                <w:top w:val="none" w:color="000000" w:sz="0" w:space="0"/>
                <w:left w:val="none" w:color="000000" w:sz="0" w:space="0"/>
                <w:bottom w:val="none" w:color="000000" w:sz="0" w:space="0"/>
                <w:right w:val="none" w:color="000000" w:sz="0" w:space="0"/>
              </w:pBdr>
              <w:spacing w:before="240" w:after="240" w:line="240" w:lineRule="auto"/>
              <w:ind w:left="0" w:right="0" w:firstLine="0"/>
              <w:rPr>
                <w:rFonts w:ascii="Times New Roman" w:hAnsi="Times New Roman" w:eastAsia="宋体" w:cs="Times New Roman"/>
                <w:color w:val="auto"/>
                <w:highlight w:val="none"/>
              </w:rPr>
            </w:pPr>
            <w:r>
              <w:rPr>
                <w:rFonts w:ascii="Arial" w:hAnsi="Arial" w:eastAsia="Arial" w:cs="Arial"/>
                <w:color w:val="auto"/>
                <w:sz w:val="21"/>
                <w:highlight w:val="none"/>
              </w:rPr>
              <w:t> </w:t>
            </w:r>
          </w:p>
          <w:p w14:paraId="1C3D8187">
            <w:pPr>
              <w:pBdr>
                <w:top w:val="none" w:color="000000" w:sz="0" w:space="0"/>
                <w:left w:val="none" w:color="000000" w:sz="0" w:space="0"/>
                <w:bottom w:val="none" w:color="000000" w:sz="0" w:space="0"/>
                <w:right w:val="none" w:color="000000" w:sz="0" w:space="0"/>
              </w:pBdr>
              <w:spacing w:before="240" w:after="240" w:line="240" w:lineRule="auto"/>
              <w:ind w:left="0" w:right="0" w:firstLine="0"/>
              <w:rPr>
                <w:rFonts w:ascii="Times New Roman" w:hAnsi="Times New Roman" w:eastAsia="宋体" w:cs="Times New Roman"/>
                <w:color w:val="auto"/>
                <w:highlight w:val="none"/>
              </w:rPr>
            </w:pPr>
            <w:r>
              <w:rPr>
                <w:rFonts w:ascii="Arial" w:hAnsi="Arial" w:eastAsia="Arial" w:cs="Arial"/>
                <w:color w:val="auto"/>
                <w:sz w:val="21"/>
                <w:highlight w:val="none"/>
              </w:rPr>
              <w:t> </w:t>
            </w:r>
          </w:p>
          <w:p w14:paraId="18985CB8">
            <w:pPr>
              <w:pBdr>
                <w:top w:val="none" w:color="000000" w:sz="0" w:space="0"/>
                <w:left w:val="none" w:color="000000" w:sz="0" w:space="0"/>
                <w:bottom w:val="none" w:color="000000" w:sz="0" w:space="0"/>
                <w:right w:val="none" w:color="000000" w:sz="0" w:space="0"/>
              </w:pBdr>
              <w:spacing w:before="240" w:after="240" w:line="240" w:lineRule="auto"/>
              <w:ind w:left="0" w:right="0" w:firstLine="0"/>
              <w:rPr>
                <w:rFonts w:ascii="Times New Roman" w:hAnsi="Times New Roman" w:eastAsia="宋体" w:cs="Times New Roman"/>
                <w:color w:val="auto"/>
                <w:highlight w:val="none"/>
              </w:rPr>
            </w:pPr>
            <w:r>
              <w:rPr>
                <w:rFonts w:ascii="Arial" w:hAnsi="Arial" w:eastAsia="Arial" w:cs="Arial"/>
                <w:color w:val="auto"/>
                <w:sz w:val="21"/>
                <w:highlight w:val="none"/>
              </w:rPr>
              <w:t> </w:t>
            </w:r>
          </w:p>
          <w:p w14:paraId="71A822BD">
            <w:pPr>
              <w:pBdr>
                <w:top w:val="none" w:color="000000" w:sz="0" w:space="0"/>
                <w:left w:val="none" w:color="000000" w:sz="0" w:space="0"/>
                <w:bottom w:val="none" w:color="000000" w:sz="0" w:space="0"/>
                <w:right w:val="none" w:color="000000" w:sz="0" w:space="0"/>
              </w:pBdr>
              <w:spacing w:before="75" w:after="0" w:line="119" w:lineRule="atLeast"/>
              <w:ind w:left="5124" w:right="2530" w:firstLine="183"/>
              <w:jc w:val="both"/>
              <w:rPr>
                <w:rFonts w:hint="eastAsia" w:ascii="Times New Roman" w:hAnsi="Times New Roman" w:eastAsia="宋体" w:cs="Times New Roman"/>
                <w:color w:val="auto"/>
                <w:highlight w:val="none"/>
                <w:lang w:val="en-US" w:eastAsia="zh-CN"/>
              </w:rPr>
            </w:pPr>
            <w:r>
              <w:rPr>
                <w:rFonts w:ascii="Arial" w:hAnsi="Arial" w:eastAsia="Arial" w:cs="Arial"/>
                <w:color w:val="auto"/>
                <w:sz w:val="21"/>
                <w:highlight w:val="none"/>
              </w:rPr>
              <w:t> </w:t>
            </w:r>
            <w:r>
              <w:rPr>
                <w:rFonts w:hint="eastAsia" w:ascii="Times New Roman" w:hAnsi="Times New Roman" w:eastAsia="宋体" w:cs="Times New Roman"/>
                <w:color w:val="auto"/>
                <w:highlight w:val="none"/>
                <w:lang w:val="en-US" w:eastAsia="zh-CN"/>
              </w:rPr>
              <w:t>单位公章</w:t>
            </w:r>
          </w:p>
          <w:p w14:paraId="2DDCBA61">
            <w:pPr>
              <w:keepNext/>
              <w:keepLines/>
              <w:widowControl w:val="0"/>
              <w:spacing w:before="260" w:after="260" w:line="416" w:lineRule="auto"/>
              <w:jc w:val="right"/>
              <w:outlineLvl w:val="1"/>
              <w:rPr>
                <w:rFonts w:hint="default" w:ascii="Arial" w:hAnsi="Arial" w:eastAsia="幼圆" w:cs="Arial"/>
                <w:b/>
                <w:bCs/>
                <w:color w:val="auto"/>
                <w:sz w:val="44"/>
                <w:szCs w:val="44"/>
                <w:highlight w:val="none"/>
                <w:lang w:val="en-US" w:eastAsia="zh-CN" w:bidi="ar-SA"/>
              </w:rPr>
            </w:pPr>
            <w:r>
              <w:rPr>
                <w:rFonts w:hint="eastAsia" w:ascii="Times New Roman" w:hAnsi="Times New Roman" w:eastAsia="宋体" w:cs="Times New Roman"/>
                <w:b w:val="0"/>
                <w:bCs w:val="0"/>
                <w:color w:val="auto"/>
                <w:sz w:val="21"/>
                <w:szCs w:val="22"/>
                <w:highlight w:val="none"/>
                <w:lang w:val="en-US" w:eastAsia="zh-CN" w:bidi="ar-SA"/>
              </w:rPr>
              <w:t xml:space="preserve">  年   月   日</w:t>
            </w:r>
          </w:p>
        </w:tc>
      </w:tr>
    </w:tbl>
    <w:p w14:paraId="30C70688">
      <w:pPr>
        <w:pStyle w:val="44"/>
        <w:rPr>
          <w:rFonts w:hint="eastAsia"/>
          <w:color w:val="auto"/>
          <w:highlight w:val="none"/>
        </w:rPr>
      </w:pPr>
    </w:p>
    <w:p w14:paraId="63266531">
      <w:pPr>
        <w:rPr>
          <w:rFonts w:hint="eastAsia" w:ascii="宋体" w:hAnsi="宋体" w:eastAsia="宋体" w:cs="宋体"/>
          <w:bCs/>
          <w:color w:val="auto"/>
          <w:sz w:val="44"/>
          <w:szCs w:val="21"/>
          <w:highlight w:val="none"/>
        </w:rPr>
      </w:pPr>
      <w:r>
        <w:rPr>
          <w:rFonts w:hint="eastAsia" w:ascii="宋体" w:hAnsi="宋体" w:eastAsia="宋体" w:cs="宋体"/>
          <w:bCs/>
          <w:color w:val="auto"/>
          <w:sz w:val="44"/>
          <w:szCs w:val="21"/>
          <w:highlight w:val="none"/>
          <w:lang w:val="en-US" w:eastAsia="zh-CN"/>
        </w:rPr>
        <w:br w:type="page"/>
      </w:r>
    </w:p>
    <w:p w14:paraId="29A6E92E">
      <w:pPr>
        <w:keepNext w:val="0"/>
        <w:keepLines w:val="0"/>
        <w:pageBreakBefore w:val="0"/>
        <w:widowControl w:val="0"/>
        <w:numPr>
          <w:ilvl w:val="0"/>
          <w:numId w:val="8"/>
        </w:numPr>
        <w:spacing w:line="360" w:lineRule="auto"/>
        <w:ind w:left="1470"/>
        <w:jc w:val="center"/>
        <w:rPr>
          <w:rFonts w:hint="eastAsia" w:ascii="宋体" w:hAnsi="宋体" w:eastAsia="宋体" w:cs="宋体"/>
          <w:bCs/>
          <w:color w:val="auto"/>
          <w:sz w:val="44"/>
          <w:szCs w:val="21"/>
          <w:highlight w:val="none"/>
        </w:rPr>
      </w:pPr>
      <w:r>
        <w:rPr>
          <w:rFonts w:hint="eastAsia" w:ascii="宋体" w:hAnsi="宋体" w:eastAsia="宋体" w:cs="宋体"/>
          <w:bCs/>
          <w:color w:val="auto"/>
          <w:sz w:val="44"/>
          <w:szCs w:val="21"/>
          <w:highlight w:val="none"/>
          <w:lang w:val="en-US" w:eastAsia="zh-CN"/>
        </w:rPr>
        <w:t>采购</w:t>
      </w:r>
      <w:r>
        <w:rPr>
          <w:rFonts w:hint="eastAsia" w:ascii="宋体" w:hAnsi="宋体" w:eastAsia="宋体" w:cs="宋体"/>
          <w:bCs/>
          <w:color w:val="auto"/>
          <w:sz w:val="44"/>
          <w:szCs w:val="21"/>
          <w:highlight w:val="none"/>
        </w:rPr>
        <w:t>需求</w:t>
      </w:r>
      <w:bookmarkEnd w:id="158"/>
      <w:bookmarkEnd w:id="159"/>
      <w:bookmarkEnd w:id="160"/>
      <w:bookmarkStart w:id="741" w:name="_Toc49090575"/>
      <w:bookmarkStart w:id="742" w:name="_Toc26554093"/>
    </w:p>
    <w:p w14:paraId="06841E8D">
      <w:pPr>
        <w:keepNext w:val="0"/>
        <w:keepLines w:val="0"/>
        <w:pageBreakBefore w:val="0"/>
        <w:widowControl w:val="0"/>
        <w:spacing w:line="360" w:lineRule="auto"/>
        <w:ind w:left="0" w:right="0" w:firstLine="482"/>
        <w:outlineLvl w:val="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一、项目简介</w:t>
      </w:r>
    </w:p>
    <w:p w14:paraId="767C9E87">
      <w:pPr>
        <w:pageBreakBefore w:val="0"/>
        <w:spacing w:line="360" w:lineRule="auto"/>
        <w:ind w:left="0" w:firstLine="48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1.项目编号：</w:t>
      </w:r>
      <w:r>
        <w:rPr>
          <w:rFonts w:hint="eastAsia" w:ascii="宋体" w:hAnsi="宋体" w:eastAsia="宋体" w:cs="宋体"/>
          <w:color w:val="auto"/>
          <w:sz w:val="24"/>
          <w:szCs w:val="24"/>
          <w:highlight w:val="none"/>
          <w:lang w:val="en-US" w:eastAsia="zh-CN"/>
        </w:rPr>
        <w:t xml:space="preserve">  </w:t>
      </w:r>
    </w:p>
    <w:p w14:paraId="0FCD5DA3">
      <w:pPr>
        <w:pageBreakBefore w:val="0"/>
        <w:spacing w:line="360" w:lineRule="auto"/>
        <w:ind w:left="0" w:firstLine="48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2.项目名称：</w:t>
      </w:r>
      <w:r>
        <w:rPr>
          <w:rFonts w:hint="eastAsia" w:ascii="宋体" w:hAnsi="宋体" w:cs="宋体"/>
          <w:color w:val="auto"/>
          <w:sz w:val="24"/>
          <w:szCs w:val="24"/>
          <w:highlight w:val="none"/>
          <w:lang w:eastAsia="zh-CN"/>
        </w:rPr>
        <w:t>南通市通州区东社镇社北路道路工程</w:t>
      </w:r>
    </w:p>
    <w:p w14:paraId="3FE00D9A">
      <w:pPr>
        <w:pageBreakBefore w:val="0"/>
        <w:spacing w:line="360" w:lineRule="auto"/>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3.采购方式：</w:t>
      </w:r>
      <w:r>
        <w:rPr>
          <w:rFonts w:hint="eastAsia" w:ascii="宋体" w:hAnsi="宋体" w:eastAsia="宋体" w:cs="宋体"/>
          <w:color w:val="auto"/>
          <w:sz w:val="24"/>
          <w:szCs w:val="24"/>
          <w:highlight w:val="none"/>
          <w:lang w:eastAsia="zh-CN"/>
        </w:rPr>
        <w:t>竞争性磋商</w:t>
      </w:r>
      <w:r>
        <w:rPr>
          <w:rFonts w:hint="eastAsia" w:ascii="宋体" w:hAnsi="宋体" w:eastAsia="宋体" w:cs="宋体"/>
          <w:color w:val="auto"/>
          <w:sz w:val="24"/>
          <w:szCs w:val="24"/>
          <w:highlight w:val="none"/>
        </w:rPr>
        <w:t xml:space="preserve"> </w:t>
      </w:r>
    </w:p>
    <w:p w14:paraId="510FD677">
      <w:pPr>
        <w:pageBreakBefore w:val="0"/>
        <w:spacing w:line="360" w:lineRule="auto"/>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预算金额：</w:t>
      </w:r>
      <w:r>
        <w:rPr>
          <w:rFonts w:hint="eastAsia" w:ascii="宋体" w:hAnsi="宋体" w:eastAsia="宋体" w:cs="宋体"/>
          <w:color w:val="auto"/>
          <w:sz w:val="24"/>
          <w:szCs w:val="24"/>
          <w:highlight w:val="none"/>
          <w:lang w:val="en-US" w:eastAsia="zh-CN"/>
        </w:rPr>
        <w:t>220.108222万元。</w:t>
      </w:r>
    </w:p>
    <w:p w14:paraId="3064A65A">
      <w:pPr>
        <w:pageBreakBefore w:val="0"/>
        <w:spacing w:line="360" w:lineRule="auto"/>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lang w:eastAsia="zh-CN"/>
        </w:rPr>
        <w:t>最高限价</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198.09万元。</w:t>
      </w:r>
      <w:r>
        <w:rPr>
          <w:rFonts w:hint="eastAsia" w:ascii="宋体" w:hAnsi="宋体" w:eastAsia="宋体" w:cs="宋体"/>
          <w:color w:val="auto"/>
          <w:sz w:val="24"/>
          <w:szCs w:val="24"/>
          <w:highlight w:val="none"/>
        </w:rPr>
        <w:t>最终报价超过</w:t>
      </w:r>
      <w:r>
        <w:rPr>
          <w:rFonts w:hint="eastAsia" w:ascii="宋体" w:hAnsi="宋体" w:eastAsia="宋体" w:cs="宋体"/>
          <w:color w:val="auto"/>
          <w:sz w:val="24"/>
          <w:szCs w:val="24"/>
          <w:highlight w:val="none"/>
          <w:lang w:eastAsia="zh-CN"/>
        </w:rPr>
        <w:t>各采购包</w:t>
      </w:r>
      <w:r>
        <w:rPr>
          <w:rFonts w:hint="eastAsia" w:ascii="宋体" w:hAnsi="宋体" w:eastAsia="宋体" w:cs="宋体"/>
          <w:color w:val="auto"/>
          <w:sz w:val="24"/>
          <w:szCs w:val="24"/>
          <w:highlight w:val="none"/>
        </w:rPr>
        <w:t>最高限价的为无效响应文件。</w:t>
      </w:r>
    </w:p>
    <w:p w14:paraId="6A2C03AE">
      <w:pPr>
        <w:pageBreakBefore w:val="0"/>
        <w:spacing w:line="360" w:lineRule="auto"/>
        <w:ind w:left="0" w:firstLine="480"/>
        <w:rPr>
          <w:rFonts w:hint="eastAsia" w:ascii="宋体" w:hAnsi="宋体" w:eastAsia="宋体" w:cs="Times New Roman"/>
          <w:color w:val="auto"/>
          <w:sz w:val="24"/>
          <w:highlight w:val="none"/>
          <w:lang w:val="en-US" w:eastAsia="zh-CN"/>
        </w:rPr>
      </w:pPr>
      <w:r>
        <w:rPr>
          <w:rFonts w:hint="eastAsia" w:ascii="宋体" w:hAnsi="宋体" w:eastAsia="宋体" w:cs="宋体"/>
          <w:color w:val="auto"/>
          <w:sz w:val="24"/>
          <w:szCs w:val="24"/>
          <w:highlight w:val="none"/>
          <w:lang w:val="en-US" w:eastAsia="zh-CN"/>
        </w:rPr>
        <w:t>6.</w:t>
      </w:r>
      <w:r>
        <w:rPr>
          <w:rFonts w:hint="eastAsia" w:ascii="宋体" w:hAnsi="宋体" w:eastAsia="宋体" w:cs="Times New Roman"/>
          <w:color w:val="auto"/>
          <w:sz w:val="24"/>
          <w:highlight w:val="none"/>
          <w:lang w:val="en-US" w:eastAsia="zh-CN"/>
        </w:rPr>
        <w:t>项目类型：工程类</w:t>
      </w:r>
    </w:p>
    <w:p w14:paraId="311A9919">
      <w:pPr>
        <w:pageBreakBefore w:val="0"/>
        <w:spacing w:line="360" w:lineRule="auto"/>
        <w:ind w:left="0" w:firstLine="480"/>
        <w:rPr>
          <w:rFonts w:hint="eastAsia" w:ascii="宋体" w:hAnsi="宋体" w:eastAsia="宋体" w:cs="宋体"/>
          <w:color w:val="auto"/>
          <w:sz w:val="24"/>
          <w:szCs w:val="24"/>
          <w:highlight w:val="none"/>
        </w:rPr>
      </w:pPr>
      <w:r>
        <w:rPr>
          <w:rFonts w:hint="eastAsia" w:ascii="宋体" w:hAnsi="宋体" w:eastAsia="宋体" w:cs="Times New Roman"/>
          <w:color w:val="auto"/>
          <w:sz w:val="24"/>
          <w:highlight w:val="none"/>
          <w:lang w:val="en-US" w:eastAsia="zh-CN"/>
        </w:rPr>
        <w:t>7.</w:t>
      </w:r>
      <w:r>
        <w:rPr>
          <w:rFonts w:hint="eastAsia" w:ascii="宋体" w:hAnsi="宋体" w:eastAsia="宋体" w:cs="Arial"/>
          <w:color w:val="auto"/>
          <w:sz w:val="24"/>
          <w:highlight w:val="none"/>
          <w:lang w:val="en-US" w:eastAsia="zh-CN"/>
        </w:rPr>
        <w:t>项目</w:t>
      </w:r>
      <w:r>
        <w:rPr>
          <w:rFonts w:hint="eastAsia" w:ascii="宋体" w:hAnsi="宋体" w:eastAsia="宋体" w:cs="Arial"/>
          <w:color w:val="auto"/>
          <w:sz w:val="24"/>
          <w:highlight w:val="none"/>
        </w:rPr>
        <w:t>所属行业：建筑业</w:t>
      </w:r>
    </w:p>
    <w:p w14:paraId="4A745928">
      <w:pPr>
        <w:pageBreakBefore w:val="0"/>
        <w:spacing w:line="360" w:lineRule="auto"/>
        <w:ind w:left="0" w:firstLine="48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lang w:eastAsia="zh-CN"/>
        </w:rPr>
        <w:t>.采购需求：由于社北路损坏严重，需要重建。项目西起新东路，东至园区路，全长约0.229km。具体详见工程量清单。</w:t>
      </w:r>
      <w:r>
        <w:rPr>
          <w:rFonts w:hint="eastAsia" w:ascii="宋体" w:hAnsi="宋体" w:eastAsia="宋体" w:cs="宋体"/>
          <w:color w:val="auto"/>
          <w:sz w:val="24"/>
          <w:szCs w:val="24"/>
          <w:highlight w:val="none"/>
          <w:lang w:val="en-US" w:eastAsia="zh-CN"/>
        </w:rPr>
        <w:t>一旦成交，不得提出额外要求。</w:t>
      </w:r>
    </w:p>
    <w:p w14:paraId="749AE1DD">
      <w:pPr>
        <w:pageBreakBefore w:val="0"/>
        <w:spacing w:line="360" w:lineRule="auto"/>
        <w:ind w:left="0" w:firstLine="48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w:t>
      </w:r>
      <w:r>
        <w:rPr>
          <w:rFonts w:hint="eastAsia" w:ascii="宋体" w:hAnsi="宋体" w:eastAsia="宋体" w:cs="Times New Roman"/>
          <w:color w:val="auto"/>
          <w:sz w:val="24"/>
          <w:szCs w:val="24"/>
          <w:highlight w:val="none"/>
        </w:rPr>
        <w:t>合同履行期限</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90</w:t>
      </w:r>
      <w:r>
        <w:rPr>
          <w:rFonts w:hint="eastAsia" w:ascii="宋体" w:hAnsi="宋体" w:eastAsia="宋体" w:cs="宋体"/>
          <w:color w:val="auto"/>
          <w:sz w:val="24"/>
          <w:szCs w:val="24"/>
          <w:highlight w:val="none"/>
          <w:lang w:val="en-US" w:eastAsia="zh-CN"/>
        </w:rPr>
        <w:t>日历天。</w:t>
      </w:r>
    </w:p>
    <w:p w14:paraId="50CDA6C3">
      <w:pPr>
        <w:keepNext w:val="0"/>
        <w:keepLines w:val="0"/>
        <w:pageBreakBefore w:val="0"/>
        <w:widowControl w:val="0"/>
        <w:spacing w:line="360" w:lineRule="auto"/>
        <w:ind w:left="0" w:right="0" w:firstLine="482"/>
        <w:outlineLvl w:val="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10.质量标准：合格。</w:t>
      </w:r>
    </w:p>
    <w:p w14:paraId="60256886">
      <w:pPr>
        <w:keepNext w:val="0"/>
        <w:keepLines w:val="0"/>
        <w:pageBreakBefore w:val="0"/>
        <w:widowControl w:val="0"/>
        <w:spacing w:line="360" w:lineRule="auto"/>
        <w:ind w:left="0" w:right="0" w:firstLine="482"/>
        <w:outlineLvl w:val="0"/>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二</w:t>
      </w:r>
      <w:r>
        <w:rPr>
          <w:rFonts w:hint="eastAsia" w:ascii="宋体" w:hAnsi="宋体" w:eastAsia="宋体" w:cs="宋体"/>
          <w:b/>
          <w:bCs w:val="0"/>
          <w:color w:val="auto"/>
          <w:sz w:val="24"/>
          <w:szCs w:val="24"/>
          <w:highlight w:val="none"/>
          <w:lang w:val="zh-CN" w:eastAsia="zh-CN"/>
        </w:rPr>
        <w:t>、工程量清单</w:t>
      </w:r>
    </w:p>
    <w:p w14:paraId="5832852A">
      <w:pPr>
        <w:keepNext w:val="0"/>
        <w:keepLines w:val="0"/>
        <w:pageBreakBefore w:val="0"/>
        <w:widowControl w:val="0"/>
        <w:spacing w:line="360" w:lineRule="auto"/>
        <w:ind w:left="0" w:firstLine="482"/>
        <w:outlineLvl w:val="2"/>
        <w:rPr>
          <w:rFonts w:hint="eastAsia" w:ascii="宋体" w:hAnsi="宋体" w:eastAsia="宋体" w:cs="宋体"/>
          <w:b/>
          <w:color w:val="auto"/>
          <w:sz w:val="24"/>
          <w:szCs w:val="24"/>
          <w:highlight w:val="none"/>
        </w:rPr>
      </w:pPr>
      <w:bookmarkStart w:id="743" w:name="_Toc498006749"/>
      <w:bookmarkStart w:id="744" w:name="_Toc473034406"/>
      <w:r>
        <w:rPr>
          <w:rFonts w:hint="eastAsia" w:ascii="宋体" w:hAnsi="宋体" w:eastAsia="宋体" w:cs="宋体"/>
          <w:b/>
          <w:color w:val="auto"/>
          <w:sz w:val="24"/>
          <w:szCs w:val="24"/>
          <w:highlight w:val="none"/>
        </w:rPr>
        <w:t>1．工程量清单编制说明</w:t>
      </w:r>
      <w:bookmarkEnd w:id="743"/>
      <w:bookmarkEnd w:id="744"/>
    </w:p>
    <w:p w14:paraId="7042271C">
      <w:pPr>
        <w:keepNext w:val="0"/>
        <w:keepLines w:val="0"/>
        <w:pageBreakBefore w:val="0"/>
        <w:widowControl w:val="0"/>
        <w:spacing w:line="360" w:lineRule="auto"/>
        <w:ind w:left="0" w:firstLine="41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1.1本工程量清单应与招标文件中的</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须知、通用合同条款、专用合同条款、技术标准和要求及图纸等章节内容一起阅读和理解。</w:t>
      </w:r>
    </w:p>
    <w:p w14:paraId="67063E34">
      <w:pPr>
        <w:keepNext w:val="0"/>
        <w:keepLines w:val="0"/>
        <w:pageBreakBefore w:val="0"/>
        <w:widowControl w:val="0"/>
        <w:spacing w:line="360" w:lineRule="auto"/>
        <w:ind w:left="0" w:firstLine="41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1.2本工程量清单仅是投标报价的共同基础，竣工结算的工程量按合同约定确定。合同价格的确定以及价款支付应遵循合同条款(包括通用合同条款和专用合同条款)、技术标准和要求以及本章的有关约定。</w:t>
      </w:r>
    </w:p>
    <w:p w14:paraId="3292C11F">
      <w:pPr>
        <w:keepNext w:val="0"/>
        <w:keepLines w:val="0"/>
        <w:pageBreakBefore w:val="0"/>
        <w:widowControl w:val="0"/>
        <w:spacing w:line="360" w:lineRule="auto"/>
        <w:ind w:left="0" w:firstLine="41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1.3本条第1.1款中约定的计量和计价规则适用于合同履约过程中工程量计量与价款支付、工程变更、索赔和工程结算。</w:t>
      </w:r>
    </w:p>
    <w:p w14:paraId="698C11ED">
      <w:pPr>
        <w:keepNext w:val="0"/>
        <w:keepLines w:val="0"/>
        <w:pageBreakBefore w:val="0"/>
        <w:widowControl w:val="0"/>
        <w:spacing w:line="360" w:lineRule="auto"/>
        <w:ind w:left="0" w:firstLine="41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1.4本条与本章第2条和第3条的说明内容是构成合同文件的已标价工程量清单的组成部分。</w:t>
      </w:r>
    </w:p>
    <w:p w14:paraId="4046AE27">
      <w:pPr>
        <w:keepNext w:val="0"/>
        <w:keepLines w:val="0"/>
        <w:pageBreakBefore w:val="0"/>
        <w:widowControl w:val="0"/>
        <w:spacing w:line="360" w:lineRule="auto"/>
        <w:ind w:left="0" w:firstLine="482"/>
        <w:outlineLvl w:val="2"/>
        <w:rPr>
          <w:rFonts w:hint="eastAsia" w:ascii="宋体" w:hAnsi="宋体" w:eastAsia="宋体" w:cs="宋体"/>
          <w:b/>
          <w:color w:val="auto"/>
          <w:sz w:val="24"/>
          <w:szCs w:val="24"/>
          <w:highlight w:val="none"/>
        </w:rPr>
      </w:pPr>
      <w:bookmarkStart w:id="745" w:name="_Toc473034407"/>
      <w:bookmarkStart w:id="746" w:name="_Toc498006750"/>
      <w:r>
        <w:rPr>
          <w:rFonts w:hint="eastAsia" w:ascii="宋体" w:hAnsi="宋体" w:eastAsia="宋体" w:cs="宋体"/>
          <w:b/>
          <w:color w:val="auto"/>
          <w:sz w:val="24"/>
          <w:szCs w:val="24"/>
          <w:highlight w:val="none"/>
        </w:rPr>
        <w:t>2．投标报价编制要求</w:t>
      </w:r>
      <w:bookmarkEnd w:id="745"/>
      <w:bookmarkEnd w:id="746"/>
    </w:p>
    <w:p w14:paraId="79B84CD6">
      <w:pPr>
        <w:keepNext w:val="0"/>
        <w:keepLines w:val="0"/>
        <w:pageBreakBefore w:val="0"/>
        <w:widowControl w:val="0"/>
        <w:spacing w:line="360" w:lineRule="auto"/>
        <w:ind w:left="0" w:firstLine="41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2.1投标报价应根据招标文件中的有关计价要求，并按照下列依据自主报价，但不得低于成本。</w:t>
      </w:r>
    </w:p>
    <w:p w14:paraId="2A567A55">
      <w:pPr>
        <w:keepNext w:val="0"/>
        <w:keepLines w:val="0"/>
        <w:pageBreakBefore w:val="0"/>
        <w:widowControl w:val="0"/>
        <w:spacing w:line="360" w:lineRule="auto"/>
        <w:ind w:left="0" w:firstLine="41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  本招标文件；</w:t>
      </w:r>
    </w:p>
    <w:p w14:paraId="36BE04BC">
      <w:pPr>
        <w:keepNext w:val="0"/>
        <w:keepLines w:val="0"/>
        <w:pageBreakBefore w:val="0"/>
        <w:widowControl w:val="0"/>
        <w:spacing w:line="360" w:lineRule="auto"/>
        <w:ind w:left="0" w:firstLine="41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  相关计算规范；</w:t>
      </w:r>
    </w:p>
    <w:p w14:paraId="0D98F8F4">
      <w:pPr>
        <w:keepNext w:val="0"/>
        <w:keepLines w:val="0"/>
        <w:pageBreakBefore w:val="0"/>
        <w:widowControl w:val="0"/>
        <w:spacing w:line="360" w:lineRule="auto"/>
        <w:ind w:left="0" w:firstLine="41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  国家或省级、行业建设主管部门颁发的计价办法；</w:t>
      </w:r>
    </w:p>
    <w:p w14:paraId="5DE54406">
      <w:pPr>
        <w:keepNext w:val="0"/>
        <w:keepLines w:val="0"/>
        <w:pageBreakBefore w:val="0"/>
        <w:widowControl w:val="0"/>
        <w:spacing w:line="360" w:lineRule="auto"/>
        <w:ind w:left="0" w:firstLine="41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  企业定额，国家或省级、行业建设主管部门颁发的计价定额；</w:t>
      </w:r>
    </w:p>
    <w:p w14:paraId="1B22E662">
      <w:pPr>
        <w:keepNext w:val="0"/>
        <w:keepLines w:val="0"/>
        <w:pageBreakBefore w:val="0"/>
        <w:widowControl w:val="0"/>
        <w:spacing w:line="360" w:lineRule="auto"/>
        <w:ind w:left="0" w:firstLine="41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  招标文件、招标工程量清单及其补充通知、答疑纪要；</w:t>
      </w:r>
    </w:p>
    <w:p w14:paraId="782CE4BA">
      <w:pPr>
        <w:keepNext w:val="0"/>
        <w:keepLines w:val="0"/>
        <w:pageBreakBefore w:val="0"/>
        <w:widowControl w:val="0"/>
        <w:spacing w:line="360" w:lineRule="auto"/>
        <w:ind w:left="0" w:firstLine="41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  设计文件及相关资料；</w:t>
      </w:r>
    </w:p>
    <w:p w14:paraId="4E999478">
      <w:pPr>
        <w:keepNext w:val="0"/>
        <w:keepLines w:val="0"/>
        <w:pageBreakBefore w:val="0"/>
        <w:widowControl w:val="0"/>
        <w:spacing w:line="360" w:lineRule="auto"/>
        <w:ind w:left="0" w:firstLine="41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  施工现场情况、工程特点及拟定的投标施工组织设计或施工方案；</w:t>
      </w:r>
    </w:p>
    <w:p w14:paraId="166AC3F2">
      <w:pPr>
        <w:keepNext w:val="0"/>
        <w:keepLines w:val="0"/>
        <w:pageBreakBefore w:val="0"/>
        <w:widowControl w:val="0"/>
        <w:spacing w:line="360" w:lineRule="auto"/>
        <w:ind w:left="0" w:firstLine="41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  与建设项目相关的标准、规范等技术资料；</w:t>
      </w:r>
    </w:p>
    <w:p w14:paraId="426910BC">
      <w:pPr>
        <w:keepNext w:val="0"/>
        <w:keepLines w:val="0"/>
        <w:pageBreakBefore w:val="0"/>
        <w:widowControl w:val="0"/>
        <w:spacing w:line="360" w:lineRule="auto"/>
        <w:ind w:left="0" w:firstLine="41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  市场价格信息或工程造价管理机构发布的工程造价信息；</w:t>
      </w:r>
    </w:p>
    <w:p w14:paraId="63BC5A29">
      <w:pPr>
        <w:keepNext w:val="0"/>
        <w:keepLines w:val="0"/>
        <w:pageBreakBefore w:val="0"/>
        <w:widowControl w:val="0"/>
        <w:spacing w:line="360" w:lineRule="auto"/>
        <w:ind w:left="0" w:firstLine="41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 其他的相关资料。</w:t>
      </w:r>
    </w:p>
    <w:p w14:paraId="5D151BF6">
      <w:pPr>
        <w:pageBreakBefore w:val="0"/>
        <w:kinsoku/>
        <w:overflowPunct/>
        <w:bidi w:val="0"/>
        <w:spacing w:line="420" w:lineRule="exact"/>
        <w:ind w:firstLine="480" w:firstLineChars="200"/>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2.2招标文件后附的工程量清单标明的工程量是投标人投标报价的共同基础，招标人提供的工程量清单应结合投标人须知、合同条款技术标准和要求与图纸一起阅读理解。工程量清单中的工作内容分类、子目列项、特征描述以及“</w:t>
      </w:r>
      <w:r>
        <w:rPr>
          <w:rFonts w:hint="eastAsia" w:ascii="Times New Roman" w:hAnsi="Times New Roman" w:eastAsia="宋体" w:cs="Times New Roman"/>
          <w:color w:val="auto"/>
          <w:kern w:val="2"/>
          <w:sz w:val="24"/>
          <w:szCs w:val="24"/>
          <w:highlight w:val="none"/>
          <w:lang w:val="en-US" w:eastAsia="zh-CN"/>
        </w:rPr>
        <w:t>分部分项工程项目清单计价表</w:t>
      </w:r>
      <w:r>
        <w:rPr>
          <w:rFonts w:hint="eastAsia" w:ascii="宋体" w:hAnsi="宋体" w:eastAsia="宋体" w:cs="宋体"/>
          <w:color w:val="auto"/>
          <w:kern w:val="2"/>
          <w:sz w:val="24"/>
          <w:szCs w:val="24"/>
          <w:highlight w:val="none"/>
        </w:rPr>
        <w:t>”中附带的工程量都不应理解为是对承包(招标)范围以及合同工作内容的唯一的、最终的或全部的定义。投标报价应包括招标文件所确定的招标范围内相应工程量清单及相关资料的全部内容，以及为完成上述内容所</w:t>
      </w:r>
      <w:r>
        <w:rPr>
          <w:rFonts w:hint="eastAsia" w:ascii="宋体" w:hAnsi="宋体" w:eastAsia="宋体" w:cs="宋体"/>
          <w:color w:val="auto"/>
          <w:kern w:val="2"/>
          <w:sz w:val="24"/>
          <w:szCs w:val="24"/>
          <w:highlight w:val="none"/>
          <w:lang w:eastAsia="zh-CN"/>
        </w:rPr>
        <w:t>必需</w:t>
      </w:r>
      <w:r>
        <w:rPr>
          <w:rFonts w:hint="eastAsia" w:ascii="宋体" w:hAnsi="宋体" w:eastAsia="宋体" w:cs="宋体"/>
          <w:color w:val="auto"/>
          <w:kern w:val="2"/>
          <w:sz w:val="24"/>
          <w:szCs w:val="24"/>
          <w:highlight w:val="none"/>
        </w:rPr>
        <w:t>的附属工程、临时工程、材料、劳务及所需的全部费用。竣工结算的工程量按合同约定确定。</w:t>
      </w:r>
    </w:p>
    <w:p w14:paraId="13B55053">
      <w:pPr>
        <w:pageBreakBefore w:val="0"/>
        <w:kinsoku/>
        <w:overflowPunct/>
        <w:bidi w:val="0"/>
        <w:spacing w:line="420" w:lineRule="exact"/>
        <w:ind w:firstLine="480" w:firstLineChars="200"/>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2.3招标工程量清单与计价表中列明的所有需要填写单价和合价的项目，均应填写且只允许有一个报价。未填写单价和合价的项目，视为此项费用已包含在已标价工程量清单中其他项目的单价和合价之中。</w:t>
      </w:r>
    </w:p>
    <w:p w14:paraId="05EDB118">
      <w:pPr>
        <w:pageBreakBefore w:val="0"/>
        <w:kinsoku/>
        <w:overflowPunct/>
        <w:bidi w:val="0"/>
        <w:spacing w:line="420" w:lineRule="exact"/>
        <w:ind w:firstLine="480" w:firstLineChars="200"/>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2.4工程量清单中标价的单价或金额，应包括所需人工费、材料费、施工机具使用费、管理费和利润，以及一定范围内的风险费用。所谓“一定范围内的风险”是指合同约定的风险。</w:t>
      </w:r>
    </w:p>
    <w:p w14:paraId="3A03BF36">
      <w:pPr>
        <w:pageBreakBefore w:val="0"/>
        <w:kinsoku/>
        <w:overflowPunct/>
        <w:bidi w:val="0"/>
        <w:spacing w:line="420" w:lineRule="exact"/>
        <w:ind w:firstLine="480" w:firstLineChars="200"/>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2.5投标单位的投标报价，应当包括完成提供的工程量清单范围内的所有项目所需的全部费用，投标人已标价工程量清单中如果出现少算、漏算费用或未填单价和合价的工程项目，其费用视为已分摊在工程量清单中其他已标价的相关子目的单价或价格之中。除本招标文件或合同另有约定外，结算时不得调整。</w:t>
      </w:r>
    </w:p>
    <w:p w14:paraId="186833CA">
      <w:pPr>
        <w:pageBreakBefore w:val="0"/>
        <w:kinsoku/>
        <w:overflowPunct/>
        <w:bidi w:val="0"/>
        <w:spacing w:line="420" w:lineRule="exact"/>
        <w:ind w:firstLine="480" w:firstLineChars="200"/>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2.6“</w:t>
      </w:r>
      <w:r>
        <w:rPr>
          <w:rFonts w:hint="eastAsia" w:ascii="宋体" w:hAnsi="宋体" w:eastAsia="宋体" w:cs="宋体"/>
          <w:color w:val="auto"/>
          <w:kern w:val="2"/>
          <w:sz w:val="24"/>
          <w:szCs w:val="24"/>
          <w:highlight w:val="none"/>
          <w:lang w:val="en-US" w:eastAsia="zh-CN"/>
        </w:rPr>
        <w:t>表E.1.1-3单位工程汇总表”（暂）</w:t>
      </w:r>
      <w:r>
        <w:rPr>
          <w:rFonts w:hint="eastAsia" w:ascii="宋体" w:hAnsi="宋体" w:eastAsia="宋体" w:cs="宋体"/>
          <w:color w:val="auto"/>
          <w:kern w:val="2"/>
          <w:sz w:val="24"/>
          <w:szCs w:val="24"/>
          <w:highlight w:val="none"/>
        </w:rPr>
        <w:t>”中的投标总价由分部分项工程费、措施项目费、其他项目费和税金组成，并且“</w:t>
      </w:r>
      <w:r>
        <w:rPr>
          <w:rFonts w:hint="eastAsia" w:ascii="宋体" w:hAnsi="宋体" w:eastAsia="宋体" w:cs="宋体"/>
          <w:color w:val="auto"/>
          <w:kern w:val="2"/>
          <w:sz w:val="24"/>
          <w:szCs w:val="24"/>
          <w:highlight w:val="none"/>
          <w:lang w:val="en-US" w:eastAsia="zh-CN"/>
        </w:rPr>
        <w:t>表E.1.1-3单位工程汇总表”（暂）</w:t>
      </w:r>
      <w:r>
        <w:rPr>
          <w:rFonts w:hint="eastAsia" w:ascii="宋体" w:hAnsi="宋体" w:eastAsia="宋体" w:cs="宋体"/>
          <w:color w:val="auto"/>
          <w:kern w:val="2"/>
          <w:sz w:val="24"/>
          <w:szCs w:val="24"/>
          <w:highlight w:val="none"/>
        </w:rPr>
        <w:t>”中的投标总价应当与构成已标价工程量清单的分部分项工程费、措施项目费、其他项目费、税金的合计金额一致。</w:t>
      </w:r>
    </w:p>
    <w:p w14:paraId="38B64721">
      <w:pPr>
        <w:pageBreakBefore w:val="0"/>
        <w:kinsoku/>
        <w:overflowPunct/>
        <w:bidi w:val="0"/>
        <w:spacing w:line="420" w:lineRule="exact"/>
        <w:ind w:firstLine="480" w:firstLineChars="200"/>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2.7分部分项工程和措施项目中的单价项目按下列要求报价：</w:t>
      </w:r>
    </w:p>
    <w:p w14:paraId="2632D524">
      <w:pPr>
        <w:pageBreakBefore w:val="0"/>
        <w:kinsoku/>
        <w:overflowPunct/>
        <w:bidi w:val="0"/>
        <w:spacing w:line="420" w:lineRule="exact"/>
        <w:ind w:firstLine="480" w:firstLineChars="200"/>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2.7.1分部分项工程和措施项目中的单价项目，应根据招标文件和招标工程量清单确定综合单价。</w:t>
      </w:r>
    </w:p>
    <w:p w14:paraId="323550C0">
      <w:pPr>
        <w:pageBreakBefore w:val="0"/>
        <w:kinsoku/>
        <w:overflowPunct/>
        <w:bidi w:val="0"/>
        <w:spacing w:line="420" w:lineRule="exact"/>
        <w:ind w:firstLine="480" w:firstLineChars="200"/>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2.7.2如果分部分项工程量清单中涉及“</w:t>
      </w:r>
      <w:r>
        <w:rPr>
          <w:rFonts w:hint="eastAsia" w:ascii="宋体" w:hAnsi="宋体" w:eastAsia="宋体" w:cs="宋体"/>
          <w:color w:val="auto"/>
          <w:kern w:val="2"/>
          <w:sz w:val="24"/>
          <w:szCs w:val="24"/>
          <w:highlight w:val="none"/>
          <w:lang w:val="en-US" w:eastAsia="zh-CN"/>
        </w:rPr>
        <w:t>表E.2.3材料暂估单价及调整表</w:t>
      </w:r>
      <w:r>
        <w:rPr>
          <w:rFonts w:hint="eastAsia" w:ascii="宋体" w:hAnsi="宋体" w:eastAsia="宋体" w:cs="宋体"/>
          <w:color w:val="auto"/>
          <w:kern w:val="2"/>
          <w:sz w:val="24"/>
          <w:szCs w:val="24"/>
          <w:highlight w:val="none"/>
        </w:rPr>
        <w:t>”中列出的材料和工程设备，将该类材料和工程设备的暂估单价计入对应的工程量清单综合单价。</w:t>
      </w:r>
    </w:p>
    <w:p w14:paraId="56C47561">
      <w:pPr>
        <w:pageBreakBefore w:val="0"/>
        <w:kinsoku/>
        <w:overflowPunct/>
        <w:bidi w:val="0"/>
        <w:spacing w:line="420" w:lineRule="exact"/>
        <w:ind w:firstLine="480" w:firstLineChars="200"/>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2.7.3如果分部分项工程量清单中涉及“</w:t>
      </w:r>
      <w:r>
        <w:rPr>
          <w:rFonts w:hint="eastAsia" w:ascii="宋体" w:hAnsi="宋体" w:eastAsia="宋体" w:cs="宋体"/>
          <w:color w:val="auto"/>
          <w:kern w:val="2"/>
          <w:sz w:val="24"/>
          <w:szCs w:val="24"/>
          <w:highlight w:val="none"/>
          <w:lang w:val="en-US" w:eastAsia="zh-CN"/>
        </w:rPr>
        <w:t>表G.1.1</w:t>
      </w:r>
      <w:r>
        <w:rPr>
          <w:rFonts w:hint="eastAsia" w:ascii="宋体" w:hAnsi="宋体" w:eastAsia="宋体" w:cs="宋体"/>
          <w:color w:val="auto"/>
          <w:kern w:val="2"/>
          <w:sz w:val="24"/>
          <w:szCs w:val="24"/>
          <w:highlight w:val="none"/>
        </w:rPr>
        <w:t>发包人</w:t>
      </w:r>
      <w:r>
        <w:rPr>
          <w:rFonts w:hint="eastAsia" w:ascii="宋体" w:hAnsi="宋体" w:eastAsia="宋体" w:cs="宋体"/>
          <w:color w:val="auto"/>
          <w:kern w:val="2"/>
          <w:sz w:val="24"/>
          <w:szCs w:val="24"/>
          <w:highlight w:val="none"/>
          <w:lang w:val="en-US" w:eastAsia="zh-CN"/>
        </w:rPr>
        <w:t>提供</w:t>
      </w:r>
      <w:r>
        <w:rPr>
          <w:rFonts w:hint="eastAsia" w:ascii="宋体" w:hAnsi="宋体" w:eastAsia="宋体" w:cs="宋体"/>
          <w:color w:val="auto"/>
          <w:kern w:val="2"/>
          <w:sz w:val="24"/>
          <w:szCs w:val="24"/>
          <w:highlight w:val="none"/>
        </w:rPr>
        <w:t>材料一览表”中列出的材料和工程设备，则该类材料和工程设备供应至现场指定位置的采购供应价（含材料保管费）应计入对应的工程量清单综合单价。</w:t>
      </w:r>
    </w:p>
    <w:p w14:paraId="45E7A756">
      <w:pPr>
        <w:pageBreakBefore w:val="0"/>
        <w:kinsoku/>
        <w:overflowPunct/>
        <w:bidi w:val="0"/>
        <w:spacing w:line="420" w:lineRule="exact"/>
        <w:ind w:firstLine="480" w:firstLineChars="200"/>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2.7.4“</w:t>
      </w:r>
      <w:r>
        <w:rPr>
          <w:rFonts w:hint="eastAsia" w:ascii="Times New Roman" w:hAnsi="Times New Roman" w:eastAsia="宋体" w:cs="Times New Roman"/>
          <w:color w:val="auto"/>
          <w:kern w:val="2"/>
          <w:sz w:val="24"/>
          <w:szCs w:val="24"/>
          <w:highlight w:val="none"/>
          <w:lang w:val="en-US" w:eastAsia="zh-CN"/>
        </w:rPr>
        <w:t>表E.2.1分部分项工程项目清单计价表</w:t>
      </w:r>
      <w:r>
        <w:rPr>
          <w:rFonts w:hint="eastAsia" w:ascii="宋体" w:hAnsi="宋体" w:eastAsia="宋体" w:cs="宋体"/>
          <w:color w:val="auto"/>
          <w:kern w:val="2"/>
          <w:sz w:val="24"/>
          <w:szCs w:val="24"/>
          <w:highlight w:val="none"/>
        </w:rPr>
        <w:t>”所列各项目的综合单价组成中，各项目的人工、材料和机械台班消耗量、管理费费率、利润费率由投标人按照其自身情况做充分的、竞争性考虑。</w:t>
      </w:r>
    </w:p>
    <w:p w14:paraId="43E02419">
      <w:pPr>
        <w:pageBreakBefore w:val="0"/>
        <w:kinsoku/>
        <w:overflowPunct/>
        <w:bidi w:val="0"/>
        <w:spacing w:line="420" w:lineRule="exact"/>
        <w:ind w:firstLine="480" w:firstLineChars="200"/>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2.7.5投标人在投标文件中提交并构成合同文件的“</w:t>
      </w:r>
      <w:r>
        <w:rPr>
          <w:rFonts w:hint="eastAsia" w:ascii="宋体" w:hAnsi="宋体" w:eastAsia="宋体" w:cs="宋体"/>
          <w:color w:val="auto"/>
          <w:kern w:val="2"/>
          <w:sz w:val="24"/>
          <w:szCs w:val="24"/>
          <w:highlight w:val="none"/>
          <w:lang w:val="en-US" w:eastAsia="zh-CN"/>
        </w:rPr>
        <w:t>表G.2.1-1/2</w:t>
      </w:r>
      <w:r>
        <w:rPr>
          <w:rFonts w:hint="eastAsia" w:ascii="宋体" w:hAnsi="宋体" w:eastAsia="宋体" w:cs="宋体"/>
          <w:color w:val="auto"/>
          <w:kern w:val="2"/>
          <w:sz w:val="24"/>
          <w:szCs w:val="24"/>
          <w:highlight w:val="none"/>
        </w:rPr>
        <w:t>承包人</w:t>
      </w:r>
      <w:r>
        <w:rPr>
          <w:rFonts w:hint="eastAsia" w:ascii="宋体" w:hAnsi="宋体" w:eastAsia="宋体" w:cs="宋体"/>
          <w:color w:val="auto"/>
          <w:kern w:val="2"/>
          <w:sz w:val="24"/>
          <w:szCs w:val="24"/>
          <w:highlight w:val="none"/>
          <w:lang w:val="en-US" w:eastAsia="zh-CN"/>
        </w:rPr>
        <w:t>提供可调价主要</w:t>
      </w:r>
      <w:r>
        <w:rPr>
          <w:rFonts w:hint="eastAsia" w:ascii="宋体" w:hAnsi="宋体" w:eastAsia="宋体" w:cs="宋体"/>
          <w:color w:val="auto"/>
          <w:kern w:val="2"/>
          <w:sz w:val="24"/>
          <w:szCs w:val="24"/>
          <w:highlight w:val="none"/>
        </w:rPr>
        <w:t>材料表”中所列的材料和工程设备的价格是指此类材料和工程设备到达施工现场指定堆放地点的落地价格，即包括采购、包装、运输、装卸、堆放、现场保管等全部费用。“</w:t>
      </w:r>
      <w:r>
        <w:rPr>
          <w:rFonts w:hint="eastAsia" w:ascii="宋体" w:hAnsi="宋体" w:eastAsia="宋体" w:cs="宋体"/>
          <w:color w:val="auto"/>
          <w:kern w:val="2"/>
          <w:sz w:val="24"/>
          <w:szCs w:val="24"/>
          <w:highlight w:val="none"/>
          <w:lang w:val="en-US" w:eastAsia="zh-CN"/>
        </w:rPr>
        <w:t>表G.2.1-1/2</w:t>
      </w:r>
      <w:r>
        <w:rPr>
          <w:rFonts w:hint="eastAsia" w:ascii="宋体" w:hAnsi="宋体" w:eastAsia="宋体" w:cs="宋体"/>
          <w:color w:val="auto"/>
          <w:kern w:val="2"/>
          <w:sz w:val="24"/>
          <w:szCs w:val="24"/>
          <w:highlight w:val="none"/>
        </w:rPr>
        <w:t>承包人</w:t>
      </w:r>
      <w:r>
        <w:rPr>
          <w:rFonts w:hint="eastAsia" w:ascii="宋体" w:hAnsi="宋体" w:eastAsia="宋体" w:cs="宋体"/>
          <w:color w:val="auto"/>
          <w:kern w:val="2"/>
          <w:sz w:val="24"/>
          <w:szCs w:val="24"/>
          <w:highlight w:val="none"/>
          <w:lang w:val="en-US" w:eastAsia="zh-CN"/>
        </w:rPr>
        <w:t>提供可调价主要</w:t>
      </w:r>
      <w:r>
        <w:rPr>
          <w:rFonts w:hint="eastAsia" w:ascii="宋体" w:hAnsi="宋体" w:eastAsia="宋体" w:cs="宋体"/>
          <w:color w:val="auto"/>
          <w:kern w:val="2"/>
          <w:sz w:val="24"/>
          <w:szCs w:val="24"/>
          <w:highlight w:val="none"/>
        </w:rPr>
        <w:t>材料表”中所列材料和工程设备的价格应与构成综合单价相应材料或工程设备的价格一致。投标文件中的“</w:t>
      </w:r>
      <w:r>
        <w:rPr>
          <w:rFonts w:hint="eastAsia" w:ascii="宋体" w:hAnsi="宋体" w:eastAsia="宋体" w:cs="宋体"/>
          <w:color w:val="auto"/>
          <w:kern w:val="2"/>
          <w:sz w:val="24"/>
          <w:szCs w:val="24"/>
          <w:highlight w:val="none"/>
          <w:lang w:val="en-US" w:eastAsia="zh-CN"/>
        </w:rPr>
        <w:t>表G.1.1</w:t>
      </w:r>
      <w:r>
        <w:rPr>
          <w:rFonts w:hint="eastAsia" w:ascii="宋体" w:hAnsi="宋体" w:eastAsia="宋体" w:cs="宋体"/>
          <w:color w:val="auto"/>
          <w:kern w:val="2"/>
          <w:sz w:val="24"/>
          <w:szCs w:val="24"/>
          <w:highlight w:val="none"/>
        </w:rPr>
        <w:t>发包人</w:t>
      </w:r>
      <w:r>
        <w:rPr>
          <w:rFonts w:hint="eastAsia" w:ascii="宋体" w:hAnsi="宋体" w:eastAsia="宋体" w:cs="宋体"/>
          <w:color w:val="auto"/>
          <w:kern w:val="2"/>
          <w:sz w:val="24"/>
          <w:szCs w:val="24"/>
          <w:highlight w:val="none"/>
          <w:lang w:val="en-US" w:eastAsia="zh-CN"/>
        </w:rPr>
        <w:t>提供</w:t>
      </w:r>
      <w:r>
        <w:rPr>
          <w:rFonts w:hint="eastAsia" w:ascii="宋体" w:hAnsi="宋体" w:eastAsia="宋体" w:cs="宋体"/>
          <w:color w:val="auto"/>
          <w:kern w:val="2"/>
          <w:sz w:val="24"/>
          <w:szCs w:val="24"/>
          <w:highlight w:val="none"/>
        </w:rPr>
        <w:t>材料一览表”中的甲供材料的名称、规格、单价、交货方式、交货地点等必须与招标工程量清单一致。</w:t>
      </w:r>
    </w:p>
    <w:p w14:paraId="66E5EDBC">
      <w:pPr>
        <w:pageBreakBefore w:val="0"/>
        <w:kinsoku/>
        <w:overflowPunct/>
        <w:bidi w:val="0"/>
        <w:spacing w:line="420" w:lineRule="exact"/>
        <w:ind w:firstLine="480" w:firstLineChars="200"/>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2.8措施项目中的总价项目按下列要求报价：</w:t>
      </w:r>
    </w:p>
    <w:p w14:paraId="2A473D2D">
      <w:pPr>
        <w:pageBreakBefore w:val="0"/>
        <w:kinsoku/>
        <w:overflowPunct/>
        <w:bidi w:val="0"/>
        <w:spacing w:line="420" w:lineRule="exact"/>
        <w:ind w:firstLine="480" w:firstLineChars="200"/>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2.8.1 总价措施项目中，以费率计算的，投标单位在投标报价时自主报价；其他总价措施项目，按项计取，综合单价按实际或可能发生的费用进行计算。</w:t>
      </w:r>
    </w:p>
    <w:p w14:paraId="50E4C214">
      <w:pPr>
        <w:pageBreakBefore w:val="0"/>
        <w:kinsoku/>
        <w:overflowPunct/>
        <w:bidi w:val="0"/>
        <w:spacing w:line="420" w:lineRule="exact"/>
        <w:ind w:firstLine="480" w:firstLineChars="200"/>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 xml:space="preserve">2.8.2 </w:t>
      </w:r>
      <w:r>
        <w:rPr>
          <w:rFonts w:hint="eastAsia" w:ascii="Times New Roman" w:hAnsi="Times New Roman" w:eastAsia="宋体" w:cs="Times New Roman"/>
          <w:color w:val="auto"/>
          <w:kern w:val="2"/>
          <w:sz w:val="24"/>
          <w:szCs w:val="24"/>
          <w:highlight w:val="none"/>
          <w:lang w:val="en-US" w:eastAsia="zh-CN"/>
        </w:rPr>
        <w:t>措施项目清单中的安全生产措施费应按国家及省级、行业主管部门的相关规定计价。</w:t>
      </w:r>
    </w:p>
    <w:p w14:paraId="2BC412DE">
      <w:pPr>
        <w:pageBreakBefore w:val="0"/>
        <w:kinsoku/>
        <w:overflowPunct/>
        <w:bidi w:val="0"/>
        <w:spacing w:line="420" w:lineRule="exact"/>
        <w:ind w:firstLine="480" w:firstLineChars="200"/>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按照南通市建设工程造价管理处通建价[2014]40 号关于印发《南通市建设工程招标控制价备案制度》的通知，招标控制价中建设工程现场安全文明施工措施费基本费应当足额计取，有省市级建筑安全文明施工标准化示范项目创建目标的，标化增加费、扬尘污染费按规定标准暂列；</w:t>
      </w:r>
    </w:p>
    <w:p w14:paraId="7943FFE6">
      <w:pPr>
        <w:pageBreakBefore w:val="0"/>
        <w:kinsoku/>
        <w:overflowPunct/>
        <w:bidi w:val="0"/>
        <w:spacing w:line="420" w:lineRule="exact"/>
        <w:ind w:firstLine="480" w:firstLineChars="200"/>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本工程环境保护税按规定计取，结算时必须提供环保部门和税务部门征收依据，无依据扣除合同内环境保护税。</w:t>
      </w:r>
    </w:p>
    <w:p w14:paraId="6BDF3C8E">
      <w:pPr>
        <w:pageBreakBefore w:val="0"/>
        <w:kinsoku/>
        <w:overflowPunct/>
        <w:bidi w:val="0"/>
        <w:spacing w:line="420" w:lineRule="exact"/>
        <w:ind w:firstLine="480" w:firstLineChars="200"/>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2.8.3 招标人提供的措施项目清单，投标人在报价时应充分、全面地阅读和理解招标文件的相关内容和约定，包括第七章“技术标准和要求”的相关约定，详实了解工程场地及其周围环境，充分考虑招标工程特点及拟定的施工方案和施工组织设计，投标人可根据工程实际与施工组织设计增补总价措施项目，但不应更改招标人已列措施项目。</w:t>
      </w:r>
    </w:p>
    <w:p w14:paraId="65935D5D">
      <w:pPr>
        <w:pageBreakBefore w:val="0"/>
        <w:kinsoku/>
        <w:overflowPunct/>
        <w:bidi w:val="0"/>
        <w:spacing w:line="420" w:lineRule="exact"/>
        <w:ind w:firstLine="480" w:firstLineChars="200"/>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2.8.4 “</w:t>
      </w:r>
      <w:r>
        <w:rPr>
          <w:rFonts w:hint="eastAsia" w:ascii="Times New Roman" w:hAnsi="Times New Roman" w:eastAsia="宋体" w:cs="Times New Roman"/>
          <w:color w:val="auto"/>
          <w:kern w:val="2"/>
          <w:sz w:val="24"/>
          <w:szCs w:val="24"/>
          <w:highlight w:val="none"/>
          <w:lang w:val="en-US" w:eastAsia="zh-CN"/>
        </w:rPr>
        <w:t>表E.3.1措施项目清单计价表</w:t>
      </w:r>
      <w:r>
        <w:rPr>
          <w:rFonts w:hint="eastAsia" w:ascii="宋体" w:hAnsi="宋体" w:eastAsia="宋体" w:cs="宋体"/>
          <w:color w:val="auto"/>
          <w:kern w:val="2"/>
          <w:sz w:val="24"/>
          <w:szCs w:val="24"/>
          <w:highlight w:val="none"/>
        </w:rPr>
        <w:t>”中所填写的报价金额，应全面涵盖招标文件约定的投标人中标后施工、竣工、交付本工程并维修其任何缺陷所需要履行的责任和义务的全部费用。</w:t>
      </w:r>
    </w:p>
    <w:p w14:paraId="3D0B635B">
      <w:pPr>
        <w:pageBreakBefore w:val="0"/>
        <w:kinsoku/>
        <w:overflowPunct/>
        <w:bidi w:val="0"/>
        <w:spacing w:line="420" w:lineRule="exact"/>
        <w:ind w:firstLine="480" w:firstLineChars="200"/>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2.9其他项目清单费应按下列规定报价：</w:t>
      </w:r>
    </w:p>
    <w:p w14:paraId="5A1FBF2B">
      <w:pPr>
        <w:pageBreakBefore w:val="0"/>
        <w:kinsoku/>
        <w:overflowPunct/>
        <w:bidi w:val="0"/>
        <w:spacing w:line="420" w:lineRule="exact"/>
        <w:ind w:firstLine="480" w:firstLineChars="200"/>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2.9.1 暂列金额按“暂列金额明细表”中列出的金额报价，此处的暂列金额是招标人在招标文件中统一给定的，并不包括本章第2.</w:t>
      </w:r>
      <w:r>
        <w:rPr>
          <w:rFonts w:hint="eastAsia" w:ascii="宋体" w:hAnsi="宋体" w:eastAsia="宋体" w:cs="宋体"/>
          <w:color w:val="auto"/>
          <w:kern w:val="2"/>
          <w:sz w:val="24"/>
          <w:szCs w:val="24"/>
          <w:highlight w:val="none"/>
          <w:lang w:val="en-US" w:eastAsia="zh-CN"/>
        </w:rPr>
        <w:t>9</w:t>
      </w:r>
      <w:r>
        <w:rPr>
          <w:rFonts w:hint="eastAsia" w:ascii="宋体" w:hAnsi="宋体" w:eastAsia="宋体" w:cs="宋体"/>
          <w:color w:val="auto"/>
          <w:kern w:val="2"/>
          <w:sz w:val="24"/>
          <w:szCs w:val="24"/>
          <w:highlight w:val="none"/>
        </w:rPr>
        <w:t>.3项的计日工金额。</w:t>
      </w:r>
    </w:p>
    <w:p w14:paraId="4C89A42F">
      <w:pPr>
        <w:pageBreakBefore w:val="0"/>
        <w:kinsoku/>
        <w:overflowPunct/>
        <w:bidi w:val="0"/>
        <w:spacing w:line="420" w:lineRule="exact"/>
        <w:ind w:firstLine="480" w:firstLineChars="200"/>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 xml:space="preserve">2.9.2 </w:t>
      </w:r>
      <w:r>
        <w:rPr>
          <w:rFonts w:hint="eastAsia" w:ascii="宋体" w:hAnsi="宋体" w:eastAsia="宋体" w:cs="宋体"/>
          <w:color w:val="auto"/>
          <w:kern w:val="2"/>
          <w:sz w:val="24"/>
          <w:szCs w:val="24"/>
          <w:highlight w:val="none"/>
          <w:lang w:val="en-US" w:eastAsia="zh-CN"/>
        </w:rPr>
        <w:t>投标人应按招标工程量清单中提供的暂列金额、专业工程暂估价金额，准确填报在相应投标总价内。对分部分项工程项目清单中载明材料暂估价的清单项目，应按工程量清单载明的材料暂估单价(不含增值税)计入综合单价。投标人对分部分项工程项目清单中的材料暂估价清单项目的报价，应满足工程数量对人工价格变化、履行本标准第8.4节规定的材料暂估价调价规则产生的价格变化等要求，并按招标文件提供的材料暂估价单价在表E.2.3材料暂估单价及调整表中列出。</w:t>
      </w:r>
    </w:p>
    <w:p w14:paraId="27E8E9B5">
      <w:pPr>
        <w:pageBreakBefore w:val="0"/>
        <w:kinsoku/>
        <w:overflowPunct/>
        <w:bidi w:val="0"/>
        <w:spacing w:line="420" w:lineRule="exact"/>
        <w:ind w:firstLine="480" w:firstLineChars="200"/>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 xml:space="preserve">2.9.3 </w:t>
      </w:r>
      <w:r>
        <w:rPr>
          <w:rFonts w:hint="eastAsia" w:ascii="Times New Roman" w:hAnsi="Times New Roman" w:eastAsia="宋体" w:cs="Times New Roman"/>
          <w:color w:val="auto"/>
          <w:kern w:val="2"/>
          <w:sz w:val="24"/>
          <w:szCs w:val="24"/>
          <w:highlight w:val="none"/>
          <w:lang w:val="en-US" w:eastAsia="zh-CN"/>
        </w:rPr>
        <w:t>投标人应按计日工清单中提供的清单项日及其暂定数量，对计日工清单项目进行投标报价。</w:t>
      </w:r>
    </w:p>
    <w:p w14:paraId="3788F3D7">
      <w:pPr>
        <w:pageBreakBefore w:val="0"/>
        <w:kinsoku/>
        <w:overflowPunct/>
        <w:bidi w:val="0"/>
        <w:spacing w:line="420" w:lineRule="exact"/>
        <w:ind w:firstLine="480" w:firstLineChars="200"/>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 xml:space="preserve">2.9.4 </w:t>
      </w:r>
      <w:r>
        <w:rPr>
          <w:rFonts w:hint="eastAsia" w:ascii="Times New Roman" w:hAnsi="Times New Roman" w:eastAsia="宋体" w:cs="Times New Roman"/>
          <w:color w:val="auto"/>
          <w:kern w:val="2"/>
          <w:sz w:val="24"/>
          <w:szCs w:val="24"/>
          <w:highlight w:val="none"/>
          <w:lang w:val="en-US" w:eastAsia="zh-CN"/>
        </w:rPr>
        <w:t>投标人应按工程实施方案和对各专业分包工程、直接发包的专业工程的工期安排，以及对发包人提供材料的供应履行管理及协调责任、对各专业分包工程履行管理和协调及配合责任、对各直接发包的专业工程履行协调及配合责任等招标文件规定的总承包服务内容及要求，对其他项目清单中的各项总承包服务费进行投标报价。</w:t>
      </w:r>
    </w:p>
    <w:p w14:paraId="1A543DCD">
      <w:pPr>
        <w:pageBreakBefore w:val="0"/>
        <w:kinsoku/>
        <w:overflowPunct/>
        <w:bidi w:val="0"/>
        <w:spacing w:line="420" w:lineRule="exact"/>
        <w:ind w:firstLine="480" w:firstLineChars="200"/>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2.8 增值税应按“</w:t>
      </w:r>
      <w:r>
        <w:rPr>
          <w:rFonts w:hint="eastAsia" w:ascii="宋体" w:hAnsi="宋体" w:eastAsia="宋体" w:cs="宋体"/>
          <w:color w:val="auto"/>
          <w:kern w:val="2"/>
          <w:sz w:val="24"/>
          <w:szCs w:val="24"/>
          <w:highlight w:val="none"/>
          <w:lang w:eastAsia="zh-CN"/>
        </w:rPr>
        <w:t>增值税</w:t>
      </w:r>
      <w:r>
        <w:rPr>
          <w:rFonts w:hint="eastAsia" w:ascii="宋体" w:hAnsi="宋体" w:eastAsia="宋体" w:cs="宋体"/>
          <w:color w:val="auto"/>
          <w:kern w:val="2"/>
          <w:sz w:val="24"/>
          <w:szCs w:val="24"/>
          <w:highlight w:val="none"/>
        </w:rPr>
        <w:t>项目计价表”所列项目并根据国家、省级或行业建设主管部门的有关规定列项和计算，不得作为竞争性费用。</w:t>
      </w:r>
    </w:p>
    <w:p w14:paraId="70BF681D">
      <w:pPr>
        <w:pageBreakBefore w:val="0"/>
        <w:kinsoku/>
        <w:overflowPunct/>
        <w:bidi w:val="0"/>
        <w:spacing w:line="420" w:lineRule="exact"/>
        <w:ind w:firstLine="480" w:firstLineChars="200"/>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2.9 除招标文件有强制性规定以及不可竞争部分以外，投标报价由投标人自主确定，但不得低于成本。</w:t>
      </w:r>
    </w:p>
    <w:p w14:paraId="5547A5A7">
      <w:pPr>
        <w:pageBreakBefore w:val="0"/>
        <w:kinsoku/>
        <w:overflowPunct/>
        <w:bidi w:val="0"/>
        <w:spacing w:line="420" w:lineRule="exact"/>
        <w:ind w:firstLine="480" w:firstLineChars="200"/>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2.10 工程量清单计价所涉及的生产资源(包括各类人工、材料、工程设备、施工设备、临时设施、临时用水、临时用电等)的投标价格，应根据自身的信息渠道和采购渠道，分析其市场价格水平并判断其整个施工周期内的变化趋势，体现投标人自身的管理水平、技术水平和综合实力。</w:t>
      </w:r>
    </w:p>
    <w:p w14:paraId="7614DA11">
      <w:pPr>
        <w:pageBreakBefore w:val="0"/>
        <w:kinsoku/>
        <w:overflowPunct/>
        <w:bidi w:val="0"/>
        <w:spacing w:line="420" w:lineRule="exact"/>
        <w:ind w:firstLine="480" w:firstLineChars="200"/>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2.11 管理费应由投标人在保证不低于其成本的基础上做竞争性考虑；利润由投标人根据自身情况和综合实力做竞争性考虑。</w:t>
      </w:r>
    </w:p>
    <w:p w14:paraId="0586152A">
      <w:pPr>
        <w:pageBreakBefore w:val="0"/>
        <w:kinsoku/>
        <w:overflowPunct/>
        <w:bidi w:val="0"/>
        <w:spacing w:line="420" w:lineRule="exact"/>
        <w:ind w:firstLine="480" w:firstLineChars="200"/>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2.12 投标报价中应考虑招标文件中要求投标人承担的风险范围以及相关的费用。</w:t>
      </w:r>
    </w:p>
    <w:p w14:paraId="0B371DE7">
      <w:pPr>
        <w:pageBreakBefore w:val="0"/>
        <w:kinsoku/>
        <w:overflowPunct/>
        <w:bidi w:val="0"/>
        <w:spacing w:line="420" w:lineRule="exact"/>
        <w:ind w:firstLine="480" w:firstLineChars="200"/>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2.13 投标总价为投标人在投标文件中提出的各项支付金额的总和，为实施、完成招标工程并修补缺陷以及履行招标文件中约定的风险范围内的所有责任和义务所发生的全部费用。</w:t>
      </w:r>
    </w:p>
    <w:p w14:paraId="7B590B9F">
      <w:pPr>
        <w:pageBreakBefore w:val="0"/>
        <w:kinsoku/>
        <w:overflowPunct/>
        <w:bidi w:val="0"/>
        <w:spacing w:line="420" w:lineRule="exact"/>
        <w:ind w:firstLine="480" w:firstLineChars="200"/>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rPr>
        <w:t>2.14 有关投标报价的其他要求：</w:t>
      </w:r>
      <w:r>
        <w:rPr>
          <w:rFonts w:hint="eastAsia" w:ascii="宋体" w:hAnsi="宋体" w:eastAsia="宋体" w:cs="宋体"/>
          <w:color w:val="auto"/>
          <w:kern w:val="2"/>
          <w:sz w:val="24"/>
          <w:szCs w:val="24"/>
          <w:highlight w:val="none"/>
          <w:lang w:val="en-US" w:eastAsia="zh-CN"/>
        </w:rPr>
        <w:t>/</w:t>
      </w:r>
    </w:p>
    <w:p w14:paraId="2B3A6146">
      <w:pPr>
        <w:keepNext w:val="0"/>
        <w:keepLines w:val="0"/>
        <w:pageBreakBefore w:val="0"/>
        <w:widowControl w:val="0"/>
        <w:spacing w:line="360" w:lineRule="auto"/>
        <w:ind w:left="0" w:firstLine="410"/>
        <w:rPr>
          <w:rFonts w:hint="eastAsia" w:ascii="宋体" w:hAnsi="宋体" w:eastAsia="宋体" w:cs="宋体"/>
          <w:color w:val="auto"/>
          <w:sz w:val="24"/>
          <w:szCs w:val="24"/>
          <w:highlight w:val="none"/>
          <w:lang w:val="en-US"/>
        </w:rPr>
      </w:pPr>
      <w:r>
        <w:rPr>
          <w:rFonts w:hint="eastAsia" w:ascii="宋体" w:hAnsi="宋体" w:eastAsia="宋体" w:cs="宋体"/>
          <w:b/>
          <w:bCs/>
          <w:color w:val="auto"/>
          <w:sz w:val="24"/>
          <w:szCs w:val="24"/>
          <w:highlight w:val="none"/>
          <w:lang w:val="en-US"/>
        </w:rPr>
        <w:t xml:space="preserve">  </w:t>
      </w:r>
      <w:r>
        <w:rPr>
          <w:rFonts w:hint="eastAsia" w:ascii="宋体" w:hAnsi="宋体" w:eastAsia="宋体" w:cs="宋体"/>
          <w:color w:val="auto"/>
          <w:sz w:val="24"/>
          <w:szCs w:val="24"/>
          <w:highlight w:val="none"/>
          <w:lang w:val="en-US"/>
        </w:rPr>
        <w:t xml:space="preserve">   </w:t>
      </w:r>
    </w:p>
    <w:p w14:paraId="4FA726E4">
      <w:pPr>
        <w:keepNext w:val="0"/>
        <w:keepLines w:val="0"/>
        <w:pageBreakBefore w:val="0"/>
        <w:widowControl w:val="0"/>
        <w:spacing w:line="360" w:lineRule="auto"/>
        <w:ind w:left="0"/>
        <w:outlineLvl w:val="2"/>
        <w:rPr>
          <w:rFonts w:hint="eastAsia" w:ascii="宋体" w:hAnsi="宋体" w:eastAsia="宋体" w:cs="宋体"/>
          <w:b/>
          <w:color w:val="auto"/>
          <w:sz w:val="24"/>
          <w:szCs w:val="24"/>
          <w:highlight w:val="none"/>
        </w:rPr>
      </w:pPr>
      <w:bookmarkStart w:id="747" w:name="_Toc498006751"/>
      <w:bookmarkStart w:id="748" w:name="_Toc473034408"/>
      <w:r>
        <w:rPr>
          <w:rFonts w:hint="eastAsia" w:ascii="宋体" w:hAnsi="宋体" w:eastAsia="宋体" w:cs="宋体"/>
          <w:b/>
          <w:color w:val="auto"/>
          <w:sz w:val="24"/>
          <w:szCs w:val="24"/>
          <w:highlight w:val="none"/>
        </w:rPr>
        <w:t>3．其他说明</w:t>
      </w:r>
      <w:bookmarkEnd w:id="747"/>
      <w:bookmarkEnd w:id="748"/>
    </w:p>
    <w:p w14:paraId="69F61127">
      <w:pPr>
        <w:keepNext w:val="0"/>
        <w:keepLines w:val="0"/>
        <w:pageBreakBefore w:val="0"/>
        <w:widowControl w:val="0"/>
        <w:spacing w:line="360" w:lineRule="auto"/>
        <w:ind w:left="0"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3.1词语和定义</w:t>
      </w:r>
    </w:p>
    <w:p w14:paraId="1911A738">
      <w:pPr>
        <w:keepNext w:val="0"/>
        <w:keepLines w:val="0"/>
        <w:pageBreakBefore w:val="0"/>
        <w:widowControl w:val="0"/>
        <w:spacing w:line="360" w:lineRule="auto"/>
        <w:ind w:left="0" w:firstLine="61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3.1.1 同义词语</w:t>
      </w:r>
    </w:p>
    <w:p w14:paraId="398A7F82">
      <w:pPr>
        <w:pageBreakBefore w:val="0"/>
        <w:kinsoku/>
        <w:overflowPunct/>
        <w:bidi w:val="0"/>
        <w:spacing w:line="420" w:lineRule="exact"/>
        <w:ind w:firstLine="480" w:firstLineChars="200"/>
        <w:rPr>
          <w:rFonts w:hint="eastAsia" w:ascii="宋体" w:hAnsi="宋体" w:eastAsia="宋体" w:cs="宋体"/>
          <w:color w:val="auto"/>
          <w:kern w:val="2"/>
          <w:sz w:val="24"/>
          <w:szCs w:val="24"/>
          <w:highlight w:val="none"/>
        </w:rPr>
      </w:pPr>
      <w:bookmarkStart w:id="749" w:name="_Toc28804"/>
      <w:bookmarkStart w:id="750" w:name="_Toc21910"/>
      <w:r>
        <w:rPr>
          <w:rFonts w:hint="eastAsia" w:ascii="宋体" w:hAnsi="宋体" w:eastAsia="宋体" w:cs="宋体"/>
          <w:color w:val="auto"/>
          <w:kern w:val="2"/>
          <w:sz w:val="24"/>
          <w:szCs w:val="24"/>
          <w:highlight w:val="none"/>
        </w:rPr>
        <w:t>本章中使用的词语“招标人”和“投标人”分别与合同条款中定义的“发包人”和“承包人”同义。</w:t>
      </w:r>
    </w:p>
    <w:p w14:paraId="381F6487">
      <w:pPr>
        <w:pageBreakBefore w:val="0"/>
        <w:kinsoku/>
        <w:overflowPunct/>
        <w:bidi w:val="0"/>
        <w:spacing w:line="420" w:lineRule="exact"/>
        <w:ind w:firstLine="480" w:firstLineChars="200"/>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3.2工程量差异调整</w:t>
      </w:r>
    </w:p>
    <w:p w14:paraId="0895DAB1">
      <w:pPr>
        <w:pageBreakBefore w:val="0"/>
        <w:kinsoku/>
        <w:overflowPunct/>
        <w:bidi w:val="0"/>
        <w:spacing w:line="420" w:lineRule="exact"/>
        <w:ind w:firstLine="480" w:firstLineChars="200"/>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3.2.1 工程量清单中的项目列项、特征描述、工作内容以及“</w:t>
      </w:r>
      <w:r>
        <w:rPr>
          <w:rFonts w:hint="eastAsia" w:ascii="Times New Roman" w:hAnsi="Times New Roman" w:eastAsia="宋体" w:cs="Times New Roman"/>
          <w:color w:val="auto"/>
          <w:kern w:val="2"/>
          <w:sz w:val="24"/>
          <w:szCs w:val="24"/>
          <w:highlight w:val="none"/>
          <w:lang w:val="en-US" w:eastAsia="zh-CN"/>
        </w:rPr>
        <w:t>表E.2.1分部分项工程项目清单计价表</w:t>
      </w:r>
      <w:r>
        <w:rPr>
          <w:rFonts w:hint="eastAsia" w:ascii="宋体" w:hAnsi="宋体" w:eastAsia="宋体" w:cs="宋体"/>
          <w:color w:val="auto"/>
          <w:kern w:val="2"/>
          <w:sz w:val="24"/>
          <w:szCs w:val="24"/>
          <w:highlight w:val="none"/>
        </w:rPr>
        <w:t>”中附带的工程量都不应理解为是对承包(招标)范围以及合同工作内容的唯一的、最终的或全部的定义。</w:t>
      </w:r>
    </w:p>
    <w:p w14:paraId="643D9478">
      <w:pPr>
        <w:pageBreakBefore w:val="0"/>
        <w:kinsoku/>
        <w:overflowPunct/>
        <w:bidi w:val="0"/>
        <w:spacing w:line="420" w:lineRule="exact"/>
        <w:ind w:firstLine="480" w:firstLineChars="200"/>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3.2.2 投标人可对招标人提供的工程量清单进行复核。这种复核包括对招标人提供的工程量清单中的项目编码、项目名称、项目特征描述、计量单位、工程量的准确性以及可能存在的任何书写、打印错误进行检查和复核，也包括对“</w:t>
      </w:r>
      <w:r>
        <w:rPr>
          <w:rFonts w:hint="eastAsia" w:ascii="Times New Roman" w:hAnsi="Times New Roman" w:eastAsia="宋体" w:cs="Times New Roman"/>
          <w:color w:val="auto"/>
          <w:kern w:val="2"/>
          <w:sz w:val="24"/>
          <w:szCs w:val="24"/>
          <w:highlight w:val="none"/>
          <w:lang w:val="en-US" w:eastAsia="zh-CN"/>
        </w:rPr>
        <w:t>表E.2.1分部分项工程项目清单计价表</w:t>
      </w:r>
      <w:r>
        <w:rPr>
          <w:rFonts w:hint="eastAsia" w:ascii="宋体" w:hAnsi="宋体" w:eastAsia="宋体" w:cs="宋体"/>
          <w:color w:val="auto"/>
          <w:kern w:val="2"/>
          <w:sz w:val="24"/>
          <w:szCs w:val="24"/>
          <w:highlight w:val="none"/>
        </w:rPr>
        <w:t>”中每个工作项目的工程量进行重新计算和校核。如果投标人经过检查和复核以后认为招标人提供的工程量清单存在差异，则投标人按第二章2.4款规定的程序向招标人提出异议。</w:t>
      </w:r>
    </w:p>
    <w:p w14:paraId="73CA2A5F">
      <w:pPr>
        <w:pageBreakBefore w:val="0"/>
        <w:kinsoku/>
        <w:overflowPunct/>
        <w:bidi w:val="0"/>
        <w:spacing w:line="420" w:lineRule="exact"/>
        <w:ind w:firstLine="480" w:firstLineChars="200"/>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3.2.3 如果招标人在检查投标人根据上文第3.2.2项提交的工程量差异问题后认为没有必要对工程量清单进行补充和(或)修改，或者招标人根据上文第3.2.2项对工程量清单进行了补充和(或)修改，但投标人认为工程量清单中的工程量依然存在差异，则此类差异不再提交招标人答疑和修正，而是直接按招标人提供的工程量清单(包括招标人可能的补充和(或)修改)进行投标报价。投标人在按照工程量清单进行报价时，除按照本节2.7.3项要求对招标人提供的措施项目清单项目增补外，不得改变(包括对工程量清单项目的项目名称、项目特征描述、计量单位以及工程量的任何修改、增加或减少)招标人提供的分部分项工程量清单和其他项目清单。即使按照图纸和招标范围的约定并不存在的项目，只要在招标人提供的分部分项工程量清单中已经列明，投标人都需要对其报价，并纳入投标总价的计算。</w:t>
      </w:r>
    </w:p>
    <w:p w14:paraId="30C15A38">
      <w:pPr>
        <w:pageBreakBefore w:val="0"/>
        <w:kinsoku/>
        <w:overflowPunct/>
        <w:bidi w:val="0"/>
        <w:spacing w:line="420" w:lineRule="exact"/>
        <w:ind w:firstLine="480" w:firstLineChars="200"/>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3.3暂列金额和暂估价</w:t>
      </w:r>
    </w:p>
    <w:p w14:paraId="65F36240">
      <w:pPr>
        <w:pageBreakBefore w:val="0"/>
        <w:kinsoku/>
        <w:overflowPunct/>
        <w:bidi w:val="0"/>
        <w:spacing w:line="420" w:lineRule="exact"/>
        <w:ind w:firstLine="480" w:firstLineChars="200"/>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3.3.1 “暂列金额明细表”中所列暂列金额(不包括计日工金额)中已经包含与其对应的管理费、利润。投标人应按本招标文件规定将此类暂列金额直接纳入其他项目清单的投标价格中。</w:t>
      </w:r>
    </w:p>
    <w:p w14:paraId="765E141B">
      <w:pPr>
        <w:pageBreakBefore w:val="0"/>
        <w:kinsoku/>
        <w:overflowPunct/>
        <w:bidi w:val="0"/>
        <w:spacing w:line="420" w:lineRule="exact"/>
        <w:ind w:firstLine="480" w:firstLineChars="200"/>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3.3.3 专业工程暂估价及结算价表中所列的专业工程暂估价已经包含与其对应的管理费、利润，但不含税金。投标人应按本招标文件规定将此类暂估价直接纳入其他项目清单的投标价格中。</w:t>
      </w:r>
    </w:p>
    <w:p w14:paraId="2422B990">
      <w:pPr>
        <w:pageBreakBefore w:val="0"/>
        <w:kinsoku/>
        <w:overflowPunct/>
        <w:bidi w:val="0"/>
        <w:spacing w:line="420" w:lineRule="exact"/>
        <w:ind w:firstLine="480" w:firstLineChars="200"/>
        <w:rPr>
          <w:rFonts w:hint="eastAsia" w:ascii="宋体" w:hAnsi="宋体" w:eastAsia="宋体" w:cs="宋体"/>
          <w:b/>
          <w:color w:val="auto"/>
          <w:kern w:val="0"/>
          <w:sz w:val="24"/>
          <w:szCs w:val="24"/>
          <w:highlight w:val="none"/>
          <w:u w:val="single"/>
        </w:rPr>
      </w:pPr>
      <w:r>
        <w:rPr>
          <w:rFonts w:hint="eastAsia" w:ascii="宋体" w:hAnsi="宋体" w:eastAsia="宋体" w:cs="宋体"/>
          <w:color w:val="auto"/>
          <w:kern w:val="2"/>
          <w:sz w:val="24"/>
          <w:szCs w:val="24"/>
          <w:highlight w:val="none"/>
        </w:rPr>
        <w:t>4.</w:t>
      </w:r>
      <w:r>
        <w:rPr>
          <w:rFonts w:hint="eastAsia" w:ascii="宋体" w:hAnsi="宋体" w:eastAsia="宋体" w:cs="宋体"/>
          <w:b/>
          <w:color w:val="auto"/>
          <w:kern w:val="0"/>
          <w:sz w:val="24"/>
          <w:szCs w:val="24"/>
          <w:highlight w:val="none"/>
          <w:u w:val="single"/>
        </w:rPr>
        <w:t>有关投标报价的说明：详见投标须知和合同条款。</w:t>
      </w:r>
    </w:p>
    <w:p w14:paraId="1DE857FC">
      <w:pPr>
        <w:keepNext w:val="0"/>
        <w:keepLines w:val="0"/>
        <w:pageBreakBefore w:val="0"/>
        <w:widowControl w:val="0"/>
        <w:spacing w:line="360" w:lineRule="auto"/>
        <w:ind w:left="0"/>
        <w:outlineLvl w:val="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三</w:t>
      </w:r>
      <w:r>
        <w:rPr>
          <w:rFonts w:hint="eastAsia" w:ascii="宋体" w:hAnsi="宋体" w:eastAsia="宋体" w:cs="宋体"/>
          <w:b/>
          <w:bCs/>
          <w:color w:val="auto"/>
          <w:sz w:val="24"/>
          <w:szCs w:val="24"/>
          <w:highlight w:val="none"/>
        </w:rPr>
        <w:t>、技术标准和要求</w:t>
      </w:r>
      <w:bookmarkEnd w:id="749"/>
      <w:bookmarkEnd w:id="750"/>
      <w:bookmarkStart w:id="751" w:name="_Toc349555826"/>
      <w:bookmarkEnd w:id="751"/>
      <w:bookmarkStart w:id="752" w:name="_Toc349557651"/>
      <w:bookmarkEnd w:id="752"/>
    </w:p>
    <w:p w14:paraId="1D82857F">
      <w:pPr>
        <w:keepNext w:val="0"/>
        <w:keepLines w:val="0"/>
        <w:pageBreakBefore w:val="0"/>
        <w:widowControl w:val="0"/>
        <w:spacing w:line="360" w:lineRule="auto"/>
        <w:ind w:left="0" w:firstLine="600"/>
        <w:jc w:val="left"/>
        <w:rPr>
          <w:rFonts w:hint="eastAsia" w:ascii="宋体" w:hAnsi="宋体" w:eastAsia="宋体" w:cs="宋体"/>
          <w:color w:val="auto"/>
          <w:sz w:val="24"/>
          <w:szCs w:val="24"/>
          <w:highlight w:val="none"/>
        </w:rPr>
      </w:pPr>
      <w:bookmarkStart w:id="753" w:name="_Toc333498743"/>
      <w:r>
        <w:rPr>
          <w:rFonts w:hint="eastAsia" w:ascii="宋体" w:hAnsi="宋体" w:eastAsia="宋体" w:cs="宋体"/>
          <w:color w:val="auto"/>
          <w:sz w:val="24"/>
          <w:szCs w:val="24"/>
          <w:highlight w:val="none"/>
        </w:rPr>
        <w:t>1、本工程采用的计价规范</w:t>
      </w:r>
      <w:bookmarkEnd w:id="753"/>
      <w:r>
        <w:rPr>
          <w:rFonts w:hint="eastAsia" w:ascii="宋体" w:hAnsi="宋体" w:eastAsia="宋体" w:cs="宋体"/>
          <w:color w:val="auto"/>
          <w:sz w:val="24"/>
          <w:szCs w:val="24"/>
          <w:highlight w:val="none"/>
        </w:rPr>
        <w:t>（包括但不限于以下规范、要求）</w:t>
      </w:r>
    </w:p>
    <w:p w14:paraId="3DA82E38">
      <w:pPr>
        <w:keepNext w:val="0"/>
        <w:keepLines w:val="0"/>
        <w:pageBreakBefore w:val="0"/>
        <w:widowControl w:val="0"/>
        <w:tabs>
          <w:tab w:val="left" w:pos="4320"/>
        </w:tabs>
        <w:spacing w:line="360" w:lineRule="auto"/>
        <w:ind w:left="0" w:firstLine="47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（1）江苏省、南通市其他现行的计价文件及补充计价定额             </w:t>
      </w:r>
    </w:p>
    <w:p w14:paraId="2183B6CE">
      <w:pPr>
        <w:keepNext w:val="0"/>
        <w:keepLines w:val="0"/>
        <w:pageBreakBefore w:val="0"/>
        <w:widowControl w:val="0"/>
        <w:spacing w:line="360" w:lineRule="auto"/>
        <w:ind w:left="0" w:firstLine="518"/>
        <w:jc w:val="left"/>
        <w:rPr>
          <w:rFonts w:hint="eastAsia" w:ascii="宋体" w:hAnsi="宋体" w:eastAsia="宋体" w:cs="宋体"/>
          <w:color w:val="auto"/>
          <w:sz w:val="24"/>
          <w:szCs w:val="24"/>
          <w:highlight w:val="none"/>
        </w:rPr>
      </w:pPr>
      <w:bookmarkStart w:id="754" w:name="_Toc333498744"/>
      <w:r>
        <w:rPr>
          <w:rFonts w:hint="eastAsia" w:ascii="宋体" w:hAnsi="宋体" w:eastAsia="宋体" w:cs="宋体"/>
          <w:color w:val="auto"/>
          <w:sz w:val="24"/>
          <w:szCs w:val="24"/>
          <w:highlight w:val="none"/>
        </w:rPr>
        <w:t>2、本工程采用的技术规范</w:t>
      </w:r>
      <w:bookmarkEnd w:id="754"/>
      <w:r>
        <w:rPr>
          <w:rFonts w:hint="eastAsia" w:ascii="宋体" w:hAnsi="宋体" w:eastAsia="宋体" w:cs="宋体"/>
          <w:color w:val="auto"/>
          <w:sz w:val="24"/>
          <w:szCs w:val="24"/>
          <w:highlight w:val="none"/>
        </w:rPr>
        <w:t>（包括但不限于以下规范、要求）</w:t>
      </w:r>
    </w:p>
    <w:p w14:paraId="305091C7">
      <w:pPr>
        <w:keepNext w:val="0"/>
        <w:keepLines w:val="0"/>
        <w:pageBreakBefore w:val="0"/>
        <w:widowControl w:val="0"/>
        <w:spacing w:line="360" w:lineRule="auto"/>
        <w:ind w:left="0"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本工程应执行的相关工程施工、检测、验收的相关规范与标准。当相关规范或标准互相矛盾时，以最新和最严格的为准。</w:t>
      </w:r>
    </w:p>
    <w:p w14:paraId="3BD93E89">
      <w:pPr>
        <w:keepNext w:val="0"/>
        <w:keepLines w:val="0"/>
        <w:pageBreakBefore w:val="0"/>
        <w:widowControl w:val="0"/>
        <w:spacing w:line="360" w:lineRule="auto"/>
        <w:ind w:left="0" w:firstLine="518"/>
        <w:jc w:val="left"/>
        <w:rPr>
          <w:rFonts w:hint="eastAsia" w:ascii="宋体" w:hAnsi="宋体" w:eastAsia="宋体" w:cs="宋体"/>
          <w:color w:val="auto"/>
          <w:sz w:val="24"/>
          <w:szCs w:val="24"/>
          <w:highlight w:val="none"/>
        </w:rPr>
      </w:pPr>
      <w:bookmarkStart w:id="755" w:name="_Toc333498745"/>
      <w:r>
        <w:rPr>
          <w:rFonts w:hint="eastAsia" w:ascii="宋体" w:hAnsi="宋体" w:eastAsia="宋体" w:cs="宋体"/>
          <w:color w:val="auto"/>
          <w:sz w:val="24"/>
          <w:szCs w:val="24"/>
          <w:highlight w:val="none"/>
        </w:rPr>
        <w:t>3、本工程对施工工艺的特殊要求</w:t>
      </w:r>
      <w:bookmarkEnd w:id="755"/>
    </w:p>
    <w:p w14:paraId="19EA5D21">
      <w:pPr>
        <w:keepNext w:val="0"/>
        <w:keepLines w:val="0"/>
        <w:pageBreakBefore w:val="0"/>
        <w:widowControl w:val="0"/>
        <w:spacing w:line="360" w:lineRule="auto"/>
        <w:ind w:left="0" w:firstLine="518"/>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（1）工程的主要部位和特殊要求由建设、设计、监理三方讨论后以书面形式通知施工单位实施。</w:t>
      </w:r>
    </w:p>
    <w:p w14:paraId="540A53F0">
      <w:pPr>
        <w:keepNext w:val="0"/>
        <w:keepLines w:val="0"/>
        <w:pageBreakBefore w:val="0"/>
        <w:widowControl w:val="0"/>
        <w:spacing w:line="360" w:lineRule="auto"/>
        <w:ind w:left="0" w:firstLine="518"/>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eastAsia="zh-TW"/>
        </w:rPr>
        <w:t>施工期间要注意周边环境</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TW"/>
        </w:rPr>
        <w:t>减少对周围</w:t>
      </w:r>
      <w:r>
        <w:rPr>
          <w:rFonts w:hint="eastAsia" w:ascii="宋体" w:hAnsi="宋体" w:eastAsia="宋体" w:cs="宋体"/>
          <w:color w:val="auto"/>
          <w:sz w:val="24"/>
          <w:szCs w:val="24"/>
          <w:highlight w:val="none"/>
        </w:rPr>
        <w:t>环境的</w:t>
      </w:r>
      <w:r>
        <w:rPr>
          <w:rFonts w:hint="eastAsia" w:ascii="宋体" w:hAnsi="宋体" w:eastAsia="宋体" w:cs="宋体"/>
          <w:color w:val="auto"/>
          <w:sz w:val="24"/>
          <w:szCs w:val="24"/>
          <w:highlight w:val="none"/>
          <w:lang w:eastAsia="zh-TW"/>
        </w:rPr>
        <w:t>影响</w:t>
      </w:r>
      <w:r>
        <w:rPr>
          <w:rFonts w:hint="eastAsia" w:ascii="宋体" w:hAnsi="宋体" w:eastAsia="宋体" w:cs="宋体"/>
          <w:color w:val="auto"/>
          <w:sz w:val="24"/>
          <w:szCs w:val="24"/>
          <w:highlight w:val="none"/>
        </w:rPr>
        <w:t>（灰尘、噪音等）。</w:t>
      </w:r>
    </w:p>
    <w:p w14:paraId="1332184D">
      <w:pPr>
        <w:keepNext w:val="0"/>
        <w:keepLines w:val="0"/>
        <w:pageBreakBefore w:val="0"/>
        <w:widowControl w:val="0"/>
        <w:spacing w:line="360" w:lineRule="auto"/>
        <w:ind w:left="0" w:firstLine="518"/>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（3）施工期间要注意周边环境，尽量避免对周围居民生活的影响。        </w:t>
      </w:r>
    </w:p>
    <w:p w14:paraId="79283CCB">
      <w:pPr>
        <w:keepNext w:val="0"/>
        <w:keepLines w:val="0"/>
        <w:pageBreakBefore w:val="0"/>
        <w:widowControl w:val="0"/>
        <w:spacing w:line="360" w:lineRule="auto"/>
        <w:ind w:left="0" w:firstLine="518"/>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（4）冬、雨季施工要采取相应的保护措施。  </w:t>
      </w:r>
    </w:p>
    <w:p w14:paraId="23035A61">
      <w:pPr>
        <w:keepNext w:val="0"/>
        <w:keepLines w:val="0"/>
        <w:pageBreakBefore w:val="0"/>
        <w:widowControl w:val="0"/>
        <w:spacing w:line="360" w:lineRule="auto"/>
        <w:ind w:left="0"/>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四</w:t>
      </w:r>
      <w:r>
        <w:rPr>
          <w:rFonts w:hint="eastAsia" w:ascii="宋体" w:hAnsi="宋体" w:eastAsia="宋体" w:cs="宋体"/>
          <w:b/>
          <w:bCs/>
          <w:color w:val="auto"/>
          <w:sz w:val="24"/>
          <w:szCs w:val="24"/>
          <w:highlight w:val="none"/>
        </w:rPr>
        <w:t>、需要补充的其它内容：</w:t>
      </w:r>
    </w:p>
    <w:p w14:paraId="49695D75">
      <w:pPr>
        <w:keepNext w:val="0"/>
        <w:keepLines w:val="0"/>
        <w:pageBreakBefore w:val="0"/>
        <w:widowControl w:val="0"/>
        <w:spacing w:line="360" w:lineRule="auto"/>
        <w:ind w:left="0"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1、现场条件</w:t>
      </w:r>
    </w:p>
    <w:p w14:paraId="6F0857CC">
      <w:pPr>
        <w:spacing w:line="360" w:lineRule="auto"/>
        <w:ind w:firstLine="480"/>
        <w:jc w:val="left"/>
        <w:rPr>
          <w:rFonts w:hint="default" w:ascii="宋体" w:hAnsi="宋体" w:eastAsia="宋体"/>
          <w:color w:val="auto"/>
          <w:sz w:val="24"/>
          <w:szCs w:val="24"/>
          <w:highlight w:val="none"/>
        </w:rPr>
      </w:pPr>
      <w:r>
        <w:rPr>
          <w:rFonts w:hint="eastAsia" w:ascii="宋体" w:hAnsi="宋体" w:eastAsia="宋体"/>
          <w:color w:val="auto"/>
          <w:sz w:val="24"/>
          <w:szCs w:val="24"/>
          <w:highlight w:val="none"/>
          <w:lang w:eastAsia="zh-CN"/>
        </w:rPr>
        <w:t>（</w:t>
      </w:r>
      <w:r>
        <w:rPr>
          <w:rFonts w:hint="default" w:ascii="宋体" w:hAnsi="宋体" w:eastAsia="宋体"/>
          <w:color w:val="auto"/>
          <w:sz w:val="24"/>
          <w:szCs w:val="24"/>
          <w:highlight w:val="none"/>
        </w:rPr>
        <w:t>1</w:t>
      </w:r>
      <w:r>
        <w:rPr>
          <w:rFonts w:hint="eastAsia" w:ascii="宋体" w:hAnsi="宋体" w:eastAsia="宋体"/>
          <w:color w:val="auto"/>
          <w:sz w:val="24"/>
          <w:szCs w:val="24"/>
          <w:highlight w:val="none"/>
          <w:lang w:eastAsia="zh-CN"/>
        </w:rPr>
        <w:t>）</w:t>
      </w:r>
      <w:r>
        <w:rPr>
          <w:rFonts w:hint="default" w:ascii="宋体" w:hAnsi="宋体" w:eastAsia="宋体"/>
          <w:color w:val="auto"/>
          <w:sz w:val="24"/>
          <w:szCs w:val="24"/>
          <w:highlight w:val="none"/>
        </w:rPr>
        <w:t>施工现场情况：本工程现场条件较复杂，请供应商务必自行认真踏勘现场条件并综合考虑到报价中，一旦中标不得对现场条件提出额外要求。</w:t>
      </w:r>
    </w:p>
    <w:p w14:paraId="561E7BD8">
      <w:pPr>
        <w:spacing w:line="360" w:lineRule="auto"/>
        <w:ind w:firstLine="480"/>
        <w:jc w:val="left"/>
        <w:rPr>
          <w:rFonts w:hint="default" w:ascii="宋体" w:hAnsi="宋体" w:eastAsia="宋体"/>
          <w:color w:val="auto"/>
          <w:sz w:val="24"/>
          <w:szCs w:val="24"/>
          <w:highlight w:val="none"/>
        </w:rPr>
      </w:pPr>
      <w:r>
        <w:rPr>
          <w:rFonts w:hint="eastAsia" w:ascii="宋体" w:hAnsi="宋体" w:eastAsia="宋体"/>
          <w:color w:val="auto"/>
          <w:sz w:val="24"/>
          <w:szCs w:val="24"/>
          <w:highlight w:val="none"/>
          <w:lang w:eastAsia="zh-CN"/>
        </w:rPr>
        <w:t>（</w:t>
      </w:r>
      <w:r>
        <w:rPr>
          <w:rFonts w:hint="default" w:ascii="宋体" w:hAnsi="宋体" w:eastAsia="宋体"/>
          <w:color w:val="auto"/>
          <w:sz w:val="24"/>
          <w:szCs w:val="24"/>
          <w:highlight w:val="none"/>
        </w:rPr>
        <w:t>2</w:t>
      </w:r>
      <w:r>
        <w:rPr>
          <w:rFonts w:hint="eastAsia" w:ascii="宋体" w:hAnsi="宋体" w:eastAsia="宋体"/>
          <w:color w:val="auto"/>
          <w:sz w:val="24"/>
          <w:szCs w:val="24"/>
          <w:highlight w:val="none"/>
          <w:lang w:eastAsia="zh-CN"/>
        </w:rPr>
        <w:t>）</w:t>
      </w:r>
      <w:r>
        <w:rPr>
          <w:rFonts w:hint="default" w:ascii="宋体" w:hAnsi="宋体" w:eastAsia="宋体"/>
          <w:color w:val="auto"/>
          <w:sz w:val="24"/>
          <w:szCs w:val="24"/>
          <w:highlight w:val="none"/>
        </w:rPr>
        <w:t>施工用水、电：自行解决。</w:t>
      </w:r>
    </w:p>
    <w:p w14:paraId="404CDEE9">
      <w:pPr>
        <w:spacing w:line="360" w:lineRule="auto"/>
        <w:ind w:firstLine="480"/>
        <w:jc w:val="left"/>
        <w:rPr>
          <w:rFonts w:hint="default" w:ascii="宋体" w:hAnsi="宋体" w:eastAsia="宋体"/>
          <w:color w:val="auto"/>
          <w:sz w:val="24"/>
          <w:szCs w:val="24"/>
          <w:highlight w:val="none"/>
        </w:rPr>
      </w:pPr>
      <w:r>
        <w:rPr>
          <w:rFonts w:hint="eastAsia" w:ascii="宋体" w:hAnsi="宋体" w:eastAsia="宋体"/>
          <w:color w:val="auto"/>
          <w:sz w:val="24"/>
          <w:szCs w:val="24"/>
          <w:highlight w:val="none"/>
          <w:lang w:eastAsia="zh-CN"/>
        </w:rPr>
        <w:t>（</w:t>
      </w:r>
      <w:r>
        <w:rPr>
          <w:rFonts w:hint="default" w:ascii="宋体" w:hAnsi="宋体" w:eastAsia="宋体"/>
          <w:color w:val="auto"/>
          <w:sz w:val="24"/>
          <w:szCs w:val="24"/>
          <w:highlight w:val="none"/>
        </w:rPr>
        <w:t>3</w:t>
      </w:r>
      <w:r>
        <w:rPr>
          <w:rFonts w:hint="eastAsia" w:ascii="宋体" w:hAnsi="宋体" w:eastAsia="宋体"/>
          <w:color w:val="auto"/>
          <w:sz w:val="24"/>
          <w:szCs w:val="24"/>
          <w:highlight w:val="none"/>
          <w:lang w:eastAsia="zh-CN"/>
        </w:rPr>
        <w:t>）</w:t>
      </w:r>
      <w:r>
        <w:rPr>
          <w:rFonts w:hint="default" w:ascii="宋体" w:hAnsi="宋体" w:eastAsia="宋体"/>
          <w:color w:val="auto"/>
          <w:sz w:val="24"/>
          <w:szCs w:val="24"/>
          <w:highlight w:val="none"/>
        </w:rPr>
        <w:t>场内外道路：已通。</w:t>
      </w:r>
    </w:p>
    <w:p w14:paraId="6554C937">
      <w:pPr>
        <w:spacing w:line="360" w:lineRule="auto"/>
        <w:ind w:firstLine="480"/>
        <w:jc w:val="left"/>
        <w:rPr>
          <w:rFonts w:hint="default" w:ascii="宋体" w:hAnsi="宋体" w:eastAsia="宋体" w:cs="Times New Roman"/>
          <w:color w:val="auto"/>
          <w:sz w:val="24"/>
          <w:szCs w:val="24"/>
          <w:highlight w:val="none"/>
        </w:rPr>
      </w:pPr>
      <w:r>
        <w:rPr>
          <w:rFonts w:hint="eastAsia" w:ascii="宋体" w:hAnsi="宋体" w:eastAsia="宋体"/>
          <w:color w:val="auto"/>
          <w:sz w:val="24"/>
          <w:szCs w:val="24"/>
          <w:highlight w:val="none"/>
          <w:lang w:eastAsia="zh-CN"/>
        </w:rPr>
        <w:t>（</w:t>
      </w:r>
      <w:r>
        <w:rPr>
          <w:rFonts w:hint="default" w:ascii="宋体" w:hAnsi="宋体" w:eastAsia="宋体"/>
          <w:color w:val="auto"/>
          <w:sz w:val="24"/>
          <w:szCs w:val="24"/>
          <w:highlight w:val="none"/>
        </w:rPr>
        <w:t>4</w:t>
      </w:r>
      <w:r>
        <w:rPr>
          <w:rFonts w:hint="eastAsia" w:ascii="宋体" w:hAnsi="宋体" w:eastAsia="宋体"/>
          <w:color w:val="auto"/>
          <w:sz w:val="24"/>
          <w:szCs w:val="24"/>
          <w:highlight w:val="none"/>
          <w:lang w:eastAsia="zh-CN"/>
        </w:rPr>
        <w:t>）</w:t>
      </w:r>
      <w:r>
        <w:rPr>
          <w:rFonts w:hint="default" w:ascii="宋体" w:hAnsi="宋体" w:eastAsia="宋体"/>
          <w:color w:val="auto"/>
          <w:sz w:val="24"/>
          <w:szCs w:val="24"/>
          <w:highlight w:val="none"/>
        </w:rPr>
        <w:t>其他：</w:t>
      </w:r>
      <w:r>
        <w:rPr>
          <w:rFonts w:hint="eastAsia" w:ascii="宋体" w:hAnsi="宋体"/>
          <w:color w:val="auto"/>
          <w:sz w:val="24"/>
          <w:highlight w:val="none"/>
          <w:lang w:val="en-US" w:eastAsia="zh-CN"/>
        </w:rPr>
        <w:t>成交供应商</w:t>
      </w:r>
      <w:r>
        <w:rPr>
          <w:rFonts w:hint="default" w:ascii="宋体" w:hAnsi="宋体" w:eastAsia="宋体"/>
          <w:color w:val="auto"/>
          <w:sz w:val="24"/>
          <w:szCs w:val="24"/>
          <w:highlight w:val="none"/>
        </w:rPr>
        <w:t>应独立、有效</w:t>
      </w:r>
      <w:r>
        <w:rPr>
          <w:rFonts w:hint="eastAsia" w:ascii="宋体" w:hAnsi="宋体" w:eastAsia="宋体"/>
          <w:color w:val="auto"/>
          <w:sz w:val="24"/>
          <w:szCs w:val="24"/>
          <w:highlight w:val="none"/>
          <w:lang w:eastAsia="zh-CN"/>
        </w:rPr>
        <w:t>地</w:t>
      </w:r>
      <w:r>
        <w:rPr>
          <w:rFonts w:hint="default" w:ascii="宋体" w:hAnsi="宋体" w:eastAsia="宋体"/>
          <w:color w:val="auto"/>
          <w:sz w:val="24"/>
          <w:szCs w:val="24"/>
          <w:highlight w:val="none"/>
        </w:rPr>
        <w:t>做好该工程周边的有关群众工作，并充分考虑工程实施范围内外的单位、个人和其他可能出现阻挠施工的情况，若因此发生的机械台班停置费、二次机械进退场费、人员窝工、处理周边群众纠纷等费用和损失等，由</w:t>
      </w:r>
      <w:r>
        <w:rPr>
          <w:rFonts w:hint="eastAsia" w:ascii="宋体" w:hAnsi="宋体" w:eastAsia="宋体"/>
          <w:color w:val="auto"/>
          <w:sz w:val="24"/>
          <w:szCs w:val="24"/>
          <w:highlight w:val="none"/>
          <w:lang w:eastAsia="zh-CN"/>
        </w:rPr>
        <w:t>供应商</w:t>
      </w:r>
      <w:r>
        <w:rPr>
          <w:rFonts w:hint="default" w:ascii="宋体" w:hAnsi="宋体" w:eastAsia="宋体"/>
          <w:color w:val="auto"/>
          <w:sz w:val="24"/>
          <w:szCs w:val="24"/>
          <w:highlight w:val="none"/>
        </w:rPr>
        <w:t>自行考虑，并列入投标报价，工程结算时不作调整，一旦</w:t>
      </w:r>
      <w:r>
        <w:rPr>
          <w:rFonts w:hint="eastAsia" w:ascii="宋体" w:hAnsi="宋体" w:eastAsia="宋体"/>
          <w:color w:val="auto"/>
          <w:sz w:val="24"/>
          <w:szCs w:val="24"/>
          <w:highlight w:val="none"/>
          <w:lang w:val="en-US" w:eastAsia="zh-CN"/>
        </w:rPr>
        <w:t>中标</w:t>
      </w:r>
      <w:r>
        <w:rPr>
          <w:rFonts w:hint="default" w:ascii="宋体" w:hAnsi="宋体" w:eastAsia="宋体"/>
          <w:color w:val="auto"/>
          <w:sz w:val="24"/>
          <w:szCs w:val="24"/>
          <w:highlight w:val="none"/>
        </w:rPr>
        <w:t>不得对现</w:t>
      </w:r>
      <w:r>
        <w:rPr>
          <w:rFonts w:hint="default" w:ascii="宋体" w:hAnsi="宋体" w:eastAsia="宋体" w:cs="Times New Roman"/>
          <w:color w:val="auto"/>
          <w:sz w:val="24"/>
          <w:szCs w:val="24"/>
          <w:highlight w:val="none"/>
        </w:rPr>
        <w:t>场条件提出任何额外要求及任何费用。包含但不限于施工时的保护措施、评审费用、群众工作等引起误工、安全围栏等，以上内容均由施工方负责，甲方不予签证，施工单位在投标前请务必认真踏勘现场，投标报价时综合考虑，费用均包含在总价之中。</w:t>
      </w:r>
    </w:p>
    <w:p w14:paraId="039FCC9B">
      <w:pPr>
        <w:spacing w:line="360" w:lineRule="auto"/>
        <w:ind w:firstLine="480"/>
        <w:jc w:val="left"/>
        <w:rPr>
          <w:rFonts w:hint="eastAsia" w:ascii="宋体" w:hAnsi="宋体" w:eastAsia="宋体" w:cs="Times New Roman"/>
          <w:color w:val="auto"/>
          <w:sz w:val="24"/>
          <w:szCs w:val="24"/>
          <w:highlight w:val="none"/>
          <w:lang w:eastAsia="zh-CN"/>
        </w:rPr>
      </w:pPr>
      <w:bookmarkStart w:id="756" w:name="_Toc120614281"/>
    </w:p>
    <w:p w14:paraId="22C4265A">
      <w:pPr>
        <w:spacing w:line="360" w:lineRule="auto"/>
        <w:ind w:firstLine="480"/>
        <w:jc w:val="left"/>
        <w:rPr>
          <w:rFonts w:hint="eastAsia" w:ascii="宋体" w:hAnsi="宋体" w:eastAsia="宋体" w:cs="Times New Roman"/>
          <w:color w:val="auto"/>
          <w:sz w:val="24"/>
          <w:szCs w:val="24"/>
          <w:highlight w:val="none"/>
          <w:lang w:eastAsia="zh-CN"/>
        </w:rPr>
      </w:pPr>
    </w:p>
    <w:p w14:paraId="558E750E">
      <w:pPr>
        <w:rPr>
          <w:rFonts w:hint="eastAsia" w:ascii="宋体" w:hAnsi="宋体" w:eastAsia="宋体" w:cs="宋体"/>
          <w:bCs/>
          <w:color w:val="auto"/>
          <w:sz w:val="44"/>
          <w:szCs w:val="21"/>
          <w:highlight w:val="none"/>
          <w:lang w:val="en-US" w:eastAsia="zh-CN"/>
        </w:rPr>
      </w:pPr>
      <w:r>
        <w:rPr>
          <w:rFonts w:hint="eastAsia" w:ascii="宋体" w:hAnsi="宋体" w:eastAsia="宋体" w:cs="宋体"/>
          <w:bCs/>
          <w:color w:val="auto"/>
          <w:sz w:val="44"/>
          <w:szCs w:val="21"/>
          <w:highlight w:val="none"/>
          <w:lang w:val="en-US" w:eastAsia="zh-CN"/>
        </w:rPr>
        <w:br w:type="page"/>
      </w:r>
    </w:p>
    <w:p w14:paraId="0C9247AB">
      <w:pPr>
        <w:keepNext w:val="0"/>
        <w:keepLines w:val="0"/>
        <w:pageBreakBefore w:val="0"/>
        <w:widowControl w:val="0"/>
        <w:numPr>
          <w:ilvl w:val="0"/>
          <w:numId w:val="8"/>
        </w:numPr>
        <w:spacing w:line="360" w:lineRule="auto"/>
        <w:ind w:left="1470"/>
        <w:jc w:val="center"/>
        <w:rPr>
          <w:rFonts w:hint="eastAsia" w:ascii="宋体" w:hAnsi="宋体" w:eastAsia="宋体" w:cs="宋体"/>
          <w:bCs/>
          <w:color w:val="auto"/>
          <w:sz w:val="44"/>
          <w:szCs w:val="21"/>
          <w:highlight w:val="none"/>
          <w:lang w:val="en-US" w:eastAsia="zh-CN"/>
        </w:rPr>
      </w:pPr>
      <w:r>
        <w:rPr>
          <w:rFonts w:hint="eastAsia" w:ascii="宋体" w:hAnsi="宋体" w:eastAsia="宋体" w:cs="宋体"/>
          <w:bCs/>
          <w:color w:val="auto"/>
          <w:sz w:val="44"/>
          <w:szCs w:val="21"/>
          <w:highlight w:val="none"/>
          <w:lang w:val="en-US" w:eastAsia="zh-CN"/>
        </w:rPr>
        <w:t xml:space="preserve">  评审方法与评审标准</w:t>
      </w:r>
    </w:p>
    <w:p w14:paraId="2B8FAA4D">
      <w:pPr>
        <w:keepNext w:val="0"/>
        <w:keepLines w:val="0"/>
        <w:pageBreakBefore w:val="0"/>
        <w:widowControl w:val="0"/>
        <w:spacing w:line="360" w:lineRule="auto"/>
        <w:ind w:firstLine="48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评标程序及评标标准</w:t>
      </w:r>
    </w:p>
    <w:p w14:paraId="735F42F0">
      <w:pPr>
        <w:keepNext w:val="0"/>
        <w:keepLines w:val="0"/>
        <w:pageBreakBefore w:val="0"/>
        <w:widowControl w:val="0"/>
        <w:spacing w:line="360" w:lineRule="auto"/>
        <w:ind w:firstLine="482"/>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val="en-US" w:eastAsia="zh-CN"/>
        </w:rPr>
        <w:t>（一）磋商小组对供应商资格进行审查。</w:t>
      </w:r>
    </w:p>
    <w:p w14:paraId="657F6F54">
      <w:pPr>
        <w:keepNext w:val="0"/>
        <w:keepLines w:val="0"/>
        <w:pageBreakBefore w:val="0"/>
        <w:widowControl w:val="0"/>
        <w:spacing w:line="360" w:lineRule="auto"/>
        <w:ind w:firstLine="48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 资格性审查必要合格条件标准如下：</w:t>
      </w:r>
    </w:p>
    <w:p w14:paraId="23169923">
      <w:pPr>
        <w:keepNext w:val="0"/>
        <w:keepLines w:val="0"/>
        <w:pageBreakBefore w:val="0"/>
        <w:widowControl w:val="0"/>
        <w:spacing w:line="360" w:lineRule="auto"/>
        <w:ind w:firstLine="480"/>
        <w:rPr>
          <w:rFonts w:hint="eastAsia" w:ascii="宋体" w:hAnsi="宋体" w:cs="宋体"/>
          <w:color w:val="auto"/>
          <w:sz w:val="24"/>
          <w:highlight w:val="none"/>
          <w:lang w:val="zh-CN"/>
        </w:rPr>
      </w:pPr>
      <w:r>
        <w:rPr>
          <w:rFonts w:hint="eastAsia" w:ascii="宋体" w:hAnsi="宋体" w:cs="宋体"/>
          <w:color w:val="auto"/>
          <w:sz w:val="24"/>
          <w:highlight w:val="none"/>
          <w:lang w:val="zh-CN"/>
        </w:rPr>
        <w:t>（</w:t>
      </w:r>
      <w:r>
        <w:rPr>
          <w:rFonts w:hint="eastAsia" w:ascii="宋体" w:hAnsi="宋体" w:cs="宋体"/>
          <w:color w:val="auto"/>
          <w:sz w:val="24"/>
          <w:highlight w:val="none"/>
          <w:lang w:val="en-US" w:eastAsia="zh-CN"/>
        </w:rPr>
        <w:t>1</w:t>
      </w:r>
      <w:r>
        <w:rPr>
          <w:rFonts w:hint="eastAsia" w:ascii="宋体" w:hAnsi="宋体" w:cs="宋体"/>
          <w:color w:val="auto"/>
          <w:sz w:val="24"/>
          <w:highlight w:val="none"/>
          <w:lang w:val="zh-CN"/>
        </w:rPr>
        <w:t>）</w:t>
      </w:r>
      <w:r>
        <w:rPr>
          <w:rFonts w:hint="eastAsia" w:ascii="宋体" w:hAnsi="宋体" w:cs="宋体"/>
          <w:color w:val="auto"/>
          <w:sz w:val="24"/>
          <w:highlight w:val="none"/>
          <w:lang w:eastAsia="zh-CN"/>
        </w:rPr>
        <w:t>供应商</w:t>
      </w:r>
      <w:r>
        <w:rPr>
          <w:rFonts w:hint="eastAsia" w:ascii="宋体" w:hAnsi="宋体" w:cs="宋体"/>
          <w:color w:val="auto"/>
          <w:sz w:val="24"/>
          <w:highlight w:val="none"/>
        </w:rPr>
        <w:t>符合《政府采购法》第二十二条规定条件的承诺函</w:t>
      </w:r>
      <w:r>
        <w:rPr>
          <w:rFonts w:hint="eastAsia" w:ascii="宋体" w:hAnsi="宋体" w:cs="宋体"/>
          <w:color w:val="auto"/>
          <w:sz w:val="24"/>
          <w:highlight w:val="none"/>
          <w:lang w:val="zh-CN"/>
        </w:rPr>
        <w:t>（格式见附件）；</w:t>
      </w:r>
    </w:p>
    <w:p w14:paraId="1CE73AFB">
      <w:pPr>
        <w:keepNext w:val="0"/>
        <w:keepLines w:val="0"/>
        <w:pageBreakBefore w:val="0"/>
        <w:widowControl/>
        <w:tabs>
          <w:tab w:val="left" w:pos="0"/>
          <w:tab w:val="left" w:pos="993"/>
          <w:tab w:val="left" w:pos="1134"/>
        </w:tabs>
        <w:spacing w:line="360" w:lineRule="auto"/>
        <w:ind w:firstLine="480"/>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（2）法定代表人身份证明书及法定代表人身份证复印件</w:t>
      </w:r>
      <w:r>
        <w:rPr>
          <w:rFonts w:hint="eastAsia" w:ascii="宋体" w:hAnsi="宋体" w:cs="宋体"/>
          <w:color w:val="auto"/>
          <w:sz w:val="24"/>
          <w:highlight w:val="none"/>
          <w:lang w:val="zh-CN"/>
        </w:rPr>
        <w:t>（格式见附件）</w:t>
      </w:r>
      <w:r>
        <w:rPr>
          <w:rFonts w:hint="eastAsia" w:ascii="宋体" w:hAnsi="宋体" w:eastAsia="宋体" w:cs="宋体"/>
          <w:b w:val="0"/>
          <w:bCs/>
          <w:color w:val="auto"/>
          <w:sz w:val="24"/>
          <w:szCs w:val="24"/>
          <w:highlight w:val="none"/>
          <w:lang w:val="en-US" w:eastAsia="zh-CN"/>
        </w:rPr>
        <w:t>；</w:t>
      </w:r>
    </w:p>
    <w:p w14:paraId="57E5191D">
      <w:pPr>
        <w:keepNext w:val="0"/>
        <w:keepLines w:val="0"/>
        <w:pageBreakBefore w:val="0"/>
        <w:widowControl/>
        <w:tabs>
          <w:tab w:val="left" w:pos="0"/>
          <w:tab w:val="left" w:pos="993"/>
          <w:tab w:val="left" w:pos="1134"/>
        </w:tabs>
        <w:spacing w:line="360" w:lineRule="auto"/>
        <w:ind w:firstLine="480"/>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（3）法定代表人授权委托书及委托代理人身份证复印件（如有授权）</w:t>
      </w:r>
      <w:r>
        <w:rPr>
          <w:rFonts w:hint="eastAsia" w:ascii="宋体" w:hAnsi="宋体" w:cs="宋体"/>
          <w:color w:val="auto"/>
          <w:sz w:val="24"/>
          <w:highlight w:val="none"/>
          <w:lang w:val="zh-CN"/>
        </w:rPr>
        <w:t>（格式见附件）</w:t>
      </w:r>
      <w:r>
        <w:rPr>
          <w:rFonts w:hint="eastAsia" w:ascii="宋体" w:hAnsi="宋体" w:eastAsia="宋体" w:cs="宋体"/>
          <w:b w:val="0"/>
          <w:bCs/>
          <w:color w:val="auto"/>
          <w:sz w:val="24"/>
          <w:szCs w:val="24"/>
          <w:highlight w:val="none"/>
          <w:lang w:val="en-US" w:eastAsia="zh-CN"/>
        </w:rPr>
        <w:t xml:space="preserve">； </w:t>
      </w:r>
    </w:p>
    <w:p w14:paraId="578CE4AB">
      <w:pPr>
        <w:keepNext w:val="0"/>
        <w:keepLines w:val="0"/>
        <w:pageBreakBefore w:val="0"/>
        <w:widowControl/>
        <w:tabs>
          <w:tab w:val="left" w:pos="0"/>
          <w:tab w:val="left" w:pos="993"/>
          <w:tab w:val="left" w:pos="1134"/>
        </w:tabs>
        <w:spacing w:line="360" w:lineRule="auto"/>
        <w:ind w:firstLine="480"/>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（4）法人或者其他组织的营业执照等证明文件；自然人的身份证明；</w:t>
      </w:r>
    </w:p>
    <w:p w14:paraId="60FF2BC5">
      <w:pPr>
        <w:keepNext w:val="0"/>
        <w:keepLines w:val="0"/>
        <w:pageBreakBefore w:val="0"/>
        <w:widowControl w:val="0"/>
        <w:spacing w:line="360" w:lineRule="auto"/>
        <w:ind w:firstLine="480"/>
        <w:rPr>
          <w:rFonts w:hint="eastAsia" w:ascii="宋体" w:hAnsi="宋体" w:eastAsia="宋体" w:cs="宋体"/>
          <w:color w:val="auto"/>
          <w:sz w:val="24"/>
          <w:highlight w:val="none"/>
          <w:lang w:val="en-US" w:eastAsia="zh-CN"/>
        </w:rPr>
      </w:pPr>
      <w:r>
        <w:rPr>
          <w:rFonts w:hint="eastAsia" w:ascii="宋体" w:hAnsi="宋体" w:eastAsia="宋体" w:cs="宋体"/>
          <w:b w:val="0"/>
          <w:bCs/>
          <w:color w:val="auto"/>
          <w:sz w:val="24"/>
          <w:szCs w:val="24"/>
          <w:highlight w:val="none"/>
          <w:lang w:val="en-US" w:eastAsia="zh-CN"/>
        </w:rPr>
        <w:t>（5）</w:t>
      </w:r>
      <w:r>
        <w:rPr>
          <w:rFonts w:hint="eastAsia" w:ascii="宋体" w:hAnsi="宋体" w:eastAsia="宋体" w:cs="宋体"/>
          <w:bCs/>
          <w:color w:val="auto"/>
          <w:sz w:val="24"/>
          <w:highlight w:val="none"/>
          <w:lang w:bidi="ar"/>
        </w:rPr>
        <w:t>企业资质证书（</w:t>
      </w:r>
      <w:r>
        <w:rPr>
          <w:rFonts w:hint="eastAsia" w:ascii="宋体" w:hAnsi="宋体" w:eastAsia="宋体" w:cs="宋体"/>
          <w:bCs/>
          <w:color w:val="auto"/>
          <w:sz w:val="24"/>
          <w:highlight w:val="none"/>
          <w:lang w:val="en-US" w:eastAsia="zh-CN" w:bidi="ar"/>
        </w:rPr>
        <w:t>专业：</w:t>
      </w:r>
      <w:r>
        <w:rPr>
          <w:rFonts w:hint="eastAsia" w:ascii="宋体" w:hAnsi="宋体" w:eastAsia="宋体" w:cs="宋体"/>
          <w:bCs/>
          <w:color w:val="auto"/>
          <w:sz w:val="24"/>
          <w:highlight w:val="none"/>
          <w:u w:val="single"/>
          <w:lang w:val="en-US" w:eastAsia="zh-CN" w:bidi="ar"/>
        </w:rPr>
        <w:t xml:space="preserve"> </w:t>
      </w:r>
      <w:r>
        <w:rPr>
          <w:rFonts w:hint="eastAsia" w:ascii="宋体" w:hAnsi="宋体" w:eastAsia="宋体" w:cs="宋体"/>
          <w:b/>
          <w:bCs w:val="0"/>
          <w:sz w:val="24"/>
          <w:szCs w:val="24"/>
          <w:highlight w:val="none"/>
          <w:u w:val="single"/>
        </w:rPr>
        <w:t>市政公用工程</w:t>
      </w:r>
      <w:r>
        <w:rPr>
          <w:rFonts w:hint="eastAsia" w:ascii="宋体" w:hAnsi="宋体" w:eastAsia="宋体" w:cs="宋体"/>
          <w:bCs/>
          <w:color w:val="auto"/>
          <w:sz w:val="24"/>
          <w:highlight w:val="none"/>
          <w:u w:val="single"/>
          <w:lang w:val="en-US" w:eastAsia="zh-CN" w:bidi="ar"/>
        </w:rPr>
        <w:t xml:space="preserve"> </w:t>
      </w:r>
      <w:r>
        <w:rPr>
          <w:rFonts w:hint="eastAsia" w:ascii="宋体" w:hAnsi="宋体" w:eastAsia="宋体" w:cs="宋体"/>
          <w:bCs/>
          <w:color w:val="auto"/>
          <w:sz w:val="24"/>
          <w:highlight w:val="none"/>
          <w:u w:val="none"/>
          <w:lang w:val="en-US" w:eastAsia="zh-CN" w:bidi="ar"/>
        </w:rPr>
        <w:t>；等级：</w:t>
      </w:r>
      <w:r>
        <w:rPr>
          <w:rFonts w:hint="eastAsia" w:ascii="宋体" w:hAnsi="宋体" w:eastAsia="宋体" w:cs="宋体"/>
          <w:bCs/>
          <w:color w:val="auto"/>
          <w:sz w:val="24"/>
          <w:highlight w:val="none"/>
          <w:u w:val="single"/>
          <w:lang w:val="en-US" w:eastAsia="zh-CN" w:bidi="ar"/>
        </w:rPr>
        <w:t xml:space="preserve">  </w:t>
      </w:r>
      <w:r>
        <w:rPr>
          <w:rFonts w:hint="eastAsia" w:ascii="宋体" w:hAnsi="宋体" w:eastAsia="宋体" w:cs="宋体"/>
          <w:b/>
          <w:bCs w:val="0"/>
          <w:color w:val="auto"/>
          <w:sz w:val="24"/>
          <w:highlight w:val="none"/>
          <w:u w:val="single"/>
          <w:lang w:val="en-US" w:eastAsia="zh-CN" w:bidi="ar"/>
        </w:rPr>
        <w:t>施工总承包三级及以上</w:t>
      </w:r>
      <w:r>
        <w:rPr>
          <w:rFonts w:hint="eastAsia" w:ascii="宋体" w:hAnsi="宋体" w:eastAsia="宋体" w:cs="宋体"/>
          <w:bCs/>
          <w:color w:val="auto"/>
          <w:sz w:val="24"/>
          <w:highlight w:val="none"/>
          <w:u w:val="single"/>
          <w:lang w:val="en-US" w:eastAsia="zh-CN" w:bidi="ar"/>
        </w:rPr>
        <w:t xml:space="preserve"> </w:t>
      </w:r>
      <w:r>
        <w:rPr>
          <w:rFonts w:hint="eastAsia" w:ascii="宋体" w:hAnsi="宋体" w:eastAsia="宋体" w:cs="宋体"/>
          <w:bCs/>
          <w:color w:val="auto"/>
          <w:sz w:val="24"/>
          <w:highlight w:val="none"/>
          <w:lang w:bidi="ar"/>
        </w:rPr>
        <w:t>）及安全生产许可证</w:t>
      </w:r>
      <w:r>
        <w:rPr>
          <w:rFonts w:hint="eastAsia" w:ascii="宋体" w:hAnsi="宋体" w:eastAsia="宋体" w:cs="宋体"/>
          <w:color w:val="auto"/>
          <w:sz w:val="24"/>
          <w:highlight w:val="none"/>
          <w:lang w:val="en-US" w:eastAsia="zh-CN"/>
        </w:rPr>
        <w:t>；</w:t>
      </w:r>
    </w:p>
    <w:p w14:paraId="7A985397">
      <w:pPr>
        <w:keepNext w:val="0"/>
        <w:keepLines w:val="0"/>
        <w:pageBreakBefore w:val="0"/>
        <w:widowControl/>
        <w:tabs>
          <w:tab w:val="left" w:pos="0"/>
          <w:tab w:val="left" w:pos="993"/>
          <w:tab w:val="left" w:pos="1134"/>
        </w:tabs>
        <w:spacing w:line="360" w:lineRule="auto"/>
        <w:ind w:firstLine="480"/>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（6）</w:t>
      </w:r>
      <w:r>
        <w:rPr>
          <w:rFonts w:hint="eastAsia" w:ascii="宋体" w:hAnsi="宋体" w:cs="宋体"/>
          <w:bCs/>
          <w:color w:val="auto"/>
          <w:sz w:val="24"/>
          <w:highlight w:val="none"/>
          <w:lang w:bidi="ar"/>
        </w:rPr>
        <w:t>拟派项目负责人资格证书（</w:t>
      </w:r>
      <w:r>
        <w:rPr>
          <w:rFonts w:hint="eastAsia" w:ascii="宋体" w:hAnsi="宋体" w:cs="宋体"/>
          <w:bCs/>
          <w:color w:val="auto"/>
          <w:sz w:val="24"/>
          <w:highlight w:val="none"/>
          <w:lang w:val="en-US" w:eastAsia="zh-CN" w:bidi="ar"/>
        </w:rPr>
        <w:t>专业：</w:t>
      </w:r>
      <w:r>
        <w:rPr>
          <w:rFonts w:hint="eastAsia" w:ascii="宋体" w:hAnsi="宋体" w:cs="宋体"/>
          <w:bCs/>
          <w:color w:val="auto"/>
          <w:sz w:val="24"/>
          <w:highlight w:val="none"/>
          <w:u w:val="single"/>
          <w:lang w:val="en-US" w:eastAsia="zh-CN" w:bidi="ar"/>
        </w:rPr>
        <w:t xml:space="preserve"> </w:t>
      </w:r>
      <w:r>
        <w:rPr>
          <w:rFonts w:hint="eastAsia" w:ascii="宋体" w:hAnsi="宋体" w:eastAsia="宋体" w:cs="宋体"/>
          <w:b/>
          <w:bCs w:val="0"/>
          <w:sz w:val="24"/>
          <w:szCs w:val="24"/>
          <w:highlight w:val="none"/>
          <w:u w:val="single"/>
        </w:rPr>
        <w:t>市政公用工程</w:t>
      </w:r>
      <w:r>
        <w:rPr>
          <w:rFonts w:hint="eastAsia" w:ascii="宋体" w:hAnsi="宋体" w:cs="宋体"/>
          <w:bCs/>
          <w:color w:val="auto"/>
          <w:sz w:val="24"/>
          <w:highlight w:val="none"/>
          <w:u w:val="single"/>
          <w:lang w:val="en-US" w:eastAsia="zh-CN" w:bidi="ar"/>
        </w:rPr>
        <w:t xml:space="preserve">  </w:t>
      </w:r>
      <w:r>
        <w:rPr>
          <w:rFonts w:hint="eastAsia" w:ascii="宋体" w:hAnsi="宋体" w:cs="宋体"/>
          <w:bCs/>
          <w:color w:val="auto"/>
          <w:sz w:val="24"/>
          <w:highlight w:val="none"/>
          <w:u w:val="none"/>
          <w:lang w:val="en-US" w:eastAsia="zh-CN" w:bidi="ar"/>
        </w:rPr>
        <w:t>；等级：</w:t>
      </w:r>
      <w:r>
        <w:rPr>
          <w:rFonts w:hint="eastAsia" w:ascii="宋体" w:hAnsi="宋体" w:cs="宋体"/>
          <w:bCs/>
          <w:color w:val="auto"/>
          <w:sz w:val="24"/>
          <w:highlight w:val="none"/>
          <w:u w:val="single"/>
          <w:lang w:val="en-US" w:eastAsia="zh-CN" w:bidi="ar"/>
        </w:rPr>
        <w:t xml:space="preserve">  </w:t>
      </w:r>
      <w:r>
        <w:rPr>
          <w:rFonts w:hint="eastAsia" w:ascii="宋体" w:hAnsi="宋体" w:cs="宋体"/>
          <w:b/>
          <w:bCs w:val="0"/>
          <w:color w:val="auto"/>
          <w:sz w:val="24"/>
          <w:highlight w:val="none"/>
          <w:u w:val="single"/>
          <w:lang w:val="en-US" w:eastAsia="zh-CN" w:bidi="ar"/>
        </w:rPr>
        <w:t>贰级及以上注册建造师</w:t>
      </w:r>
      <w:r>
        <w:rPr>
          <w:rFonts w:hint="eastAsia" w:ascii="宋体" w:hAnsi="宋体" w:cs="宋体"/>
          <w:bCs/>
          <w:color w:val="auto"/>
          <w:sz w:val="24"/>
          <w:highlight w:val="none"/>
          <w:u w:val="single"/>
          <w:lang w:val="en-US" w:eastAsia="zh-CN" w:bidi="ar"/>
        </w:rPr>
        <w:t xml:space="preserve"> </w:t>
      </w:r>
      <w:r>
        <w:rPr>
          <w:rFonts w:hint="eastAsia" w:ascii="宋体" w:hAnsi="宋体" w:cs="宋体"/>
          <w:bCs/>
          <w:color w:val="auto"/>
          <w:sz w:val="24"/>
          <w:highlight w:val="none"/>
          <w:lang w:bidi="ar"/>
        </w:rPr>
        <w:t>）及安全B证</w:t>
      </w:r>
      <w:r>
        <w:rPr>
          <w:rFonts w:hint="eastAsia" w:ascii="宋体" w:hAnsi="宋体" w:eastAsia="宋体" w:cs="宋体"/>
          <w:b w:val="0"/>
          <w:bCs/>
          <w:color w:val="auto"/>
          <w:sz w:val="24"/>
          <w:szCs w:val="24"/>
          <w:highlight w:val="none"/>
          <w:lang w:val="en-US" w:eastAsia="zh-CN"/>
        </w:rPr>
        <w:t>；</w:t>
      </w:r>
      <w:r>
        <w:rPr>
          <w:rFonts w:hint="eastAsia" w:ascii="宋体" w:hAnsi="宋体" w:eastAsia="宋体" w:cs="宋体"/>
          <w:b w:val="0"/>
          <w:bCs/>
          <w:color w:val="auto"/>
          <w:sz w:val="24"/>
          <w:szCs w:val="24"/>
          <w:highlight w:val="none"/>
          <w:lang w:val="zh-CN" w:eastAsia="zh-CN"/>
        </w:rPr>
        <w:t>磋商供应商拟派项目负责人无在建工程承诺书；</w:t>
      </w:r>
    </w:p>
    <w:p w14:paraId="078B7825">
      <w:pPr>
        <w:keepNext w:val="0"/>
        <w:keepLines w:val="0"/>
        <w:pageBreakBefore w:val="0"/>
        <w:widowControl/>
        <w:tabs>
          <w:tab w:val="left" w:pos="0"/>
          <w:tab w:val="left" w:pos="993"/>
          <w:tab w:val="left" w:pos="1134"/>
        </w:tabs>
        <w:spacing w:line="360" w:lineRule="auto"/>
        <w:ind w:firstLine="480"/>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（7）</w:t>
      </w:r>
      <w:r>
        <w:rPr>
          <w:rFonts w:hint="eastAsia" w:ascii="宋体" w:hAnsi="宋体" w:cs="宋体"/>
          <w:bCs/>
          <w:color w:val="auto"/>
          <w:sz w:val="24"/>
          <w:highlight w:val="none"/>
          <w:lang w:bidi="ar"/>
        </w:rPr>
        <w:t>拟派授权委托人</w:t>
      </w:r>
      <w:r>
        <w:rPr>
          <w:rFonts w:hint="eastAsia" w:ascii="宋体" w:hAnsi="宋体" w:cs="宋体"/>
          <w:bCs/>
          <w:color w:val="auto"/>
          <w:sz w:val="24"/>
          <w:highlight w:val="none"/>
          <w:lang w:eastAsia="zh-CN" w:bidi="ar"/>
        </w:rPr>
        <w:t>、</w:t>
      </w:r>
      <w:r>
        <w:rPr>
          <w:rFonts w:hint="eastAsia" w:ascii="宋体" w:hAnsi="宋体" w:cs="宋体"/>
          <w:bCs/>
          <w:color w:val="auto"/>
          <w:sz w:val="24"/>
          <w:highlight w:val="none"/>
          <w:lang w:val="en-US" w:eastAsia="zh-CN" w:bidi="ar"/>
        </w:rPr>
        <w:t>拟派</w:t>
      </w:r>
      <w:r>
        <w:rPr>
          <w:rFonts w:hint="eastAsia" w:ascii="宋体" w:hAnsi="宋体" w:cs="宋体"/>
          <w:bCs/>
          <w:color w:val="auto"/>
          <w:sz w:val="24"/>
          <w:highlight w:val="none"/>
          <w:lang w:bidi="ar"/>
        </w:rPr>
        <w:t>项目负责人和企业签订的有效劳动合同，投标企业所在地社保机构出具的由企业为授权委托人</w:t>
      </w:r>
      <w:r>
        <w:rPr>
          <w:rFonts w:hint="eastAsia" w:ascii="宋体" w:hAnsi="宋体" w:cs="宋体"/>
          <w:bCs/>
          <w:color w:val="auto"/>
          <w:sz w:val="24"/>
          <w:highlight w:val="none"/>
          <w:lang w:eastAsia="zh-CN" w:bidi="ar"/>
        </w:rPr>
        <w:t>、</w:t>
      </w:r>
      <w:r>
        <w:rPr>
          <w:rFonts w:hint="eastAsia" w:ascii="宋体" w:hAnsi="宋体" w:cs="宋体"/>
          <w:bCs/>
          <w:color w:val="auto"/>
          <w:sz w:val="24"/>
          <w:highlight w:val="none"/>
          <w:lang w:bidi="ar"/>
        </w:rPr>
        <w:t>拟派项目负责人缴纳的</w:t>
      </w:r>
      <w:r>
        <w:rPr>
          <w:rFonts w:hint="eastAsia" w:ascii="宋体" w:hAnsi="宋体" w:cs="宋体"/>
          <w:bCs/>
          <w:color w:val="auto"/>
          <w:sz w:val="24"/>
          <w:highlight w:val="none"/>
        </w:rPr>
        <w:t>投标截止时间前三个月（不含投标截止时间当月）中至少一个月的养老保险缴纳证明材料</w:t>
      </w:r>
      <w:r>
        <w:rPr>
          <w:rFonts w:hint="eastAsia" w:ascii="宋体" w:hAnsi="宋体" w:eastAsia="宋体" w:cs="宋体"/>
          <w:b w:val="0"/>
          <w:bCs/>
          <w:color w:val="auto"/>
          <w:sz w:val="24"/>
          <w:szCs w:val="24"/>
          <w:highlight w:val="none"/>
          <w:lang w:val="en-US" w:eastAsia="zh-CN"/>
        </w:rPr>
        <w:t>；（注 ：委托代理人为法定代表人的，无需提供养老保险缴费证明）</w:t>
      </w:r>
    </w:p>
    <w:p w14:paraId="34FE3506">
      <w:pPr>
        <w:keepNext w:val="0"/>
        <w:keepLines w:val="0"/>
        <w:pageBreakBefore w:val="0"/>
        <w:widowControl/>
        <w:tabs>
          <w:tab w:val="left" w:pos="0"/>
          <w:tab w:val="left" w:pos="993"/>
          <w:tab w:val="left" w:pos="1134"/>
        </w:tabs>
        <w:spacing w:line="360" w:lineRule="auto"/>
        <w:ind w:firstLine="480"/>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（8）供应商提供</w:t>
      </w:r>
      <w:r>
        <w:rPr>
          <w:rFonts w:hint="eastAsia" w:ascii="宋体" w:hAnsi="宋体" w:cs="宋体"/>
          <w:bCs/>
          <w:color w:val="auto"/>
          <w:sz w:val="24"/>
          <w:highlight w:val="none"/>
          <w:lang w:val="en-US" w:eastAsia="zh-CN" w:bidi="ar"/>
        </w:rPr>
        <w:t>2025年度</w:t>
      </w:r>
      <w:r>
        <w:rPr>
          <w:rFonts w:hint="eastAsia" w:ascii="宋体" w:hAnsi="宋体" w:cs="宋体"/>
          <w:bCs/>
          <w:color w:val="auto"/>
          <w:sz w:val="24"/>
          <w:highlight w:val="none"/>
          <w:lang w:eastAsia="zh-CN" w:bidi="ar"/>
        </w:rPr>
        <w:t>由会计师事务所（或者审计机构）出具的完整的财务报告</w:t>
      </w:r>
      <w:r>
        <w:rPr>
          <w:rFonts w:hint="eastAsia" w:ascii="宋体" w:hAnsi="宋体" w:cs="宋体"/>
          <w:bCs/>
          <w:color w:val="auto"/>
          <w:sz w:val="24"/>
          <w:highlight w:val="none"/>
          <w:lang w:bidi="ar"/>
        </w:rPr>
        <w:t>或投标截止时间前三个月（不含投标截止时间当月）中至少一个月</w:t>
      </w:r>
      <w:r>
        <w:rPr>
          <w:rFonts w:hint="eastAsia" w:ascii="宋体" w:hAnsi="宋体" w:cs="宋体"/>
          <w:bCs/>
          <w:color w:val="auto"/>
          <w:sz w:val="24"/>
          <w:highlight w:val="none"/>
          <w:lang w:eastAsia="zh-CN" w:bidi="ar"/>
        </w:rPr>
        <w:t>的银行</w:t>
      </w:r>
      <w:r>
        <w:rPr>
          <w:rFonts w:hint="eastAsia" w:ascii="宋体" w:hAnsi="宋体" w:cs="宋体"/>
          <w:bCs/>
          <w:color w:val="auto"/>
          <w:sz w:val="24"/>
          <w:highlight w:val="none"/>
          <w:lang w:bidi="ar"/>
        </w:rPr>
        <w:t>资信证明</w:t>
      </w:r>
      <w:r>
        <w:rPr>
          <w:rFonts w:hint="eastAsia" w:ascii="宋体" w:hAnsi="宋体" w:eastAsia="宋体" w:cs="宋体"/>
          <w:color w:val="auto"/>
          <w:sz w:val="24"/>
          <w:szCs w:val="24"/>
          <w:highlight w:val="none"/>
        </w:rPr>
        <w:t>（成立不满一年无需提供）</w:t>
      </w:r>
      <w:r>
        <w:rPr>
          <w:rFonts w:hint="eastAsia" w:ascii="宋体" w:hAnsi="宋体" w:cs="宋体"/>
          <w:b w:val="0"/>
          <w:bCs/>
          <w:color w:val="auto"/>
          <w:sz w:val="24"/>
          <w:szCs w:val="24"/>
          <w:highlight w:val="none"/>
          <w:lang w:val="en-US" w:eastAsia="zh-CN"/>
        </w:rPr>
        <w:t>；</w:t>
      </w:r>
    </w:p>
    <w:p w14:paraId="15EA60A0">
      <w:pPr>
        <w:keepNext w:val="0"/>
        <w:keepLines w:val="0"/>
        <w:pageBreakBefore w:val="0"/>
        <w:widowControl/>
        <w:tabs>
          <w:tab w:val="left" w:pos="0"/>
          <w:tab w:val="left" w:pos="993"/>
          <w:tab w:val="left" w:pos="1134"/>
        </w:tabs>
        <w:spacing w:line="360" w:lineRule="auto"/>
        <w:ind w:firstLine="480"/>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9）投标人有依法缴纳税收和社会保障资金的良好记录：投标人依法缴纳近一年内任意一个月税收的相关凭证的复印件，及投标人依法缴纳近一年内任意一个月社会保险的相关凭证（社会保险的凭据（专用收据或社会保险缴纳清单）），依法免税或不需要缴纳社会保障资金的投标人，应提供相应文件证明其依法免税或不需要缴纳社会保障资金；</w:t>
      </w:r>
    </w:p>
    <w:p w14:paraId="36E60810">
      <w:pPr>
        <w:keepNext w:val="0"/>
        <w:keepLines w:val="0"/>
        <w:pageBreakBefore w:val="0"/>
        <w:widowControl/>
        <w:tabs>
          <w:tab w:val="left" w:pos="0"/>
          <w:tab w:val="left" w:pos="993"/>
          <w:tab w:val="left" w:pos="1134"/>
        </w:tabs>
        <w:spacing w:line="360" w:lineRule="auto"/>
        <w:ind w:firstLine="480"/>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（10）具备履行合同所必需的设备和专业技术能力的书面声明</w:t>
      </w:r>
      <w:r>
        <w:rPr>
          <w:rFonts w:hint="eastAsia" w:ascii="宋体" w:hAnsi="宋体" w:cs="宋体"/>
          <w:color w:val="auto"/>
          <w:sz w:val="24"/>
          <w:highlight w:val="none"/>
          <w:lang w:val="zh-CN"/>
        </w:rPr>
        <w:t>（格式见附件）</w:t>
      </w:r>
      <w:r>
        <w:rPr>
          <w:rFonts w:hint="eastAsia" w:ascii="宋体" w:hAnsi="宋体" w:eastAsia="宋体" w:cs="宋体"/>
          <w:b w:val="0"/>
          <w:bCs/>
          <w:color w:val="auto"/>
          <w:sz w:val="24"/>
          <w:szCs w:val="24"/>
          <w:highlight w:val="none"/>
          <w:lang w:val="en-US" w:eastAsia="zh-CN"/>
        </w:rPr>
        <w:t>；</w:t>
      </w:r>
    </w:p>
    <w:p w14:paraId="34611222">
      <w:pPr>
        <w:keepNext w:val="0"/>
        <w:keepLines w:val="0"/>
        <w:pageBreakBefore w:val="0"/>
        <w:widowControl/>
        <w:tabs>
          <w:tab w:val="left" w:pos="0"/>
          <w:tab w:val="left" w:pos="993"/>
          <w:tab w:val="left" w:pos="1134"/>
        </w:tabs>
        <w:spacing w:line="360" w:lineRule="auto"/>
        <w:ind w:firstLine="480"/>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（11）参加政府采购活动前 3 年内在经营活动中没有重大违法记录的书面声明</w:t>
      </w:r>
      <w:r>
        <w:rPr>
          <w:rFonts w:hint="eastAsia" w:ascii="宋体" w:hAnsi="宋体" w:cs="宋体"/>
          <w:color w:val="auto"/>
          <w:sz w:val="24"/>
          <w:highlight w:val="none"/>
          <w:lang w:val="zh-CN"/>
        </w:rPr>
        <w:t>（格</w:t>
      </w:r>
      <w:r>
        <w:rPr>
          <w:rFonts w:hint="eastAsia" w:ascii="宋体" w:hAnsi="宋体" w:eastAsia="宋体" w:cs="宋体"/>
          <w:b w:val="0"/>
          <w:bCs/>
          <w:color w:val="auto"/>
          <w:sz w:val="24"/>
          <w:szCs w:val="24"/>
          <w:highlight w:val="none"/>
          <w:lang w:val="zh-CN" w:eastAsia="zh-CN"/>
        </w:rPr>
        <w:t>式见附件）</w:t>
      </w:r>
      <w:r>
        <w:rPr>
          <w:rFonts w:hint="eastAsia" w:ascii="宋体" w:hAnsi="宋体" w:eastAsia="宋体" w:cs="宋体"/>
          <w:b w:val="0"/>
          <w:bCs/>
          <w:color w:val="auto"/>
          <w:sz w:val="24"/>
          <w:szCs w:val="24"/>
          <w:highlight w:val="none"/>
          <w:lang w:val="en-US" w:eastAsia="zh-CN"/>
        </w:rPr>
        <w:t>；</w:t>
      </w:r>
    </w:p>
    <w:p w14:paraId="1E2A6C07">
      <w:pPr>
        <w:keepNext w:val="0"/>
        <w:keepLines w:val="0"/>
        <w:pageBreakBefore w:val="0"/>
        <w:widowControl/>
        <w:tabs>
          <w:tab w:val="left" w:pos="0"/>
          <w:tab w:val="left" w:pos="993"/>
          <w:tab w:val="left" w:pos="1134"/>
        </w:tabs>
        <w:spacing w:line="360" w:lineRule="auto"/>
        <w:ind w:firstLine="480"/>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（12）供应商信用承诺书；（格式见附件）</w:t>
      </w:r>
    </w:p>
    <w:p w14:paraId="66A02820">
      <w:pPr>
        <w:keepNext w:val="0"/>
        <w:keepLines w:val="0"/>
        <w:pageBreakBefore w:val="0"/>
        <w:widowControl/>
        <w:tabs>
          <w:tab w:val="left" w:pos="0"/>
          <w:tab w:val="left" w:pos="993"/>
          <w:tab w:val="left" w:pos="1134"/>
        </w:tabs>
        <w:spacing w:line="360" w:lineRule="auto"/>
        <w:ind w:firstLine="480"/>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（13）其他证明材料（本项目专门面向中小企业采购）</w:t>
      </w:r>
    </w:p>
    <w:p w14:paraId="350D6131">
      <w:pPr>
        <w:keepNext w:val="0"/>
        <w:keepLines w:val="0"/>
        <w:pageBreakBefore w:val="0"/>
        <w:widowControl/>
        <w:tabs>
          <w:tab w:val="left" w:pos="0"/>
          <w:tab w:val="left" w:pos="993"/>
          <w:tab w:val="left" w:pos="1134"/>
        </w:tabs>
        <w:spacing w:line="360" w:lineRule="auto"/>
        <w:ind w:firstLine="480"/>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（1）中小企业声明函；</w:t>
      </w:r>
    </w:p>
    <w:p w14:paraId="058E6E15">
      <w:pPr>
        <w:keepNext w:val="0"/>
        <w:keepLines w:val="0"/>
        <w:pageBreakBefore w:val="0"/>
        <w:widowControl/>
        <w:tabs>
          <w:tab w:val="left" w:pos="0"/>
          <w:tab w:val="left" w:pos="993"/>
          <w:tab w:val="left" w:pos="1134"/>
        </w:tabs>
        <w:spacing w:line="360" w:lineRule="auto"/>
        <w:ind w:firstLine="480"/>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（2）监狱企业证明函（如符合监狱企业的需提供）；</w:t>
      </w:r>
    </w:p>
    <w:p w14:paraId="68BA7C17">
      <w:pPr>
        <w:keepNext w:val="0"/>
        <w:keepLines w:val="0"/>
        <w:pageBreakBefore w:val="0"/>
        <w:widowControl/>
        <w:tabs>
          <w:tab w:val="left" w:pos="0"/>
          <w:tab w:val="left" w:pos="993"/>
          <w:tab w:val="left" w:pos="1134"/>
        </w:tabs>
        <w:spacing w:line="360" w:lineRule="auto"/>
        <w:ind w:firstLine="480"/>
        <w:rPr>
          <w:color w:val="auto"/>
          <w:highlight w:val="none"/>
          <w:lang w:val="en-US" w:eastAsia="zh-CN"/>
        </w:rPr>
      </w:pPr>
      <w:r>
        <w:rPr>
          <w:rFonts w:hint="eastAsia" w:ascii="宋体" w:hAnsi="宋体" w:eastAsia="宋体" w:cs="宋体"/>
          <w:b w:val="0"/>
          <w:bCs/>
          <w:color w:val="auto"/>
          <w:sz w:val="24"/>
          <w:szCs w:val="24"/>
          <w:highlight w:val="none"/>
          <w:lang w:val="en-US" w:eastAsia="zh-CN"/>
        </w:rPr>
        <w:t>（3）残疾人福利性单位声明函（如符合残疾人福利性单位的需提供）；</w:t>
      </w:r>
    </w:p>
    <w:p w14:paraId="645CFF45">
      <w:pPr>
        <w:keepNext w:val="0"/>
        <w:keepLines w:val="0"/>
        <w:pageBreakBefore w:val="0"/>
        <w:widowControl/>
        <w:tabs>
          <w:tab w:val="left" w:pos="0"/>
          <w:tab w:val="left" w:pos="993"/>
          <w:tab w:val="left" w:pos="1134"/>
        </w:tabs>
        <w:spacing w:line="360" w:lineRule="auto"/>
        <w:ind w:firstLine="480"/>
        <w:rPr>
          <w:rFonts w:hint="eastAsia" w:ascii="宋体" w:hAnsi="宋体" w:eastAsia="宋体" w:cs="宋体"/>
          <w:b w:val="0"/>
          <w:bCs/>
          <w:color w:val="auto"/>
          <w:sz w:val="24"/>
          <w:szCs w:val="24"/>
          <w:highlight w:val="none"/>
          <w:lang w:val="zh-CN" w:eastAsia="zh-CN"/>
        </w:rPr>
      </w:pPr>
      <w:r>
        <w:rPr>
          <w:rFonts w:hint="eastAsia" w:ascii="宋体" w:hAnsi="宋体" w:eastAsia="宋体" w:cs="宋体"/>
          <w:b w:val="0"/>
          <w:bCs/>
          <w:color w:val="auto"/>
          <w:sz w:val="24"/>
          <w:szCs w:val="24"/>
          <w:highlight w:val="none"/>
          <w:lang w:val="en-US" w:eastAsia="zh-CN"/>
        </w:rPr>
        <w:t>（1</w:t>
      </w:r>
      <w:r>
        <w:rPr>
          <w:rFonts w:hint="eastAsia" w:ascii="宋体" w:hAnsi="宋体" w:cs="宋体"/>
          <w:b w:val="0"/>
          <w:bCs/>
          <w:color w:val="auto"/>
          <w:sz w:val="24"/>
          <w:szCs w:val="24"/>
          <w:highlight w:val="none"/>
          <w:lang w:val="en-US" w:eastAsia="zh-CN"/>
        </w:rPr>
        <w:t>4</w:t>
      </w:r>
      <w:r>
        <w:rPr>
          <w:rFonts w:hint="eastAsia" w:ascii="宋体" w:hAnsi="宋体" w:eastAsia="宋体" w:cs="宋体"/>
          <w:b w:val="0"/>
          <w:bCs/>
          <w:color w:val="auto"/>
          <w:sz w:val="24"/>
          <w:szCs w:val="24"/>
          <w:highlight w:val="none"/>
          <w:lang w:val="en-US" w:eastAsia="zh-CN"/>
        </w:rPr>
        <w:t>）</w:t>
      </w:r>
      <w:r>
        <w:rPr>
          <w:rFonts w:hint="eastAsia" w:ascii="宋体" w:hAnsi="宋体" w:eastAsia="宋体" w:cs="宋体"/>
          <w:b w:val="0"/>
          <w:bCs/>
          <w:color w:val="auto"/>
          <w:sz w:val="24"/>
          <w:szCs w:val="24"/>
          <w:highlight w:val="none"/>
          <w:lang w:val="zh-CN" w:eastAsia="zh-CN"/>
        </w:rPr>
        <w:t>磋商响应函；（格式见附件）；</w:t>
      </w:r>
    </w:p>
    <w:p w14:paraId="62759030">
      <w:pPr>
        <w:keepNext w:val="0"/>
        <w:keepLines w:val="0"/>
        <w:pageBreakBefore w:val="0"/>
        <w:widowControl/>
        <w:tabs>
          <w:tab w:val="left" w:pos="0"/>
          <w:tab w:val="left" w:pos="993"/>
          <w:tab w:val="left" w:pos="1134"/>
        </w:tabs>
        <w:spacing w:line="360" w:lineRule="auto"/>
        <w:ind w:firstLine="480"/>
        <w:rPr>
          <w:rFonts w:hint="eastAsia" w:ascii="宋体" w:hAnsi="宋体" w:eastAsia="宋体" w:cs="宋体"/>
          <w:b w:val="0"/>
          <w:bCs/>
          <w:color w:val="auto"/>
          <w:sz w:val="24"/>
          <w:szCs w:val="24"/>
          <w:highlight w:val="none"/>
          <w:lang w:val="zh-CN" w:eastAsia="zh-CN"/>
        </w:rPr>
      </w:pPr>
      <w:r>
        <w:rPr>
          <w:rFonts w:hint="eastAsia" w:ascii="宋体" w:hAnsi="宋体" w:eastAsia="宋体" w:cs="宋体"/>
          <w:b w:val="0"/>
          <w:bCs/>
          <w:color w:val="auto"/>
          <w:sz w:val="24"/>
          <w:szCs w:val="24"/>
          <w:highlight w:val="none"/>
          <w:lang w:val="en-US" w:eastAsia="zh-CN"/>
        </w:rPr>
        <w:t>（1</w:t>
      </w:r>
      <w:r>
        <w:rPr>
          <w:rFonts w:hint="eastAsia" w:ascii="宋体" w:hAnsi="宋体" w:cs="宋体"/>
          <w:b w:val="0"/>
          <w:bCs/>
          <w:color w:val="auto"/>
          <w:sz w:val="24"/>
          <w:szCs w:val="24"/>
          <w:highlight w:val="none"/>
          <w:lang w:val="en-US" w:eastAsia="zh-CN"/>
        </w:rPr>
        <w:t>5</w:t>
      </w:r>
      <w:r>
        <w:rPr>
          <w:rFonts w:hint="eastAsia" w:ascii="宋体" w:hAnsi="宋体" w:eastAsia="宋体" w:cs="宋体"/>
          <w:b w:val="0"/>
          <w:bCs/>
          <w:color w:val="auto"/>
          <w:sz w:val="24"/>
          <w:szCs w:val="24"/>
          <w:highlight w:val="none"/>
          <w:lang w:val="en-US" w:eastAsia="zh-CN"/>
        </w:rPr>
        <w:t>）</w:t>
      </w:r>
      <w:r>
        <w:rPr>
          <w:rFonts w:hint="eastAsia" w:ascii="宋体" w:hAnsi="宋体" w:eastAsia="宋体" w:cs="宋体"/>
          <w:b w:val="0"/>
          <w:bCs/>
          <w:color w:val="auto"/>
          <w:sz w:val="24"/>
          <w:szCs w:val="24"/>
          <w:highlight w:val="none"/>
          <w:lang w:val="zh-CN" w:eastAsia="zh-CN"/>
        </w:rPr>
        <w:t>供应商情况一览表；（格式见附件）；</w:t>
      </w:r>
    </w:p>
    <w:p w14:paraId="5052253B">
      <w:pPr>
        <w:pageBreakBefore w:val="0"/>
        <w:widowControl/>
        <w:tabs>
          <w:tab w:val="left" w:pos="0"/>
          <w:tab w:val="left" w:pos="993"/>
          <w:tab w:val="left" w:pos="1134"/>
        </w:tabs>
        <w:spacing w:line="360" w:lineRule="auto"/>
        <w:ind w:firstLine="480"/>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（1</w:t>
      </w:r>
      <w:r>
        <w:rPr>
          <w:rFonts w:hint="eastAsia" w:ascii="宋体" w:hAnsi="宋体" w:cs="宋体"/>
          <w:b w:val="0"/>
          <w:bCs/>
          <w:color w:val="auto"/>
          <w:sz w:val="24"/>
          <w:szCs w:val="24"/>
          <w:highlight w:val="none"/>
          <w:lang w:val="en-US" w:eastAsia="zh-CN"/>
        </w:rPr>
        <w:t>6</w:t>
      </w:r>
      <w:r>
        <w:rPr>
          <w:rFonts w:hint="eastAsia" w:ascii="宋体" w:hAnsi="宋体" w:eastAsia="宋体" w:cs="宋体"/>
          <w:b w:val="0"/>
          <w:bCs/>
          <w:color w:val="auto"/>
          <w:sz w:val="24"/>
          <w:szCs w:val="24"/>
          <w:highlight w:val="none"/>
          <w:lang w:val="en-US" w:eastAsia="zh-CN"/>
        </w:rPr>
        <w:t>）投标人认为其他必要的材料</w:t>
      </w:r>
      <w:r>
        <w:rPr>
          <w:rFonts w:hint="eastAsia" w:ascii="宋体" w:hAnsi="宋体" w:cs="宋体"/>
          <w:b w:val="0"/>
          <w:bCs/>
          <w:color w:val="auto"/>
          <w:sz w:val="24"/>
          <w:szCs w:val="24"/>
          <w:highlight w:val="none"/>
          <w:lang w:val="en-US" w:eastAsia="zh-CN"/>
        </w:rPr>
        <w:t>。</w:t>
      </w:r>
    </w:p>
    <w:p w14:paraId="0A713D82">
      <w:pPr>
        <w:pageBreakBefore w:val="0"/>
        <w:widowControl/>
        <w:tabs>
          <w:tab w:val="left" w:pos="0"/>
          <w:tab w:val="left" w:pos="993"/>
          <w:tab w:val="left" w:pos="1134"/>
        </w:tabs>
        <w:spacing w:line="360" w:lineRule="auto"/>
        <w:ind w:firstLine="480"/>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上述（1）—（16）中</w:t>
      </w:r>
      <w:r>
        <w:rPr>
          <w:rFonts w:hint="eastAsia" w:ascii="宋体" w:hAnsi="宋体" w:cs="宋体"/>
          <w:b w:val="0"/>
          <w:bCs/>
          <w:color w:val="auto"/>
          <w:sz w:val="24"/>
          <w:szCs w:val="24"/>
          <w:highlight w:val="none"/>
          <w:lang w:val="en-US" w:eastAsia="zh-CN"/>
        </w:rPr>
        <w:t>，</w:t>
      </w:r>
      <w:r>
        <w:rPr>
          <w:rFonts w:hint="eastAsia" w:ascii="宋体" w:hAnsi="宋体" w:eastAsia="宋体" w:cs="宋体"/>
          <w:b w:val="0"/>
          <w:bCs/>
          <w:color w:val="auto"/>
          <w:sz w:val="24"/>
          <w:szCs w:val="24"/>
          <w:highlight w:val="none"/>
          <w:lang w:val="en-US" w:eastAsia="zh-CN"/>
        </w:rPr>
        <w:t>供应商资格不合格的，其响应文件判定为无效投标文件。</w:t>
      </w:r>
    </w:p>
    <w:p w14:paraId="11B07272">
      <w:pPr>
        <w:pageBreakBefore w:val="0"/>
        <w:widowControl/>
        <w:tabs>
          <w:tab w:val="left" w:pos="0"/>
          <w:tab w:val="left" w:pos="993"/>
          <w:tab w:val="left" w:pos="1134"/>
        </w:tabs>
        <w:spacing w:line="360" w:lineRule="auto"/>
        <w:ind w:firstLine="482"/>
        <w:rPr>
          <w:rFonts w:hint="eastAsia" w:ascii="宋体" w:hAnsi="宋体" w:eastAsia="宋体" w:cs="宋体"/>
          <w:b/>
          <w:bCs w:val="0"/>
          <w:color w:val="auto"/>
          <w:sz w:val="24"/>
          <w:szCs w:val="24"/>
          <w:highlight w:val="none"/>
          <w:lang w:val="zh-CN" w:eastAsia="zh-CN"/>
        </w:rPr>
      </w:pPr>
      <w:r>
        <w:rPr>
          <w:rFonts w:hint="eastAsia" w:ascii="宋体" w:hAnsi="宋体" w:eastAsia="宋体" w:cs="宋体"/>
          <w:b/>
          <w:bCs w:val="0"/>
          <w:color w:val="auto"/>
          <w:sz w:val="24"/>
          <w:szCs w:val="24"/>
          <w:highlight w:val="none"/>
          <w:lang w:val="zh-CN" w:eastAsia="zh-CN"/>
        </w:rPr>
        <w:t>（二）磋商小组对符合资格供应商的响应文件进行符合性审查。</w:t>
      </w:r>
    </w:p>
    <w:p w14:paraId="25AD72BE">
      <w:pPr>
        <w:pageBreakBefore w:val="0"/>
        <w:widowControl/>
        <w:tabs>
          <w:tab w:val="left" w:pos="0"/>
          <w:tab w:val="left" w:pos="993"/>
          <w:tab w:val="left" w:pos="1134"/>
        </w:tabs>
        <w:spacing w:line="360" w:lineRule="auto"/>
        <w:ind w:firstLine="480"/>
        <w:rPr>
          <w:rFonts w:hint="eastAsia" w:ascii="宋体" w:hAnsi="宋体" w:eastAsia="宋体" w:cs="宋体"/>
          <w:b/>
          <w:bCs/>
          <w:color w:val="auto"/>
          <w:sz w:val="24"/>
          <w:szCs w:val="24"/>
          <w:highlight w:val="none"/>
          <w:lang w:val="zh-CN"/>
        </w:rPr>
      </w:pPr>
      <w:r>
        <w:rPr>
          <w:rFonts w:hint="eastAsia" w:ascii="宋体" w:hAnsi="宋体" w:eastAsia="宋体" w:cs="宋体"/>
          <w:b w:val="0"/>
          <w:bCs/>
          <w:color w:val="auto"/>
          <w:sz w:val="24"/>
          <w:szCs w:val="24"/>
          <w:highlight w:val="none"/>
          <w:lang w:val="zh-CN" w:eastAsia="zh-CN"/>
        </w:rPr>
        <w:t>未通过符合性审查的投标文件，将被判为不满足招标文件实质性要求。</w:t>
      </w:r>
    </w:p>
    <w:p w14:paraId="5B872342">
      <w:pPr>
        <w:pageBreakBefore w:val="0"/>
        <w:spacing w:line="360" w:lineRule="auto"/>
        <w:ind w:firstLine="482"/>
        <w:rPr>
          <w:rFonts w:hint="eastAsia" w:ascii="宋体" w:hAnsi="宋体" w:cs="宋体"/>
          <w:b/>
          <w:color w:val="auto"/>
          <w:sz w:val="24"/>
          <w:highlight w:val="none"/>
        </w:rPr>
      </w:pPr>
      <w:r>
        <w:rPr>
          <w:rFonts w:hint="eastAsia" w:ascii="宋体" w:hAnsi="宋体" w:cs="宋体"/>
          <w:b/>
          <w:color w:val="auto"/>
          <w:sz w:val="24"/>
          <w:highlight w:val="none"/>
          <w:lang w:eastAsia="zh-CN"/>
        </w:rPr>
        <w:t>（三）</w:t>
      </w:r>
      <w:r>
        <w:rPr>
          <w:rFonts w:hint="eastAsia" w:ascii="宋体" w:hAnsi="宋体" w:cs="宋体"/>
          <w:b/>
          <w:color w:val="auto"/>
          <w:sz w:val="24"/>
          <w:highlight w:val="none"/>
        </w:rPr>
        <w:t>商务技术标及</w:t>
      </w:r>
      <w:r>
        <w:rPr>
          <w:rFonts w:hint="eastAsia" w:ascii="宋体" w:hAnsi="宋体" w:cs="宋体"/>
          <w:b/>
          <w:color w:val="auto"/>
          <w:sz w:val="24"/>
          <w:highlight w:val="none"/>
          <w:lang w:val="en-US" w:eastAsia="zh-CN"/>
        </w:rPr>
        <w:t>价格</w:t>
      </w:r>
      <w:r>
        <w:rPr>
          <w:rFonts w:hint="eastAsia" w:ascii="宋体" w:hAnsi="宋体" w:cs="宋体"/>
          <w:b/>
          <w:color w:val="auto"/>
          <w:sz w:val="24"/>
          <w:highlight w:val="none"/>
        </w:rPr>
        <w:t>标评审标准（100分）</w:t>
      </w:r>
    </w:p>
    <w:p w14:paraId="5AC8A053">
      <w:pPr>
        <w:pageBreakBefore w:val="0"/>
        <w:widowControl/>
        <w:tabs>
          <w:tab w:val="left" w:pos="0"/>
          <w:tab w:val="left" w:pos="993"/>
          <w:tab w:val="left" w:pos="1134"/>
        </w:tabs>
        <w:spacing w:line="360" w:lineRule="auto"/>
        <w:ind w:firstLine="480"/>
        <w:rPr>
          <w:rFonts w:hint="eastAsia" w:ascii="宋体" w:hAnsi="宋体" w:eastAsia="宋体" w:cs="宋体"/>
          <w:b w:val="0"/>
          <w:bCs/>
          <w:color w:val="auto"/>
          <w:sz w:val="24"/>
          <w:szCs w:val="24"/>
          <w:highlight w:val="none"/>
          <w:lang w:val="en-US" w:eastAsia="zh-CN"/>
        </w:rPr>
      </w:pPr>
      <w:r>
        <w:rPr>
          <w:rFonts w:hint="eastAsia" w:ascii="Times New Roman" w:hAnsi="Times New Roman" w:eastAsia="宋体" w:cs="宋体"/>
          <w:color w:val="auto"/>
          <w:sz w:val="24"/>
          <w:szCs w:val="24"/>
          <w:highlight w:val="none"/>
        </w:rPr>
        <w:t>本项目总分值为</w:t>
      </w:r>
      <w:r>
        <w:rPr>
          <w:rFonts w:ascii="Times New Roman" w:hAnsi="Times New Roman" w:eastAsia="宋体" w:cs="Times New Roman"/>
          <w:color w:val="auto"/>
          <w:sz w:val="24"/>
          <w:szCs w:val="24"/>
          <w:highlight w:val="none"/>
        </w:rPr>
        <w:t>100</w:t>
      </w:r>
      <w:r>
        <w:rPr>
          <w:rFonts w:hint="eastAsia" w:ascii="Times New Roman" w:hAnsi="Times New Roman" w:eastAsia="宋体" w:cs="宋体"/>
          <w:color w:val="auto"/>
          <w:sz w:val="24"/>
          <w:szCs w:val="24"/>
          <w:highlight w:val="none"/>
        </w:rPr>
        <w:t>分，其中</w:t>
      </w:r>
      <w:r>
        <w:rPr>
          <w:rFonts w:hint="eastAsia" w:ascii="Times New Roman" w:hAnsi="Times New Roman" w:eastAsia="宋体" w:cs="宋体"/>
          <w:color w:val="auto"/>
          <w:sz w:val="24"/>
          <w:szCs w:val="24"/>
          <w:highlight w:val="none"/>
          <w:lang w:eastAsia="zh-CN"/>
        </w:rPr>
        <w:t>商务</w:t>
      </w:r>
      <w:r>
        <w:rPr>
          <w:rFonts w:hint="eastAsia" w:ascii="Times New Roman" w:hAnsi="Times New Roman" w:eastAsia="宋体" w:cs="宋体"/>
          <w:color w:val="auto"/>
          <w:sz w:val="24"/>
          <w:szCs w:val="24"/>
          <w:highlight w:val="none"/>
        </w:rPr>
        <w:t>技术部分</w:t>
      </w:r>
      <w:r>
        <w:rPr>
          <w:rFonts w:hint="eastAsia" w:ascii="Times New Roman" w:hAnsi="Times New Roman" w:eastAsia="宋体" w:cs="宋体"/>
          <w:color w:val="auto"/>
          <w:sz w:val="24"/>
          <w:szCs w:val="24"/>
          <w:highlight w:val="none"/>
          <w:lang w:val="en-US" w:eastAsia="zh-CN"/>
        </w:rPr>
        <w:t>40</w:t>
      </w:r>
      <w:r>
        <w:rPr>
          <w:rFonts w:hint="eastAsia" w:ascii="Times New Roman" w:hAnsi="Times New Roman" w:eastAsia="宋体" w:cs="宋体"/>
          <w:color w:val="auto"/>
          <w:sz w:val="24"/>
          <w:szCs w:val="24"/>
          <w:highlight w:val="none"/>
        </w:rPr>
        <w:t>分，</w:t>
      </w:r>
      <w:r>
        <w:rPr>
          <w:rFonts w:hint="eastAsia" w:ascii="Times New Roman" w:hAnsi="Times New Roman" w:eastAsia="宋体" w:cs="Times New Roman"/>
          <w:color w:val="auto"/>
          <w:sz w:val="24"/>
          <w:szCs w:val="24"/>
          <w:highlight w:val="none"/>
          <w:lang w:eastAsia="zh-CN"/>
        </w:rPr>
        <w:t>价格</w:t>
      </w:r>
      <w:r>
        <w:rPr>
          <w:rFonts w:hint="eastAsia" w:ascii="Times New Roman" w:hAnsi="Times New Roman" w:eastAsia="宋体" w:cs="Times New Roman"/>
          <w:color w:val="auto"/>
          <w:sz w:val="24"/>
          <w:szCs w:val="24"/>
          <w:highlight w:val="none"/>
        </w:rPr>
        <w:t>部分</w:t>
      </w:r>
      <w:r>
        <w:rPr>
          <w:rFonts w:hint="eastAsia" w:ascii="Times New Roman" w:hAnsi="Times New Roman" w:eastAsia="宋体" w:cs="Times New Roman"/>
          <w:color w:val="auto"/>
          <w:sz w:val="24"/>
          <w:szCs w:val="24"/>
          <w:highlight w:val="none"/>
          <w:lang w:val="en-US" w:eastAsia="zh-CN"/>
        </w:rPr>
        <w:t>60</w:t>
      </w:r>
      <w:r>
        <w:rPr>
          <w:rFonts w:hint="eastAsia" w:ascii="Times New Roman" w:hAnsi="Times New Roman" w:eastAsia="宋体" w:cs="Times New Roman"/>
          <w:color w:val="auto"/>
          <w:sz w:val="24"/>
          <w:szCs w:val="24"/>
          <w:highlight w:val="none"/>
        </w:rPr>
        <w:t>分；</w:t>
      </w:r>
      <w:r>
        <w:rPr>
          <w:rFonts w:hint="eastAsia" w:ascii="Times New Roman" w:hAnsi="Times New Roman" w:eastAsia="宋体" w:cs="宋体"/>
          <w:color w:val="auto"/>
          <w:sz w:val="24"/>
          <w:szCs w:val="24"/>
          <w:highlight w:val="none"/>
        </w:rPr>
        <w:t>投标得分</w:t>
      </w:r>
      <w:r>
        <w:rPr>
          <w:rFonts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lang w:eastAsia="zh-CN"/>
        </w:rPr>
        <w:t>商务</w:t>
      </w:r>
      <w:r>
        <w:rPr>
          <w:rFonts w:hint="eastAsia" w:ascii="Times New Roman" w:hAnsi="Times New Roman" w:eastAsia="宋体" w:cs="宋体"/>
          <w:color w:val="auto"/>
          <w:sz w:val="24"/>
          <w:szCs w:val="24"/>
          <w:highlight w:val="none"/>
        </w:rPr>
        <w:t>技术部分得分+</w:t>
      </w:r>
      <w:r>
        <w:rPr>
          <w:rFonts w:hint="eastAsia" w:ascii="Times New Roman" w:hAnsi="Times New Roman" w:eastAsia="宋体" w:cs="宋体"/>
          <w:color w:val="auto"/>
          <w:sz w:val="24"/>
          <w:szCs w:val="24"/>
          <w:highlight w:val="none"/>
          <w:lang w:eastAsia="zh-CN"/>
        </w:rPr>
        <w:t>价</w:t>
      </w:r>
      <w:r>
        <w:rPr>
          <w:rFonts w:hint="eastAsia" w:ascii="宋体" w:hAnsi="宋体" w:eastAsia="宋体" w:cs="宋体"/>
          <w:b w:val="0"/>
          <w:bCs/>
          <w:color w:val="auto"/>
          <w:sz w:val="24"/>
          <w:szCs w:val="24"/>
          <w:highlight w:val="none"/>
          <w:lang w:val="en-US" w:eastAsia="zh-CN"/>
        </w:rPr>
        <w:t>格部分得分。</w:t>
      </w:r>
      <w:bookmarkStart w:id="757" w:name="_Toc474229428"/>
      <w:bookmarkEnd w:id="757"/>
      <w:bookmarkStart w:id="758" w:name="_Toc12009"/>
      <w:bookmarkEnd w:id="758"/>
      <w:bookmarkStart w:id="759" w:name="_Toc184635088"/>
      <w:bookmarkEnd w:id="759"/>
    </w:p>
    <w:p w14:paraId="1B7FC912">
      <w:pPr>
        <w:pageBreakBefore w:val="0"/>
        <w:widowControl/>
        <w:tabs>
          <w:tab w:val="left" w:pos="0"/>
          <w:tab w:val="left" w:pos="993"/>
          <w:tab w:val="left" w:pos="1134"/>
        </w:tabs>
        <w:spacing w:line="360" w:lineRule="auto"/>
        <w:ind w:firstLine="480"/>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商务技术标部分（40分）</w:t>
      </w:r>
    </w:p>
    <w:tbl>
      <w:tblPr>
        <w:tblStyle w:val="35"/>
        <w:tblW w:w="9306" w:type="dxa"/>
        <w:tblInd w:w="7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46"/>
        <w:gridCol w:w="533"/>
        <w:gridCol w:w="236"/>
        <w:gridCol w:w="769"/>
        <w:gridCol w:w="907"/>
        <w:gridCol w:w="5715"/>
      </w:tblGrid>
      <w:tr w14:paraId="7C877B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1" w:hRule="atLeast"/>
        </w:trPr>
        <w:tc>
          <w:tcPr>
            <w:tcW w:w="1146" w:type="dxa"/>
            <w:tcBorders>
              <w:top w:val="single" w:color="auto" w:sz="6" w:space="0"/>
              <w:left w:val="single" w:color="auto" w:sz="6" w:space="0"/>
              <w:bottom w:val="single" w:color="auto" w:sz="4" w:space="0"/>
              <w:right w:val="single" w:color="auto" w:sz="6" w:space="0"/>
              <w:tl2br w:val="nil"/>
              <w:tr2bl w:val="nil"/>
            </w:tcBorders>
            <w:noWrap w:val="0"/>
            <w:vAlign w:val="top"/>
          </w:tcPr>
          <w:p w14:paraId="3DFD0E4C">
            <w:pPr>
              <w:jc w:val="center"/>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条款号</w:t>
            </w:r>
          </w:p>
        </w:tc>
        <w:tc>
          <w:tcPr>
            <w:tcW w:w="2445" w:type="dxa"/>
            <w:gridSpan w:val="4"/>
            <w:tcBorders>
              <w:top w:val="single" w:color="auto" w:sz="6" w:space="0"/>
              <w:left w:val="single" w:color="auto" w:sz="6" w:space="0"/>
              <w:bottom w:val="single" w:color="auto" w:sz="4" w:space="0"/>
              <w:right w:val="single" w:color="auto" w:sz="6" w:space="0"/>
              <w:tl2br w:val="nil"/>
              <w:tr2bl w:val="nil"/>
            </w:tcBorders>
            <w:noWrap w:val="0"/>
            <w:vAlign w:val="top"/>
          </w:tcPr>
          <w:p w14:paraId="4F2AA7A3">
            <w:pPr>
              <w:jc w:val="center"/>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评分因素</w:t>
            </w:r>
          </w:p>
        </w:tc>
        <w:tc>
          <w:tcPr>
            <w:tcW w:w="5715" w:type="dxa"/>
            <w:tcBorders>
              <w:top w:val="single" w:color="auto" w:sz="6" w:space="0"/>
              <w:left w:val="single" w:color="auto" w:sz="6" w:space="0"/>
              <w:bottom w:val="single" w:color="auto" w:sz="4" w:space="0"/>
              <w:right w:val="single" w:color="auto" w:sz="6" w:space="0"/>
              <w:tl2br w:val="nil"/>
              <w:tr2bl w:val="nil"/>
            </w:tcBorders>
            <w:noWrap w:val="0"/>
            <w:vAlign w:val="top"/>
          </w:tcPr>
          <w:p w14:paraId="4CA3EDB8">
            <w:pPr>
              <w:jc w:val="center"/>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评分标准</w:t>
            </w:r>
          </w:p>
        </w:tc>
      </w:tr>
      <w:tr w14:paraId="234854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9" w:hRule="atLeast"/>
        </w:trPr>
        <w:tc>
          <w:tcPr>
            <w:tcW w:w="1146" w:type="dxa"/>
            <w:vMerge w:val="restart"/>
            <w:tcBorders>
              <w:top w:val="single" w:color="auto" w:sz="4" w:space="0"/>
              <w:left w:val="single" w:color="auto" w:sz="4" w:space="0"/>
              <w:right w:val="single" w:color="auto" w:sz="6" w:space="0"/>
              <w:tl2br w:val="nil"/>
              <w:tr2bl w:val="nil"/>
            </w:tcBorders>
            <w:noWrap w:val="0"/>
            <w:vAlign w:val="center"/>
          </w:tcPr>
          <w:p w14:paraId="1C4FEC39">
            <w:pPr>
              <w:jc w:val="center"/>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技术标评分标准（满分</w:t>
            </w:r>
            <w:r>
              <w:rPr>
                <w:rFonts w:hint="eastAsia" w:ascii="宋体" w:hAnsi="宋体" w:cs="Times New Roman"/>
                <w:color w:val="000000"/>
                <w:sz w:val="24"/>
                <w:szCs w:val="24"/>
                <w:highlight w:val="none"/>
                <w:lang w:val="en-US" w:eastAsia="zh-CN"/>
              </w:rPr>
              <w:t>4</w:t>
            </w:r>
            <w:r>
              <w:rPr>
                <w:rFonts w:hint="eastAsia" w:ascii="宋体" w:hAnsi="宋体" w:eastAsia="宋体" w:cs="Times New Roman"/>
                <w:color w:val="000000"/>
                <w:sz w:val="24"/>
                <w:szCs w:val="24"/>
                <w:highlight w:val="none"/>
                <w:lang w:val="en-US" w:eastAsia="zh-CN"/>
              </w:rPr>
              <w:t>0</w:t>
            </w:r>
            <w:r>
              <w:rPr>
                <w:rFonts w:hint="eastAsia" w:ascii="宋体" w:hAnsi="宋体" w:eastAsia="宋体" w:cs="Times New Roman"/>
                <w:color w:val="000000"/>
                <w:sz w:val="24"/>
                <w:szCs w:val="24"/>
                <w:highlight w:val="none"/>
              </w:rPr>
              <w:t>分）</w:t>
            </w:r>
          </w:p>
        </w:tc>
        <w:tc>
          <w:tcPr>
            <w:tcW w:w="533" w:type="dxa"/>
            <w:tcBorders>
              <w:top w:val="single" w:color="auto" w:sz="4" w:space="0"/>
              <w:left w:val="single" w:color="auto" w:sz="6" w:space="0"/>
              <w:right w:val="single" w:color="auto" w:sz="4" w:space="0"/>
              <w:tl2br w:val="nil"/>
              <w:tr2bl w:val="nil"/>
            </w:tcBorders>
            <w:noWrap w:val="0"/>
            <w:vAlign w:val="center"/>
          </w:tcPr>
          <w:p w14:paraId="484ED970">
            <w:pPr>
              <w:jc w:val="center"/>
              <w:rPr>
                <w:rFonts w:hint="eastAsia" w:ascii="宋体" w:hAnsi="宋体" w:eastAsia="宋体" w:cs="Times New Roman"/>
                <w:color w:val="000000"/>
                <w:sz w:val="24"/>
                <w:szCs w:val="22"/>
                <w:highlight w:val="none"/>
                <w:lang w:val="en-US" w:eastAsia="zh-CN" w:bidi="ar-SA"/>
              </w:rPr>
            </w:pPr>
            <w:r>
              <w:rPr>
                <w:rFonts w:ascii="宋体" w:hAnsi="宋体" w:eastAsia="宋体" w:cs="Times New Roman"/>
                <w:color w:val="000000"/>
                <w:sz w:val="24"/>
                <w:highlight w:val="none"/>
              </w:rPr>
              <w:t>1</w:t>
            </w:r>
          </w:p>
        </w:tc>
        <w:tc>
          <w:tcPr>
            <w:tcW w:w="1912" w:type="dxa"/>
            <w:gridSpan w:val="3"/>
            <w:tcBorders>
              <w:top w:val="single" w:color="auto" w:sz="4" w:space="0"/>
              <w:left w:val="single" w:color="auto" w:sz="4" w:space="0"/>
              <w:right w:val="single" w:color="auto" w:sz="6" w:space="0"/>
              <w:tl2br w:val="nil"/>
              <w:tr2bl w:val="nil"/>
            </w:tcBorders>
            <w:noWrap w:val="0"/>
            <w:vAlign w:val="center"/>
          </w:tcPr>
          <w:p w14:paraId="320F2895">
            <w:pPr>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highlight w:val="none"/>
              </w:rPr>
              <w:t>施工方案与技术措施</w:t>
            </w:r>
          </w:p>
        </w:tc>
        <w:tc>
          <w:tcPr>
            <w:tcW w:w="5715" w:type="dxa"/>
            <w:tcBorders>
              <w:top w:val="single" w:color="auto" w:sz="4" w:space="0"/>
              <w:left w:val="single" w:color="auto" w:sz="6" w:space="0"/>
              <w:bottom w:val="single" w:color="auto" w:sz="6" w:space="0"/>
              <w:right w:val="single" w:color="auto" w:sz="4" w:space="0"/>
              <w:tl2br w:val="nil"/>
              <w:tr2bl w:val="nil"/>
            </w:tcBorders>
            <w:noWrap w:val="0"/>
            <w:vAlign w:val="center"/>
          </w:tcPr>
          <w:p w14:paraId="4770EF01">
            <w:pPr>
              <w:rPr>
                <w:rFonts w:hint="eastAsia" w:ascii="宋体" w:hAnsi="宋体" w:eastAsia="宋体" w:cs="Times New Roman"/>
                <w:color w:val="000000"/>
                <w:sz w:val="24"/>
                <w:szCs w:val="24"/>
                <w:highlight w:val="none"/>
                <w:lang w:eastAsia="zh-CN"/>
              </w:rPr>
            </w:pPr>
            <w:r>
              <w:rPr>
                <w:rFonts w:hint="eastAsia" w:ascii="宋体" w:hAnsi="宋体" w:eastAsia="宋体" w:cs="Times New Roman"/>
                <w:color w:val="000000"/>
                <w:sz w:val="24"/>
                <w:highlight w:val="none"/>
              </w:rPr>
              <w:t>对执行计划、组织实施方案、控制措施、施工现场平面布置等内容进行评分</w:t>
            </w:r>
            <w:r>
              <w:rPr>
                <w:rFonts w:hint="eastAsia" w:ascii="宋体" w:hAnsi="宋体" w:eastAsia="宋体" w:cs="Times New Roman"/>
                <w:color w:val="000000"/>
                <w:sz w:val="24"/>
                <w:highlight w:val="none"/>
                <w:lang w:eastAsia="zh-CN"/>
              </w:rPr>
              <w:t>。</w:t>
            </w:r>
          </w:p>
        </w:tc>
      </w:tr>
      <w:tr w14:paraId="106C22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1146" w:type="dxa"/>
            <w:vMerge w:val="continue"/>
            <w:tcBorders>
              <w:left w:val="single" w:color="auto" w:sz="4" w:space="0"/>
              <w:right w:val="single" w:color="auto" w:sz="6" w:space="0"/>
              <w:tl2br w:val="nil"/>
              <w:tr2bl w:val="nil"/>
            </w:tcBorders>
            <w:noWrap w:val="0"/>
            <w:vAlign w:val="top"/>
          </w:tcPr>
          <w:p w14:paraId="44DB9D53">
            <w:pPr>
              <w:jc w:val="center"/>
              <w:rPr>
                <w:rFonts w:hint="eastAsia" w:ascii="宋体" w:hAnsi="宋体" w:eastAsia="宋体" w:cs="Times New Roman"/>
                <w:color w:val="000000"/>
                <w:sz w:val="24"/>
                <w:szCs w:val="24"/>
                <w:highlight w:val="none"/>
              </w:rPr>
            </w:pPr>
          </w:p>
        </w:tc>
        <w:tc>
          <w:tcPr>
            <w:tcW w:w="533" w:type="dxa"/>
            <w:tcBorders>
              <w:top w:val="single" w:color="auto" w:sz="6" w:space="0"/>
              <w:left w:val="single" w:color="auto" w:sz="6" w:space="0"/>
              <w:bottom w:val="single" w:color="auto" w:sz="6" w:space="0"/>
              <w:right w:val="single" w:color="auto" w:sz="4" w:space="0"/>
              <w:tl2br w:val="nil"/>
              <w:tr2bl w:val="nil"/>
            </w:tcBorders>
            <w:shd w:val="clear" w:color="auto" w:fill="auto"/>
            <w:noWrap w:val="0"/>
            <w:vAlign w:val="center"/>
          </w:tcPr>
          <w:p w14:paraId="58C0EB84">
            <w:pPr>
              <w:jc w:val="center"/>
              <w:rPr>
                <w:rFonts w:hint="eastAsia" w:ascii="宋体" w:hAnsi="宋体" w:eastAsia="宋体" w:cs="Times New Roman"/>
                <w:color w:val="000000"/>
                <w:sz w:val="24"/>
                <w:szCs w:val="22"/>
                <w:highlight w:val="none"/>
                <w:lang w:val="en-US" w:eastAsia="zh-CN" w:bidi="ar-SA"/>
              </w:rPr>
            </w:pPr>
            <w:r>
              <w:rPr>
                <w:rFonts w:ascii="宋体" w:hAnsi="宋体" w:eastAsia="宋体" w:cs="Times New Roman"/>
                <w:color w:val="000000"/>
                <w:sz w:val="24"/>
                <w:highlight w:val="none"/>
              </w:rPr>
              <w:t>2</w:t>
            </w:r>
          </w:p>
        </w:tc>
        <w:tc>
          <w:tcPr>
            <w:tcW w:w="1912" w:type="dxa"/>
            <w:gridSpan w:val="3"/>
            <w:tcBorders>
              <w:top w:val="single" w:color="auto" w:sz="6" w:space="0"/>
              <w:left w:val="single" w:color="auto" w:sz="4" w:space="0"/>
              <w:bottom w:val="single" w:color="auto" w:sz="6" w:space="0"/>
              <w:right w:val="single" w:color="auto" w:sz="6" w:space="0"/>
              <w:tl2br w:val="nil"/>
              <w:tr2bl w:val="nil"/>
            </w:tcBorders>
            <w:noWrap w:val="0"/>
            <w:vAlign w:val="center"/>
          </w:tcPr>
          <w:p w14:paraId="6692FBFF">
            <w:pPr>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highlight w:val="none"/>
              </w:rPr>
              <w:t>施工重点难点解决方案</w:t>
            </w:r>
          </w:p>
        </w:tc>
        <w:tc>
          <w:tcPr>
            <w:tcW w:w="5715" w:type="dxa"/>
            <w:tcBorders>
              <w:top w:val="single" w:color="auto" w:sz="6" w:space="0"/>
              <w:left w:val="single" w:color="auto" w:sz="6" w:space="0"/>
              <w:bottom w:val="single" w:color="auto" w:sz="6" w:space="0"/>
              <w:right w:val="single" w:color="auto" w:sz="4" w:space="0"/>
              <w:tl2br w:val="nil"/>
              <w:tr2bl w:val="nil"/>
            </w:tcBorders>
            <w:noWrap w:val="0"/>
            <w:vAlign w:val="center"/>
          </w:tcPr>
          <w:p w14:paraId="5AD00EEA">
            <w:pPr>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highlight w:val="none"/>
              </w:rPr>
              <w:t>关键施工技术、工艺及工程项目实施重点、难点、解决方案。</w:t>
            </w:r>
          </w:p>
        </w:tc>
      </w:tr>
      <w:tr w14:paraId="18FAC8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1146" w:type="dxa"/>
            <w:vMerge w:val="continue"/>
            <w:tcBorders>
              <w:left w:val="single" w:color="auto" w:sz="4" w:space="0"/>
              <w:right w:val="single" w:color="auto" w:sz="6" w:space="0"/>
              <w:tl2br w:val="nil"/>
              <w:tr2bl w:val="nil"/>
            </w:tcBorders>
            <w:noWrap w:val="0"/>
            <w:vAlign w:val="top"/>
          </w:tcPr>
          <w:p w14:paraId="6B96D500">
            <w:pPr>
              <w:jc w:val="center"/>
              <w:rPr>
                <w:rFonts w:hint="eastAsia" w:ascii="宋体" w:hAnsi="宋体" w:eastAsia="宋体" w:cs="Times New Roman"/>
                <w:color w:val="000000"/>
                <w:sz w:val="24"/>
                <w:szCs w:val="24"/>
                <w:highlight w:val="none"/>
              </w:rPr>
            </w:pPr>
          </w:p>
        </w:tc>
        <w:tc>
          <w:tcPr>
            <w:tcW w:w="533" w:type="dxa"/>
            <w:tcBorders>
              <w:top w:val="single" w:color="auto" w:sz="6" w:space="0"/>
              <w:left w:val="single" w:color="auto" w:sz="6" w:space="0"/>
              <w:bottom w:val="single" w:color="auto" w:sz="6" w:space="0"/>
              <w:right w:val="single" w:color="auto" w:sz="4" w:space="0"/>
              <w:tl2br w:val="nil"/>
              <w:tr2bl w:val="nil"/>
            </w:tcBorders>
            <w:shd w:val="clear" w:color="auto" w:fill="auto"/>
            <w:noWrap w:val="0"/>
            <w:vAlign w:val="center"/>
          </w:tcPr>
          <w:p w14:paraId="29468343">
            <w:pPr>
              <w:jc w:val="center"/>
              <w:rPr>
                <w:rFonts w:hint="eastAsia" w:ascii="宋体" w:hAnsi="宋体" w:eastAsia="宋体" w:cs="Times New Roman"/>
                <w:color w:val="000000"/>
                <w:sz w:val="24"/>
                <w:szCs w:val="22"/>
                <w:highlight w:val="none"/>
                <w:lang w:val="en-US" w:eastAsia="zh-CN" w:bidi="ar-SA"/>
              </w:rPr>
            </w:pPr>
            <w:r>
              <w:rPr>
                <w:rFonts w:ascii="宋体" w:hAnsi="宋体" w:eastAsia="宋体" w:cs="Times New Roman"/>
                <w:color w:val="000000"/>
                <w:sz w:val="24"/>
                <w:highlight w:val="none"/>
              </w:rPr>
              <w:t>3</w:t>
            </w:r>
          </w:p>
        </w:tc>
        <w:tc>
          <w:tcPr>
            <w:tcW w:w="1912" w:type="dxa"/>
            <w:gridSpan w:val="3"/>
            <w:tcBorders>
              <w:top w:val="single" w:color="auto" w:sz="6" w:space="0"/>
              <w:left w:val="single" w:color="auto" w:sz="4" w:space="0"/>
              <w:bottom w:val="single" w:color="auto" w:sz="6" w:space="0"/>
              <w:right w:val="single" w:color="auto" w:sz="6" w:space="0"/>
              <w:tl2br w:val="nil"/>
              <w:tr2bl w:val="nil"/>
            </w:tcBorders>
            <w:noWrap w:val="0"/>
            <w:vAlign w:val="center"/>
          </w:tcPr>
          <w:p w14:paraId="5C42FB87">
            <w:pPr>
              <w:rPr>
                <w:rFonts w:hint="eastAsia" w:ascii="宋体" w:hAnsi="宋体" w:eastAsia="宋体" w:cs="Times New Roman"/>
                <w:color w:val="auto"/>
                <w:sz w:val="24"/>
                <w:szCs w:val="24"/>
                <w:highlight w:val="none"/>
              </w:rPr>
            </w:pPr>
            <w:r>
              <w:rPr>
                <w:rFonts w:hint="eastAsia" w:ascii="宋体" w:hAnsi="宋体" w:eastAsia="宋体" w:cs="Times New Roman"/>
                <w:sz w:val="24"/>
                <w:highlight w:val="none"/>
              </w:rPr>
              <w:t>工程进度计划与措施</w:t>
            </w:r>
          </w:p>
        </w:tc>
        <w:tc>
          <w:tcPr>
            <w:tcW w:w="5715" w:type="dxa"/>
            <w:tcBorders>
              <w:top w:val="single" w:color="auto" w:sz="6" w:space="0"/>
              <w:left w:val="single" w:color="auto" w:sz="6" w:space="0"/>
              <w:bottom w:val="single" w:color="auto" w:sz="6" w:space="0"/>
              <w:right w:val="single" w:color="auto" w:sz="4" w:space="0"/>
              <w:tl2br w:val="nil"/>
              <w:tr2bl w:val="nil"/>
            </w:tcBorders>
            <w:noWrap w:val="0"/>
            <w:vAlign w:val="center"/>
          </w:tcPr>
          <w:p w14:paraId="743D012E">
            <w:pPr>
              <w:rPr>
                <w:rFonts w:hint="eastAsia" w:ascii="宋体" w:hAnsi="宋体" w:eastAsia="宋体" w:cs="Times New Roman"/>
                <w:color w:val="000000"/>
                <w:sz w:val="24"/>
                <w:szCs w:val="24"/>
                <w:highlight w:val="none"/>
                <w:lang w:eastAsia="zh-CN"/>
              </w:rPr>
            </w:pPr>
            <w:r>
              <w:rPr>
                <w:rFonts w:hint="eastAsia" w:ascii="宋体" w:hAnsi="宋体" w:eastAsia="宋体" w:cs="Times New Roman"/>
                <w:color w:val="000000"/>
                <w:sz w:val="24"/>
                <w:highlight w:val="none"/>
              </w:rPr>
              <w:t>进度安排具体、合理、可行，解决措施先进、合理有效、完全满足项目要求</w:t>
            </w:r>
            <w:r>
              <w:rPr>
                <w:rFonts w:hint="eastAsia" w:ascii="宋体" w:hAnsi="宋体" w:eastAsia="宋体" w:cs="Times New Roman"/>
                <w:color w:val="000000"/>
                <w:sz w:val="24"/>
                <w:highlight w:val="none"/>
                <w:lang w:eastAsia="zh-CN"/>
              </w:rPr>
              <w:t>。</w:t>
            </w:r>
          </w:p>
        </w:tc>
      </w:tr>
      <w:tr w14:paraId="1834C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1146" w:type="dxa"/>
            <w:vMerge w:val="continue"/>
            <w:tcBorders>
              <w:left w:val="single" w:color="auto" w:sz="4" w:space="0"/>
              <w:right w:val="single" w:color="auto" w:sz="6" w:space="0"/>
              <w:tl2br w:val="nil"/>
              <w:tr2bl w:val="nil"/>
            </w:tcBorders>
            <w:noWrap w:val="0"/>
            <w:vAlign w:val="top"/>
          </w:tcPr>
          <w:p w14:paraId="2149262D">
            <w:pPr>
              <w:jc w:val="center"/>
              <w:rPr>
                <w:rFonts w:hint="eastAsia" w:ascii="宋体" w:hAnsi="宋体" w:eastAsia="宋体" w:cs="Times New Roman"/>
                <w:color w:val="000000"/>
                <w:sz w:val="24"/>
                <w:szCs w:val="24"/>
                <w:highlight w:val="none"/>
              </w:rPr>
            </w:pPr>
          </w:p>
        </w:tc>
        <w:tc>
          <w:tcPr>
            <w:tcW w:w="533" w:type="dxa"/>
            <w:tcBorders>
              <w:top w:val="single" w:color="auto" w:sz="6" w:space="0"/>
              <w:left w:val="single" w:color="auto" w:sz="6" w:space="0"/>
              <w:bottom w:val="single" w:color="auto" w:sz="6" w:space="0"/>
              <w:right w:val="single" w:color="auto" w:sz="4" w:space="0"/>
              <w:tl2br w:val="nil"/>
              <w:tr2bl w:val="nil"/>
            </w:tcBorders>
            <w:shd w:val="clear" w:color="auto" w:fill="auto"/>
            <w:noWrap w:val="0"/>
            <w:vAlign w:val="center"/>
          </w:tcPr>
          <w:p w14:paraId="07691A68">
            <w:pPr>
              <w:jc w:val="center"/>
              <w:rPr>
                <w:rFonts w:hint="eastAsia" w:ascii="宋体" w:hAnsi="宋体" w:eastAsia="宋体" w:cs="Times New Roman"/>
                <w:sz w:val="24"/>
                <w:szCs w:val="22"/>
                <w:highlight w:val="none"/>
                <w:lang w:val="en-US" w:eastAsia="zh-CN" w:bidi="ar-SA"/>
              </w:rPr>
            </w:pPr>
            <w:r>
              <w:rPr>
                <w:rFonts w:ascii="宋体" w:hAnsi="宋体" w:eastAsia="宋体" w:cs="Times New Roman"/>
                <w:sz w:val="24"/>
                <w:highlight w:val="none"/>
              </w:rPr>
              <w:t>4</w:t>
            </w:r>
          </w:p>
        </w:tc>
        <w:tc>
          <w:tcPr>
            <w:tcW w:w="1912" w:type="dxa"/>
            <w:gridSpan w:val="3"/>
            <w:tcBorders>
              <w:top w:val="single" w:color="auto" w:sz="6" w:space="0"/>
              <w:left w:val="single" w:color="auto" w:sz="4" w:space="0"/>
              <w:bottom w:val="single" w:color="auto" w:sz="6" w:space="0"/>
              <w:right w:val="single" w:color="auto" w:sz="6" w:space="0"/>
              <w:tl2br w:val="nil"/>
              <w:tr2bl w:val="nil"/>
            </w:tcBorders>
            <w:noWrap w:val="0"/>
            <w:vAlign w:val="center"/>
          </w:tcPr>
          <w:p w14:paraId="0793851D">
            <w:pPr>
              <w:rPr>
                <w:rFonts w:hint="eastAsia" w:ascii="宋体" w:hAnsi="宋体" w:eastAsia="宋体" w:cs="Times New Roman"/>
                <w:color w:val="auto"/>
                <w:sz w:val="24"/>
                <w:szCs w:val="24"/>
                <w:highlight w:val="none"/>
              </w:rPr>
            </w:pPr>
            <w:r>
              <w:rPr>
                <w:rFonts w:hint="eastAsia" w:ascii="宋体" w:hAnsi="宋体" w:eastAsia="宋体" w:cs="Times New Roman"/>
                <w:sz w:val="24"/>
                <w:highlight w:val="none"/>
              </w:rPr>
              <w:t>质量管理体系与措施</w:t>
            </w:r>
          </w:p>
        </w:tc>
        <w:tc>
          <w:tcPr>
            <w:tcW w:w="5715" w:type="dxa"/>
            <w:tcBorders>
              <w:top w:val="single" w:color="auto" w:sz="6" w:space="0"/>
              <w:left w:val="single" w:color="auto" w:sz="6" w:space="0"/>
              <w:bottom w:val="single" w:color="auto" w:sz="6" w:space="0"/>
              <w:right w:val="single" w:color="auto" w:sz="4" w:space="0"/>
              <w:tl2br w:val="nil"/>
              <w:tr2bl w:val="nil"/>
            </w:tcBorders>
            <w:noWrap w:val="0"/>
            <w:vAlign w:val="center"/>
          </w:tcPr>
          <w:p w14:paraId="3C3F1F83">
            <w:pPr>
              <w:rPr>
                <w:rFonts w:hint="eastAsia" w:ascii="宋体" w:hAnsi="宋体" w:eastAsia="宋体" w:cs="Times New Roman"/>
                <w:color w:val="000000"/>
                <w:sz w:val="24"/>
                <w:szCs w:val="24"/>
                <w:highlight w:val="none"/>
                <w:lang w:eastAsia="zh-CN"/>
              </w:rPr>
            </w:pPr>
            <w:r>
              <w:rPr>
                <w:rFonts w:hint="eastAsia" w:ascii="宋体" w:hAnsi="宋体" w:eastAsia="宋体" w:cs="Times New Roman"/>
                <w:color w:val="000000"/>
                <w:sz w:val="24"/>
                <w:highlight w:val="none"/>
              </w:rPr>
              <w:t>对整个项目质量管理有具体的保障制度和措施，有明确的内部质量管理措施，明确了投标人向采购人提供的各项服务</w:t>
            </w:r>
            <w:r>
              <w:rPr>
                <w:rFonts w:hint="eastAsia" w:ascii="宋体" w:hAnsi="宋体" w:eastAsia="宋体" w:cs="Times New Roman"/>
                <w:color w:val="000000"/>
                <w:sz w:val="24"/>
                <w:highlight w:val="none"/>
                <w:lang w:eastAsia="zh-CN"/>
              </w:rPr>
              <w:t>。</w:t>
            </w:r>
          </w:p>
        </w:tc>
      </w:tr>
      <w:tr w14:paraId="64BBA5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1146" w:type="dxa"/>
            <w:vMerge w:val="continue"/>
            <w:tcBorders>
              <w:left w:val="single" w:color="auto" w:sz="4" w:space="0"/>
              <w:right w:val="single" w:color="auto" w:sz="6" w:space="0"/>
              <w:tl2br w:val="nil"/>
              <w:tr2bl w:val="nil"/>
            </w:tcBorders>
            <w:noWrap w:val="0"/>
            <w:vAlign w:val="top"/>
          </w:tcPr>
          <w:p w14:paraId="1CA2AF8B">
            <w:pPr>
              <w:jc w:val="center"/>
              <w:rPr>
                <w:rFonts w:hint="eastAsia" w:ascii="宋体" w:hAnsi="宋体" w:eastAsia="宋体" w:cs="Times New Roman"/>
                <w:color w:val="000000"/>
                <w:sz w:val="24"/>
                <w:szCs w:val="24"/>
                <w:highlight w:val="none"/>
              </w:rPr>
            </w:pPr>
          </w:p>
        </w:tc>
        <w:tc>
          <w:tcPr>
            <w:tcW w:w="533" w:type="dxa"/>
            <w:tcBorders>
              <w:top w:val="single" w:color="auto" w:sz="6" w:space="0"/>
              <w:left w:val="single" w:color="auto" w:sz="6" w:space="0"/>
              <w:bottom w:val="single" w:color="auto" w:sz="6" w:space="0"/>
              <w:right w:val="single" w:color="auto" w:sz="4" w:space="0"/>
              <w:tl2br w:val="nil"/>
              <w:tr2bl w:val="nil"/>
            </w:tcBorders>
            <w:shd w:val="clear" w:color="auto" w:fill="auto"/>
            <w:noWrap w:val="0"/>
            <w:vAlign w:val="center"/>
          </w:tcPr>
          <w:p w14:paraId="11D1A937">
            <w:pPr>
              <w:jc w:val="center"/>
              <w:rPr>
                <w:rFonts w:hint="eastAsia" w:ascii="宋体" w:hAnsi="宋体" w:eastAsia="宋体" w:cs="Times New Roman"/>
                <w:sz w:val="24"/>
                <w:szCs w:val="22"/>
                <w:highlight w:val="none"/>
                <w:lang w:val="en-US" w:eastAsia="zh-CN" w:bidi="ar-SA"/>
              </w:rPr>
            </w:pPr>
            <w:r>
              <w:rPr>
                <w:rFonts w:ascii="宋体" w:hAnsi="宋体" w:eastAsia="宋体" w:cs="Times New Roman"/>
                <w:sz w:val="24"/>
                <w:highlight w:val="none"/>
              </w:rPr>
              <w:t>5</w:t>
            </w:r>
          </w:p>
        </w:tc>
        <w:tc>
          <w:tcPr>
            <w:tcW w:w="1912" w:type="dxa"/>
            <w:gridSpan w:val="3"/>
            <w:tcBorders>
              <w:top w:val="single" w:color="auto" w:sz="6" w:space="0"/>
              <w:left w:val="single" w:color="auto" w:sz="4" w:space="0"/>
              <w:bottom w:val="single" w:color="auto" w:sz="6" w:space="0"/>
              <w:right w:val="single" w:color="auto" w:sz="6" w:space="0"/>
              <w:tl2br w:val="nil"/>
              <w:tr2bl w:val="nil"/>
            </w:tcBorders>
            <w:noWrap w:val="0"/>
            <w:vAlign w:val="center"/>
          </w:tcPr>
          <w:p w14:paraId="380818B8">
            <w:pPr>
              <w:rPr>
                <w:rFonts w:hint="eastAsia" w:ascii="宋体" w:hAnsi="宋体" w:eastAsia="宋体" w:cs="Times New Roman"/>
                <w:color w:val="auto"/>
                <w:sz w:val="24"/>
                <w:szCs w:val="24"/>
                <w:highlight w:val="none"/>
              </w:rPr>
            </w:pPr>
            <w:r>
              <w:rPr>
                <w:rFonts w:hint="eastAsia" w:ascii="宋体" w:hAnsi="宋体" w:eastAsia="宋体" w:cs="Times New Roman"/>
                <w:sz w:val="24"/>
                <w:highlight w:val="none"/>
              </w:rPr>
              <w:t>确保完成工程建设的技术和管理措施</w:t>
            </w:r>
          </w:p>
        </w:tc>
        <w:tc>
          <w:tcPr>
            <w:tcW w:w="5715" w:type="dxa"/>
            <w:tcBorders>
              <w:top w:val="single" w:color="auto" w:sz="6" w:space="0"/>
              <w:left w:val="single" w:color="auto" w:sz="6" w:space="0"/>
              <w:bottom w:val="single" w:color="auto" w:sz="6" w:space="0"/>
              <w:right w:val="single" w:color="auto" w:sz="4" w:space="0"/>
              <w:tl2br w:val="nil"/>
              <w:tr2bl w:val="nil"/>
            </w:tcBorders>
            <w:noWrap w:val="0"/>
            <w:vAlign w:val="center"/>
          </w:tcPr>
          <w:p w14:paraId="7EC01122">
            <w:pPr>
              <w:rPr>
                <w:rFonts w:hint="eastAsia" w:ascii="宋体" w:hAnsi="宋体" w:eastAsia="宋体" w:cs="Times New Roman"/>
                <w:color w:val="000000"/>
                <w:sz w:val="24"/>
                <w:szCs w:val="24"/>
                <w:highlight w:val="none"/>
                <w:lang w:eastAsia="zh-CN"/>
              </w:rPr>
            </w:pPr>
            <w:r>
              <w:rPr>
                <w:rFonts w:hint="eastAsia" w:ascii="宋体" w:hAnsi="宋体" w:eastAsia="宋体" w:cs="Times New Roman"/>
                <w:color w:val="000000"/>
                <w:sz w:val="24"/>
                <w:highlight w:val="none"/>
              </w:rPr>
              <w:t>技术方案合理、完善、实用性强、有针对性，对本</w:t>
            </w:r>
            <w:r>
              <w:rPr>
                <w:rFonts w:hint="eastAsia" w:ascii="宋体" w:hAnsi="宋体" w:eastAsia="宋体" w:cs="Times New Roman"/>
                <w:color w:val="000000"/>
                <w:sz w:val="24"/>
                <w:highlight w:val="none"/>
                <w:lang w:eastAsia="zh-CN"/>
              </w:rPr>
              <w:t>项目的</w:t>
            </w:r>
            <w:r>
              <w:rPr>
                <w:rFonts w:hint="eastAsia" w:ascii="宋体" w:hAnsi="宋体" w:eastAsia="宋体" w:cs="Times New Roman"/>
                <w:color w:val="000000"/>
                <w:sz w:val="24"/>
                <w:highlight w:val="none"/>
              </w:rPr>
              <w:t>概况理解较深、工作方案切实可行</w:t>
            </w:r>
            <w:r>
              <w:rPr>
                <w:rFonts w:hint="eastAsia" w:ascii="宋体" w:hAnsi="宋体" w:eastAsia="宋体" w:cs="Times New Roman"/>
                <w:color w:val="000000"/>
                <w:sz w:val="24"/>
                <w:highlight w:val="none"/>
                <w:lang w:eastAsia="zh-CN"/>
              </w:rPr>
              <w:t>。</w:t>
            </w:r>
          </w:p>
        </w:tc>
      </w:tr>
      <w:tr w14:paraId="4FE59D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1146" w:type="dxa"/>
            <w:vMerge w:val="continue"/>
            <w:tcBorders>
              <w:left w:val="single" w:color="auto" w:sz="4" w:space="0"/>
              <w:right w:val="single" w:color="auto" w:sz="6" w:space="0"/>
              <w:tl2br w:val="nil"/>
              <w:tr2bl w:val="nil"/>
            </w:tcBorders>
            <w:noWrap w:val="0"/>
            <w:vAlign w:val="top"/>
          </w:tcPr>
          <w:p w14:paraId="7ED176F7">
            <w:pPr>
              <w:jc w:val="center"/>
              <w:rPr>
                <w:rFonts w:hint="eastAsia" w:ascii="宋体" w:hAnsi="宋体" w:eastAsia="宋体" w:cs="Times New Roman"/>
                <w:color w:val="000000"/>
                <w:sz w:val="24"/>
                <w:szCs w:val="24"/>
                <w:highlight w:val="none"/>
              </w:rPr>
            </w:pPr>
          </w:p>
        </w:tc>
        <w:tc>
          <w:tcPr>
            <w:tcW w:w="533" w:type="dxa"/>
            <w:tcBorders>
              <w:top w:val="single" w:color="auto" w:sz="6" w:space="0"/>
              <w:left w:val="single" w:color="auto" w:sz="6" w:space="0"/>
              <w:bottom w:val="single" w:color="auto" w:sz="6" w:space="0"/>
              <w:right w:val="single" w:color="auto" w:sz="4" w:space="0"/>
              <w:tl2br w:val="nil"/>
              <w:tr2bl w:val="nil"/>
            </w:tcBorders>
            <w:shd w:val="clear" w:color="auto" w:fill="auto"/>
            <w:noWrap w:val="0"/>
            <w:vAlign w:val="center"/>
          </w:tcPr>
          <w:p w14:paraId="07CDA7EC">
            <w:pPr>
              <w:jc w:val="center"/>
              <w:rPr>
                <w:rFonts w:hint="eastAsia" w:ascii="宋体" w:hAnsi="宋体" w:eastAsia="宋体" w:cs="Times New Roman"/>
                <w:sz w:val="24"/>
                <w:szCs w:val="22"/>
                <w:highlight w:val="none"/>
                <w:lang w:val="en-US" w:eastAsia="zh-CN" w:bidi="ar-SA"/>
              </w:rPr>
            </w:pPr>
            <w:r>
              <w:rPr>
                <w:rFonts w:ascii="宋体" w:hAnsi="宋体" w:eastAsia="宋体" w:cs="Times New Roman"/>
                <w:sz w:val="24"/>
                <w:highlight w:val="none"/>
              </w:rPr>
              <w:t>6</w:t>
            </w:r>
          </w:p>
        </w:tc>
        <w:tc>
          <w:tcPr>
            <w:tcW w:w="1912" w:type="dxa"/>
            <w:gridSpan w:val="3"/>
            <w:tcBorders>
              <w:top w:val="single" w:color="auto" w:sz="6" w:space="0"/>
              <w:left w:val="single" w:color="auto" w:sz="4" w:space="0"/>
              <w:bottom w:val="single" w:color="auto" w:sz="6" w:space="0"/>
              <w:right w:val="single" w:color="auto" w:sz="6" w:space="0"/>
              <w:tl2br w:val="nil"/>
              <w:tr2bl w:val="nil"/>
            </w:tcBorders>
            <w:noWrap w:val="0"/>
            <w:vAlign w:val="center"/>
          </w:tcPr>
          <w:p w14:paraId="65D5AAEF">
            <w:pPr>
              <w:rPr>
                <w:rFonts w:hint="eastAsia" w:ascii="宋体" w:hAnsi="宋体" w:eastAsia="宋体" w:cs="Times New Roman"/>
                <w:color w:val="auto"/>
                <w:sz w:val="24"/>
                <w:szCs w:val="24"/>
                <w:highlight w:val="none"/>
              </w:rPr>
            </w:pPr>
            <w:r>
              <w:rPr>
                <w:rFonts w:hint="eastAsia" w:ascii="宋体" w:hAnsi="宋体" w:eastAsia="宋体" w:cs="Times New Roman"/>
                <w:sz w:val="24"/>
                <w:highlight w:val="none"/>
              </w:rPr>
              <w:t>安全生产</w:t>
            </w:r>
            <w:r>
              <w:rPr>
                <w:rFonts w:hint="eastAsia" w:ascii="宋体" w:hAnsi="宋体" w:eastAsia="宋体" w:cs="Times New Roman"/>
                <w:sz w:val="24"/>
                <w:highlight w:val="none"/>
                <w:lang w:eastAsia="zh-CN"/>
              </w:rPr>
              <w:t>、</w:t>
            </w:r>
            <w:r>
              <w:rPr>
                <w:rFonts w:hint="eastAsia" w:ascii="宋体" w:hAnsi="宋体" w:eastAsia="宋体" w:cs="Times New Roman"/>
                <w:sz w:val="24"/>
                <w:highlight w:val="none"/>
              </w:rPr>
              <w:t>文明施工体系与措施</w:t>
            </w:r>
          </w:p>
        </w:tc>
        <w:tc>
          <w:tcPr>
            <w:tcW w:w="5715" w:type="dxa"/>
            <w:tcBorders>
              <w:top w:val="single" w:color="auto" w:sz="6" w:space="0"/>
              <w:left w:val="single" w:color="auto" w:sz="6" w:space="0"/>
              <w:bottom w:val="single" w:color="auto" w:sz="6" w:space="0"/>
              <w:right w:val="single" w:color="auto" w:sz="4" w:space="0"/>
              <w:tl2br w:val="nil"/>
              <w:tr2bl w:val="nil"/>
            </w:tcBorders>
            <w:noWrap w:val="0"/>
            <w:vAlign w:val="center"/>
          </w:tcPr>
          <w:p w14:paraId="790B60B2">
            <w:pPr>
              <w:rPr>
                <w:rFonts w:hint="eastAsia" w:ascii="宋体" w:hAnsi="宋体" w:eastAsia="宋体" w:cs="Times New Roman"/>
                <w:color w:val="000000"/>
                <w:sz w:val="24"/>
                <w:szCs w:val="24"/>
                <w:highlight w:val="none"/>
                <w:lang w:eastAsia="zh-CN"/>
              </w:rPr>
            </w:pPr>
            <w:r>
              <w:rPr>
                <w:rFonts w:hint="eastAsia" w:ascii="宋体" w:hAnsi="宋体" w:eastAsia="宋体" w:cs="Times New Roman"/>
                <w:color w:val="000000"/>
                <w:sz w:val="24"/>
                <w:highlight w:val="none"/>
              </w:rPr>
              <w:t>安全生产管理体系及保证措施合理详细</w:t>
            </w:r>
            <w:r>
              <w:rPr>
                <w:rFonts w:hint="eastAsia" w:ascii="宋体" w:hAnsi="宋体" w:eastAsia="宋体" w:cs="Times New Roman"/>
                <w:color w:val="000000"/>
                <w:sz w:val="24"/>
                <w:highlight w:val="none"/>
                <w:lang w:eastAsia="zh-CN"/>
              </w:rPr>
              <w:t>。</w:t>
            </w:r>
          </w:p>
        </w:tc>
      </w:tr>
      <w:tr w14:paraId="4CCAE5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1146" w:type="dxa"/>
            <w:vMerge w:val="continue"/>
            <w:tcBorders>
              <w:top w:val="single" w:color="auto" w:sz="4" w:space="0"/>
              <w:left w:val="single" w:color="auto" w:sz="4" w:space="0"/>
              <w:right w:val="single" w:color="auto" w:sz="6" w:space="0"/>
              <w:tl2br w:val="nil"/>
              <w:tr2bl w:val="nil"/>
            </w:tcBorders>
            <w:noWrap w:val="0"/>
            <w:vAlign w:val="top"/>
          </w:tcPr>
          <w:p w14:paraId="41431233">
            <w:pPr>
              <w:jc w:val="center"/>
              <w:rPr>
                <w:rFonts w:hint="eastAsia" w:ascii="宋体" w:hAnsi="宋体" w:eastAsia="宋体" w:cs="Times New Roman"/>
                <w:color w:val="000000"/>
                <w:sz w:val="24"/>
                <w:szCs w:val="24"/>
                <w:highlight w:val="none"/>
              </w:rPr>
            </w:pPr>
          </w:p>
        </w:tc>
        <w:tc>
          <w:tcPr>
            <w:tcW w:w="533" w:type="dxa"/>
            <w:tcBorders>
              <w:top w:val="single" w:color="auto" w:sz="4" w:space="0"/>
              <w:left w:val="single" w:color="auto" w:sz="6" w:space="0"/>
              <w:bottom w:val="single" w:color="auto" w:sz="6" w:space="0"/>
              <w:right w:val="single" w:color="auto" w:sz="4" w:space="0"/>
              <w:tl2br w:val="nil"/>
              <w:tr2bl w:val="nil"/>
            </w:tcBorders>
            <w:shd w:val="clear" w:color="auto" w:fill="auto"/>
            <w:noWrap w:val="0"/>
            <w:vAlign w:val="center"/>
          </w:tcPr>
          <w:p w14:paraId="76F2C924">
            <w:pPr>
              <w:jc w:val="center"/>
              <w:rPr>
                <w:rFonts w:hint="eastAsia" w:ascii="宋体" w:hAnsi="宋体" w:eastAsia="宋体" w:cs="Times New Roman"/>
                <w:sz w:val="24"/>
                <w:szCs w:val="22"/>
                <w:highlight w:val="none"/>
                <w:lang w:val="en-US" w:eastAsia="zh-CN" w:bidi="ar-SA"/>
              </w:rPr>
            </w:pPr>
            <w:r>
              <w:rPr>
                <w:rFonts w:ascii="宋体" w:hAnsi="宋体" w:eastAsia="宋体" w:cs="Times New Roman"/>
                <w:sz w:val="24"/>
                <w:highlight w:val="none"/>
              </w:rPr>
              <w:t>7</w:t>
            </w:r>
          </w:p>
        </w:tc>
        <w:tc>
          <w:tcPr>
            <w:tcW w:w="1912" w:type="dxa"/>
            <w:gridSpan w:val="3"/>
            <w:tcBorders>
              <w:top w:val="single" w:color="auto" w:sz="4" w:space="0"/>
              <w:left w:val="single" w:color="auto" w:sz="4" w:space="0"/>
              <w:bottom w:val="single" w:color="auto" w:sz="6" w:space="0"/>
              <w:right w:val="single" w:color="auto" w:sz="6" w:space="0"/>
              <w:tl2br w:val="nil"/>
              <w:tr2bl w:val="nil"/>
            </w:tcBorders>
            <w:noWrap w:val="0"/>
            <w:vAlign w:val="center"/>
          </w:tcPr>
          <w:p w14:paraId="43AEB567">
            <w:pPr>
              <w:rPr>
                <w:rFonts w:hint="eastAsia" w:ascii="宋体" w:hAnsi="宋体" w:eastAsia="宋体" w:cs="Times New Roman"/>
                <w:color w:val="auto"/>
                <w:sz w:val="24"/>
                <w:szCs w:val="24"/>
                <w:highlight w:val="none"/>
              </w:rPr>
            </w:pPr>
            <w:r>
              <w:rPr>
                <w:rFonts w:hint="eastAsia" w:ascii="宋体" w:hAnsi="宋体" w:eastAsia="宋体" w:cs="Times New Roman"/>
                <w:sz w:val="24"/>
                <w:highlight w:val="none"/>
              </w:rPr>
              <w:t>环境保护体系与措施</w:t>
            </w:r>
          </w:p>
        </w:tc>
        <w:tc>
          <w:tcPr>
            <w:tcW w:w="5715" w:type="dxa"/>
            <w:tcBorders>
              <w:top w:val="single" w:color="auto" w:sz="4" w:space="0"/>
              <w:left w:val="single" w:color="auto" w:sz="6" w:space="0"/>
              <w:bottom w:val="single" w:color="auto" w:sz="6" w:space="0"/>
              <w:right w:val="single" w:color="auto" w:sz="6" w:space="0"/>
              <w:tl2br w:val="nil"/>
              <w:tr2bl w:val="nil"/>
            </w:tcBorders>
            <w:noWrap w:val="0"/>
            <w:vAlign w:val="center"/>
          </w:tcPr>
          <w:p w14:paraId="41021510">
            <w:pPr>
              <w:rPr>
                <w:rFonts w:hint="eastAsia" w:ascii="宋体" w:hAnsi="宋体" w:eastAsia="宋体" w:cs="Times New Roman"/>
                <w:color w:val="000000"/>
                <w:sz w:val="24"/>
                <w:szCs w:val="24"/>
                <w:highlight w:val="none"/>
                <w:lang w:eastAsia="zh-CN"/>
              </w:rPr>
            </w:pPr>
            <w:r>
              <w:rPr>
                <w:rFonts w:hint="eastAsia" w:ascii="宋体" w:hAnsi="宋体" w:eastAsia="宋体" w:cs="Times New Roman"/>
                <w:color w:val="000000"/>
                <w:sz w:val="24"/>
                <w:highlight w:val="none"/>
              </w:rPr>
              <w:t>环境保护管理体系及保证措施合理详细</w:t>
            </w:r>
            <w:r>
              <w:rPr>
                <w:rFonts w:hint="eastAsia" w:ascii="宋体" w:hAnsi="宋体" w:eastAsia="宋体" w:cs="Times New Roman"/>
                <w:color w:val="000000"/>
                <w:sz w:val="24"/>
                <w:highlight w:val="none"/>
                <w:lang w:eastAsia="zh-CN"/>
              </w:rPr>
              <w:t>。</w:t>
            </w:r>
          </w:p>
        </w:tc>
      </w:tr>
      <w:tr w14:paraId="68B35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146" w:type="dxa"/>
            <w:vMerge w:val="continue"/>
            <w:tcBorders>
              <w:left w:val="single" w:color="auto" w:sz="4" w:space="0"/>
              <w:bottom w:val="single" w:color="auto" w:sz="4" w:space="0"/>
              <w:right w:val="single" w:color="auto" w:sz="6" w:space="0"/>
              <w:tl2br w:val="nil"/>
              <w:tr2bl w:val="nil"/>
            </w:tcBorders>
            <w:noWrap w:val="0"/>
            <w:vAlign w:val="top"/>
          </w:tcPr>
          <w:p w14:paraId="6915CD87">
            <w:pPr>
              <w:jc w:val="center"/>
              <w:rPr>
                <w:rFonts w:hint="eastAsia" w:ascii="宋体" w:hAnsi="宋体" w:eastAsia="宋体" w:cs="Times New Roman"/>
                <w:color w:val="000000"/>
                <w:sz w:val="24"/>
                <w:szCs w:val="24"/>
                <w:highlight w:val="none"/>
              </w:rPr>
            </w:pPr>
          </w:p>
        </w:tc>
        <w:tc>
          <w:tcPr>
            <w:tcW w:w="533" w:type="dxa"/>
            <w:tcBorders>
              <w:top w:val="single" w:color="auto" w:sz="6" w:space="0"/>
              <w:left w:val="single" w:color="auto" w:sz="6" w:space="0"/>
              <w:bottom w:val="single" w:color="auto" w:sz="4" w:space="0"/>
              <w:right w:val="single" w:color="auto" w:sz="4" w:space="0"/>
              <w:tl2br w:val="nil"/>
              <w:tr2bl w:val="nil"/>
            </w:tcBorders>
            <w:shd w:val="clear" w:color="auto" w:fill="auto"/>
            <w:noWrap w:val="0"/>
            <w:vAlign w:val="center"/>
          </w:tcPr>
          <w:p w14:paraId="2F430F8F">
            <w:pPr>
              <w:jc w:val="center"/>
              <w:rPr>
                <w:rFonts w:hint="eastAsia" w:ascii="宋体" w:hAnsi="宋体" w:eastAsia="宋体" w:cs="Times New Roman"/>
                <w:sz w:val="24"/>
                <w:szCs w:val="22"/>
                <w:highlight w:val="none"/>
                <w:lang w:val="en-US" w:eastAsia="zh-CN" w:bidi="ar-SA"/>
              </w:rPr>
            </w:pPr>
            <w:r>
              <w:rPr>
                <w:rFonts w:hint="eastAsia" w:ascii="宋体" w:hAnsi="宋体" w:eastAsia="宋体" w:cs="Times New Roman"/>
                <w:sz w:val="24"/>
                <w:highlight w:val="none"/>
                <w:lang w:val="en-US" w:eastAsia="zh-CN"/>
              </w:rPr>
              <w:t>8</w:t>
            </w:r>
          </w:p>
        </w:tc>
        <w:tc>
          <w:tcPr>
            <w:tcW w:w="1912" w:type="dxa"/>
            <w:gridSpan w:val="3"/>
            <w:tcBorders>
              <w:top w:val="single" w:color="auto" w:sz="6" w:space="0"/>
              <w:left w:val="single" w:color="auto" w:sz="4" w:space="0"/>
              <w:bottom w:val="single" w:color="auto" w:sz="6" w:space="0"/>
              <w:right w:val="single" w:color="auto" w:sz="6" w:space="0"/>
              <w:tl2br w:val="nil"/>
              <w:tr2bl w:val="nil"/>
            </w:tcBorders>
            <w:noWrap w:val="0"/>
            <w:vAlign w:val="center"/>
          </w:tcPr>
          <w:p w14:paraId="238E2F0B">
            <w:pPr>
              <w:rPr>
                <w:rFonts w:hint="eastAsia" w:ascii="Times New Roman" w:hAnsi="Times New Roman" w:eastAsia="宋体" w:cs="Times New Roman"/>
                <w:sz w:val="24"/>
                <w:szCs w:val="24"/>
                <w:highlight w:val="none"/>
                <w:lang w:val="en-US" w:eastAsia="zh-CN"/>
              </w:rPr>
            </w:pPr>
            <w:r>
              <w:rPr>
                <w:rFonts w:hint="eastAsia" w:ascii="宋体" w:hAnsi="宋体" w:eastAsia="宋体" w:cs="Times New Roman"/>
                <w:sz w:val="24"/>
                <w:highlight w:val="none"/>
              </w:rPr>
              <w:t>质量通病的防治措施</w:t>
            </w:r>
          </w:p>
        </w:tc>
        <w:tc>
          <w:tcPr>
            <w:tcW w:w="571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BA7D139">
            <w:pPr>
              <w:rPr>
                <w:rFonts w:hint="eastAsia" w:ascii="Times New Roman" w:hAnsi="Times New Roman" w:eastAsia="宋体" w:cs="Times New Roman"/>
                <w:sz w:val="24"/>
                <w:szCs w:val="24"/>
                <w:highlight w:val="none"/>
                <w:lang w:val="en-US" w:eastAsia="zh-CN"/>
              </w:rPr>
            </w:pPr>
            <w:r>
              <w:rPr>
                <w:rFonts w:hint="eastAsia" w:ascii="宋体" w:hAnsi="宋体" w:eastAsia="宋体" w:cs="Times New Roman"/>
                <w:color w:val="000000"/>
                <w:sz w:val="24"/>
                <w:highlight w:val="none"/>
              </w:rPr>
              <w:t>质量通病分析及防治措施</w:t>
            </w:r>
            <w:r>
              <w:rPr>
                <w:rFonts w:hint="eastAsia" w:ascii="宋体" w:hAnsi="宋体" w:eastAsia="宋体" w:cs="Times New Roman"/>
                <w:color w:val="000000"/>
                <w:sz w:val="24"/>
                <w:highlight w:val="none"/>
                <w:lang w:eastAsia="zh-CN"/>
              </w:rPr>
              <w:t>。</w:t>
            </w:r>
          </w:p>
        </w:tc>
      </w:tr>
      <w:tr w14:paraId="466120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trPr>
        <w:tc>
          <w:tcPr>
            <w:tcW w:w="1146" w:type="dxa"/>
            <w:vMerge w:val="continue"/>
            <w:tcBorders>
              <w:top w:val="single" w:color="auto" w:sz="4" w:space="0"/>
              <w:left w:val="single" w:color="auto" w:sz="4" w:space="0"/>
              <w:right w:val="single" w:color="auto" w:sz="6" w:space="0"/>
              <w:tl2br w:val="nil"/>
              <w:tr2bl w:val="nil"/>
            </w:tcBorders>
            <w:noWrap w:val="0"/>
            <w:vAlign w:val="top"/>
          </w:tcPr>
          <w:p w14:paraId="194C7AB9">
            <w:pPr>
              <w:jc w:val="center"/>
              <w:rPr>
                <w:rFonts w:hint="eastAsia" w:ascii="宋体" w:hAnsi="宋体" w:eastAsia="宋体" w:cs="Times New Roman"/>
                <w:color w:val="000000"/>
                <w:sz w:val="24"/>
                <w:szCs w:val="24"/>
                <w:highlight w:val="none"/>
              </w:rPr>
            </w:pPr>
          </w:p>
        </w:tc>
        <w:tc>
          <w:tcPr>
            <w:tcW w:w="533" w:type="dxa"/>
            <w:tcBorders>
              <w:top w:val="single" w:color="auto" w:sz="4" w:space="0"/>
              <w:left w:val="single" w:color="auto" w:sz="6" w:space="0"/>
              <w:right w:val="single" w:color="auto" w:sz="6" w:space="0"/>
              <w:tl2br w:val="nil"/>
              <w:tr2bl w:val="nil"/>
            </w:tcBorders>
            <w:shd w:val="clear" w:color="auto" w:fill="auto"/>
            <w:noWrap w:val="0"/>
            <w:vAlign w:val="center"/>
          </w:tcPr>
          <w:p w14:paraId="6EF6B92C">
            <w:pPr>
              <w:jc w:val="center"/>
              <w:rPr>
                <w:rFonts w:hint="eastAsia" w:ascii="宋体" w:hAnsi="宋体" w:eastAsia="宋体" w:cs="Times New Roman"/>
                <w:sz w:val="24"/>
                <w:szCs w:val="22"/>
                <w:highlight w:val="none"/>
                <w:lang w:val="en-US" w:eastAsia="zh-CN" w:bidi="ar-SA"/>
              </w:rPr>
            </w:pPr>
            <w:r>
              <w:rPr>
                <w:rFonts w:hint="eastAsia" w:ascii="宋体" w:hAnsi="宋体" w:eastAsia="宋体" w:cs="Times New Roman"/>
                <w:sz w:val="24"/>
                <w:highlight w:val="none"/>
                <w:lang w:val="en-US" w:eastAsia="zh-CN"/>
              </w:rPr>
              <w:t>9</w:t>
            </w:r>
          </w:p>
        </w:tc>
        <w:tc>
          <w:tcPr>
            <w:tcW w:w="1912" w:type="dxa"/>
            <w:gridSpan w:val="3"/>
            <w:tcBorders>
              <w:top w:val="single" w:color="auto" w:sz="6" w:space="0"/>
              <w:left w:val="single" w:color="auto" w:sz="6" w:space="0"/>
              <w:right w:val="single" w:color="auto" w:sz="6" w:space="0"/>
              <w:tl2br w:val="nil"/>
              <w:tr2bl w:val="nil"/>
            </w:tcBorders>
            <w:noWrap w:val="0"/>
            <w:vAlign w:val="center"/>
          </w:tcPr>
          <w:p w14:paraId="2F78691A">
            <w:pPr>
              <w:rPr>
                <w:rFonts w:hint="eastAsia" w:ascii="Times New Roman" w:hAnsi="Times New Roman" w:eastAsia="宋体" w:cs="Times New Roman"/>
                <w:sz w:val="24"/>
                <w:szCs w:val="24"/>
                <w:highlight w:val="none"/>
                <w:lang w:val="en-US" w:eastAsia="zh-CN"/>
              </w:rPr>
            </w:pPr>
            <w:r>
              <w:rPr>
                <w:rFonts w:hint="eastAsia" w:ascii="宋体" w:hAnsi="宋体" w:eastAsia="宋体" w:cs="Times New Roman"/>
                <w:sz w:val="24"/>
                <w:highlight w:val="none"/>
              </w:rPr>
              <w:t>劳动力</w:t>
            </w:r>
            <w:r>
              <w:rPr>
                <w:rFonts w:hint="eastAsia" w:ascii="宋体" w:hAnsi="宋体" w:eastAsia="宋体" w:cs="Times New Roman"/>
                <w:sz w:val="24"/>
                <w:highlight w:val="none"/>
                <w:lang w:eastAsia="zh-CN"/>
              </w:rPr>
              <w:t>、</w:t>
            </w:r>
            <w:r>
              <w:rPr>
                <w:rFonts w:hint="eastAsia" w:ascii="宋体" w:hAnsi="宋体" w:eastAsia="宋体" w:cs="Times New Roman"/>
                <w:color w:val="000000"/>
                <w:sz w:val="24"/>
                <w:highlight w:val="none"/>
              </w:rPr>
              <w:t>成品保护</w:t>
            </w:r>
          </w:p>
        </w:tc>
        <w:tc>
          <w:tcPr>
            <w:tcW w:w="571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E7CC55A">
            <w:pPr>
              <w:rPr>
                <w:rFonts w:hint="eastAsia" w:ascii="Times New Roman" w:hAnsi="Times New Roman" w:eastAsia="宋体" w:cs="Times New Roman"/>
                <w:sz w:val="24"/>
                <w:szCs w:val="24"/>
                <w:highlight w:val="none"/>
                <w:lang w:val="en-US" w:eastAsia="zh-CN"/>
              </w:rPr>
            </w:pPr>
            <w:r>
              <w:rPr>
                <w:rFonts w:hint="eastAsia" w:ascii="宋体" w:hAnsi="宋体" w:eastAsia="宋体" w:cs="Times New Roman"/>
                <w:color w:val="000000"/>
                <w:sz w:val="24"/>
                <w:highlight w:val="none"/>
              </w:rPr>
              <w:t>劳动力组织及计划表</w:t>
            </w:r>
            <w:r>
              <w:rPr>
                <w:rFonts w:hint="eastAsia" w:ascii="宋体" w:hAnsi="宋体" w:eastAsia="宋体" w:cs="Times New Roman"/>
                <w:color w:val="000000"/>
                <w:sz w:val="24"/>
                <w:highlight w:val="none"/>
                <w:lang w:eastAsia="zh-CN"/>
              </w:rPr>
              <w:t>、</w:t>
            </w:r>
            <w:r>
              <w:rPr>
                <w:rFonts w:hint="eastAsia" w:ascii="宋体" w:hAnsi="宋体" w:eastAsia="宋体" w:cs="Times New Roman"/>
                <w:color w:val="000000"/>
                <w:sz w:val="24"/>
                <w:highlight w:val="none"/>
              </w:rPr>
              <w:t>成品保护措施</w:t>
            </w:r>
            <w:r>
              <w:rPr>
                <w:rFonts w:hint="eastAsia" w:ascii="宋体" w:hAnsi="宋体" w:eastAsia="宋体" w:cs="Times New Roman"/>
                <w:color w:val="000000"/>
                <w:sz w:val="24"/>
                <w:highlight w:val="none"/>
                <w:lang w:eastAsia="zh-CN"/>
              </w:rPr>
              <w:t>。</w:t>
            </w:r>
          </w:p>
        </w:tc>
      </w:tr>
      <w:tr w14:paraId="2DD574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146" w:type="dxa"/>
            <w:vMerge w:val="continue"/>
            <w:tcBorders>
              <w:left w:val="single" w:color="auto" w:sz="4" w:space="0"/>
              <w:right w:val="single" w:color="auto" w:sz="6" w:space="0"/>
              <w:tl2br w:val="nil"/>
              <w:tr2bl w:val="nil"/>
            </w:tcBorders>
            <w:noWrap w:val="0"/>
            <w:vAlign w:val="top"/>
          </w:tcPr>
          <w:p w14:paraId="17AC6BA2">
            <w:pPr>
              <w:jc w:val="center"/>
              <w:rPr>
                <w:rFonts w:hint="eastAsia" w:ascii="宋体" w:hAnsi="宋体" w:eastAsia="宋体" w:cs="Times New Roman"/>
                <w:color w:val="000000"/>
                <w:sz w:val="24"/>
                <w:szCs w:val="24"/>
                <w:highlight w:val="none"/>
              </w:rPr>
            </w:pPr>
          </w:p>
        </w:tc>
        <w:tc>
          <w:tcPr>
            <w:tcW w:w="8160" w:type="dxa"/>
            <w:gridSpan w:val="5"/>
            <w:tcBorders>
              <w:top w:val="single" w:color="auto" w:sz="6" w:space="0"/>
              <w:left w:val="single" w:color="auto" w:sz="6" w:space="0"/>
              <w:bottom w:val="single" w:color="auto" w:sz="6" w:space="0"/>
              <w:right w:val="single" w:color="auto" w:sz="6" w:space="0"/>
              <w:tl2br w:val="nil"/>
              <w:tr2bl w:val="nil"/>
            </w:tcBorders>
            <w:noWrap w:val="0"/>
            <w:vAlign w:val="center"/>
          </w:tcPr>
          <w:p w14:paraId="2FDBB18D">
            <w:pPr>
              <w:rPr>
                <w:rFonts w:hint="eastAsia" w:ascii="宋体" w:hAnsi="宋体" w:eastAsia="宋体" w:cs="Times New Roman"/>
                <w:color w:val="000000"/>
                <w:sz w:val="24"/>
                <w:szCs w:val="24"/>
                <w:highlight w:val="none"/>
              </w:rPr>
            </w:pPr>
            <w:r>
              <w:rPr>
                <w:rFonts w:hint="eastAsia" w:ascii="宋体" w:hAnsi="宋体" w:eastAsia="宋体" w:cs="宋体"/>
                <w:color w:val="000000"/>
                <w:kern w:val="0"/>
                <w:sz w:val="24"/>
                <w:highlight w:val="none"/>
                <w:lang w:val="en-US" w:eastAsia="zh-CN" w:bidi="ar"/>
              </w:rPr>
              <w:t>第1-</w:t>
            </w:r>
            <w:r>
              <w:rPr>
                <w:rFonts w:hint="eastAsia" w:ascii="宋体" w:hAnsi="宋体" w:cs="宋体"/>
                <w:color w:val="000000"/>
                <w:kern w:val="0"/>
                <w:sz w:val="24"/>
                <w:highlight w:val="none"/>
                <w:lang w:val="en-US" w:eastAsia="zh-CN" w:bidi="ar"/>
              </w:rPr>
              <w:t>9</w:t>
            </w:r>
            <w:r>
              <w:rPr>
                <w:rFonts w:hint="eastAsia" w:ascii="宋体" w:hAnsi="宋体" w:eastAsia="宋体" w:cs="宋体"/>
                <w:color w:val="000000"/>
                <w:kern w:val="0"/>
                <w:sz w:val="24"/>
                <w:highlight w:val="none"/>
                <w:lang w:val="en-US" w:eastAsia="zh-CN" w:bidi="ar"/>
              </w:rPr>
              <w:t>项，单项</w:t>
            </w:r>
            <w:r>
              <w:rPr>
                <w:rFonts w:hint="eastAsia" w:ascii="宋体" w:hAnsi="宋体" w:eastAsia="宋体" w:cs="宋体"/>
                <w:color w:val="000000"/>
                <w:kern w:val="0"/>
                <w:sz w:val="24"/>
                <w:highlight w:val="none"/>
                <w:lang w:bidi="ar"/>
              </w:rPr>
              <w:t>方案完全满足项目需求的</w:t>
            </w:r>
            <w:r>
              <w:rPr>
                <w:rFonts w:hint="eastAsia" w:ascii="宋体" w:hAnsi="宋体" w:eastAsia="宋体" w:cs="宋体"/>
                <w:color w:val="000000"/>
                <w:kern w:val="0"/>
                <w:sz w:val="24"/>
                <w:highlight w:val="none"/>
                <w:lang w:val="en-US" w:eastAsia="zh-CN" w:bidi="ar"/>
              </w:rPr>
              <w:t>每项</w:t>
            </w:r>
            <w:r>
              <w:rPr>
                <w:rFonts w:hint="eastAsia" w:ascii="宋体" w:hAnsi="宋体" w:eastAsia="宋体" w:cs="宋体"/>
                <w:color w:val="000000"/>
                <w:kern w:val="0"/>
                <w:sz w:val="24"/>
                <w:highlight w:val="none"/>
                <w:lang w:bidi="ar"/>
              </w:rPr>
              <w:t>得</w:t>
            </w:r>
            <w:r>
              <w:rPr>
                <w:rFonts w:hint="eastAsia" w:ascii="宋体" w:hAnsi="宋体" w:eastAsia="宋体" w:cs="宋体"/>
                <w:color w:val="000000"/>
                <w:kern w:val="0"/>
                <w:sz w:val="24"/>
                <w:highlight w:val="none"/>
                <w:lang w:val="en-US" w:eastAsia="zh-CN" w:bidi="ar"/>
              </w:rPr>
              <w:t>4</w:t>
            </w:r>
            <w:r>
              <w:rPr>
                <w:rFonts w:hint="eastAsia" w:ascii="宋体" w:hAnsi="宋体" w:eastAsia="宋体" w:cs="宋体"/>
                <w:color w:val="000000"/>
                <w:kern w:val="0"/>
                <w:sz w:val="24"/>
                <w:highlight w:val="none"/>
                <w:lang w:bidi="ar"/>
              </w:rPr>
              <w:t>分，方案合理基本满足项目需求得</w:t>
            </w:r>
            <w:r>
              <w:rPr>
                <w:rFonts w:hint="eastAsia" w:ascii="宋体" w:hAnsi="宋体" w:eastAsia="宋体" w:cs="宋体"/>
                <w:color w:val="000000"/>
                <w:kern w:val="0"/>
                <w:sz w:val="24"/>
                <w:highlight w:val="none"/>
                <w:lang w:val="en-US" w:eastAsia="zh-CN" w:bidi="ar"/>
              </w:rPr>
              <w:t>2.8</w:t>
            </w:r>
            <w:r>
              <w:rPr>
                <w:rFonts w:hint="eastAsia" w:ascii="宋体" w:hAnsi="宋体" w:eastAsia="宋体" w:cs="宋体"/>
                <w:color w:val="000000"/>
                <w:kern w:val="0"/>
                <w:sz w:val="24"/>
                <w:highlight w:val="none"/>
                <w:lang w:bidi="ar"/>
              </w:rPr>
              <w:t>分，</w:t>
            </w:r>
            <w:r>
              <w:rPr>
                <w:rFonts w:hint="eastAsia" w:ascii="宋体" w:hAnsi="宋体" w:eastAsia="宋体" w:cs="宋体"/>
                <w:color w:val="000000"/>
                <w:kern w:val="0"/>
                <w:sz w:val="24"/>
                <w:highlight w:val="none"/>
                <w:lang w:val="en-US" w:eastAsia="zh-CN" w:bidi="ar"/>
              </w:rPr>
              <w:t>不合理、</w:t>
            </w:r>
            <w:r>
              <w:rPr>
                <w:rFonts w:hint="eastAsia" w:ascii="宋体" w:hAnsi="宋体" w:eastAsia="宋体" w:cs="宋体"/>
                <w:color w:val="000000"/>
                <w:kern w:val="0"/>
                <w:sz w:val="24"/>
                <w:highlight w:val="none"/>
                <w:lang w:bidi="ar"/>
              </w:rPr>
              <w:t>不提供不得分。</w:t>
            </w:r>
          </w:p>
        </w:tc>
      </w:tr>
      <w:tr w14:paraId="6472E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146" w:type="dxa"/>
            <w:vMerge w:val="continue"/>
            <w:tcBorders>
              <w:left w:val="single" w:color="auto" w:sz="4" w:space="0"/>
              <w:bottom w:val="single" w:color="auto" w:sz="6" w:space="0"/>
              <w:right w:val="single" w:color="auto" w:sz="6" w:space="0"/>
            </w:tcBorders>
            <w:noWrap w:val="0"/>
            <w:vAlign w:val="top"/>
          </w:tcPr>
          <w:p w14:paraId="2246D67B">
            <w:pPr>
              <w:jc w:val="center"/>
              <w:rPr>
                <w:rFonts w:hint="eastAsia" w:ascii="宋体" w:hAnsi="宋体" w:eastAsia="宋体" w:cs="Times New Roman"/>
                <w:color w:val="000000"/>
                <w:sz w:val="24"/>
                <w:szCs w:val="24"/>
                <w:highlight w:val="none"/>
              </w:rPr>
            </w:pPr>
          </w:p>
        </w:tc>
        <w:tc>
          <w:tcPr>
            <w:tcW w:w="769" w:type="dxa"/>
            <w:gridSpan w:val="2"/>
            <w:tcBorders>
              <w:top w:val="single" w:color="auto" w:sz="6" w:space="0"/>
              <w:left w:val="single" w:color="auto" w:sz="6" w:space="0"/>
              <w:bottom w:val="single" w:color="auto" w:sz="6" w:space="0"/>
              <w:right w:val="single" w:color="auto" w:sz="6" w:space="0"/>
            </w:tcBorders>
            <w:noWrap w:val="0"/>
            <w:vAlign w:val="center"/>
          </w:tcPr>
          <w:p w14:paraId="0C18610C">
            <w:pPr>
              <w:rPr>
                <w:rFonts w:hint="default" w:ascii="宋体" w:hAnsi="宋体" w:eastAsia="宋体" w:cs="宋体"/>
                <w:color w:val="000000"/>
                <w:kern w:val="0"/>
                <w:sz w:val="24"/>
                <w:highlight w:val="none"/>
                <w:lang w:val="en-US" w:eastAsia="zh-CN" w:bidi="ar"/>
              </w:rPr>
            </w:pPr>
            <w:r>
              <w:rPr>
                <w:rFonts w:hint="eastAsia" w:ascii="宋体" w:hAnsi="宋体" w:cs="宋体"/>
                <w:color w:val="000000"/>
                <w:kern w:val="0"/>
                <w:sz w:val="24"/>
                <w:highlight w:val="none"/>
                <w:lang w:val="en-US" w:eastAsia="zh-CN" w:bidi="ar"/>
              </w:rPr>
              <w:t>10</w:t>
            </w:r>
          </w:p>
        </w:tc>
        <w:tc>
          <w:tcPr>
            <w:tcW w:w="769" w:type="dxa"/>
            <w:tcBorders>
              <w:top w:val="single" w:color="auto" w:sz="6" w:space="0"/>
              <w:left w:val="single" w:color="auto" w:sz="6" w:space="0"/>
              <w:bottom w:val="single" w:color="auto" w:sz="6" w:space="0"/>
              <w:right w:val="single" w:color="auto" w:sz="6" w:space="0"/>
            </w:tcBorders>
            <w:noWrap w:val="0"/>
            <w:vAlign w:val="center"/>
          </w:tcPr>
          <w:p w14:paraId="38836A83">
            <w:pPr>
              <w:rPr>
                <w:rFonts w:hint="eastAsia" w:ascii="宋体" w:hAnsi="宋体" w:eastAsia="宋体" w:cs="宋体"/>
                <w:color w:val="000000"/>
                <w:kern w:val="0"/>
                <w:sz w:val="24"/>
                <w:highlight w:val="none"/>
                <w:lang w:val="en-US" w:eastAsia="zh-CN" w:bidi="ar"/>
              </w:rPr>
            </w:pPr>
            <w:r>
              <w:rPr>
                <w:rFonts w:hint="eastAsia" w:ascii="宋体" w:hAnsi="宋体" w:eastAsia="宋体" w:cs="宋体"/>
                <w:color w:val="000000"/>
                <w:kern w:val="0"/>
                <w:sz w:val="24"/>
                <w:highlight w:val="none"/>
                <w:lang w:val="en-US" w:eastAsia="zh-CN" w:bidi="ar"/>
              </w:rPr>
              <w:t>业绩</w:t>
            </w:r>
          </w:p>
        </w:tc>
        <w:tc>
          <w:tcPr>
            <w:tcW w:w="6622" w:type="dxa"/>
            <w:gridSpan w:val="2"/>
            <w:tcBorders>
              <w:top w:val="single" w:color="auto" w:sz="6" w:space="0"/>
              <w:left w:val="single" w:color="auto" w:sz="6" w:space="0"/>
              <w:bottom w:val="single" w:color="auto" w:sz="6" w:space="0"/>
              <w:right w:val="single" w:color="auto" w:sz="6" w:space="0"/>
            </w:tcBorders>
            <w:noWrap w:val="0"/>
            <w:vAlign w:val="center"/>
          </w:tcPr>
          <w:p w14:paraId="49B7CBE9">
            <w:pPr>
              <w:rPr>
                <w:rFonts w:hint="eastAsia" w:ascii="宋体" w:hAnsi="宋体" w:eastAsia="宋体" w:cs="宋体"/>
                <w:color w:val="000000"/>
                <w:kern w:val="0"/>
                <w:sz w:val="24"/>
                <w:highlight w:val="none"/>
                <w:lang w:val="en-US" w:eastAsia="zh-CN" w:bidi="ar"/>
              </w:rPr>
            </w:pPr>
            <w:r>
              <w:rPr>
                <w:rFonts w:hint="eastAsia" w:ascii="宋体" w:hAnsi="宋体" w:eastAsia="宋体" w:cs="Times New Roman"/>
                <w:color w:val="000000"/>
                <w:sz w:val="24"/>
                <w:highlight w:val="none"/>
                <w:lang w:val="en-US" w:eastAsia="zh-CN"/>
              </w:rPr>
              <w:t>供应商</w:t>
            </w:r>
            <w:r>
              <w:rPr>
                <w:rFonts w:hint="eastAsia" w:ascii="宋体" w:hAnsi="宋体" w:eastAsia="宋体" w:cs="Times New Roman"/>
                <w:color w:val="000000"/>
                <w:sz w:val="24"/>
                <w:highlight w:val="none"/>
              </w:rPr>
              <w:t>完成过类似项目每有一个得</w:t>
            </w:r>
            <w:r>
              <w:rPr>
                <w:rFonts w:hint="eastAsia" w:ascii="宋体" w:hAnsi="宋体" w:eastAsia="宋体" w:cs="Times New Roman"/>
                <w:color w:val="000000"/>
                <w:sz w:val="24"/>
                <w:highlight w:val="none"/>
                <w:lang w:val="en-US" w:eastAsia="zh-CN"/>
              </w:rPr>
              <w:t>2</w:t>
            </w:r>
            <w:r>
              <w:rPr>
                <w:rFonts w:hint="eastAsia" w:ascii="宋体" w:hAnsi="宋体" w:eastAsia="宋体" w:cs="Times New Roman"/>
                <w:color w:val="000000"/>
                <w:sz w:val="24"/>
                <w:highlight w:val="none"/>
              </w:rPr>
              <w:t>分，最多得</w:t>
            </w:r>
            <w:r>
              <w:rPr>
                <w:rFonts w:hint="eastAsia" w:ascii="宋体" w:hAnsi="宋体" w:eastAsia="宋体" w:cs="Times New Roman"/>
                <w:color w:val="000000"/>
                <w:sz w:val="24"/>
                <w:highlight w:val="none"/>
                <w:lang w:val="en-US" w:eastAsia="zh-CN"/>
              </w:rPr>
              <w:t>4</w:t>
            </w:r>
            <w:r>
              <w:rPr>
                <w:rFonts w:hint="eastAsia" w:ascii="宋体" w:hAnsi="宋体" w:eastAsia="宋体" w:cs="Times New Roman"/>
                <w:color w:val="000000"/>
                <w:sz w:val="24"/>
                <w:highlight w:val="none"/>
              </w:rPr>
              <w:t>分。须提供中标通知书、施工合同和竣工验收证明，缺一不可，否则不得分（提供复印件，原件备查）。</w:t>
            </w:r>
          </w:p>
        </w:tc>
      </w:tr>
    </w:tbl>
    <w:p w14:paraId="7249F872">
      <w:pPr>
        <w:keepNext w:val="0"/>
        <w:keepLines w:val="0"/>
        <w:pageBreakBefore w:val="0"/>
        <w:widowControl/>
        <w:tabs>
          <w:tab w:val="left" w:pos="0"/>
          <w:tab w:val="left" w:pos="993"/>
          <w:tab w:val="left" w:pos="1134"/>
        </w:tabs>
        <w:spacing w:line="360" w:lineRule="auto"/>
        <w:ind w:firstLine="48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eastAsia="zh-CN"/>
        </w:rPr>
        <w:t>商务</w:t>
      </w:r>
      <w:r>
        <w:rPr>
          <w:rFonts w:hint="eastAsia" w:ascii="宋体" w:hAnsi="宋体" w:eastAsia="宋体" w:cs="宋体"/>
          <w:bCs/>
          <w:color w:val="auto"/>
          <w:sz w:val="24"/>
          <w:szCs w:val="24"/>
          <w:highlight w:val="none"/>
        </w:rPr>
        <w:t>技术标评审时，</w:t>
      </w:r>
      <w:r>
        <w:rPr>
          <w:rFonts w:hint="eastAsia" w:ascii="宋体" w:hAnsi="宋体" w:eastAsia="宋体" w:cs="宋体"/>
          <w:bCs/>
          <w:color w:val="auto"/>
          <w:sz w:val="24"/>
          <w:szCs w:val="24"/>
          <w:highlight w:val="none"/>
          <w:lang w:eastAsia="zh-CN"/>
        </w:rPr>
        <w:t>磋商小组</w:t>
      </w:r>
      <w:r>
        <w:rPr>
          <w:rFonts w:hint="eastAsia" w:ascii="宋体" w:hAnsi="宋体" w:eastAsia="宋体" w:cs="宋体"/>
          <w:bCs/>
          <w:color w:val="auto"/>
          <w:sz w:val="24"/>
          <w:szCs w:val="24"/>
          <w:highlight w:val="none"/>
        </w:rPr>
        <w:t>分别对每个有效</w:t>
      </w:r>
      <w:r>
        <w:rPr>
          <w:rFonts w:hint="eastAsia" w:ascii="宋体" w:hAnsi="宋体" w:eastAsia="宋体" w:cs="宋体"/>
          <w:bCs/>
          <w:color w:val="auto"/>
          <w:sz w:val="24"/>
          <w:szCs w:val="24"/>
          <w:highlight w:val="none"/>
          <w:lang w:eastAsia="zh-CN"/>
        </w:rPr>
        <w:t>供应商</w:t>
      </w:r>
      <w:r>
        <w:rPr>
          <w:rFonts w:hint="eastAsia" w:ascii="宋体" w:hAnsi="宋体" w:eastAsia="宋体" w:cs="宋体"/>
          <w:bCs/>
          <w:color w:val="auto"/>
          <w:sz w:val="24"/>
          <w:szCs w:val="24"/>
          <w:highlight w:val="none"/>
        </w:rPr>
        <w:t>的标书进行评价、打分。技术分按算术平均值计算。分值四舍五入，保留小数点后两位。</w:t>
      </w:r>
    </w:p>
    <w:p w14:paraId="4EE41770">
      <w:pPr>
        <w:keepNext w:val="0"/>
        <w:keepLines w:val="0"/>
        <w:pageBreakBefore w:val="0"/>
        <w:widowControl/>
        <w:tabs>
          <w:tab w:val="left" w:pos="0"/>
          <w:tab w:val="left" w:pos="993"/>
          <w:tab w:val="left" w:pos="1134"/>
        </w:tabs>
        <w:spacing w:line="360" w:lineRule="auto"/>
        <w:ind w:firstLine="482"/>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 xml:space="preserve">注：①请供应商对“评分标准表”中的所有打分项逐一响应并提供证明文件。 </w:t>
      </w:r>
    </w:p>
    <w:p w14:paraId="4092EC79">
      <w:pPr>
        <w:keepNext w:val="0"/>
        <w:keepLines w:val="0"/>
        <w:pageBreakBefore w:val="0"/>
        <w:widowControl/>
        <w:tabs>
          <w:tab w:val="left" w:pos="0"/>
          <w:tab w:val="left" w:pos="993"/>
          <w:tab w:val="left" w:pos="1134"/>
        </w:tabs>
        <w:spacing w:line="360" w:lineRule="auto"/>
        <w:ind w:firstLine="482"/>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②请供应商制作磋商响应文件的时保证图片、文字材料的完整、清晰可辨，任何原因导致评委看不清楚或无法查看，后果由供应商自负。</w:t>
      </w:r>
    </w:p>
    <w:p w14:paraId="70E92025">
      <w:pPr>
        <w:keepNext w:val="0"/>
        <w:keepLines w:val="0"/>
        <w:pageBreakBefore w:val="0"/>
        <w:widowControl/>
        <w:tabs>
          <w:tab w:val="left" w:pos="0"/>
          <w:tab w:val="left" w:pos="993"/>
          <w:tab w:val="left" w:pos="1134"/>
        </w:tabs>
        <w:spacing w:line="360" w:lineRule="auto"/>
        <w:ind w:firstLine="482"/>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③供应商应依照规定提交各类声明函、承诺函等，不要求提供原件备查或有关部门出具的相关证明文件，但中标或成交供应商应做好提交声明函、承诺函等响应原件的核查准备，核查后发现虚假应标或违背承诺的，将上报政府采购监管部门，依照相关法律法规规定处理。</w:t>
      </w:r>
    </w:p>
    <w:p w14:paraId="34D1AC08">
      <w:pPr>
        <w:pageBreakBefore w:val="0"/>
        <w:widowControl w:val="0"/>
        <w:spacing w:after="0" w:line="360" w:lineRule="auto"/>
        <w:ind w:left="0" w:firstLine="0"/>
        <w:jc w:val="both"/>
        <w:rPr>
          <w:rFonts w:hint="eastAsia" w:ascii="宋体" w:hAnsi="宋体" w:eastAsia="宋体" w:cs="Times New Roman"/>
          <w:color w:val="auto"/>
          <w:sz w:val="24"/>
          <w:szCs w:val="24"/>
          <w:highlight w:val="none"/>
          <w:lang w:val="en-US" w:eastAsia="zh-CN" w:bidi="ar-SA"/>
        </w:rPr>
      </w:pPr>
      <w:r>
        <w:rPr>
          <w:rFonts w:hint="eastAsia" w:ascii="宋体" w:hAnsi="宋体" w:eastAsia="宋体" w:cs="Times New Roman"/>
          <w:b/>
          <w:bCs/>
          <w:color w:val="auto"/>
          <w:sz w:val="24"/>
          <w:szCs w:val="24"/>
          <w:highlight w:val="none"/>
          <w:lang w:val="en-US" w:eastAsia="zh-CN" w:bidi="ar-SA"/>
        </w:rPr>
        <w:t>（四）价格标部分（60分）</w:t>
      </w:r>
    </w:p>
    <w:tbl>
      <w:tblPr>
        <w:tblStyle w:val="35"/>
        <w:tblpPr w:leftFromText="180" w:rightFromText="180" w:vertAnchor="text" w:horzAnchor="page" w:tblpX="1280" w:tblpY="250"/>
        <w:tblW w:w="9605"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
      <w:tblGrid>
        <w:gridCol w:w="1115"/>
        <w:gridCol w:w="690"/>
        <w:gridCol w:w="7800"/>
      </w:tblGrid>
      <w:tr w14:paraId="56623E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35" w:hRule="atLeast"/>
        </w:trPr>
        <w:tc>
          <w:tcPr>
            <w:tcW w:w="1115" w:type="dxa"/>
            <w:noWrap w:val="0"/>
            <w:vAlign w:val="center"/>
          </w:tcPr>
          <w:p w14:paraId="68B54D1E">
            <w:pPr>
              <w:spacing w:line="42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评标内容</w:t>
            </w:r>
          </w:p>
        </w:tc>
        <w:tc>
          <w:tcPr>
            <w:tcW w:w="690" w:type="dxa"/>
            <w:noWrap w:val="0"/>
            <w:vAlign w:val="center"/>
          </w:tcPr>
          <w:p w14:paraId="09DD3009">
            <w:pPr>
              <w:spacing w:line="42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分值</w:t>
            </w:r>
          </w:p>
        </w:tc>
        <w:tc>
          <w:tcPr>
            <w:tcW w:w="7800" w:type="dxa"/>
            <w:noWrap w:val="0"/>
            <w:vAlign w:val="center"/>
          </w:tcPr>
          <w:p w14:paraId="1902A166">
            <w:pPr>
              <w:spacing w:line="42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评分细则</w:t>
            </w:r>
          </w:p>
        </w:tc>
      </w:tr>
      <w:tr w14:paraId="476FB9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635" w:hRule="atLeast"/>
        </w:trPr>
        <w:tc>
          <w:tcPr>
            <w:tcW w:w="1115" w:type="dxa"/>
            <w:noWrap w:val="0"/>
            <w:vAlign w:val="center"/>
          </w:tcPr>
          <w:p w14:paraId="4B4BA622">
            <w:pPr>
              <w:spacing w:line="420" w:lineRule="exac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价格</w:t>
            </w:r>
            <w:r>
              <w:rPr>
                <w:rFonts w:hint="eastAsia" w:ascii="宋体" w:hAnsi="宋体" w:eastAsia="宋体" w:cs="宋体"/>
                <w:color w:val="auto"/>
                <w:sz w:val="24"/>
                <w:szCs w:val="24"/>
                <w:highlight w:val="none"/>
              </w:rPr>
              <w:t>标得分</w:t>
            </w:r>
            <w:r>
              <w:rPr>
                <w:rFonts w:hint="eastAsia" w:ascii="宋体" w:hAnsi="宋体" w:eastAsia="宋体" w:cs="宋体"/>
                <w:color w:val="auto"/>
                <w:sz w:val="24"/>
                <w:szCs w:val="24"/>
                <w:highlight w:val="none"/>
                <w:lang w:val="en-US" w:eastAsia="zh-CN"/>
              </w:rPr>
              <w:t xml:space="preserve"> </w:t>
            </w:r>
          </w:p>
        </w:tc>
        <w:tc>
          <w:tcPr>
            <w:tcW w:w="690" w:type="dxa"/>
            <w:noWrap w:val="0"/>
            <w:vAlign w:val="center"/>
          </w:tcPr>
          <w:p w14:paraId="28B15296">
            <w:pPr>
              <w:spacing w:line="420" w:lineRule="exact"/>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60</w:t>
            </w:r>
          </w:p>
        </w:tc>
        <w:tc>
          <w:tcPr>
            <w:tcW w:w="7800" w:type="dxa"/>
            <w:noWrap w:val="0"/>
            <w:vAlign w:val="center"/>
          </w:tcPr>
          <w:p w14:paraId="668BAE9D">
            <w:pPr>
              <w:spacing w:line="42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采用低价优先法计算，即满足磋商文件要求且最后报价最低的供应商的价格为磋商基准价，其价格分为满分。其他供应商的价格分统一按照下列公式计算：</w:t>
            </w:r>
          </w:p>
          <w:p w14:paraId="3B6BEFD0">
            <w:pPr>
              <w:spacing w:line="42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磋商报价得分=（磋商基准价/最后磋商报价）×</w:t>
            </w:r>
            <w:r>
              <w:rPr>
                <w:rFonts w:hint="eastAsia" w:ascii="宋体" w:hAnsi="宋体" w:eastAsia="宋体" w:cs="宋体"/>
                <w:color w:val="auto"/>
                <w:sz w:val="24"/>
                <w:szCs w:val="24"/>
                <w:highlight w:val="none"/>
                <w:lang w:val="en-US" w:eastAsia="zh-CN"/>
              </w:rPr>
              <w:t>价格权值</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100</w:t>
            </w:r>
            <w:r>
              <w:rPr>
                <w:rFonts w:hint="eastAsia" w:ascii="宋体" w:hAnsi="宋体" w:eastAsia="宋体" w:cs="宋体"/>
                <w:color w:val="auto"/>
                <w:sz w:val="24"/>
                <w:szCs w:val="24"/>
                <w:highlight w:val="none"/>
              </w:rPr>
              <w:t>（分值四舍五入，保留小数点后两位）</w:t>
            </w:r>
          </w:p>
        </w:tc>
      </w:tr>
    </w:tbl>
    <w:p w14:paraId="5E6C5F62">
      <w:pPr>
        <w:keepNext w:val="0"/>
        <w:keepLines w:val="0"/>
        <w:pageBreakBefore w:val="0"/>
        <w:widowControl/>
        <w:tabs>
          <w:tab w:val="left" w:pos="0"/>
          <w:tab w:val="left" w:pos="993"/>
          <w:tab w:val="left" w:pos="1134"/>
        </w:tabs>
        <w:spacing w:line="360" w:lineRule="auto"/>
        <w:rPr>
          <w:rFonts w:hint="eastAsia" w:ascii="宋体" w:hAnsi="宋体" w:cs="宋体"/>
          <w:b/>
          <w:bCs/>
          <w:color w:val="auto"/>
          <w:sz w:val="24"/>
          <w:highlight w:val="none"/>
        </w:rPr>
      </w:pPr>
      <w:r>
        <w:rPr>
          <w:rFonts w:hint="eastAsia" w:ascii="宋体" w:hAnsi="宋体" w:cs="宋体"/>
          <w:b/>
          <w:bCs/>
          <w:color w:val="auto"/>
          <w:sz w:val="24"/>
          <w:highlight w:val="none"/>
          <w:lang w:val="en-US" w:eastAsia="zh-CN"/>
        </w:rPr>
        <w:t>二、</w:t>
      </w:r>
      <w:r>
        <w:rPr>
          <w:rFonts w:hint="eastAsia" w:ascii="宋体" w:hAnsi="宋体" w:cs="宋体"/>
          <w:b/>
          <w:bCs/>
          <w:color w:val="auto"/>
          <w:sz w:val="24"/>
          <w:highlight w:val="none"/>
        </w:rPr>
        <w:t>政府采购政策功能落实</w:t>
      </w:r>
    </w:p>
    <w:p w14:paraId="6AA38F07">
      <w:pPr>
        <w:keepNext w:val="0"/>
        <w:keepLines w:val="0"/>
        <w:pageBreakBefore w:val="0"/>
        <w:widowControl w:val="0"/>
        <w:suppressLineNumbers w:val="0"/>
        <w:spacing w:beforeAutospacing="0" w:afterAutospacing="0" w:line="360" w:lineRule="auto"/>
        <w:ind w:left="0" w:right="0" w:firstLine="480"/>
        <w:jc w:val="both"/>
        <w:outlineLvl w:val="9"/>
        <w:rPr>
          <w:rFonts w:hint="eastAsia" w:ascii="宋体" w:hAnsi="宋体" w:eastAsia="宋体" w:cs="宋体"/>
          <w:color w:val="auto"/>
          <w:sz w:val="24"/>
          <w:szCs w:val="24"/>
          <w:highlight w:val="none"/>
          <w:lang w:val="en-US" w:eastAsia="zh-CN" w:bidi="ar"/>
        </w:rPr>
      </w:pPr>
      <w:r>
        <w:rPr>
          <w:rFonts w:hint="eastAsia" w:ascii="宋体" w:hAnsi="宋体" w:eastAsia="宋体" w:cs="宋体"/>
          <w:b/>
          <w:bCs/>
          <w:color w:val="auto"/>
          <w:sz w:val="24"/>
          <w:szCs w:val="24"/>
          <w:highlight w:val="none"/>
          <w:lang w:val="en-US" w:eastAsia="zh-CN" w:bidi="ar"/>
        </w:rPr>
        <w:t>本项目专门面向中小企业采购。</w:t>
      </w:r>
    </w:p>
    <w:p w14:paraId="0A90D4F8">
      <w:pPr>
        <w:keepNext w:val="0"/>
        <w:keepLines w:val="0"/>
        <w:pageBreakBefore w:val="0"/>
        <w:widowControl w:val="0"/>
        <w:suppressLineNumbers w:val="0"/>
        <w:spacing w:beforeAutospacing="0" w:afterAutospacing="0" w:line="360" w:lineRule="auto"/>
        <w:ind w:left="0" w:right="0" w:firstLine="480"/>
        <w:jc w:val="both"/>
        <w:outlineLvl w:val="9"/>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本次采购标的对应的中小企业划分标准所属行业为：</w:t>
      </w:r>
      <w:r>
        <w:rPr>
          <w:rFonts w:hint="eastAsia" w:ascii="宋体" w:hAnsi="宋体" w:eastAsia="宋体" w:cs="宋体"/>
          <w:b/>
          <w:bCs/>
          <w:color w:val="auto"/>
          <w:sz w:val="24"/>
          <w:szCs w:val="24"/>
          <w:highlight w:val="none"/>
          <w:lang w:val="en-US" w:eastAsia="zh-CN" w:bidi="ar"/>
        </w:rPr>
        <w:t>建筑业。</w:t>
      </w:r>
    </w:p>
    <w:p w14:paraId="34269579">
      <w:pPr>
        <w:keepNext w:val="0"/>
        <w:keepLines w:val="0"/>
        <w:pageBreakBefore w:val="0"/>
        <w:spacing w:line="360" w:lineRule="auto"/>
        <w:ind w:left="0" w:firstLine="480"/>
        <w:outlineLvl w:val="9"/>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val="en-US" w:eastAsia="zh-CN"/>
        </w:rPr>
        <w:t>注：本项目专门面向中小企业采购，不再执行价格评审优惠的扶持政策。</w:t>
      </w:r>
    </w:p>
    <w:p w14:paraId="3722B971">
      <w:pPr>
        <w:keepNext w:val="0"/>
        <w:keepLines w:val="0"/>
        <w:pageBreakBefore w:val="0"/>
        <w:widowControl w:val="0"/>
        <w:spacing w:line="360" w:lineRule="auto"/>
        <w:rPr>
          <w:rFonts w:hint="eastAsia" w:ascii="宋体" w:hAnsi="宋体" w:eastAsia="宋体" w:cs="宋体"/>
          <w:b w:val="0"/>
          <w:bCs w:val="0"/>
          <w:color w:val="auto"/>
          <w:sz w:val="24"/>
          <w:highlight w:val="none"/>
          <w:u w:val="none"/>
          <w:lang w:val="zh-CN"/>
        </w:rPr>
      </w:pPr>
      <w:r>
        <w:rPr>
          <w:rFonts w:hint="eastAsia" w:ascii="宋体" w:hAnsi="宋体" w:eastAsia="宋体" w:cs="宋体"/>
          <w:b/>
          <w:bCs/>
          <w:color w:val="auto"/>
          <w:sz w:val="24"/>
          <w:highlight w:val="none"/>
          <w:lang w:val="en-US" w:eastAsia="zh-CN"/>
        </w:rPr>
        <w:t>三、</w:t>
      </w:r>
      <w:r>
        <w:rPr>
          <w:rFonts w:hint="default" w:ascii="宋体" w:hAnsi="宋体" w:eastAsia="宋体" w:cs="宋体"/>
          <w:b/>
          <w:bCs/>
          <w:color w:val="auto"/>
          <w:sz w:val="24"/>
          <w:highlight w:val="none"/>
          <w:u w:val="none"/>
          <w:lang w:val="en-US" w:eastAsia="zh-CN"/>
        </w:rPr>
        <w:t>政府采购异常低价审查的</w:t>
      </w:r>
      <w:r>
        <w:rPr>
          <w:rFonts w:hint="eastAsia" w:ascii="宋体" w:hAnsi="宋体" w:eastAsia="宋体" w:cs="宋体"/>
          <w:b/>
          <w:bCs/>
          <w:color w:val="auto"/>
          <w:sz w:val="24"/>
          <w:highlight w:val="none"/>
          <w:u w:val="none"/>
          <w:lang w:val="en-US" w:eastAsia="zh-CN"/>
        </w:rPr>
        <w:t>实施</w:t>
      </w:r>
    </w:p>
    <w:p w14:paraId="1D73E6D4">
      <w:pPr>
        <w:keepNext w:val="0"/>
        <w:keepLines w:val="0"/>
        <w:pageBreakBefore w:val="0"/>
        <w:widowControl w:val="0"/>
        <w:spacing w:line="360" w:lineRule="auto"/>
        <w:ind w:firstLine="570"/>
        <w:rPr>
          <w:rFonts w:hint="eastAsia" w:ascii="宋体" w:hAnsi="宋体" w:eastAsia="宋体" w:cs="宋体"/>
          <w:b w:val="0"/>
          <w:bCs w:val="0"/>
          <w:color w:val="auto"/>
          <w:sz w:val="24"/>
          <w:highlight w:val="none"/>
          <w:u w:val="none"/>
          <w:lang w:val="zh-CN"/>
        </w:rPr>
      </w:pPr>
      <w:r>
        <w:rPr>
          <w:rFonts w:hint="eastAsia" w:ascii="宋体" w:hAnsi="宋体" w:eastAsia="宋体" w:cs="宋体"/>
          <w:b w:val="0"/>
          <w:bCs w:val="0"/>
          <w:color w:val="auto"/>
          <w:sz w:val="24"/>
          <w:highlight w:val="none"/>
          <w:u w:val="none"/>
          <w:lang w:val="en-US" w:eastAsia="zh-CN"/>
        </w:rPr>
        <w:t>1.</w:t>
      </w:r>
      <w:r>
        <w:rPr>
          <w:rFonts w:hint="default" w:ascii="宋体" w:hAnsi="宋体" w:eastAsia="宋体" w:cs="宋体"/>
          <w:b w:val="0"/>
          <w:bCs w:val="0"/>
          <w:color w:val="auto"/>
          <w:sz w:val="24"/>
          <w:highlight w:val="none"/>
          <w:u w:val="none"/>
          <w:lang w:val="en-US" w:eastAsia="zh-CN"/>
        </w:rPr>
        <w:t>评审过程中出现下列情形之一的，</w:t>
      </w:r>
      <w:r>
        <w:rPr>
          <w:rFonts w:hint="eastAsia" w:ascii="宋体" w:hAnsi="宋体" w:eastAsia="宋体" w:cs="宋体"/>
          <w:b w:val="0"/>
          <w:bCs w:val="0"/>
          <w:color w:val="auto"/>
          <w:sz w:val="24"/>
          <w:highlight w:val="none"/>
          <w:u w:val="none"/>
          <w:lang w:val="en-US" w:eastAsia="zh-CN"/>
        </w:rPr>
        <w:t>磋商小组</w:t>
      </w:r>
      <w:r>
        <w:rPr>
          <w:rFonts w:hint="default" w:ascii="宋体" w:hAnsi="宋体" w:eastAsia="宋体" w:cs="宋体"/>
          <w:b w:val="0"/>
          <w:bCs w:val="0"/>
          <w:color w:val="auto"/>
          <w:sz w:val="24"/>
          <w:highlight w:val="none"/>
          <w:u w:val="none"/>
          <w:lang w:val="en-US" w:eastAsia="zh-CN"/>
        </w:rPr>
        <w:t xml:space="preserve">应当启动异常低价投标（响应）审查程序： </w:t>
      </w:r>
    </w:p>
    <w:p w14:paraId="1FFB8D27">
      <w:pPr>
        <w:keepNext w:val="0"/>
        <w:keepLines w:val="0"/>
        <w:pageBreakBefore w:val="0"/>
        <w:widowControl w:val="0"/>
        <w:spacing w:line="360" w:lineRule="auto"/>
        <w:ind w:firstLine="570"/>
        <w:rPr>
          <w:rFonts w:hint="eastAsia" w:ascii="宋体" w:hAnsi="宋体" w:eastAsia="宋体" w:cs="宋体"/>
          <w:b w:val="0"/>
          <w:bCs w:val="0"/>
          <w:color w:val="auto"/>
          <w:sz w:val="24"/>
          <w:highlight w:val="none"/>
          <w:u w:val="none"/>
          <w:lang w:val="en-US" w:eastAsia="zh-CN"/>
        </w:rPr>
      </w:pPr>
      <w:r>
        <w:rPr>
          <w:rFonts w:hint="eastAsia" w:ascii="宋体" w:hAnsi="宋体" w:eastAsia="宋体" w:cs="宋体"/>
          <w:b w:val="0"/>
          <w:bCs w:val="0"/>
          <w:color w:val="auto"/>
          <w:sz w:val="24"/>
          <w:highlight w:val="none"/>
          <w:u w:val="none"/>
          <w:lang w:val="en-US" w:eastAsia="zh-CN"/>
        </w:rPr>
        <w:t>（1）投标（响应）报价低于全部通过符合性审查供应商投标（响应）报价平均值</w:t>
      </w:r>
      <w:r>
        <w:rPr>
          <w:rFonts w:hint="eastAsia" w:ascii="宋体" w:hAnsi="宋体" w:cs="宋体"/>
          <w:b w:val="0"/>
          <w:bCs w:val="0"/>
          <w:color w:val="auto"/>
          <w:sz w:val="24"/>
          <w:highlight w:val="none"/>
          <w:u w:val="none"/>
          <w:lang w:val="en-US" w:eastAsia="zh-CN"/>
        </w:rPr>
        <w:t>50</w:t>
      </w:r>
      <w:r>
        <w:rPr>
          <w:rFonts w:hint="eastAsia" w:ascii="宋体" w:hAnsi="宋体" w:eastAsia="宋体" w:cs="宋体"/>
          <w:b w:val="0"/>
          <w:bCs w:val="0"/>
          <w:color w:val="auto"/>
          <w:sz w:val="24"/>
          <w:highlight w:val="none"/>
          <w:u w:val="none"/>
          <w:lang w:val="en-US" w:eastAsia="zh-CN"/>
        </w:rPr>
        <w:t>%，即投标（响应）报价&lt;全部通过符合性审查供应商投标（响应）报价平均值×</w:t>
      </w:r>
      <w:r>
        <w:rPr>
          <w:rFonts w:hint="eastAsia" w:ascii="宋体" w:hAnsi="宋体" w:cs="宋体"/>
          <w:b w:val="0"/>
          <w:bCs w:val="0"/>
          <w:color w:val="auto"/>
          <w:sz w:val="24"/>
          <w:highlight w:val="none"/>
          <w:u w:val="none"/>
          <w:lang w:val="en-US" w:eastAsia="zh-CN"/>
        </w:rPr>
        <w:t>50</w:t>
      </w:r>
      <w:r>
        <w:rPr>
          <w:rFonts w:hint="eastAsia" w:ascii="宋体" w:hAnsi="宋体" w:eastAsia="宋体" w:cs="宋体"/>
          <w:b w:val="0"/>
          <w:bCs w:val="0"/>
          <w:color w:val="auto"/>
          <w:sz w:val="24"/>
          <w:highlight w:val="none"/>
          <w:u w:val="none"/>
          <w:lang w:val="en-US" w:eastAsia="zh-CN"/>
        </w:rPr>
        <w:t>%；</w:t>
      </w:r>
    </w:p>
    <w:p w14:paraId="1E59A920">
      <w:pPr>
        <w:keepNext w:val="0"/>
        <w:keepLines w:val="0"/>
        <w:pageBreakBefore w:val="0"/>
        <w:widowControl w:val="0"/>
        <w:spacing w:line="360" w:lineRule="auto"/>
        <w:ind w:firstLine="570"/>
        <w:rPr>
          <w:rFonts w:hint="eastAsia" w:ascii="宋体" w:hAnsi="宋体" w:eastAsia="宋体" w:cs="宋体"/>
          <w:b w:val="0"/>
          <w:bCs w:val="0"/>
          <w:color w:val="auto"/>
          <w:sz w:val="24"/>
          <w:highlight w:val="none"/>
          <w:u w:val="none"/>
          <w:lang w:val="en-US" w:eastAsia="zh-CN"/>
        </w:rPr>
      </w:pPr>
      <w:r>
        <w:rPr>
          <w:rFonts w:hint="eastAsia" w:ascii="宋体" w:hAnsi="宋体" w:eastAsia="宋体" w:cs="宋体"/>
          <w:b w:val="0"/>
          <w:bCs w:val="0"/>
          <w:color w:val="auto"/>
          <w:sz w:val="24"/>
          <w:highlight w:val="none"/>
          <w:u w:val="none"/>
          <w:lang w:val="en-US" w:eastAsia="zh-CN"/>
        </w:rPr>
        <w:t xml:space="preserve">（2）投标（响应）报价低于通过符合性审查的次低报价供应商投标（响应）报价50%的，即投标（响应）报价&lt;通过符合性审查的次低报价供应商（响应）报价×50%； </w:t>
      </w:r>
    </w:p>
    <w:p w14:paraId="3959EE23">
      <w:pPr>
        <w:keepNext w:val="0"/>
        <w:keepLines w:val="0"/>
        <w:pageBreakBefore w:val="0"/>
        <w:widowControl w:val="0"/>
        <w:spacing w:line="360" w:lineRule="auto"/>
        <w:ind w:firstLine="570"/>
        <w:rPr>
          <w:rFonts w:hint="eastAsia" w:ascii="宋体" w:hAnsi="宋体" w:eastAsia="宋体" w:cs="宋体"/>
          <w:b w:val="0"/>
          <w:bCs w:val="0"/>
          <w:color w:val="auto"/>
          <w:sz w:val="24"/>
          <w:highlight w:val="none"/>
          <w:u w:val="none"/>
          <w:lang w:val="en-US" w:eastAsia="zh-CN"/>
        </w:rPr>
      </w:pPr>
      <w:r>
        <w:rPr>
          <w:rFonts w:hint="eastAsia" w:ascii="宋体" w:hAnsi="宋体" w:eastAsia="宋体" w:cs="宋体"/>
          <w:b w:val="0"/>
          <w:bCs w:val="0"/>
          <w:color w:val="auto"/>
          <w:sz w:val="24"/>
          <w:highlight w:val="none"/>
          <w:u w:val="none"/>
          <w:lang w:val="en-US" w:eastAsia="zh-CN"/>
        </w:rPr>
        <w:t xml:space="preserve">（3）投标（响应）报价低于采购项目最高限价65%的，即投标（响应）报价&lt;采购项目最高限价×65%； </w:t>
      </w:r>
    </w:p>
    <w:p w14:paraId="50A49BAF">
      <w:pPr>
        <w:keepNext w:val="0"/>
        <w:keepLines w:val="0"/>
        <w:pageBreakBefore w:val="0"/>
        <w:widowControl w:val="0"/>
        <w:spacing w:line="360" w:lineRule="auto"/>
        <w:ind w:firstLine="570"/>
        <w:rPr>
          <w:rFonts w:hint="eastAsia" w:ascii="宋体" w:hAnsi="宋体" w:eastAsia="宋体" w:cs="宋体"/>
          <w:b w:val="0"/>
          <w:bCs w:val="0"/>
          <w:color w:val="auto"/>
          <w:sz w:val="24"/>
          <w:highlight w:val="none"/>
          <w:u w:val="none"/>
          <w:lang w:val="en-US" w:eastAsia="zh-CN"/>
        </w:rPr>
      </w:pPr>
      <w:r>
        <w:rPr>
          <w:rFonts w:hint="eastAsia" w:ascii="宋体" w:hAnsi="宋体" w:eastAsia="宋体" w:cs="宋体"/>
          <w:b w:val="0"/>
          <w:bCs w:val="0"/>
          <w:color w:val="auto"/>
          <w:sz w:val="24"/>
          <w:highlight w:val="none"/>
          <w:u w:val="none"/>
          <w:lang w:val="en-US" w:eastAsia="zh-CN"/>
        </w:rPr>
        <w:t xml:space="preserve">（4）评审委员会基于专业判断，认定供应商报价过低，有可能影响产品质量或者不能诚信履约的其他情形。 </w:t>
      </w:r>
    </w:p>
    <w:p w14:paraId="564DE6BF">
      <w:pPr>
        <w:keepNext w:val="0"/>
        <w:keepLines w:val="0"/>
        <w:pageBreakBefore w:val="0"/>
        <w:widowControl w:val="0"/>
        <w:spacing w:line="360" w:lineRule="auto"/>
        <w:ind w:firstLine="570"/>
        <w:rPr>
          <w:rFonts w:hint="default" w:ascii="宋体" w:hAnsi="宋体" w:eastAsia="宋体" w:cs="宋体"/>
          <w:b/>
          <w:bCs/>
          <w:color w:val="auto"/>
          <w:sz w:val="24"/>
          <w:highlight w:val="none"/>
          <w:lang w:val="en-US" w:eastAsia="zh-CN"/>
        </w:rPr>
      </w:pPr>
      <w:r>
        <w:rPr>
          <w:rFonts w:hint="eastAsia" w:ascii="宋体" w:hAnsi="宋体" w:eastAsia="宋体" w:cs="宋体"/>
          <w:b w:val="0"/>
          <w:bCs w:val="0"/>
          <w:color w:val="auto"/>
          <w:sz w:val="24"/>
          <w:highlight w:val="none"/>
          <w:u w:val="none"/>
          <w:lang w:val="en-US" w:eastAsia="zh-CN"/>
        </w:rPr>
        <w:t>2.</w:t>
      </w:r>
      <w:r>
        <w:rPr>
          <w:rFonts w:hint="default" w:ascii="宋体" w:hAnsi="宋体" w:eastAsia="宋体" w:cs="宋体"/>
          <w:b w:val="0"/>
          <w:bCs w:val="0"/>
          <w:color w:val="auto"/>
          <w:sz w:val="24"/>
          <w:highlight w:val="none"/>
          <w:u w:val="none"/>
          <w:lang w:val="en-US" w:eastAsia="zh-CN"/>
        </w:rPr>
        <w:t>启动异常低价投标（响应）审查后，</w:t>
      </w:r>
      <w:r>
        <w:rPr>
          <w:rFonts w:hint="eastAsia" w:ascii="宋体" w:hAnsi="宋体" w:eastAsia="宋体" w:cs="宋体"/>
          <w:b w:val="0"/>
          <w:bCs w:val="0"/>
          <w:color w:val="auto"/>
          <w:sz w:val="24"/>
          <w:highlight w:val="none"/>
          <w:u w:val="none"/>
          <w:lang w:val="en-US" w:eastAsia="zh-CN"/>
        </w:rPr>
        <w:t>磋商小组</w:t>
      </w:r>
      <w:r>
        <w:rPr>
          <w:rFonts w:hint="default" w:ascii="宋体" w:hAnsi="宋体" w:eastAsia="宋体" w:cs="宋体"/>
          <w:b w:val="0"/>
          <w:bCs w:val="0"/>
          <w:color w:val="auto"/>
          <w:sz w:val="24"/>
          <w:highlight w:val="none"/>
          <w:u w:val="none"/>
          <w:lang w:val="en-US" w:eastAsia="zh-CN"/>
        </w:rPr>
        <w:t>应当要求相关供应商在评标现场合理的时间内，提供项目具体成本测算等与报价合理性相关的书面说明及相关证明材料，对投标（响应）价格作出解释，由</w:t>
      </w:r>
      <w:r>
        <w:rPr>
          <w:rFonts w:hint="eastAsia" w:ascii="宋体" w:hAnsi="宋体" w:eastAsia="宋体" w:cs="宋体"/>
          <w:b w:val="0"/>
          <w:bCs w:val="0"/>
          <w:color w:val="auto"/>
          <w:sz w:val="24"/>
          <w:highlight w:val="none"/>
          <w:u w:val="none"/>
          <w:lang w:val="en-US" w:eastAsia="zh-CN"/>
        </w:rPr>
        <w:t>磋商小组</w:t>
      </w:r>
      <w:r>
        <w:rPr>
          <w:rFonts w:hint="default" w:ascii="宋体" w:hAnsi="宋体" w:eastAsia="宋体" w:cs="宋体"/>
          <w:b w:val="0"/>
          <w:bCs w:val="0"/>
          <w:color w:val="auto"/>
          <w:sz w:val="24"/>
          <w:highlight w:val="none"/>
          <w:u w:val="none"/>
          <w:lang w:val="en-US" w:eastAsia="zh-CN"/>
        </w:rPr>
        <w:t>结合同类产品在主要电商平台的价格、该行业当地薪资水平等情况，依据专业经验对供应商报价合理性进行判断。投标（响应）供应商不提供书面说明、证明材料，或者提供的书面说明、证明材料不能证明其报价合理性的，</w:t>
      </w:r>
      <w:r>
        <w:rPr>
          <w:rFonts w:hint="eastAsia" w:ascii="宋体" w:hAnsi="宋体" w:eastAsia="宋体" w:cs="宋体"/>
          <w:b w:val="0"/>
          <w:bCs w:val="0"/>
          <w:color w:val="auto"/>
          <w:sz w:val="24"/>
          <w:highlight w:val="none"/>
          <w:u w:val="none"/>
          <w:lang w:val="en-US" w:eastAsia="zh-CN"/>
        </w:rPr>
        <w:t>磋商小组</w:t>
      </w:r>
      <w:r>
        <w:rPr>
          <w:rFonts w:hint="default" w:ascii="宋体" w:hAnsi="宋体" w:eastAsia="宋体" w:cs="宋体"/>
          <w:b w:val="0"/>
          <w:bCs w:val="0"/>
          <w:color w:val="auto"/>
          <w:sz w:val="24"/>
          <w:highlight w:val="none"/>
          <w:u w:val="none"/>
          <w:lang w:val="en-US" w:eastAsia="zh-CN"/>
        </w:rPr>
        <w:t>应当将其作为无效投标（响应）处理。审查相关情况应当在评审报告中进行记录。</w:t>
      </w:r>
    </w:p>
    <w:p w14:paraId="42219451">
      <w:pPr>
        <w:keepNext w:val="0"/>
        <w:keepLines w:val="0"/>
        <w:pageBreakBefore w:val="0"/>
        <w:spacing w:line="360" w:lineRule="auto"/>
        <w:outlineLvl w:val="9"/>
        <w:rPr>
          <w:rFonts w:hint="eastAsia" w:ascii="宋体" w:hAnsi="宋体" w:eastAsia="宋体" w:cs="宋体"/>
          <w:b/>
          <w:bCs/>
          <w:color w:val="auto"/>
          <w:sz w:val="24"/>
          <w:highlight w:val="none"/>
        </w:rPr>
      </w:pPr>
      <w:r>
        <w:rPr>
          <w:rFonts w:hint="eastAsia" w:ascii="宋体" w:hAnsi="宋体" w:cs="宋体"/>
          <w:b/>
          <w:bCs/>
          <w:color w:val="auto"/>
          <w:sz w:val="24"/>
          <w:highlight w:val="none"/>
          <w:lang w:val="en-US" w:eastAsia="zh-CN"/>
        </w:rPr>
        <w:t>四</w:t>
      </w:r>
      <w:r>
        <w:rPr>
          <w:rFonts w:hint="eastAsia" w:ascii="宋体" w:hAnsi="宋体" w:eastAsia="宋体" w:cs="宋体"/>
          <w:b/>
          <w:bCs/>
          <w:color w:val="auto"/>
          <w:sz w:val="24"/>
          <w:highlight w:val="none"/>
          <w:lang w:eastAsia="zh-CN"/>
        </w:rPr>
        <w:t>、</w:t>
      </w:r>
      <w:r>
        <w:rPr>
          <w:rFonts w:hint="eastAsia" w:ascii="宋体" w:hAnsi="宋体" w:eastAsia="宋体" w:cs="宋体"/>
          <w:b/>
          <w:bCs/>
          <w:color w:val="auto"/>
          <w:sz w:val="24"/>
          <w:highlight w:val="none"/>
          <w:lang w:val="en-US" w:eastAsia="zh-CN"/>
        </w:rPr>
        <w:t>成交供应商</w:t>
      </w:r>
      <w:r>
        <w:rPr>
          <w:rFonts w:hint="eastAsia" w:ascii="宋体" w:hAnsi="宋体" w:eastAsia="宋体" w:cs="宋体"/>
          <w:b/>
          <w:bCs/>
          <w:color w:val="auto"/>
          <w:sz w:val="24"/>
          <w:highlight w:val="none"/>
        </w:rPr>
        <w:t>的确定</w:t>
      </w:r>
    </w:p>
    <w:p w14:paraId="6C12D15C">
      <w:pPr>
        <w:keepNext w:val="0"/>
        <w:keepLines w:val="0"/>
        <w:pageBreakBefore w:val="0"/>
        <w:spacing w:line="360" w:lineRule="auto"/>
        <w:ind w:left="0" w:firstLine="480"/>
        <w:outlineLvl w:val="9"/>
        <w:rPr>
          <w:rFonts w:hint="eastAsia" w:ascii="宋体" w:hAnsi="宋体" w:eastAsia="宋体" w:cs="宋体"/>
          <w:b w:val="0"/>
          <w:bCs w:val="0"/>
          <w:color w:val="auto"/>
          <w:sz w:val="24"/>
          <w:highlight w:val="none"/>
          <w:u w:val="none"/>
          <w:lang w:val="zh-CN" w:eastAsia="zh-CN"/>
        </w:rPr>
      </w:pPr>
      <w:r>
        <w:rPr>
          <w:rFonts w:hint="eastAsia" w:ascii="宋体" w:hAnsi="宋体" w:eastAsia="宋体" w:cs="宋体"/>
          <w:color w:val="auto"/>
          <w:sz w:val="24"/>
          <w:highlight w:val="none"/>
          <w:lang w:val="zh-CN"/>
        </w:rPr>
        <w:t>磋商小组根据综合评分</w:t>
      </w:r>
      <w:r>
        <w:rPr>
          <w:rFonts w:hint="eastAsia" w:ascii="宋体" w:hAnsi="宋体" w:eastAsia="宋体" w:cs="宋体"/>
          <w:b w:val="0"/>
          <w:bCs w:val="0"/>
          <w:color w:val="auto"/>
          <w:sz w:val="24"/>
          <w:highlight w:val="none"/>
          <w:u w:val="none"/>
          <w:lang w:val="zh-CN"/>
        </w:rPr>
        <w:t>情况，按照评审得分由高到低顺序推荐3名成交候选供应商，并编写评审报告。符合本磋商文件第二章第2</w:t>
      </w:r>
      <w:r>
        <w:rPr>
          <w:rFonts w:hint="eastAsia" w:ascii="宋体" w:hAnsi="宋体" w:eastAsia="宋体" w:cs="宋体"/>
          <w:b w:val="0"/>
          <w:bCs w:val="0"/>
          <w:color w:val="auto"/>
          <w:sz w:val="24"/>
          <w:highlight w:val="none"/>
          <w:u w:val="none"/>
          <w:lang w:val="en-US" w:eastAsia="zh-CN"/>
        </w:rPr>
        <w:t>8</w:t>
      </w:r>
      <w:r>
        <w:rPr>
          <w:rFonts w:hint="eastAsia" w:ascii="宋体" w:hAnsi="宋体" w:eastAsia="宋体" w:cs="宋体"/>
          <w:b w:val="0"/>
          <w:bCs w:val="0"/>
          <w:color w:val="auto"/>
          <w:sz w:val="24"/>
          <w:highlight w:val="none"/>
          <w:u w:val="none"/>
          <w:lang w:val="zh-CN"/>
        </w:rPr>
        <w:t>.1.2条情形的，可以推荐2名成交候选供应商。评审得分相同的，按照最后报价由低到高的顺序推荐。评审得分且最后报价相同的，按照技术指标优劣顺序推荐</w:t>
      </w:r>
      <w:r>
        <w:rPr>
          <w:rFonts w:hint="eastAsia" w:ascii="宋体" w:hAnsi="宋体" w:eastAsia="宋体" w:cs="宋体"/>
          <w:b w:val="0"/>
          <w:bCs w:val="0"/>
          <w:color w:val="auto"/>
          <w:sz w:val="24"/>
          <w:highlight w:val="none"/>
          <w:u w:val="none"/>
          <w:lang w:val="zh-CN" w:eastAsia="zh-CN"/>
        </w:rPr>
        <w:t>。</w:t>
      </w:r>
    </w:p>
    <w:p w14:paraId="67E5A57B">
      <w:pPr>
        <w:keepNext w:val="0"/>
        <w:keepLines w:val="0"/>
        <w:pageBreakBefore w:val="0"/>
        <w:widowControl w:val="0"/>
        <w:spacing w:line="360" w:lineRule="auto"/>
        <w:ind w:firstLine="573"/>
        <w:rPr>
          <w:rFonts w:hint="eastAsia" w:ascii="宋体" w:hAnsi="宋体" w:eastAsia="宋体" w:cs="宋体"/>
          <w:b w:val="0"/>
          <w:bCs w:val="0"/>
          <w:color w:val="auto"/>
          <w:sz w:val="24"/>
          <w:highlight w:val="none"/>
          <w:u w:val="none"/>
          <w:lang w:val="zh-CN"/>
        </w:rPr>
      </w:pPr>
      <w:r>
        <w:rPr>
          <w:rFonts w:hint="eastAsia" w:ascii="宋体" w:hAnsi="宋体" w:eastAsia="宋体" w:cs="宋体"/>
          <w:b w:val="0"/>
          <w:bCs w:val="0"/>
          <w:color w:val="auto"/>
          <w:sz w:val="24"/>
          <w:highlight w:val="none"/>
          <w:u w:val="none"/>
          <w:lang w:val="zh-CN"/>
        </w:rPr>
        <w:t>采购人委托磋商小组直接确定排名第一的成交候选人为成交供应商。</w:t>
      </w:r>
    </w:p>
    <w:p w14:paraId="4EF9EDA6">
      <w:pPr>
        <w:keepNext w:val="0"/>
        <w:keepLines w:val="0"/>
        <w:pageBreakBefore w:val="0"/>
        <w:widowControl w:val="0"/>
        <w:spacing w:line="360" w:lineRule="auto"/>
        <w:rPr>
          <w:rFonts w:hint="eastAsia" w:ascii="宋体" w:hAnsi="宋体" w:eastAsia="宋体" w:cs="宋体"/>
          <w:b/>
          <w:bCs/>
          <w:color w:val="auto"/>
          <w:sz w:val="24"/>
          <w:highlight w:val="none"/>
          <w:u w:val="none"/>
          <w:lang w:val="zh-CN"/>
        </w:rPr>
      </w:pPr>
      <w:r>
        <w:rPr>
          <w:rFonts w:hint="eastAsia" w:ascii="宋体" w:hAnsi="宋体" w:cs="宋体"/>
          <w:b/>
          <w:bCs/>
          <w:color w:val="auto"/>
          <w:sz w:val="24"/>
          <w:highlight w:val="none"/>
          <w:u w:val="none"/>
          <w:lang w:val="en-US" w:eastAsia="zh-CN"/>
        </w:rPr>
        <w:t>五</w:t>
      </w:r>
      <w:r>
        <w:rPr>
          <w:rFonts w:hint="eastAsia" w:ascii="宋体" w:hAnsi="宋体" w:eastAsia="宋体" w:cs="宋体"/>
          <w:b/>
          <w:bCs/>
          <w:color w:val="auto"/>
          <w:sz w:val="24"/>
          <w:highlight w:val="none"/>
          <w:u w:val="none"/>
          <w:lang w:val="en-US" w:eastAsia="zh-CN"/>
        </w:rPr>
        <w:t>、</w:t>
      </w:r>
      <w:r>
        <w:rPr>
          <w:rFonts w:hint="eastAsia" w:ascii="宋体" w:hAnsi="宋体" w:eastAsia="宋体" w:cs="宋体"/>
          <w:b/>
          <w:bCs/>
          <w:color w:val="auto"/>
          <w:sz w:val="24"/>
          <w:highlight w:val="none"/>
          <w:u w:val="none"/>
          <w:lang w:val="zh-CN"/>
        </w:rPr>
        <w:t>公告成交结果</w:t>
      </w:r>
    </w:p>
    <w:p w14:paraId="2EEB2E3C">
      <w:pPr>
        <w:keepNext w:val="0"/>
        <w:keepLines w:val="0"/>
        <w:pageBreakBefore w:val="0"/>
        <w:widowControl w:val="0"/>
        <w:spacing w:line="360" w:lineRule="auto"/>
        <w:ind w:firstLine="570"/>
        <w:rPr>
          <w:rFonts w:hint="eastAsia" w:ascii="宋体" w:hAnsi="宋体" w:eastAsia="宋体" w:cs="宋体"/>
          <w:b w:val="0"/>
          <w:bCs w:val="0"/>
          <w:color w:val="auto"/>
          <w:sz w:val="24"/>
          <w:highlight w:val="none"/>
          <w:u w:val="none"/>
          <w:lang w:val="zh-CN"/>
        </w:rPr>
      </w:pPr>
      <w:r>
        <w:rPr>
          <w:rFonts w:hint="eastAsia" w:ascii="宋体" w:hAnsi="宋体" w:eastAsia="宋体" w:cs="宋体"/>
          <w:b w:val="0"/>
          <w:bCs w:val="0"/>
          <w:color w:val="auto"/>
          <w:sz w:val="24"/>
          <w:highlight w:val="none"/>
          <w:u w:val="none"/>
          <w:lang w:val="zh-CN"/>
        </w:rPr>
        <w:t>自确定成交供应商之日起2个工作日内，在江苏政府采购网公告成交结果，公告期限为1个工作日。</w:t>
      </w:r>
    </w:p>
    <w:p w14:paraId="00A17F2E">
      <w:pPr>
        <w:keepNext w:val="0"/>
        <w:keepLines w:val="0"/>
        <w:pageBreakBefore w:val="0"/>
        <w:widowControl w:val="0"/>
        <w:spacing w:line="360" w:lineRule="auto"/>
        <w:rPr>
          <w:rFonts w:hint="eastAsia" w:ascii="宋体" w:hAnsi="宋体" w:eastAsia="宋体" w:cs="宋体"/>
          <w:b/>
          <w:bCs/>
          <w:color w:val="auto"/>
          <w:sz w:val="24"/>
          <w:highlight w:val="none"/>
          <w:u w:val="none"/>
          <w:lang w:val="zh-CN"/>
        </w:rPr>
      </w:pPr>
      <w:r>
        <w:rPr>
          <w:rFonts w:hint="eastAsia" w:ascii="宋体" w:hAnsi="宋体" w:cs="宋体"/>
          <w:b/>
          <w:bCs/>
          <w:color w:val="auto"/>
          <w:sz w:val="24"/>
          <w:highlight w:val="none"/>
          <w:u w:val="none"/>
          <w:lang w:val="en-US" w:eastAsia="zh-CN"/>
        </w:rPr>
        <w:t>六</w:t>
      </w:r>
      <w:r>
        <w:rPr>
          <w:rFonts w:hint="eastAsia" w:ascii="宋体" w:hAnsi="宋体" w:eastAsia="宋体" w:cs="宋体"/>
          <w:b/>
          <w:bCs/>
          <w:color w:val="auto"/>
          <w:sz w:val="24"/>
          <w:highlight w:val="none"/>
          <w:u w:val="none"/>
          <w:lang w:val="en-US" w:eastAsia="zh-CN"/>
        </w:rPr>
        <w:t>、</w:t>
      </w:r>
      <w:r>
        <w:rPr>
          <w:rFonts w:hint="eastAsia" w:ascii="宋体" w:hAnsi="宋体" w:eastAsia="宋体" w:cs="宋体"/>
          <w:b/>
          <w:bCs/>
          <w:color w:val="auto"/>
          <w:sz w:val="24"/>
          <w:highlight w:val="none"/>
          <w:u w:val="none"/>
          <w:lang w:val="zh-CN"/>
        </w:rPr>
        <w:t>发放成交通知书</w:t>
      </w:r>
    </w:p>
    <w:p w14:paraId="5DF936FD">
      <w:pPr>
        <w:keepNext w:val="0"/>
        <w:keepLines w:val="0"/>
        <w:pageBreakBefore w:val="0"/>
        <w:widowControl w:val="0"/>
        <w:spacing w:line="360" w:lineRule="auto"/>
        <w:ind w:firstLine="570"/>
        <w:rPr>
          <w:rFonts w:hint="eastAsia" w:ascii="宋体" w:hAnsi="宋体" w:eastAsia="宋体" w:cs="宋体"/>
          <w:b w:val="0"/>
          <w:bCs w:val="0"/>
          <w:color w:val="auto"/>
          <w:sz w:val="24"/>
          <w:highlight w:val="none"/>
          <w:u w:val="none"/>
          <w:lang w:val="zh-CN"/>
        </w:rPr>
      </w:pPr>
      <w:r>
        <w:rPr>
          <w:rFonts w:hint="eastAsia" w:ascii="宋体" w:hAnsi="宋体" w:eastAsia="宋体" w:cs="宋体"/>
          <w:b w:val="0"/>
          <w:bCs w:val="0"/>
          <w:color w:val="auto"/>
          <w:sz w:val="24"/>
          <w:highlight w:val="none"/>
          <w:u w:val="none"/>
          <w:lang w:val="zh-CN"/>
        </w:rPr>
        <w:t>公告成交结果的同时，</w:t>
      </w:r>
      <w:r>
        <w:rPr>
          <w:rFonts w:hint="eastAsia" w:ascii="宋体" w:hAnsi="宋体" w:eastAsia="宋体" w:cs="宋体"/>
          <w:b w:val="0"/>
          <w:bCs w:val="0"/>
          <w:color w:val="auto"/>
          <w:sz w:val="24"/>
          <w:highlight w:val="none"/>
          <w:u w:val="none"/>
          <w:lang w:val="zh-CN" w:eastAsia="zh-CN"/>
        </w:rPr>
        <w:t>交易中心</w:t>
      </w:r>
      <w:r>
        <w:rPr>
          <w:rFonts w:hint="eastAsia" w:ascii="宋体" w:hAnsi="宋体" w:eastAsia="宋体" w:cs="宋体"/>
          <w:b w:val="0"/>
          <w:bCs w:val="0"/>
          <w:color w:val="auto"/>
          <w:sz w:val="24"/>
          <w:highlight w:val="none"/>
          <w:u w:val="none"/>
          <w:lang w:val="zh-CN"/>
        </w:rPr>
        <w:t>向成交供应商发放成交通知书。</w:t>
      </w:r>
    </w:p>
    <w:p w14:paraId="0136312C">
      <w:pPr>
        <w:keepNext w:val="0"/>
        <w:keepLines w:val="0"/>
        <w:pageBreakBefore w:val="0"/>
        <w:widowControl w:val="0"/>
        <w:spacing w:line="360" w:lineRule="auto"/>
        <w:ind w:firstLine="570"/>
        <w:rPr>
          <w:rFonts w:hint="eastAsia" w:ascii="宋体" w:hAnsi="宋体" w:eastAsia="宋体" w:cs="宋体"/>
          <w:b/>
          <w:bCs/>
          <w:color w:val="auto"/>
          <w:sz w:val="24"/>
          <w:highlight w:val="none"/>
          <w:u w:val="none"/>
          <w:lang w:val="zh-CN"/>
        </w:rPr>
      </w:pPr>
      <w:r>
        <w:rPr>
          <w:rFonts w:hint="eastAsia" w:ascii="宋体" w:hAnsi="宋体" w:eastAsia="宋体" w:cs="宋体"/>
          <w:b w:val="0"/>
          <w:bCs w:val="0"/>
          <w:color w:val="auto"/>
          <w:sz w:val="24"/>
          <w:highlight w:val="none"/>
          <w:u w:val="none"/>
          <w:lang w:val="zh-CN"/>
        </w:rPr>
        <w:t>成交通知书发出后，采购人不得违法改变成交结果，成交供应商无正当理由不得放弃成交。</w:t>
      </w:r>
      <w:r>
        <w:rPr>
          <w:rFonts w:hint="eastAsia" w:ascii="宋体" w:hAnsi="宋体" w:eastAsia="宋体" w:cs="宋体"/>
          <w:b/>
          <w:bCs/>
          <w:color w:val="auto"/>
          <w:sz w:val="24"/>
          <w:highlight w:val="none"/>
          <w:u w:val="none"/>
          <w:lang w:val="zh-CN"/>
        </w:rPr>
        <w:t>成交供应商领取成交通知书时须提供肆份纸质版响应文件及壹份响应文件电子扫描件至代理机构处。</w:t>
      </w:r>
    </w:p>
    <w:p w14:paraId="21893E89">
      <w:pPr>
        <w:rPr>
          <w:rFonts w:hint="eastAsia" w:ascii="Times New Roman" w:hAnsi="Times New Roman"/>
          <w:color w:val="auto"/>
          <w:szCs w:val="21"/>
          <w:highlight w:val="none"/>
        </w:rPr>
      </w:pPr>
    </w:p>
    <w:p w14:paraId="1E3D3BA9">
      <w:pPr>
        <w:keepNext/>
        <w:jc w:val="center"/>
        <w:outlineLvl w:val="0"/>
        <w:rPr>
          <w:rFonts w:hint="eastAsia" w:ascii="黑体" w:hAnsi="Times New Roman" w:eastAsia="黑体"/>
          <w:bCs/>
          <w:color w:val="auto"/>
          <w:sz w:val="44"/>
          <w:szCs w:val="28"/>
          <w:highlight w:val="none"/>
        </w:rPr>
      </w:pPr>
      <w:r>
        <w:rPr>
          <w:rFonts w:hint="eastAsia" w:ascii="黑体" w:hAnsi="Times New Roman" w:eastAsia="黑体"/>
          <w:bCs/>
          <w:color w:val="auto"/>
          <w:sz w:val="44"/>
          <w:szCs w:val="28"/>
          <w:highlight w:val="none"/>
        </w:rPr>
        <w:t xml:space="preserve">第六章  </w:t>
      </w:r>
      <w:bookmarkEnd w:id="741"/>
      <w:bookmarkEnd w:id="742"/>
      <w:bookmarkEnd w:id="756"/>
      <w:r>
        <w:rPr>
          <w:rFonts w:hint="eastAsia" w:ascii="黑体" w:hAnsi="Times New Roman" w:eastAsia="黑体"/>
          <w:bCs/>
          <w:color w:val="auto"/>
          <w:sz w:val="44"/>
          <w:szCs w:val="28"/>
          <w:highlight w:val="none"/>
        </w:rPr>
        <w:t xml:space="preserve">响应文件格式 </w:t>
      </w:r>
    </w:p>
    <w:p w14:paraId="1DAD3EBF">
      <w:pPr>
        <w:jc w:val="center"/>
        <w:rPr>
          <w:rFonts w:hint="eastAsia" w:ascii="宋体" w:hAnsi="宋体"/>
          <w:b/>
          <w:color w:val="auto"/>
          <w:sz w:val="72"/>
          <w:szCs w:val="21"/>
          <w:highlight w:val="none"/>
        </w:rPr>
      </w:pPr>
      <w:bookmarkStart w:id="760" w:name="_Hlt26955039"/>
      <w:bookmarkEnd w:id="760"/>
      <w:bookmarkStart w:id="761" w:name="_Hlt26671244"/>
      <w:bookmarkEnd w:id="761"/>
      <w:bookmarkStart w:id="762" w:name="_Toc26554094"/>
      <w:bookmarkStart w:id="763" w:name="_Toc49090576"/>
      <w:bookmarkStart w:id="764" w:name="_Toc120614282"/>
    </w:p>
    <w:p w14:paraId="5159C10E">
      <w:pPr>
        <w:jc w:val="center"/>
        <w:rPr>
          <w:rFonts w:hint="eastAsia" w:ascii="宋体" w:hAnsi="宋体"/>
          <w:b/>
          <w:color w:val="auto"/>
          <w:sz w:val="72"/>
          <w:szCs w:val="21"/>
          <w:highlight w:val="none"/>
        </w:rPr>
      </w:pPr>
    </w:p>
    <w:p w14:paraId="0FF68163">
      <w:pPr>
        <w:jc w:val="center"/>
        <w:rPr>
          <w:rFonts w:hint="eastAsia" w:ascii="宋体" w:hAnsi="宋体"/>
          <w:b/>
          <w:color w:val="auto"/>
          <w:sz w:val="72"/>
          <w:szCs w:val="21"/>
          <w:highlight w:val="none"/>
        </w:rPr>
      </w:pPr>
      <w:r>
        <w:rPr>
          <w:rFonts w:hint="eastAsia" w:ascii="宋体" w:hAnsi="宋体"/>
          <w:b/>
          <w:color w:val="auto"/>
          <w:sz w:val="72"/>
          <w:szCs w:val="21"/>
          <w:highlight w:val="none"/>
        </w:rPr>
        <w:t>响  应  文  件</w:t>
      </w:r>
    </w:p>
    <w:p w14:paraId="16B751E8">
      <w:pPr>
        <w:jc w:val="center"/>
        <w:rPr>
          <w:rFonts w:hint="eastAsia" w:ascii="宋体" w:hAnsi="宋体"/>
          <w:b/>
          <w:color w:val="auto"/>
          <w:sz w:val="72"/>
          <w:szCs w:val="21"/>
          <w:highlight w:val="none"/>
        </w:rPr>
      </w:pPr>
    </w:p>
    <w:p w14:paraId="33463A32">
      <w:pPr>
        <w:jc w:val="center"/>
        <w:rPr>
          <w:rFonts w:hint="eastAsia" w:ascii="宋体" w:hAnsi="宋体"/>
          <w:b/>
          <w:color w:val="auto"/>
          <w:sz w:val="72"/>
          <w:szCs w:val="21"/>
          <w:highlight w:val="none"/>
        </w:rPr>
      </w:pPr>
    </w:p>
    <w:p w14:paraId="3D9C6E65">
      <w:pPr>
        <w:jc w:val="center"/>
        <w:rPr>
          <w:rFonts w:hint="eastAsia" w:ascii="宋体" w:hAnsi="宋体"/>
          <w:b/>
          <w:color w:val="auto"/>
          <w:sz w:val="36"/>
          <w:szCs w:val="21"/>
          <w:highlight w:val="none"/>
        </w:rPr>
      </w:pPr>
    </w:p>
    <w:p w14:paraId="1F89B01C">
      <w:pPr>
        <w:jc w:val="center"/>
        <w:rPr>
          <w:rFonts w:hint="eastAsia" w:ascii="宋体" w:hAnsi="宋体"/>
          <w:b/>
          <w:color w:val="auto"/>
          <w:sz w:val="36"/>
          <w:szCs w:val="21"/>
          <w:highlight w:val="none"/>
        </w:rPr>
      </w:pPr>
    </w:p>
    <w:p w14:paraId="1C721F88">
      <w:pPr>
        <w:jc w:val="center"/>
        <w:rPr>
          <w:rFonts w:hint="eastAsia" w:ascii="宋体" w:hAnsi="宋体"/>
          <w:b/>
          <w:color w:val="auto"/>
          <w:sz w:val="36"/>
          <w:szCs w:val="21"/>
          <w:highlight w:val="none"/>
        </w:rPr>
      </w:pPr>
    </w:p>
    <w:p w14:paraId="02463BE3">
      <w:pPr>
        <w:ind w:firstLine="1084"/>
        <w:rPr>
          <w:rFonts w:hint="eastAsia" w:ascii="宋体" w:hAnsi="宋体"/>
          <w:b/>
          <w:color w:val="auto"/>
          <w:sz w:val="36"/>
          <w:szCs w:val="21"/>
          <w:highlight w:val="none"/>
        </w:rPr>
      </w:pPr>
      <w:r>
        <w:rPr>
          <w:rFonts w:hint="eastAsia" w:ascii="宋体" w:hAnsi="宋体"/>
          <w:b/>
          <w:color w:val="auto"/>
          <w:sz w:val="36"/>
          <w:szCs w:val="21"/>
          <w:highlight w:val="none"/>
        </w:rPr>
        <w:t>项 目 名 称：</w:t>
      </w:r>
      <w:r>
        <w:rPr>
          <w:rFonts w:hint="eastAsia" w:ascii="宋体" w:hAnsi="宋体"/>
          <w:b/>
          <w:color w:val="auto"/>
          <w:sz w:val="36"/>
          <w:szCs w:val="21"/>
          <w:highlight w:val="none"/>
          <w:u w:val="single"/>
        </w:rPr>
        <w:t xml:space="preserve">               </w:t>
      </w:r>
    </w:p>
    <w:p w14:paraId="644A2F0D">
      <w:pPr>
        <w:ind w:firstLine="1084"/>
        <w:rPr>
          <w:rFonts w:hint="eastAsia" w:ascii="宋体" w:hAnsi="宋体"/>
          <w:b/>
          <w:color w:val="auto"/>
          <w:sz w:val="36"/>
          <w:szCs w:val="21"/>
          <w:highlight w:val="none"/>
          <w:u w:val="single"/>
        </w:rPr>
      </w:pPr>
      <w:r>
        <w:rPr>
          <w:rFonts w:hint="eastAsia" w:ascii="宋体" w:hAnsi="宋体"/>
          <w:b/>
          <w:color w:val="auto"/>
          <w:sz w:val="36"/>
          <w:szCs w:val="21"/>
          <w:highlight w:val="none"/>
        </w:rPr>
        <w:t>项 目 编 号：</w:t>
      </w:r>
      <w:r>
        <w:rPr>
          <w:rFonts w:hint="eastAsia" w:ascii="宋体" w:hAnsi="宋体"/>
          <w:b/>
          <w:color w:val="auto"/>
          <w:sz w:val="36"/>
          <w:szCs w:val="21"/>
          <w:highlight w:val="none"/>
          <w:u w:val="single"/>
        </w:rPr>
        <w:t xml:space="preserve">               </w:t>
      </w:r>
    </w:p>
    <w:p w14:paraId="56D2BB5E">
      <w:pPr>
        <w:rPr>
          <w:rFonts w:hint="eastAsia" w:ascii="宋体" w:hAnsi="宋体"/>
          <w:b/>
          <w:color w:val="auto"/>
          <w:sz w:val="36"/>
          <w:szCs w:val="21"/>
          <w:highlight w:val="none"/>
          <w:u w:val="single"/>
        </w:rPr>
      </w:pPr>
      <w:r>
        <w:rPr>
          <w:rFonts w:hint="eastAsia" w:ascii="宋体" w:hAnsi="宋体"/>
          <w:b/>
          <w:color w:val="auto"/>
          <w:sz w:val="36"/>
          <w:szCs w:val="21"/>
          <w:highlight w:val="none"/>
        </w:rPr>
        <w:t xml:space="preserve">      供应商名称 ：</w:t>
      </w:r>
      <w:r>
        <w:rPr>
          <w:rFonts w:hint="eastAsia" w:ascii="宋体" w:hAnsi="宋体"/>
          <w:b/>
          <w:color w:val="auto"/>
          <w:sz w:val="36"/>
          <w:szCs w:val="21"/>
          <w:highlight w:val="none"/>
          <w:u w:val="single"/>
        </w:rPr>
        <w:t>（加盖CA电子公章）</w:t>
      </w:r>
    </w:p>
    <w:p w14:paraId="0F16E6B7">
      <w:pPr>
        <w:rPr>
          <w:rFonts w:hint="eastAsia" w:ascii="宋体" w:hAnsi="宋体"/>
          <w:b/>
          <w:color w:val="auto"/>
          <w:sz w:val="36"/>
          <w:szCs w:val="21"/>
          <w:highlight w:val="none"/>
          <w:u w:val="single"/>
        </w:rPr>
      </w:pPr>
      <w:r>
        <w:rPr>
          <w:rFonts w:hint="eastAsia" w:ascii="宋体" w:hAnsi="宋体"/>
          <w:b/>
          <w:color w:val="auto"/>
          <w:sz w:val="36"/>
          <w:szCs w:val="21"/>
          <w:highlight w:val="none"/>
        </w:rPr>
        <w:t xml:space="preserve">      日      期 ：</w:t>
      </w:r>
      <w:r>
        <w:rPr>
          <w:rFonts w:hint="eastAsia" w:ascii="宋体" w:hAnsi="宋体"/>
          <w:b/>
          <w:color w:val="auto"/>
          <w:sz w:val="36"/>
          <w:szCs w:val="21"/>
          <w:highlight w:val="none"/>
          <w:u w:val="single"/>
        </w:rPr>
        <w:t xml:space="preserve">               </w:t>
      </w:r>
    </w:p>
    <w:p w14:paraId="1EC432EB">
      <w:pPr>
        <w:spacing w:line="440" w:lineRule="exact"/>
        <w:jc w:val="center"/>
        <w:rPr>
          <w:rFonts w:hint="eastAsia" w:ascii="宋体" w:hAnsi="宋体"/>
          <w:b/>
          <w:bCs/>
          <w:color w:val="auto"/>
          <w:sz w:val="32"/>
          <w:szCs w:val="32"/>
          <w:highlight w:val="none"/>
        </w:rPr>
      </w:pPr>
    </w:p>
    <w:p w14:paraId="63E1FF8C">
      <w:pPr>
        <w:spacing w:line="440" w:lineRule="exact"/>
        <w:rPr>
          <w:rFonts w:ascii="宋体" w:hAnsi="宋体"/>
          <w:color w:val="auto"/>
          <w:szCs w:val="21"/>
          <w:highlight w:val="none"/>
        </w:rPr>
      </w:pPr>
    </w:p>
    <w:p w14:paraId="3381A211">
      <w:pPr>
        <w:rPr>
          <w:rFonts w:ascii="宋体" w:hAnsi="宋体"/>
          <w:b/>
          <w:bCs/>
          <w:color w:val="auto"/>
          <w:sz w:val="32"/>
          <w:szCs w:val="32"/>
          <w:highlight w:val="none"/>
        </w:rPr>
      </w:pPr>
    </w:p>
    <w:p w14:paraId="0C2E7084">
      <w:pPr>
        <w:spacing w:line="440" w:lineRule="exact"/>
        <w:jc w:val="center"/>
        <w:rPr>
          <w:rFonts w:hint="eastAsia" w:ascii="宋体" w:hAnsi="宋体"/>
          <w:b/>
          <w:bCs/>
          <w:color w:val="auto"/>
          <w:sz w:val="32"/>
          <w:szCs w:val="32"/>
          <w:highlight w:val="none"/>
        </w:rPr>
      </w:pPr>
    </w:p>
    <w:p w14:paraId="3974B336">
      <w:pPr>
        <w:spacing w:line="440" w:lineRule="exact"/>
        <w:jc w:val="center"/>
        <w:rPr>
          <w:rFonts w:hint="eastAsia" w:ascii="宋体" w:hAnsi="宋体"/>
          <w:b/>
          <w:bCs/>
          <w:color w:val="auto"/>
          <w:sz w:val="32"/>
          <w:szCs w:val="32"/>
          <w:highlight w:val="none"/>
        </w:rPr>
      </w:pPr>
    </w:p>
    <w:p w14:paraId="24F04D6A">
      <w:pPr>
        <w:spacing w:line="440" w:lineRule="exact"/>
        <w:jc w:val="center"/>
        <w:rPr>
          <w:rFonts w:hint="eastAsia" w:ascii="宋体" w:hAnsi="宋体"/>
          <w:b/>
          <w:bCs/>
          <w:color w:val="auto"/>
          <w:sz w:val="32"/>
          <w:szCs w:val="32"/>
          <w:highlight w:val="none"/>
        </w:rPr>
      </w:pPr>
    </w:p>
    <w:p w14:paraId="4E5781E6">
      <w:pPr>
        <w:pStyle w:val="205"/>
        <w:rPr>
          <w:rFonts w:hint="eastAsia" w:ascii="宋体" w:hAnsi="宋体"/>
          <w:b/>
          <w:bCs/>
          <w:color w:val="auto"/>
          <w:sz w:val="32"/>
          <w:szCs w:val="32"/>
          <w:highlight w:val="none"/>
        </w:rPr>
      </w:pPr>
    </w:p>
    <w:p w14:paraId="48679AFC">
      <w:pPr>
        <w:rPr>
          <w:rFonts w:hint="eastAsia" w:ascii="宋体" w:hAnsi="宋体"/>
          <w:b/>
          <w:bCs/>
          <w:color w:val="auto"/>
          <w:sz w:val="32"/>
          <w:szCs w:val="32"/>
          <w:highlight w:val="none"/>
        </w:rPr>
      </w:pPr>
    </w:p>
    <w:p w14:paraId="675630CC">
      <w:pPr>
        <w:pStyle w:val="205"/>
        <w:rPr>
          <w:rFonts w:hint="eastAsia"/>
          <w:color w:val="auto"/>
          <w:highlight w:val="none"/>
        </w:rPr>
      </w:pPr>
    </w:p>
    <w:p w14:paraId="55751321">
      <w:pPr>
        <w:spacing w:line="440" w:lineRule="exact"/>
        <w:jc w:val="center"/>
        <w:rPr>
          <w:rFonts w:hint="eastAsia" w:ascii="宋体" w:hAnsi="宋体"/>
          <w:b/>
          <w:bCs/>
          <w:color w:val="auto"/>
          <w:sz w:val="32"/>
          <w:szCs w:val="32"/>
          <w:highlight w:val="none"/>
        </w:rPr>
        <w:sectPr>
          <w:footerReference r:id="rId11" w:type="first"/>
          <w:footerReference r:id="rId10" w:type="default"/>
          <w:pgSz w:w="11906" w:h="16838"/>
          <w:pgMar w:top="1418" w:right="1588" w:bottom="1418" w:left="1365" w:header="851" w:footer="907" w:gutter="0"/>
          <w:cols w:space="1701" w:num="1"/>
          <w:titlePg/>
          <w:docGrid w:linePitch="360" w:charSpace="0"/>
        </w:sectPr>
      </w:pPr>
    </w:p>
    <w:bookmarkEnd w:id="161"/>
    <w:bookmarkEnd w:id="162"/>
    <w:bookmarkEnd w:id="762"/>
    <w:bookmarkEnd w:id="763"/>
    <w:bookmarkEnd w:id="764"/>
    <w:p w14:paraId="109F6C9A">
      <w:pPr>
        <w:spacing w:line="440" w:lineRule="exact"/>
        <w:rPr>
          <w:rFonts w:hint="eastAsia" w:ascii="宋体" w:hAnsi="宋体"/>
          <w:b/>
          <w:bCs/>
          <w:color w:val="auto"/>
          <w:sz w:val="24"/>
          <w:szCs w:val="21"/>
          <w:highlight w:val="none"/>
          <w:lang w:eastAsia="zh-CN"/>
        </w:rPr>
      </w:pPr>
      <w:r>
        <w:rPr>
          <w:rFonts w:hint="eastAsia" w:ascii="宋体" w:hAnsi="宋体"/>
          <w:b/>
          <w:bCs/>
          <w:color w:val="auto"/>
          <w:sz w:val="24"/>
          <w:szCs w:val="21"/>
          <w:highlight w:val="none"/>
          <w:lang w:eastAsia="zh-CN"/>
        </w:rPr>
        <w:t>格式附件如下：</w:t>
      </w:r>
    </w:p>
    <w:p w14:paraId="3728D5C3">
      <w:pPr>
        <w:pStyle w:val="5"/>
        <w:keepNext w:val="0"/>
        <w:keepLines w:val="0"/>
        <w:widowControl/>
        <w:suppressLineNumbers w:val="0"/>
        <w:jc w:val="center"/>
        <w:rPr>
          <w:color w:val="auto"/>
          <w:highlight w:val="none"/>
        </w:rPr>
      </w:pPr>
      <w:r>
        <w:rPr>
          <w:rStyle w:val="38"/>
          <w:rFonts w:ascii="Times New Roman" w:hAnsi="Times New Roman" w:eastAsia="宋体" w:cs="Times New Roman"/>
          <w:color w:val="auto"/>
          <w:sz w:val="21"/>
          <w:highlight w:val="none"/>
        </w:rPr>
        <w:t>磋商报价表</w:t>
      </w:r>
    </w:p>
    <w:p w14:paraId="5A597C53">
      <w:pPr>
        <w:pStyle w:val="32"/>
        <w:keepNext w:val="0"/>
        <w:keepLines w:val="0"/>
        <w:widowControl/>
        <w:suppressLineNumbers w:val="0"/>
        <w:rPr>
          <w:color w:val="auto"/>
          <w:highlight w:val="none"/>
        </w:rPr>
      </w:pPr>
      <w:r>
        <w:rPr>
          <w:color w:val="auto"/>
          <w:highlight w:val="none"/>
        </w:rPr>
        <w:t>本次为首次报价                                  货币单位：人民币元</w:t>
      </w:r>
    </w:p>
    <w:p w14:paraId="3388CE00">
      <w:pPr>
        <w:pStyle w:val="32"/>
        <w:keepNext w:val="0"/>
        <w:keepLines w:val="0"/>
        <w:widowControl/>
        <w:suppressLineNumbers w:val="0"/>
        <w:rPr>
          <w:color w:val="auto"/>
          <w:highlight w:val="none"/>
        </w:rPr>
      </w:pPr>
      <w:r>
        <w:rPr>
          <w:color w:val="auto"/>
          <w:highlight w:val="none"/>
        </w:rPr>
        <w:t>项目编号：项目编号  </w:t>
      </w:r>
    </w:p>
    <w:tbl>
      <w:tblPr>
        <w:tblStyle w:val="35"/>
        <w:tblW w:w="0" w:type="auto"/>
        <w:tblCellSpacing w:w="15"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2640"/>
        <w:gridCol w:w="2497"/>
        <w:gridCol w:w="3936"/>
      </w:tblGrid>
      <w:tr w14:paraId="76A5D70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15" w:type="dxa"/>
        </w:trPr>
        <w:tc>
          <w:tcPr>
            <w:tcW w:w="3330" w:type="dxa"/>
            <w:shd w:val="clear" w:color="auto" w:fill="auto"/>
            <w:vAlign w:val="center"/>
          </w:tcPr>
          <w:p w14:paraId="433BFAF0">
            <w:pPr>
              <w:pStyle w:val="32"/>
              <w:keepNext w:val="0"/>
              <w:keepLines w:val="0"/>
              <w:widowControl/>
              <w:suppressLineNumbers w:val="0"/>
              <w:rPr>
                <w:color w:val="auto"/>
                <w:highlight w:val="none"/>
              </w:rPr>
            </w:pPr>
            <w:r>
              <w:rPr>
                <w:color w:val="auto"/>
                <w:highlight w:val="none"/>
              </w:rPr>
              <w:t>项目名称</w:t>
            </w:r>
          </w:p>
        </w:tc>
        <w:tc>
          <w:tcPr>
            <w:tcW w:w="3345" w:type="dxa"/>
            <w:shd w:val="clear" w:color="auto" w:fill="auto"/>
            <w:vAlign w:val="center"/>
          </w:tcPr>
          <w:p w14:paraId="6E3276D1">
            <w:pPr>
              <w:pStyle w:val="32"/>
              <w:keepNext w:val="0"/>
              <w:keepLines w:val="0"/>
              <w:widowControl/>
              <w:suppressLineNumbers w:val="0"/>
              <w:rPr>
                <w:color w:val="auto"/>
                <w:highlight w:val="none"/>
              </w:rPr>
            </w:pPr>
            <w:r>
              <w:rPr>
                <w:color w:val="auto"/>
                <w:highlight w:val="none"/>
              </w:rPr>
              <w:t>项目内容</w:t>
            </w:r>
          </w:p>
        </w:tc>
        <w:tc>
          <w:tcPr>
            <w:tcW w:w="4980" w:type="dxa"/>
            <w:shd w:val="clear" w:color="auto" w:fill="auto"/>
            <w:vAlign w:val="center"/>
          </w:tcPr>
          <w:p w14:paraId="696C6F69">
            <w:pPr>
              <w:pStyle w:val="32"/>
              <w:keepNext w:val="0"/>
              <w:keepLines w:val="0"/>
              <w:widowControl/>
              <w:suppressLineNumbers w:val="0"/>
              <w:rPr>
                <w:color w:val="auto"/>
                <w:highlight w:val="none"/>
              </w:rPr>
            </w:pPr>
            <w:r>
              <w:rPr>
                <w:color w:val="auto"/>
                <w:highlight w:val="none"/>
              </w:rPr>
              <w:t>总价（小写）</w:t>
            </w:r>
          </w:p>
        </w:tc>
      </w:tr>
      <w:tr w14:paraId="1BADC5A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3330" w:type="dxa"/>
            <w:shd w:val="clear" w:color="auto" w:fill="auto"/>
            <w:vAlign w:val="center"/>
          </w:tcPr>
          <w:p w14:paraId="1CFB1DB8">
            <w:pPr>
              <w:pStyle w:val="32"/>
              <w:keepNext w:val="0"/>
              <w:keepLines w:val="0"/>
              <w:widowControl/>
              <w:suppressLineNumbers w:val="0"/>
              <w:rPr>
                <w:color w:val="auto"/>
                <w:highlight w:val="none"/>
              </w:rPr>
            </w:pPr>
            <w:r>
              <w:rPr>
                <w:color w:val="auto"/>
                <w:highlight w:val="none"/>
              </w:rPr>
              <w:t>项目名称  </w:t>
            </w:r>
          </w:p>
        </w:tc>
        <w:tc>
          <w:tcPr>
            <w:tcW w:w="3345" w:type="dxa"/>
            <w:shd w:val="clear" w:color="auto" w:fill="auto"/>
            <w:vAlign w:val="center"/>
          </w:tcPr>
          <w:p w14:paraId="26D69A67">
            <w:pPr>
              <w:pStyle w:val="32"/>
              <w:keepNext w:val="0"/>
              <w:keepLines w:val="0"/>
              <w:widowControl/>
              <w:suppressLineNumbers w:val="0"/>
              <w:rPr>
                <w:color w:val="auto"/>
                <w:highlight w:val="none"/>
              </w:rPr>
            </w:pPr>
            <w:r>
              <w:rPr>
                <w:color w:val="auto"/>
                <w:highlight w:val="none"/>
              </w:rPr>
              <w:t>详见响应文件</w:t>
            </w:r>
          </w:p>
        </w:tc>
        <w:tc>
          <w:tcPr>
            <w:tcW w:w="4980" w:type="dxa"/>
            <w:shd w:val="clear" w:color="auto" w:fill="auto"/>
            <w:vAlign w:val="center"/>
          </w:tcPr>
          <w:p w14:paraId="2B24EB2F">
            <w:pPr>
              <w:pStyle w:val="32"/>
              <w:keepNext w:val="0"/>
              <w:keepLines w:val="0"/>
              <w:widowControl/>
              <w:suppressLineNumbers w:val="0"/>
              <w:rPr>
                <w:color w:val="auto"/>
                <w:highlight w:val="none"/>
              </w:rPr>
            </w:pPr>
            <w:r>
              <w:rPr>
                <w:color w:val="auto"/>
                <w:highlight w:val="none"/>
              </w:rPr>
              <w:t> </w:t>
            </w:r>
            <w:r>
              <w:rPr>
                <w:rFonts w:hint="eastAsia"/>
                <w:color w:val="auto"/>
                <w:highlight w:val="none"/>
                <w:lang w:val="en-US" w:eastAsia="zh-CN"/>
              </w:rPr>
              <w:t xml:space="preserve">       </w:t>
            </w:r>
            <w:r>
              <w:rPr>
                <w:color w:val="auto"/>
                <w:highlight w:val="none"/>
              </w:rPr>
              <w:t>元</w:t>
            </w:r>
          </w:p>
        </w:tc>
      </w:tr>
      <w:tr w14:paraId="600E95E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3330" w:type="dxa"/>
            <w:shd w:val="clear" w:color="auto" w:fill="auto"/>
            <w:vAlign w:val="center"/>
          </w:tcPr>
          <w:p w14:paraId="79C87B1B">
            <w:pPr>
              <w:pStyle w:val="32"/>
              <w:keepNext w:val="0"/>
              <w:keepLines w:val="0"/>
              <w:widowControl/>
              <w:suppressLineNumbers w:val="0"/>
              <w:rPr>
                <w:color w:val="auto"/>
                <w:highlight w:val="none"/>
              </w:rPr>
            </w:pPr>
            <w:r>
              <w:rPr>
                <w:color w:val="auto"/>
                <w:highlight w:val="none"/>
              </w:rPr>
              <w:t>总价（大写）：</w:t>
            </w:r>
          </w:p>
        </w:tc>
        <w:tc>
          <w:tcPr>
            <w:tcW w:w="8340" w:type="dxa"/>
            <w:gridSpan w:val="2"/>
            <w:shd w:val="clear" w:color="auto" w:fill="auto"/>
            <w:vAlign w:val="center"/>
          </w:tcPr>
          <w:p w14:paraId="50F94662">
            <w:pPr>
              <w:pStyle w:val="32"/>
              <w:keepNext w:val="0"/>
              <w:keepLines w:val="0"/>
              <w:widowControl/>
              <w:suppressLineNumbers w:val="0"/>
              <w:rPr>
                <w:color w:val="auto"/>
                <w:highlight w:val="none"/>
              </w:rPr>
            </w:pPr>
            <w:r>
              <w:rPr>
                <w:color w:val="auto"/>
                <w:highlight w:val="none"/>
              </w:rPr>
              <w:t>金额大写 </w:t>
            </w:r>
          </w:p>
        </w:tc>
      </w:tr>
    </w:tbl>
    <w:p w14:paraId="763E5A2C">
      <w:pPr>
        <w:pStyle w:val="32"/>
        <w:keepNext w:val="0"/>
        <w:keepLines w:val="0"/>
        <w:widowControl/>
        <w:suppressLineNumbers w:val="0"/>
        <w:rPr>
          <w:color w:val="auto"/>
          <w:highlight w:val="none"/>
        </w:rPr>
      </w:pPr>
      <w:r>
        <w:rPr>
          <w:color w:val="auto"/>
          <w:highlight w:val="none"/>
        </w:rPr>
        <w:t>报价说明：</w:t>
      </w:r>
    </w:p>
    <w:p w14:paraId="00B7D838">
      <w:pPr>
        <w:pStyle w:val="32"/>
        <w:keepNext w:val="0"/>
        <w:keepLines w:val="0"/>
        <w:widowControl/>
        <w:suppressLineNumbers w:val="0"/>
        <w:rPr>
          <w:color w:val="auto"/>
          <w:highlight w:val="none"/>
        </w:rPr>
      </w:pPr>
      <w:r>
        <w:rPr>
          <w:color w:val="auto"/>
          <w:highlight w:val="none"/>
        </w:rPr>
        <w:t>1、报价包括完成项目的所有费用。采购人不再支付报价以外的任何费用。</w:t>
      </w:r>
    </w:p>
    <w:p w14:paraId="5952C0CD">
      <w:pPr>
        <w:pStyle w:val="32"/>
        <w:keepNext w:val="0"/>
        <w:keepLines w:val="0"/>
        <w:widowControl/>
        <w:suppressLineNumbers w:val="0"/>
        <w:rPr>
          <w:color w:val="auto"/>
          <w:highlight w:val="none"/>
        </w:rPr>
      </w:pPr>
      <w:r>
        <w:rPr>
          <w:color w:val="auto"/>
          <w:highlight w:val="none"/>
        </w:rPr>
        <w:t>2、报价以总价为准，大小写不一致以大写为准；</w:t>
      </w:r>
    </w:p>
    <w:p w14:paraId="179FD76D">
      <w:pPr>
        <w:pStyle w:val="32"/>
        <w:keepNext w:val="0"/>
        <w:keepLines w:val="0"/>
        <w:widowControl/>
        <w:suppressLineNumbers w:val="0"/>
        <w:rPr>
          <w:color w:val="auto"/>
          <w:highlight w:val="none"/>
        </w:rPr>
      </w:pPr>
      <w:r>
        <w:rPr>
          <w:color w:val="auto"/>
          <w:highlight w:val="none"/>
        </w:rPr>
        <w:t>3、偏离说明：详见《偏离表》；</w:t>
      </w:r>
    </w:p>
    <w:p w14:paraId="14AC249D">
      <w:pPr>
        <w:pStyle w:val="32"/>
        <w:keepNext w:val="0"/>
        <w:keepLines w:val="0"/>
        <w:widowControl/>
        <w:suppressLineNumbers w:val="0"/>
        <w:rPr>
          <w:color w:val="auto"/>
          <w:highlight w:val="none"/>
        </w:rPr>
      </w:pPr>
      <w:r>
        <w:rPr>
          <w:color w:val="auto"/>
          <w:highlight w:val="none"/>
        </w:rPr>
        <w:t>4、如最后报价未列明单价，则最后所报各项单价计算方法为：（最后报价/最初报价）*各项最初报价的单价。</w:t>
      </w:r>
    </w:p>
    <w:p w14:paraId="5FB21678">
      <w:pPr>
        <w:pStyle w:val="32"/>
        <w:keepNext w:val="0"/>
        <w:keepLines w:val="0"/>
        <w:widowControl/>
        <w:suppressLineNumbers w:val="0"/>
        <w:rPr>
          <w:color w:val="auto"/>
          <w:highlight w:val="none"/>
        </w:rPr>
      </w:pPr>
      <w:r>
        <w:rPr>
          <w:color w:val="auto"/>
          <w:highlight w:val="none"/>
        </w:rPr>
        <w:t>响应单位（公章）：</w:t>
      </w:r>
    </w:p>
    <w:p w14:paraId="37FC7A89">
      <w:pPr>
        <w:spacing w:line="560" w:lineRule="exact"/>
        <w:rPr>
          <w:rFonts w:hint="eastAsia" w:ascii="宋体" w:hAnsi="宋体"/>
          <w:color w:val="auto"/>
          <w:sz w:val="24"/>
          <w:szCs w:val="21"/>
          <w:highlight w:val="none"/>
          <w:lang w:val="en-US" w:eastAsia="zh-CN"/>
        </w:rPr>
      </w:pPr>
    </w:p>
    <w:p w14:paraId="3D2A704C">
      <w:pPr>
        <w:spacing w:line="560" w:lineRule="exact"/>
        <w:rPr>
          <w:rFonts w:hint="eastAsia" w:ascii="宋体" w:hAnsi="宋体"/>
          <w:color w:val="auto"/>
          <w:sz w:val="24"/>
          <w:szCs w:val="21"/>
          <w:highlight w:val="none"/>
          <w:lang w:val="en-US" w:eastAsia="zh-CN"/>
        </w:rPr>
      </w:pPr>
    </w:p>
    <w:p w14:paraId="3A751D1C">
      <w:pPr>
        <w:spacing w:line="560" w:lineRule="exact"/>
        <w:rPr>
          <w:rFonts w:hint="eastAsia" w:ascii="宋体" w:hAnsi="宋体"/>
          <w:color w:val="auto"/>
          <w:sz w:val="24"/>
          <w:szCs w:val="21"/>
          <w:highlight w:val="none"/>
          <w:lang w:val="en-US" w:eastAsia="zh-CN"/>
        </w:rPr>
      </w:pPr>
    </w:p>
    <w:p w14:paraId="372F1F9A">
      <w:pPr>
        <w:spacing w:line="560" w:lineRule="exact"/>
        <w:rPr>
          <w:rFonts w:hint="eastAsia" w:ascii="宋体" w:hAnsi="宋体"/>
          <w:color w:val="auto"/>
          <w:sz w:val="24"/>
          <w:szCs w:val="21"/>
          <w:highlight w:val="none"/>
          <w:lang w:val="en-US" w:eastAsia="zh-CN"/>
        </w:rPr>
      </w:pPr>
    </w:p>
    <w:p w14:paraId="63E6BDEA">
      <w:pPr>
        <w:spacing w:line="560" w:lineRule="exact"/>
        <w:rPr>
          <w:rFonts w:hint="eastAsia" w:ascii="宋体" w:hAnsi="宋体"/>
          <w:color w:val="auto"/>
          <w:sz w:val="24"/>
          <w:szCs w:val="21"/>
          <w:highlight w:val="none"/>
          <w:lang w:val="en-US" w:eastAsia="zh-CN"/>
        </w:rPr>
      </w:pPr>
    </w:p>
    <w:p w14:paraId="006EC4C3">
      <w:pPr>
        <w:spacing w:line="560" w:lineRule="exact"/>
        <w:rPr>
          <w:rFonts w:hint="eastAsia" w:ascii="宋体" w:hAnsi="宋体"/>
          <w:color w:val="auto"/>
          <w:sz w:val="24"/>
          <w:szCs w:val="21"/>
          <w:highlight w:val="none"/>
          <w:lang w:val="en-US" w:eastAsia="zh-CN"/>
        </w:rPr>
      </w:pPr>
    </w:p>
    <w:p w14:paraId="49E42935">
      <w:pPr>
        <w:spacing w:line="560" w:lineRule="exact"/>
        <w:rPr>
          <w:rFonts w:hint="eastAsia" w:ascii="宋体" w:hAnsi="宋体"/>
          <w:color w:val="auto"/>
          <w:sz w:val="24"/>
          <w:szCs w:val="21"/>
          <w:highlight w:val="none"/>
          <w:lang w:val="en-US" w:eastAsia="zh-CN"/>
        </w:rPr>
        <w:sectPr>
          <w:pgSz w:w="11906" w:h="16838"/>
          <w:pgMar w:top="1418" w:right="1588" w:bottom="1418" w:left="1365" w:header="851" w:footer="907" w:gutter="0"/>
          <w:cols w:space="1701" w:num="1"/>
          <w:titlePg/>
          <w:docGrid w:linePitch="360" w:charSpace="0"/>
        </w:sectPr>
      </w:pPr>
    </w:p>
    <w:p w14:paraId="3D070833">
      <w:pPr>
        <w:pStyle w:val="305"/>
        <w:spacing w:line="360" w:lineRule="auto"/>
        <w:rPr>
          <w:rFonts w:ascii="宋体" w:hAnsi="宋体" w:eastAsia="宋体"/>
          <w:color w:val="auto"/>
          <w:sz w:val="24"/>
          <w:szCs w:val="21"/>
          <w:highlight w:val="none"/>
          <w:lang w:val="en-US" w:eastAsia="zh-CN"/>
        </w:rPr>
      </w:pPr>
      <w:r>
        <w:rPr>
          <w:rFonts w:hint="eastAsia" w:ascii="宋体" w:hAnsi="宋体"/>
          <w:color w:val="auto"/>
          <w:sz w:val="24"/>
          <w:szCs w:val="21"/>
          <w:highlight w:val="none"/>
          <w:lang w:val="en-US" w:eastAsia="zh-CN"/>
        </w:rPr>
        <w:t>附件1：</w:t>
      </w:r>
    </w:p>
    <w:p w14:paraId="6AD31A87">
      <w:pPr>
        <w:pStyle w:val="305"/>
        <w:rPr>
          <w:rFonts w:hint="eastAsia"/>
          <w:color w:val="auto"/>
          <w:highlight w:val="none"/>
          <w:lang w:eastAsia="zh-CN"/>
        </w:rPr>
      </w:pPr>
    </w:p>
    <w:p w14:paraId="7094BEFE">
      <w:pPr>
        <w:jc w:val="center"/>
        <w:rPr>
          <w:rFonts w:hint="eastAsia" w:ascii="宋体" w:hAnsi="宋体"/>
          <w:b/>
          <w:color w:val="auto"/>
          <w:sz w:val="30"/>
          <w:szCs w:val="30"/>
          <w:highlight w:val="none"/>
        </w:rPr>
      </w:pPr>
      <w:r>
        <w:rPr>
          <w:rFonts w:hint="eastAsia" w:ascii="宋体" w:hAnsi="宋体"/>
          <w:b/>
          <w:color w:val="auto"/>
          <w:sz w:val="30"/>
          <w:szCs w:val="30"/>
          <w:highlight w:val="none"/>
          <w:lang w:eastAsia="zh-CN"/>
        </w:rPr>
        <w:t>磋商人</w:t>
      </w:r>
      <w:r>
        <w:rPr>
          <w:rFonts w:hint="eastAsia" w:ascii="宋体" w:hAnsi="宋体"/>
          <w:b/>
          <w:color w:val="auto"/>
          <w:sz w:val="30"/>
          <w:szCs w:val="30"/>
          <w:highlight w:val="none"/>
        </w:rPr>
        <w:t>符合《政府采购法》第二十二条规定条件的声明函</w:t>
      </w:r>
    </w:p>
    <w:p w14:paraId="2F4EE2F8">
      <w:pPr>
        <w:spacing w:line="460" w:lineRule="exact"/>
        <w:rPr>
          <w:rFonts w:hint="eastAsia" w:ascii="宋体" w:hAnsi="宋体"/>
          <w:b/>
          <w:bCs/>
          <w:color w:val="auto"/>
          <w:sz w:val="44"/>
          <w:szCs w:val="44"/>
          <w:highlight w:val="none"/>
        </w:rPr>
      </w:pPr>
      <w:r>
        <w:rPr>
          <w:rFonts w:hint="eastAsia" w:ascii="宋体" w:hAnsi="宋体"/>
          <w:b/>
          <w:bCs/>
          <w:color w:val="auto"/>
          <w:sz w:val="24"/>
          <w:szCs w:val="21"/>
          <w:highlight w:val="none"/>
        </w:rPr>
        <w:t xml:space="preserve">                       </w:t>
      </w:r>
      <w:r>
        <w:rPr>
          <w:rFonts w:hint="eastAsia" w:ascii="宋体" w:hAnsi="宋体"/>
          <w:b/>
          <w:bCs/>
          <w:color w:val="auto"/>
          <w:sz w:val="44"/>
          <w:szCs w:val="44"/>
          <w:highlight w:val="none"/>
        </w:rPr>
        <w:t xml:space="preserve">   </w:t>
      </w:r>
    </w:p>
    <w:p w14:paraId="545F8E77">
      <w:pPr>
        <w:spacing w:line="520" w:lineRule="exact"/>
        <w:ind w:firstLine="480"/>
        <w:rPr>
          <w:rFonts w:hint="eastAsia" w:ascii="宋体" w:hAnsi="宋体"/>
          <w:b/>
          <w:bCs/>
          <w:color w:val="auto"/>
          <w:sz w:val="24"/>
          <w:highlight w:val="none"/>
        </w:rPr>
      </w:pPr>
      <w:r>
        <w:rPr>
          <w:rFonts w:hint="eastAsia" w:ascii="宋体" w:hAnsi="宋体"/>
          <w:bCs/>
          <w:color w:val="auto"/>
          <w:sz w:val="24"/>
          <w:highlight w:val="none"/>
        </w:rPr>
        <w:t>我单位参加</w:t>
      </w:r>
      <w:r>
        <w:rPr>
          <w:rFonts w:hint="eastAsia" w:ascii="宋体" w:hAnsi="宋体"/>
          <w:bCs/>
          <w:color w:val="auto"/>
          <w:sz w:val="24"/>
          <w:szCs w:val="21"/>
          <w:highlight w:val="none"/>
          <w:u w:val="single"/>
        </w:rPr>
        <w:t>________________ _</w:t>
      </w:r>
      <w:r>
        <w:rPr>
          <w:rFonts w:hint="eastAsia" w:ascii="宋体" w:hAnsi="宋体"/>
          <w:bCs/>
          <w:color w:val="auto"/>
          <w:sz w:val="24"/>
          <w:szCs w:val="21"/>
          <w:highlight w:val="none"/>
        </w:rPr>
        <w:t>（项目名称），</w:t>
      </w:r>
      <w:r>
        <w:rPr>
          <w:rFonts w:hint="eastAsia" w:ascii="宋体" w:hAnsi="宋体"/>
          <w:bCs/>
          <w:color w:val="auto"/>
          <w:sz w:val="24"/>
          <w:szCs w:val="21"/>
          <w:highlight w:val="none"/>
          <w:u w:val="single"/>
        </w:rPr>
        <w:t>_______ __________</w:t>
      </w:r>
      <w:r>
        <w:rPr>
          <w:rFonts w:hint="eastAsia" w:ascii="宋体" w:hAnsi="宋体"/>
          <w:bCs/>
          <w:color w:val="auto"/>
          <w:sz w:val="24"/>
          <w:szCs w:val="21"/>
          <w:highlight w:val="none"/>
        </w:rPr>
        <w:t>（项目编号）投标活动。针对《中华人民共和国政府采购法》第二十二条规定做出如下声明：</w:t>
      </w:r>
    </w:p>
    <w:p w14:paraId="025687BA">
      <w:pPr>
        <w:spacing w:line="520" w:lineRule="exact"/>
        <w:ind w:firstLine="482"/>
        <w:rPr>
          <w:rFonts w:hint="eastAsia" w:ascii="宋体" w:hAnsi="宋体"/>
          <w:color w:val="auto"/>
          <w:sz w:val="24"/>
          <w:highlight w:val="none"/>
        </w:rPr>
      </w:pPr>
      <w:r>
        <w:rPr>
          <w:rFonts w:hint="eastAsia" w:ascii="宋体" w:hAnsi="宋体"/>
          <w:bCs/>
          <w:color w:val="auto"/>
          <w:sz w:val="24"/>
          <w:szCs w:val="21"/>
          <w:highlight w:val="none"/>
        </w:rPr>
        <w:t>1.我单位具有独立承担民事责任的能力；</w:t>
      </w:r>
    </w:p>
    <w:p w14:paraId="70234E24">
      <w:pPr>
        <w:spacing w:line="520" w:lineRule="exact"/>
        <w:ind w:firstLine="482"/>
        <w:rPr>
          <w:rFonts w:hint="eastAsia" w:ascii="宋体" w:hAnsi="宋体"/>
          <w:color w:val="auto"/>
          <w:sz w:val="24"/>
          <w:highlight w:val="none"/>
        </w:rPr>
      </w:pPr>
      <w:r>
        <w:rPr>
          <w:rFonts w:hint="eastAsia" w:ascii="宋体" w:hAnsi="宋体"/>
          <w:color w:val="auto"/>
          <w:sz w:val="24"/>
          <w:highlight w:val="none"/>
        </w:rPr>
        <w:t>2.我单位具有良好的商业信誉和健全的财务会计制度；</w:t>
      </w:r>
    </w:p>
    <w:p w14:paraId="0094B1E8">
      <w:pPr>
        <w:spacing w:line="520" w:lineRule="exact"/>
        <w:ind w:firstLine="482"/>
        <w:rPr>
          <w:rFonts w:hint="eastAsia" w:ascii="宋体" w:hAnsi="宋体"/>
          <w:color w:val="auto"/>
          <w:sz w:val="24"/>
          <w:highlight w:val="none"/>
        </w:rPr>
      </w:pPr>
      <w:r>
        <w:rPr>
          <w:rFonts w:hint="eastAsia" w:ascii="宋体" w:hAnsi="宋体"/>
          <w:color w:val="auto"/>
          <w:sz w:val="24"/>
          <w:highlight w:val="none"/>
        </w:rPr>
        <w:t>3.我单位具有履行合同所必需的设备和专业技术能力；</w:t>
      </w:r>
    </w:p>
    <w:p w14:paraId="6DA0AE4B">
      <w:pPr>
        <w:spacing w:line="520" w:lineRule="exact"/>
        <w:ind w:firstLine="482"/>
        <w:rPr>
          <w:rFonts w:hint="eastAsia" w:ascii="宋体" w:hAnsi="宋体"/>
          <w:color w:val="auto"/>
          <w:sz w:val="24"/>
          <w:highlight w:val="none"/>
        </w:rPr>
      </w:pPr>
      <w:r>
        <w:rPr>
          <w:rFonts w:hint="eastAsia" w:ascii="宋体" w:hAnsi="宋体"/>
          <w:color w:val="auto"/>
          <w:sz w:val="24"/>
          <w:highlight w:val="none"/>
        </w:rPr>
        <w:t>4.我单位有依法缴纳税收和社会保障资金的良好记录；</w:t>
      </w:r>
    </w:p>
    <w:p w14:paraId="5AF9A76B">
      <w:pPr>
        <w:spacing w:line="520" w:lineRule="exact"/>
        <w:ind w:firstLine="482"/>
        <w:rPr>
          <w:rFonts w:hint="eastAsia" w:ascii="宋体" w:hAnsi="宋体"/>
          <w:color w:val="auto"/>
          <w:sz w:val="24"/>
          <w:highlight w:val="none"/>
        </w:rPr>
      </w:pPr>
      <w:r>
        <w:rPr>
          <w:rFonts w:hint="eastAsia" w:ascii="宋体" w:hAnsi="宋体"/>
          <w:color w:val="auto"/>
          <w:sz w:val="24"/>
          <w:highlight w:val="none"/>
        </w:rPr>
        <w:t>5.我单位参加政府采购活动前三年内，在经营活动中没有重大违法记录；（1.供应商在参加政府采购活动前三年内因违法经营被禁止在一定期限内参加政府采购活动，期限届满的，可以参加政府采购活动。2.《中华人民共和国政府采购法实施条例》第十九条第一款规定的“较大数额罚款”认定为200万元以上的罚款，法律、行政法规以及国务院有关部门明确规定相关领域“较大数额罚款”标准高于200万元的，从其规定。）</w:t>
      </w:r>
    </w:p>
    <w:p w14:paraId="2D5D087D">
      <w:pPr>
        <w:spacing w:line="520" w:lineRule="exact"/>
        <w:ind w:firstLine="482"/>
        <w:rPr>
          <w:rFonts w:hint="eastAsia" w:ascii="宋体" w:hAnsi="宋体"/>
          <w:color w:val="auto"/>
          <w:sz w:val="24"/>
          <w:highlight w:val="none"/>
        </w:rPr>
      </w:pPr>
      <w:r>
        <w:rPr>
          <w:rFonts w:hint="eastAsia" w:ascii="宋体" w:hAnsi="宋体"/>
          <w:color w:val="auto"/>
          <w:sz w:val="24"/>
          <w:highlight w:val="none"/>
        </w:rPr>
        <w:t>6.我单位满足法律、行政法规规定的其他条件。</w:t>
      </w:r>
    </w:p>
    <w:p w14:paraId="6787FC81">
      <w:pPr>
        <w:spacing w:line="500" w:lineRule="exact"/>
        <w:ind w:firstLine="482"/>
        <w:rPr>
          <w:rFonts w:hint="eastAsia" w:ascii="宋体" w:hAnsi="宋体"/>
          <w:color w:val="auto"/>
          <w:sz w:val="24"/>
          <w:highlight w:val="none"/>
        </w:rPr>
      </w:pPr>
    </w:p>
    <w:p w14:paraId="1ECDF0D7">
      <w:pPr>
        <w:spacing w:line="500" w:lineRule="exact"/>
        <w:rPr>
          <w:rFonts w:hint="eastAsia" w:ascii="宋体" w:hAnsi="宋体"/>
          <w:color w:val="auto"/>
          <w:sz w:val="24"/>
          <w:highlight w:val="none"/>
        </w:rPr>
      </w:pPr>
    </w:p>
    <w:p w14:paraId="2B887BA8">
      <w:pPr>
        <w:spacing w:line="500" w:lineRule="exact"/>
        <w:rPr>
          <w:rFonts w:hint="eastAsia" w:ascii="宋体" w:hAnsi="宋体"/>
          <w:bCs/>
          <w:color w:val="auto"/>
          <w:sz w:val="24"/>
          <w:szCs w:val="21"/>
          <w:highlight w:val="none"/>
        </w:rPr>
      </w:pPr>
    </w:p>
    <w:p w14:paraId="2DEA2613">
      <w:pPr>
        <w:spacing w:line="500" w:lineRule="exact"/>
        <w:rPr>
          <w:rFonts w:hint="eastAsia" w:ascii="宋体" w:hAnsi="宋体"/>
          <w:bCs/>
          <w:color w:val="auto"/>
          <w:sz w:val="24"/>
          <w:szCs w:val="21"/>
          <w:highlight w:val="none"/>
        </w:rPr>
      </w:pPr>
    </w:p>
    <w:p w14:paraId="1A424C8D">
      <w:pPr>
        <w:spacing w:line="500" w:lineRule="exact"/>
        <w:rPr>
          <w:rFonts w:hint="eastAsia" w:ascii="宋体" w:hAnsi="宋体"/>
          <w:bCs/>
          <w:color w:val="auto"/>
          <w:sz w:val="24"/>
          <w:szCs w:val="21"/>
          <w:highlight w:val="none"/>
        </w:rPr>
      </w:pPr>
    </w:p>
    <w:p w14:paraId="3CCB78E3">
      <w:pPr>
        <w:spacing w:line="460" w:lineRule="exact"/>
        <w:jc w:val="center"/>
        <w:rPr>
          <w:rFonts w:hint="eastAsia" w:ascii="宋体" w:hAnsi="宋体"/>
          <w:bCs/>
          <w:color w:val="auto"/>
          <w:sz w:val="24"/>
          <w:szCs w:val="21"/>
          <w:highlight w:val="none"/>
        </w:rPr>
      </w:pPr>
      <w:r>
        <w:rPr>
          <w:rFonts w:hint="eastAsia" w:ascii="宋体" w:hAnsi="宋体"/>
          <w:bCs/>
          <w:color w:val="auto"/>
          <w:sz w:val="24"/>
          <w:szCs w:val="21"/>
          <w:highlight w:val="none"/>
        </w:rPr>
        <w:t xml:space="preserve">                                             承诺人名称（公章）：</w:t>
      </w:r>
    </w:p>
    <w:p w14:paraId="50E85CF1">
      <w:pPr>
        <w:spacing w:line="460" w:lineRule="exact"/>
        <w:jc w:val="right"/>
        <w:rPr>
          <w:rFonts w:hint="eastAsia" w:ascii="宋体" w:hAnsi="宋体"/>
          <w:bCs/>
          <w:color w:val="auto"/>
          <w:sz w:val="24"/>
          <w:szCs w:val="21"/>
          <w:highlight w:val="none"/>
        </w:rPr>
      </w:pPr>
      <w:r>
        <w:rPr>
          <w:rFonts w:hint="eastAsia" w:ascii="宋体" w:hAnsi="宋体"/>
          <w:bCs/>
          <w:color w:val="auto"/>
          <w:sz w:val="24"/>
          <w:szCs w:val="21"/>
          <w:highlight w:val="none"/>
        </w:rPr>
        <w:t xml:space="preserve">    </w:t>
      </w:r>
    </w:p>
    <w:p w14:paraId="5C9408FD">
      <w:pPr>
        <w:spacing w:line="460" w:lineRule="exact"/>
        <w:jc w:val="right"/>
        <w:rPr>
          <w:rFonts w:hint="eastAsia" w:ascii="宋体" w:hAnsi="宋体"/>
          <w:bCs/>
          <w:color w:val="auto"/>
          <w:sz w:val="24"/>
          <w:szCs w:val="21"/>
          <w:highlight w:val="none"/>
        </w:rPr>
      </w:pPr>
      <w:r>
        <w:rPr>
          <w:rFonts w:hint="eastAsia" w:ascii="宋体" w:hAnsi="宋体"/>
          <w:bCs/>
          <w:color w:val="auto"/>
          <w:sz w:val="24"/>
          <w:szCs w:val="21"/>
          <w:highlight w:val="none"/>
        </w:rPr>
        <w:t xml:space="preserve">                                 日期：</w:t>
      </w:r>
      <w:r>
        <w:rPr>
          <w:rFonts w:hint="eastAsia" w:ascii="宋体" w:hAnsi="宋体"/>
          <w:bCs/>
          <w:color w:val="auto"/>
          <w:sz w:val="24"/>
          <w:szCs w:val="21"/>
          <w:highlight w:val="none"/>
          <w:u w:val="single"/>
        </w:rPr>
        <w:t>______</w:t>
      </w:r>
      <w:r>
        <w:rPr>
          <w:rFonts w:hint="eastAsia" w:ascii="宋体" w:hAnsi="宋体"/>
          <w:bCs/>
          <w:color w:val="auto"/>
          <w:sz w:val="24"/>
          <w:szCs w:val="21"/>
          <w:highlight w:val="none"/>
        </w:rPr>
        <w:t>年</w:t>
      </w:r>
      <w:r>
        <w:rPr>
          <w:rFonts w:hint="eastAsia" w:ascii="宋体" w:hAnsi="宋体"/>
          <w:bCs/>
          <w:color w:val="auto"/>
          <w:sz w:val="24"/>
          <w:szCs w:val="21"/>
          <w:highlight w:val="none"/>
          <w:u w:val="single"/>
        </w:rPr>
        <w:t xml:space="preserve">    </w:t>
      </w:r>
      <w:r>
        <w:rPr>
          <w:rFonts w:hint="eastAsia" w:ascii="宋体" w:hAnsi="宋体"/>
          <w:bCs/>
          <w:color w:val="auto"/>
          <w:sz w:val="24"/>
          <w:szCs w:val="21"/>
          <w:highlight w:val="none"/>
        </w:rPr>
        <w:t>月</w:t>
      </w:r>
      <w:r>
        <w:rPr>
          <w:rFonts w:hint="eastAsia" w:ascii="宋体" w:hAnsi="宋体"/>
          <w:bCs/>
          <w:color w:val="auto"/>
          <w:sz w:val="24"/>
          <w:szCs w:val="21"/>
          <w:highlight w:val="none"/>
          <w:u w:val="single"/>
        </w:rPr>
        <w:t xml:space="preserve">    </w:t>
      </w:r>
      <w:r>
        <w:rPr>
          <w:rFonts w:hint="eastAsia" w:ascii="宋体" w:hAnsi="宋体"/>
          <w:bCs/>
          <w:color w:val="auto"/>
          <w:sz w:val="24"/>
          <w:szCs w:val="21"/>
          <w:highlight w:val="none"/>
        </w:rPr>
        <w:t>日</w:t>
      </w:r>
    </w:p>
    <w:p w14:paraId="2652FD60">
      <w:pPr>
        <w:spacing w:line="400" w:lineRule="exact"/>
        <w:ind w:firstLine="540"/>
        <w:contextualSpacing/>
        <w:rPr>
          <w:rFonts w:hint="eastAsia" w:ascii="宋体" w:hAnsi="宋体" w:cs="宋体"/>
          <w:b/>
          <w:color w:val="auto"/>
          <w:sz w:val="28"/>
          <w:szCs w:val="28"/>
          <w:highlight w:val="none"/>
        </w:rPr>
      </w:pPr>
    </w:p>
    <w:p w14:paraId="15C6C45D">
      <w:pPr>
        <w:rPr>
          <w:rFonts w:hint="eastAsia" w:ascii="宋体" w:hAnsi="宋体"/>
          <w:bCs/>
          <w:color w:val="auto"/>
          <w:sz w:val="24"/>
          <w:szCs w:val="21"/>
          <w:highlight w:val="none"/>
        </w:rPr>
      </w:pPr>
      <w:r>
        <w:rPr>
          <w:rFonts w:eastAsia="方正黑体_GBK"/>
          <w:color w:val="auto"/>
          <w:sz w:val="32"/>
          <w:szCs w:val="32"/>
          <w:highlight w:val="none"/>
        </w:rPr>
        <w:br w:type="page" w:clear="all"/>
      </w:r>
    </w:p>
    <w:p w14:paraId="46236FA5">
      <w:pPr>
        <w:spacing w:line="360" w:lineRule="auto"/>
        <w:contextualSpacing/>
        <w:rPr>
          <w:rFonts w:hint="eastAsia" w:ascii="宋体" w:hAnsi="宋体" w:cs="宋体"/>
          <w:color w:val="auto"/>
          <w:sz w:val="24"/>
          <w:highlight w:val="none"/>
          <w:lang w:val="zh-CN"/>
        </w:rPr>
      </w:pPr>
      <w:r>
        <w:rPr>
          <w:rFonts w:hint="eastAsia" w:ascii="宋体" w:hAnsi="宋体" w:cs="宋体"/>
          <w:color w:val="auto"/>
          <w:sz w:val="24"/>
          <w:highlight w:val="none"/>
          <w:lang w:val="zh-CN"/>
        </w:rPr>
        <w:t>附件2</w:t>
      </w:r>
    </w:p>
    <w:p w14:paraId="71C2F238">
      <w:pPr>
        <w:pStyle w:val="310"/>
        <w:spacing w:line="360" w:lineRule="auto"/>
        <w:jc w:val="center"/>
        <w:rPr>
          <w:rFonts w:hint="eastAsia" w:ascii="宋体" w:hAnsi="宋体" w:cs="宋体"/>
          <w:b/>
          <w:bCs/>
          <w:color w:val="auto"/>
          <w:sz w:val="24"/>
          <w:highlight w:val="none"/>
        </w:rPr>
      </w:pPr>
      <w:r>
        <w:rPr>
          <w:rFonts w:hint="eastAsia" w:ascii="宋体" w:hAnsi="宋体" w:cs="宋体"/>
          <w:b/>
          <w:bCs/>
          <w:color w:val="auto"/>
          <w:sz w:val="24"/>
          <w:highlight w:val="none"/>
        </w:rPr>
        <w:t>法定代表人身份证明</w:t>
      </w:r>
    </w:p>
    <w:p w14:paraId="5B7B938A">
      <w:pPr>
        <w:spacing w:line="360" w:lineRule="auto"/>
        <w:rPr>
          <w:rFonts w:hint="eastAsia" w:ascii="宋体" w:hAnsi="宋体" w:cs="宋体"/>
          <w:color w:val="auto"/>
          <w:sz w:val="24"/>
          <w:highlight w:val="none"/>
        </w:rPr>
      </w:pPr>
    </w:p>
    <w:p w14:paraId="2976B15C">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先生/女士： 现任我单位</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职务，为法定代表人，特此证明。</w:t>
      </w:r>
    </w:p>
    <w:p w14:paraId="47FCA509">
      <w:pPr>
        <w:spacing w:line="360" w:lineRule="auto"/>
        <w:ind w:firstLine="480"/>
        <w:rPr>
          <w:rFonts w:hint="eastAsia" w:ascii="宋体" w:hAnsi="宋体" w:cs="宋体"/>
          <w:color w:val="auto"/>
          <w:sz w:val="24"/>
          <w:highlight w:val="none"/>
          <w:u w:val="single"/>
        </w:rPr>
      </w:pPr>
      <w:r>
        <w:rPr>
          <w:rFonts w:hint="eastAsia" w:ascii="宋体" w:hAnsi="宋体" w:cs="宋体"/>
          <w:color w:val="auto"/>
          <w:sz w:val="24"/>
          <w:highlight w:val="none"/>
        </w:rPr>
        <w:t>身份证号码：</w:t>
      </w:r>
      <w:r>
        <w:rPr>
          <w:rFonts w:hint="eastAsia" w:ascii="宋体" w:hAnsi="宋体" w:cs="宋体"/>
          <w:color w:val="auto"/>
          <w:sz w:val="24"/>
          <w:highlight w:val="none"/>
          <w:u w:val="single"/>
        </w:rPr>
        <w:t xml:space="preserve">                                               </w:t>
      </w:r>
    </w:p>
    <w:p w14:paraId="5142A8ED">
      <w:pPr>
        <w:spacing w:line="360" w:lineRule="auto"/>
        <w:ind w:firstLine="480"/>
        <w:rPr>
          <w:rFonts w:hint="eastAsia" w:ascii="宋体" w:hAnsi="宋体" w:cs="宋体"/>
          <w:color w:val="auto"/>
          <w:sz w:val="24"/>
          <w:highlight w:val="none"/>
        </w:rPr>
      </w:pPr>
    </w:p>
    <w:p w14:paraId="435925C3">
      <w:pPr>
        <w:pStyle w:val="311"/>
        <w:spacing w:line="360" w:lineRule="auto"/>
        <w:rPr>
          <w:rFonts w:hint="eastAsia" w:ascii="宋体" w:hAnsi="宋体" w:cs="宋体"/>
          <w:b/>
          <w:color w:val="auto"/>
          <w:sz w:val="24"/>
          <w:highlight w:val="none"/>
        </w:rPr>
      </w:pPr>
      <w:r>
        <w:rPr>
          <w:rFonts w:hint="eastAsia" w:ascii="宋体" w:hAnsi="宋体" w:cs="宋体"/>
          <w:b/>
          <w:color w:val="auto"/>
          <w:sz w:val="24"/>
          <w:highlight w:val="none"/>
        </w:rPr>
        <w:t>注：提供法定代表人的身份证</w:t>
      </w:r>
      <w:r>
        <w:rPr>
          <w:rFonts w:hint="eastAsia" w:ascii="宋体" w:hAnsi="宋体" w:cs="宋体"/>
          <w:b/>
          <w:color w:val="auto"/>
          <w:sz w:val="24"/>
          <w:highlight w:val="none"/>
          <w:lang w:eastAsia="zh-CN"/>
        </w:rPr>
        <w:t>扫描</w:t>
      </w:r>
      <w:r>
        <w:rPr>
          <w:rFonts w:hint="eastAsia" w:ascii="宋体" w:hAnsi="宋体" w:cs="宋体"/>
          <w:b/>
          <w:color w:val="auto"/>
          <w:sz w:val="24"/>
          <w:highlight w:val="none"/>
        </w:rPr>
        <w:t>件盖公章</w:t>
      </w:r>
    </w:p>
    <w:p w14:paraId="525195F6">
      <w:pPr>
        <w:spacing w:line="560" w:lineRule="exact"/>
        <w:ind w:firstLine="480"/>
        <w:rPr>
          <w:rFonts w:ascii="宋体" w:hAnsi="宋体"/>
          <w:color w:val="auto"/>
          <w:sz w:val="24"/>
          <w:szCs w:val="24"/>
          <w:highlight w:val="none"/>
        </w:rPr>
      </w:pPr>
      <w:r>
        <w:rPr>
          <w:rFonts w:hint="eastAsia" w:ascii="宋体" w:hAnsi="宋体"/>
          <w:color w:val="auto"/>
          <w:sz w:val="24"/>
          <w:szCs w:val="24"/>
          <w:highlight w:val="none"/>
        </w:rPr>
        <w:t>特此证明</w:t>
      </w:r>
    </w:p>
    <w:p w14:paraId="67D025DD">
      <w:pPr>
        <w:spacing w:line="560" w:lineRule="exact"/>
        <w:rPr>
          <w:rFonts w:ascii="宋体" w:hAnsi="宋体"/>
          <w:color w:val="auto"/>
          <w:sz w:val="24"/>
          <w:szCs w:val="24"/>
          <w:highlight w:val="none"/>
        </w:rPr>
      </w:pPr>
      <w:r>
        <w:rPr>
          <w:rFonts w:ascii="宋体" w:hAnsi="宋体"/>
          <w:color w:val="auto"/>
          <w:szCs w:val="24"/>
          <w:highlight w:val="none"/>
        </w:rPr>
        <mc:AlternateContent>
          <mc:Choice Requires="wps">
            <w:drawing>
              <wp:anchor distT="0" distB="0" distL="114300" distR="114300" simplePos="0" relativeHeight="251660288" behindDoc="0" locked="0" layoutInCell="1" allowOverlap="1">
                <wp:simplePos x="0" y="0"/>
                <wp:positionH relativeFrom="column">
                  <wp:posOffset>349885</wp:posOffset>
                </wp:positionH>
                <wp:positionV relativeFrom="paragraph">
                  <wp:posOffset>71755</wp:posOffset>
                </wp:positionV>
                <wp:extent cx="2240915" cy="1125855"/>
                <wp:effectExtent l="4445" t="4445" r="10160" b="12700"/>
                <wp:wrapNone/>
                <wp:docPr id="13" name="文本框 6"/>
                <wp:cNvGraphicFramePr/>
                <a:graphic xmlns:a="http://schemas.openxmlformats.org/drawingml/2006/main">
                  <a:graphicData uri="http://schemas.microsoft.com/office/word/2010/wordprocessingShape">
                    <wps:wsp>
                      <wps:cNvSpPr txBox="1"/>
                      <wps:spPr bwMode="auto">
                        <a:xfrm>
                          <a:off x="0" y="0"/>
                          <a:ext cx="2240915" cy="1125855"/>
                        </a:xfrm>
                        <a:prstGeom prst="rect">
                          <a:avLst/>
                        </a:prstGeom>
                        <a:solidFill>
                          <a:srgbClr val="FFFFFF"/>
                        </a:solidFill>
                        <a:ln>
                          <a:solidFill>
                            <a:srgbClr val="000000"/>
                          </a:solidFill>
                          <a:prstDash val="dash"/>
                        </a:ln>
                      </wps:spPr>
                      <wps:txbx>
                        <w:txbxContent>
                          <w:p w14:paraId="74F7D355">
                            <w:pPr>
                              <w:jc w:val="center"/>
                              <w:rPr>
                                <w:rFonts w:ascii="宋体"/>
                              </w:rPr>
                            </w:pPr>
                          </w:p>
                          <w:p w14:paraId="32D422A2">
                            <w:pPr>
                              <w:jc w:val="center"/>
                              <w:rPr>
                                <w:rFonts w:ascii="宋体"/>
                                <w:sz w:val="28"/>
                                <w:szCs w:val="28"/>
                              </w:rPr>
                            </w:pPr>
                            <w:r>
                              <w:rPr>
                                <w:rFonts w:hint="eastAsia" w:ascii="宋体" w:hAnsi="宋体"/>
                                <w:sz w:val="28"/>
                                <w:szCs w:val="28"/>
                              </w:rPr>
                              <w:t>法定代表人身份证复印件</w:t>
                            </w:r>
                          </w:p>
                          <w:p w14:paraId="1A8998A4">
                            <w:pPr>
                              <w:jc w:val="center"/>
                              <w:rPr>
                                <w:sz w:val="28"/>
                                <w:szCs w:val="28"/>
                              </w:rPr>
                            </w:pPr>
                            <w:r>
                              <w:rPr>
                                <w:rFonts w:hint="eastAsia" w:ascii="宋体" w:hAnsi="宋体"/>
                                <w:sz w:val="28"/>
                                <w:szCs w:val="28"/>
                              </w:rPr>
                              <w:t>（正面）</w:t>
                            </w:r>
                          </w:p>
                          <w:p w14:paraId="17682F68"/>
                        </w:txbxContent>
                      </wps:txbx>
                      <wps:bodyPr wrap="square" anchor="ctr" upright="1"/>
                    </wps:wsp>
                  </a:graphicData>
                </a:graphic>
              </wp:anchor>
            </w:drawing>
          </mc:Choice>
          <mc:Fallback>
            <w:pict>
              <v:shape id="文本框 6" o:spid="_x0000_s1026" o:spt="202" type="#_x0000_t202" style="position:absolute;left:0pt;margin-left:27.55pt;margin-top:5.65pt;height:88.65pt;width:176.45pt;z-index:251660288;v-text-anchor:middle;mso-width-relative:page;mso-height-relative:page;" fillcolor="#FFFFFF" filled="t" stroked="t" coordsize="21600,21600" o:gfxdata="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NvUrQdQA&#10;AAAJAQAADwAAAAAAAAABACAAAAAiAAAAZHJzL2Rvd25yZXYueG1sUEsBAhQAFAAAAAgAh07iQAjQ&#10;BUfqAQAA4wMAAA4AAAAAAAAAAQAgAAAAIwEAAGRycy9lMm9Eb2MueG1sUEsFBgAAAAAGAAYAWQEA&#10;AH8FAAAAAA==&#10;">
                <v:fill on="t" focussize="0,0"/>
                <v:stroke color="#000000" joinstyle="round" dashstyle="dash"/>
                <v:imagedata o:title=""/>
                <o:lock v:ext="edit" aspectratio="f"/>
                <v:textbox>
                  <w:txbxContent>
                    <w:p w14:paraId="74F7D355">
                      <w:pPr>
                        <w:jc w:val="center"/>
                        <w:rPr>
                          <w:rFonts w:ascii="宋体"/>
                        </w:rPr>
                      </w:pPr>
                    </w:p>
                    <w:p w14:paraId="32D422A2">
                      <w:pPr>
                        <w:jc w:val="center"/>
                        <w:rPr>
                          <w:rFonts w:ascii="宋体"/>
                          <w:sz w:val="28"/>
                          <w:szCs w:val="28"/>
                        </w:rPr>
                      </w:pPr>
                      <w:r>
                        <w:rPr>
                          <w:rFonts w:hint="eastAsia" w:ascii="宋体" w:hAnsi="宋体"/>
                          <w:sz w:val="28"/>
                          <w:szCs w:val="28"/>
                        </w:rPr>
                        <w:t>法定代表人身份证复印件</w:t>
                      </w:r>
                    </w:p>
                    <w:p w14:paraId="1A8998A4">
                      <w:pPr>
                        <w:jc w:val="center"/>
                        <w:rPr>
                          <w:sz w:val="28"/>
                          <w:szCs w:val="28"/>
                        </w:rPr>
                      </w:pPr>
                      <w:r>
                        <w:rPr>
                          <w:rFonts w:hint="eastAsia" w:ascii="宋体" w:hAnsi="宋体"/>
                          <w:sz w:val="28"/>
                          <w:szCs w:val="28"/>
                        </w:rPr>
                        <w:t>（正面）</w:t>
                      </w:r>
                    </w:p>
                    <w:p w14:paraId="17682F68"/>
                  </w:txbxContent>
                </v:textbox>
              </v:shape>
            </w:pict>
          </mc:Fallback>
        </mc:AlternateContent>
      </w:r>
      <w:r>
        <w:rPr>
          <w:rFonts w:ascii="宋体" w:hAnsi="宋体"/>
          <w:color w:val="auto"/>
          <w:szCs w:val="24"/>
          <w:highlight w:val="none"/>
        </w:rPr>
        <mc:AlternateContent>
          <mc:Choice Requires="wps">
            <w:drawing>
              <wp:anchor distT="0" distB="0" distL="114300" distR="114300" simplePos="0" relativeHeight="251660288" behindDoc="0" locked="0" layoutInCell="1" allowOverlap="1">
                <wp:simplePos x="0" y="0"/>
                <wp:positionH relativeFrom="column">
                  <wp:posOffset>2895600</wp:posOffset>
                </wp:positionH>
                <wp:positionV relativeFrom="paragraph">
                  <wp:posOffset>63500</wp:posOffset>
                </wp:positionV>
                <wp:extent cx="2240915" cy="1125855"/>
                <wp:effectExtent l="4445" t="4445" r="10160" b="12700"/>
                <wp:wrapNone/>
                <wp:docPr id="14" name="文本框 7"/>
                <wp:cNvGraphicFramePr/>
                <a:graphic xmlns:a="http://schemas.openxmlformats.org/drawingml/2006/main">
                  <a:graphicData uri="http://schemas.microsoft.com/office/word/2010/wordprocessingShape">
                    <wps:wsp>
                      <wps:cNvSpPr txBox="1"/>
                      <wps:spPr bwMode="auto">
                        <a:xfrm>
                          <a:off x="0" y="0"/>
                          <a:ext cx="2240915" cy="1125855"/>
                        </a:xfrm>
                        <a:prstGeom prst="rect">
                          <a:avLst/>
                        </a:prstGeom>
                        <a:solidFill>
                          <a:srgbClr val="FFFFFF"/>
                        </a:solidFill>
                        <a:ln>
                          <a:solidFill>
                            <a:srgbClr val="000000"/>
                          </a:solidFill>
                          <a:prstDash val="dash"/>
                        </a:ln>
                      </wps:spPr>
                      <wps:txbx>
                        <w:txbxContent>
                          <w:p w14:paraId="29448B38">
                            <w:pPr>
                              <w:jc w:val="center"/>
                              <w:rPr>
                                <w:rFonts w:ascii="宋体"/>
                              </w:rPr>
                            </w:pPr>
                          </w:p>
                          <w:p w14:paraId="33357B77">
                            <w:pPr>
                              <w:jc w:val="center"/>
                              <w:rPr>
                                <w:rFonts w:ascii="宋体"/>
                                <w:sz w:val="28"/>
                                <w:szCs w:val="28"/>
                              </w:rPr>
                            </w:pPr>
                            <w:r>
                              <w:rPr>
                                <w:rFonts w:hint="eastAsia" w:ascii="宋体" w:hAnsi="宋体"/>
                                <w:sz w:val="28"/>
                                <w:szCs w:val="28"/>
                              </w:rPr>
                              <w:t>法定代表人身份证复印件</w:t>
                            </w:r>
                          </w:p>
                          <w:p w14:paraId="69D49338">
                            <w:pPr>
                              <w:jc w:val="center"/>
                              <w:rPr>
                                <w:sz w:val="28"/>
                                <w:szCs w:val="28"/>
                              </w:rPr>
                            </w:pPr>
                            <w:r>
                              <w:rPr>
                                <w:rFonts w:hint="eastAsia" w:ascii="宋体" w:hAnsi="宋体"/>
                                <w:sz w:val="28"/>
                                <w:szCs w:val="28"/>
                              </w:rPr>
                              <w:t>（反面）</w:t>
                            </w:r>
                          </w:p>
                          <w:p w14:paraId="19FF5499"/>
                        </w:txbxContent>
                      </wps:txbx>
                      <wps:bodyPr wrap="square" anchor="ctr" upright="1"/>
                    </wps:wsp>
                  </a:graphicData>
                </a:graphic>
              </wp:anchor>
            </w:drawing>
          </mc:Choice>
          <mc:Fallback>
            <w:pict>
              <v:shape id="文本框 7" o:spid="_x0000_s1026" o:spt="202" type="#_x0000_t202" style="position:absolute;left:0pt;margin-left:228pt;margin-top:5pt;height:88.65pt;width:176.45pt;z-index:251660288;v-text-anchor:middle;mso-width-relative:page;mso-height-relative:page;" fillcolor="#FFFFFF" filled="t" stroked="t" coordsize="21600,21600" o:gfxdata="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AE957I&#10;1gAAAAoBAAAPAAAAAAAAAAEAIAAAACIAAABkcnMvZG93bnJldi54bWxQSwECFAAUAAAACACHTuJA&#10;osg8wOoBAADjAwAADgAAAAAAAAABACAAAAAlAQAAZHJzL2Uyb0RvYy54bWxQSwUGAAAAAAYABgBZ&#10;AQAAgQUAAAAA&#10;">
                <v:fill on="t" focussize="0,0"/>
                <v:stroke color="#000000" joinstyle="round" dashstyle="dash"/>
                <v:imagedata o:title=""/>
                <o:lock v:ext="edit" aspectratio="f"/>
                <v:textbox>
                  <w:txbxContent>
                    <w:p w14:paraId="29448B38">
                      <w:pPr>
                        <w:jc w:val="center"/>
                        <w:rPr>
                          <w:rFonts w:ascii="宋体"/>
                        </w:rPr>
                      </w:pPr>
                    </w:p>
                    <w:p w14:paraId="33357B77">
                      <w:pPr>
                        <w:jc w:val="center"/>
                        <w:rPr>
                          <w:rFonts w:ascii="宋体"/>
                          <w:sz w:val="28"/>
                          <w:szCs w:val="28"/>
                        </w:rPr>
                      </w:pPr>
                      <w:r>
                        <w:rPr>
                          <w:rFonts w:hint="eastAsia" w:ascii="宋体" w:hAnsi="宋体"/>
                          <w:sz w:val="28"/>
                          <w:szCs w:val="28"/>
                        </w:rPr>
                        <w:t>法定代表人身份证复印件</w:t>
                      </w:r>
                    </w:p>
                    <w:p w14:paraId="69D49338">
                      <w:pPr>
                        <w:jc w:val="center"/>
                        <w:rPr>
                          <w:sz w:val="28"/>
                          <w:szCs w:val="28"/>
                        </w:rPr>
                      </w:pPr>
                      <w:r>
                        <w:rPr>
                          <w:rFonts w:hint="eastAsia" w:ascii="宋体" w:hAnsi="宋体"/>
                          <w:sz w:val="28"/>
                          <w:szCs w:val="28"/>
                        </w:rPr>
                        <w:t>（反面）</w:t>
                      </w:r>
                    </w:p>
                    <w:p w14:paraId="19FF5499"/>
                  </w:txbxContent>
                </v:textbox>
              </v:shape>
            </w:pict>
          </mc:Fallback>
        </mc:AlternateContent>
      </w:r>
    </w:p>
    <w:p w14:paraId="26CFF8EF">
      <w:pPr>
        <w:spacing w:line="560" w:lineRule="exact"/>
        <w:rPr>
          <w:rFonts w:ascii="宋体" w:hAnsi="宋体"/>
          <w:color w:val="auto"/>
          <w:sz w:val="24"/>
          <w:szCs w:val="24"/>
          <w:highlight w:val="none"/>
        </w:rPr>
      </w:pPr>
    </w:p>
    <w:p w14:paraId="701E32BA">
      <w:pPr>
        <w:spacing w:line="560" w:lineRule="exact"/>
        <w:rPr>
          <w:rFonts w:ascii="宋体" w:hAnsi="宋体"/>
          <w:color w:val="auto"/>
          <w:sz w:val="24"/>
          <w:szCs w:val="24"/>
          <w:highlight w:val="none"/>
        </w:rPr>
      </w:pPr>
    </w:p>
    <w:p w14:paraId="4D6DF2A0">
      <w:pPr>
        <w:spacing w:line="560" w:lineRule="exact"/>
        <w:rPr>
          <w:rFonts w:ascii="宋体" w:hAnsi="宋体"/>
          <w:color w:val="auto"/>
          <w:sz w:val="24"/>
          <w:szCs w:val="24"/>
          <w:highlight w:val="none"/>
        </w:rPr>
      </w:pPr>
    </w:p>
    <w:p w14:paraId="1DAC3098">
      <w:pPr>
        <w:spacing w:line="560" w:lineRule="exact"/>
        <w:rPr>
          <w:rFonts w:ascii="宋体" w:hAnsi="宋体"/>
          <w:color w:val="auto"/>
          <w:sz w:val="24"/>
          <w:szCs w:val="24"/>
          <w:highlight w:val="none"/>
        </w:rPr>
      </w:pPr>
    </w:p>
    <w:p w14:paraId="1101AABF">
      <w:pPr>
        <w:spacing w:line="560" w:lineRule="exact"/>
        <w:jc w:val="center"/>
        <w:rPr>
          <w:rFonts w:ascii="宋体" w:hAnsi="宋体"/>
          <w:color w:val="auto"/>
          <w:sz w:val="24"/>
          <w:szCs w:val="24"/>
          <w:highlight w:val="none"/>
        </w:rPr>
      </w:pPr>
      <w:r>
        <w:rPr>
          <w:rFonts w:hint="eastAsia" w:ascii="宋体" w:hAnsi="宋体"/>
          <w:color w:val="auto"/>
          <w:sz w:val="24"/>
          <w:szCs w:val="24"/>
          <w:highlight w:val="none"/>
        </w:rPr>
        <w:t>磋商响应人全称：（盖章）</w:t>
      </w:r>
    </w:p>
    <w:p w14:paraId="31EDD4F1">
      <w:pPr>
        <w:spacing w:line="560" w:lineRule="exact"/>
        <w:jc w:val="left"/>
        <w:rPr>
          <w:rFonts w:ascii="宋体" w:hAnsi="宋体"/>
          <w:color w:val="auto"/>
          <w:sz w:val="24"/>
          <w:szCs w:val="24"/>
          <w:highlight w:val="none"/>
        </w:rPr>
      </w:pPr>
    </w:p>
    <w:p w14:paraId="47F7CFDA">
      <w:pPr>
        <w:spacing w:line="560" w:lineRule="exact"/>
        <w:jc w:val="center"/>
        <w:rPr>
          <w:rFonts w:ascii="宋体" w:hAnsi="宋体"/>
          <w:color w:val="auto"/>
          <w:sz w:val="24"/>
          <w:szCs w:val="24"/>
          <w:highlight w:val="none"/>
        </w:rPr>
      </w:pPr>
      <w:r>
        <w:rPr>
          <w:rFonts w:hint="eastAsia" w:ascii="宋体" w:hAnsi="宋体"/>
          <w:color w:val="auto"/>
          <w:sz w:val="24"/>
          <w:szCs w:val="24"/>
          <w:highlight w:val="none"/>
        </w:rPr>
        <w:t>年  月  日</w:t>
      </w:r>
    </w:p>
    <w:p w14:paraId="0F347A39">
      <w:pPr>
        <w:pStyle w:val="305"/>
        <w:rPr>
          <w:rFonts w:hint="eastAsia"/>
          <w:color w:val="auto"/>
          <w:highlight w:val="none"/>
          <w:lang w:val="zh-CN"/>
        </w:rPr>
      </w:pPr>
    </w:p>
    <w:p w14:paraId="23E856DE">
      <w:pPr>
        <w:spacing w:line="360" w:lineRule="auto"/>
        <w:contextualSpacing/>
        <w:rPr>
          <w:rFonts w:hint="eastAsia" w:ascii="宋体" w:hAnsi="宋体" w:eastAsia="宋体" w:cs="宋体"/>
          <w:color w:val="auto"/>
          <w:sz w:val="24"/>
          <w:highlight w:val="none"/>
          <w:lang w:val="zh-CN" w:eastAsia="zh-CN"/>
        </w:rPr>
      </w:pPr>
      <w:r>
        <w:rPr>
          <w:rFonts w:hint="eastAsia" w:ascii="宋体" w:hAnsi="宋体" w:eastAsia="宋体" w:cs="宋体"/>
          <w:b/>
          <w:bCs/>
          <w:color w:val="auto"/>
          <w:sz w:val="24"/>
          <w:szCs w:val="24"/>
          <w:highlight w:val="none"/>
          <w:lang w:val="en-US" w:eastAsia="zh-CN" w:bidi="ar-SA"/>
        </w:rPr>
        <w:br w:type="page" w:clear="all"/>
      </w:r>
      <w:r>
        <w:rPr>
          <w:rFonts w:hint="eastAsia" w:ascii="宋体" w:hAnsi="宋体" w:cs="宋体"/>
          <w:color w:val="auto"/>
          <w:sz w:val="24"/>
          <w:highlight w:val="none"/>
          <w:lang w:val="zh-CN"/>
        </w:rPr>
        <w:t>附件</w:t>
      </w:r>
      <w:r>
        <w:rPr>
          <w:rFonts w:hint="eastAsia" w:ascii="宋体" w:hAnsi="宋体" w:cs="宋体"/>
          <w:color w:val="auto"/>
          <w:sz w:val="24"/>
          <w:highlight w:val="none"/>
          <w:lang w:val="en-US" w:eastAsia="zh-CN"/>
        </w:rPr>
        <w:t>3</w:t>
      </w:r>
    </w:p>
    <w:p w14:paraId="5636932B">
      <w:pPr>
        <w:spacing w:line="360" w:lineRule="auto"/>
        <w:jc w:val="center"/>
        <w:rPr>
          <w:rFonts w:hint="eastAsia" w:ascii="宋体" w:hAnsi="宋体" w:eastAsia="宋体" w:cs="宋体"/>
          <w:b/>
          <w:bCs/>
          <w:color w:val="auto"/>
          <w:sz w:val="24"/>
          <w:szCs w:val="24"/>
          <w:highlight w:val="none"/>
          <w:lang w:val="en-US" w:eastAsia="zh-CN" w:bidi="ar-SA"/>
        </w:rPr>
      </w:pPr>
    </w:p>
    <w:p w14:paraId="3E03321A">
      <w:pPr>
        <w:spacing w:line="360" w:lineRule="auto"/>
        <w:jc w:val="center"/>
        <w:rPr>
          <w:rFonts w:hint="eastAsia" w:ascii="宋体" w:hAnsi="宋体" w:eastAsia="宋体" w:cs="宋体"/>
          <w:b/>
          <w:bCs/>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法定代表人授权委托书</w:t>
      </w:r>
    </w:p>
    <w:p w14:paraId="6C0B422D">
      <w:pPr>
        <w:spacing w:line="360" w:lineRule="auto"/>
        <w:rPr>
          <w:rFonts w:hint="eastAsia" w:ascii="宋体" w:hAnsi="宋体" w:cs="宋体"/>
          <w:color w:val="auto"/>
          <w:sz w:val="24"/>
          <w:highlight w:val="none"/>
        </w:rPr>
      </w:pPr>
    </w:p>
    <w:p w14:paraId="1E751E8A">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本人------（姓名）系————（授权单位名称）的法定代表人，现委托-------（姓名）（身份证号——————）为我方代理人，以我方名义全权处理与本次采购项目（编号：----------）有关的一切事务，其法律后果由我方承担。</w:t>
      </w:r>
    </w:p>
    <w:p w14:paraId="6582DDBF">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本授权书于---年---月---日起生效。代理人无转委托权。</w:t>
      </w:r>
    </w:p>
    <w:p w14:paraId="652D3C81">
      <w:pPr>
        <w:spacing w:line="360" w:lineRule="auto"/>
        <w:ind w:firstLine="360"/>
        <w:rPr>
          <w:rFonts w:hint="eastAsia" w:ascii="宋体" w:hAnsi="宋体" w:cs="宋体"/>
          <w:color w:val="auto"/>
          <w:sz w:val="24"/>
          <w:highlight w:val="none"/>
        </w:rPr>
      </w:pPr>
      <w:r>
        <w:rPr>
          <w:rFonts w:hint="eastAsia" w:ascii="宋体" w:hAnsi="宋体" w:cs="宋体"/>
          <w:color w:val="auto"/>
          <w:sz w:val="24"/>
          <w:highlight w:val="none"/>
        </w:rPr>
        <w:t>代理人(被授权人):------</w:t>
      </w:r>
    </w:p>
    <w:p w14:paraId="16A0D92B">
      <w:pPr>
        <w:spacing w:line="360" w:lineRule="auto"/>
        <w:ind w:firstLine="360"/>
        <w:rPr>
          <w:rFonts w:hint="eastAsia" w:ascii="宋体" w:hAnsi="宋体" w:cs="宋体"/>
          <w:color w:val="auto"/>
          <w:sz w:val="24"/>
          <w:highlight w:val="none"/>
        </w:rPr>
      </w:pPr>
      <w:r>
        <w:rPr>
          <w:rFonts w:hint="eastAsia" w:ascii="宋体" w:hAnsi="宋体" w:cs="宋体"/>
          <w:color w:val="auto"/>
          <w:sz w:val="24"/>
          <w:highlight w:val="none"/>
        </w:rPr>
        <w:t>授权单位名称（盖章）：-----</w:t>
      </w:r>
    </w:p>
    <w:p w14:paraId="22EEF3F6">
      <w:pPr>
        <w:spacing w:line="360" w:lineRule="auto"/>
        <w:ind w:firstLine="360"/>
        <w:rPr>
          <w:rFonts w:hint="eastAsia" w:ascii="宋体" w:hAnsi="宋体" w:cs="宋体"/>
          <w:color w:val="auto"/>
          <w:sz w:val="24"/>
          <w:highlight w:val="none"/>
        </w:rPr>
      </w:pPr>
      <w:r>
        <w:rPr>
          <w:rFonts w:hint="eastAsia" w:ascii="宋体" w:hAnsi="宋体" w:cs="宋体"/>
          <w:color w:val="auto"/>
          <w:sz w:val="24"/>
          <w:highlight w:val="none"/>
        </w:rPr>
        <w:t>授权单位法定代表人（签字或盖章）：-----</w:t>
      </w:r>
    </w:p>
    <w:p w14:paraId="59CDECB3">
      <w:pPr>
        <w:spacing w:line="360" w:lineRule="auto"/>
        <w:jc w:val="right"/>
        <w:rPr>
          <w:rFonts w:hint="eastAsia" w:ascii="宋体" w:hAnsi="宋体" w:cs="宋体"/>
          <w:color w:val="auto"/>
          <w:sz w:val="24"/>
          <w:highlight w:val="none"/>
        </w:rPr>
      </w:pPr>
    </w:p>
    <w:p w14:paraId="72B2CFA1">
      <w:pPr>
        <w:pStyle w:val="305"/>
        <w:spacing w:line="360" w:lineRule="auto"/>
        <w:rPr>
          <w:rFonts w:hint="eastAsia" w:ascii="宋体" w:hAnsi="宋体" w:eastAsia="宋体" w:cs="宋体"/>
          <w:color w:val="auto"/>
          <w:szCs w:val="24"/>
          <w:highlight w:val="none"/>
        </w:rPr>
      </w:pPr>
    </w:p>
    <w:p w14:paraId="0626FB4A">
      <w:pPr>
        <w:spacing w:line="360" w:lineRule="auto"/>
        <w:jc w:val="right"/>
        <w:rPr>
          <w:rFonts w:hint="eastAsia" w:ascii="宋体" w:hAnsi="宋体" w:cs="宋体"/>
          <w:color w:val="auto"/>
          <w:sz w:val="24"/>
          <w:highlight w:val="none"/>
        </w:rPr>
      </w:pPr>
      <w:r>
        <w:rPr>
          <w:rFonts w:hint="eastAsia" w:ascii="宋体" w:hAnsi="宋体" w:cs="宋体"/>
          <w:color w:val="auto"/>
          <w:sz w:val="24"/>
          <w:highlight w:val="none"/>
        </w:rPr>
        <w:t>年   月   日</w:t>
      </w:r>
    </w:p>
    <w:p w14:paraId="434DA77D">
      <w:pPr>
        <w:spacing w:line="360" w:lineRule="auto"/>
        <w:contextualSpacing/>
        <w:rPr>
          <w:rFonts w:hint="eastAsia" w:ascii="宋体" w:hAnsi="宋体" w:cs="宋体"/>
          <w:b/>
          <w:color w:val="auto"/>
          <w:sz w:val="24"/>
          <w:highlight w:val="none"/>
        </w:rPr>
      </w:pPr>
      <w:r>
        <w:rPr>
          <w:rFonts w:hint="eastAsia" w:ascii="宋体" w:hAnsi="宋体" w:cs="宋体"/>
          <w:b/>
          <w:color w:val="auto"/>
          <w:sz w:val="24"/>
          <w:highlight w:val="none"/>
        </w:rPr>
        <w:t>注：提供</w:t>
      </w:r>
      <w:r>
        <w:rPr>
          <w:rFonts w:hint="eastAsia" w:ascii="宋体" w:hAnsi="宋体" w:cs="宋体"/>
          <w:b/>
          <w:color w:val="auto"/>
          <w:sz w:val="24"/>
          <w:highlight w:val="none"/>
          <w:lang w:eastAsia="zh-CN"/>
        </w:rPr>
        <w:t>磋商</w:t>
      </w:r>
      <w:r>
        <w:rPr>
          <w:rFonts w:hint="eastAsia" w:ascii="宋体" w:hAnsi="宋体" w:cs="宋体"/>
          <w:b/>
          <w:color w:val="auto"/>
          <w:sz w:val="24"/>
          <w:highlight w:val="none"/>
        </w:rPr>
        <w:t>代表本人身份证</w:t>
      </w:r>
      <w:r>
        <w:rPr>
          <w:rFonts w:hint="eastAsia" w:ascii="宋体" w:hAnsi="宋体" w:cs="宋体"/>
          <w:b/>
          <w:color w:val="auto"/>
          <w:sz w:val="24"/>
          <w:highlight w:val="none"/>
          <w:lang w:eastAsia="zh-CN"/>
        </w:rPr>
        <w:t>扫描</w:t>
      </w:r>
      <w:r>
        <w:rPr>
          <w:rFonts w:hint="eastAsia" w:ascii="宋体" w:hAnsi="宋体" w:cs="宋体"/>
          <w:b/>
          <w:color w:val="auto"/>
          <w:sz w:val="24"/>
          <w:highlight w:val="none"/>
        </w:rPr>
        <w:t>件盖公章</w:t>
      </w:r>
    </w:p>
    <w:p w14:paraId="088C2FCA">
      <w:pPr>
        <w:spacing w:line="560" w:lineRule="exact"/>
        <w:ind w:firstLine="573"/>
        <w:rPr>
          <w:rFonts w:ascii="宋体" w:hAnsi="宋体"/>
          <w:color w:val="auto"/>
          <w:sz w:val="24"/>
          <w:szCs w:val="24"/>
          <w:highlight w:val="none"/>
        </w:rPr>
      </w:pPr>
      <w:r>
        <w:rPr>
          <w:rFonts w:ascii="宋体" w:hAnsi="宋体"/>
          <w:color w:val="auto"/>
          <w:szCs w:val="24"/>
          <w:highlight w:val="none"/>
        </w:rPr>
        <mc:AlternateContent>
          <mc:Choice Requires="wps">
            <w:drawing>
              <wp:anchor distT="0" distB="0" distL="114300" distR="114300" simplePos="0" relativeHeight="251660288" behindDoc="0" locked="0" layoutInCell="1" allowOverlap="1">
                <wp:simplePos x="0" y="0"/>
                <wp:positionH relativeFrom="column">
                  <wp:posOffset>2875915</wp:posOffset>
                </wp:positionH>
                <wp:positionV relativeFrom="paragraph">
                  <wp:posOffset>119380</wp:posOffset>
                </wp:positionV>
                <wp:extent cx="2240915" cy="1125855"/>
                <wp:effectExtent l="4445" t="4445" r="10160" b="12700"/>
                <wp:wrapNone/>
                <wp:docPr id="15" name="文本框 8"/>
                <wp:cNvGraphicFramePr/>
                <a:graphic xmlns:a="http://schemas.openxmlformats.org/drawingml/2006/main">
                  <a:graphicData uri="http://schemas.microsoft.com/office/word/2010/wordprocessingShape">
                    <wps:wsp>
                      <wps:cNvSpPr txBox="1"/>
                      <wps:spPr bwMode="auto">
                        <a:xfrm>
                          <a:off x="0" y="0"/>
                          <a:ext cx="2240915" cy="1125855"/>
                        </a:xfrm>
                        <a:prstGeom prst="rect">
                          <a:avLst/>
                        </a:prstGeom>
                        <a:solidFill>
                          <a:srgbClr val="FFFFFF"/>
                        </a:solidFill>
                        <a:ln>
                          <a:solidFill>
                            <a:srgbClr val="000000"/>
                          </a:solidFill>
                          <a:prstDash val="dash"/>
                        </a:ln>
                      </wps:spPr>
                      <wps:txbx>
                        <w:txbxContent>
                          <w:p w14:paraId="12E6CB6B">
                            <w:pPr>
                              <w:jc w:val="center"/>
                              <w:rPr>
                                <w:rFonts w:ascii="宋体"/>
                              </w:rPr>
                            </w:pPr>
                          </w:p>
                          <w:p w14:paraId="63D927DF">
                            <w:pPr>
                              <w:jc w:val="center"/>
                              <w:rPr>
                                <w:rFonts w:ascii="宋体"/>
                                <w:sz w:val="28"/>
                                <w:szCs w:val="28"/>
                              </w:rPr>
                            </w:pPr>
                            <w:r>
                              <w:rPr>
                                <w:rFonts w:hint="eastAsia" w:ascii="宋体" w:hAnsi="宋体"/>
                                <w:sz w:val="28"/>
                                <w:szCs w:val="28"/>
                              </w:rPr>
                              <w:t>授权代表身份证复印件</w:t>
                            </w:r>
                          </w:p>
                          <w:p w14:paraId="000EECA9">
                            <w:pPr>
                              <w:jc w:val="center"/>
                              <w:rPr>
                                <w:sz w:val="28"/>
                                <w:szCs w:val="28"/>
                              </w:rPr>
                            </w:pPr>
                            <w:r>
                              <w:rPr>
                                <w:rFonts w:hint="eastAsia" w:ascii="宋体" w:hAnsi="宋体"/>
                                <w:sz w:val="28"/>
                                <w:szCs w:val="28"/>
                              </w:rPr>
                              <w:t>（反面）</w:t>
                            </w:r>
                          </w:p>
                          <w:p w14:paraId="1D3BB70F"/>
                        </w:txbxContent>
                      </wps:txbx>
                      <wps:bodyPr wrap="square" anchor="ctr" upright="1"/>
                    </wps:wsp>
                  </a:graphicData>
                </a:graphic>
              </wp:anchor>
            </w:drawing>
          </mc:Choice>
          <mc:Fallback>
            <w:pict>
              <v:shape id="文本框 8" o:spid="_x0000_s1026" o:spt="202" type="#_x0000_t202" style="position:absolute;left:0pt;margin-left:226.45pt;margin-top:9.4pt;height:88.65pt;width:176.45pt;z-index:251660288;v-text-anchor:middle;mso-width-relative:page;mso-height-relative:page;" fillcolor="#FFFFFF" filled="t" stroked="t" coordsize="21600,21600" o:gfxdata="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aYx3LdUA&#10;AAAKAQAADwAAAAAAAAABACAAAAAiAAAAZHJzL2Rvd25yZXYueG1sUEsBAhQAFAAAAAgAh07iQDSa&#10;UffpAQAA4wMAAA4AAAAAAAAAAQAgAAAAJAEAAGRycy9lMm9Eb2MueG1sUEsFBgAAAAAGAAYAWQEA&#10;AH8FAAAAAA==&#10;">
                <v:fill on="t" focussize="0,0"/>
                <v:stroke color="#000000" joinstyle="round" dashstyle="dash"/>
                <v:imagedata o:title=""/>
                <o:lock v:ext="edit" aspectratio="f"/>
                <v:textbox>
                  <w:txbxContent>
                    <w:p w14:paraId="12E6CB6B">
                      <w:pPr>
                        <w:jc w:val="center"/>
                        <w:rPr>
                          <w:rFonts w:ascii="宋体"/>
                        </w:rPr>
                      </w:pPr>
                    </w:p>
                    <w:p w14:paraId="63D927DF">
                      <w:pPr>
                        <w:jc w:val="center"/>
                        <w:rPr>
                          <w:rFonts w:ascii="宋体"/>
                          <w:sz w:val="28"/>
                          <w:szCs w:val="28"/>
                        </w:rPr>
                      </w:pPr>
                      <w:r>
                        <w:rPr>
                          <w:rFonts w:hint="eastAsia" w:ascii="宋体" w:hAnsi="宋体"/>
                          <w:sz w:val="28"/>
                          <w:szCs w:val="28"/>
                        </w:rPr>
                        <w:t>授权代表身份证复印件</w:t>
                      </w:r>
                    </w:p>
                    <w:p w14:paraId="000EECA9">
                      <w:pPr>
                        <w:jc w:val="center"/>
                        <w:rPr>
                          <w:sz w:val="28"/>
                          <w:szCs w:val="28"/>
                        </w:rPr>
                      </w:pPr>
                      <w:r>
                        <w:rPr>
                          <w:rFonts w:hint="eastAsia" w:ascii="宋体" w:hAnsi="宋体"/>
                          <w:sz w:val="28"/>
                          <w:szCs w:val="28"/>
                        </w:rPr>
                        <w:t>（反面）</w:t>
                      </w:r>
                    </w:p>
                    <w:p w14:paraId="1D3BB70F"/>
                  </w:txbxContent>
                </v:textbox>
              </v:shape>
            </w:pict>
          </mc:Fallback>
        </mc:AlternateContent>
      </w:r>
      <w:r>
        <w:rPr>
          <w:rFonts w:ascii="宋体" w:hAnsi="宋体"/>
          <w:color w:val="auto"/>
          <w:szCs w:val="24"/>
          <w:highlight w:val="none"/>
        </w:rPr>
        <mc:AlternateContent>
          <mc:Choice Requires="wps">
            <w:drawing>
              <wp:anchor distT="0" distB="0" distL="114300" distR="114300" simplePos="0" relativeHeight="251660288" behindDoc="0" locked="0" layoutInCell="1" allowOverlap="1">
                <wp:simplePos x="0" y="0"/>
                <wp:positionH relativeFrom="column">
                  <wp:posOffset>388620</wp:posOffset>
                </wp:positionH>
                <wp:positionV relativeFrom="paragraph">
                  <wp:posOffset>117475</wp:posOffset>
                </wp:positionV>
                <wp:extent cx="2240915" cy="1125855"/>
                <wp:effectExtent l="4445" t="4445" r="10160" b="12700"/>
                <wp:wrapNone/>
                <wp:docPr id="16" name="文本框 9"/>
                <wp:cNvGraphicFramePr/>
                <a:graphic xmlns:a="http://schemas.openxmlformats.org/drawingml/2006/main">
                  <a:graphicData uri="http://schemas.microsoft.com/office/word/2010/wordprocessingShape">
                    <wps:wsp>
                      <wps:cNvSpPr txBox="1"/>
                      <wps:spPr bwMode="auto">
                        <a:xfrm>
                          <a:off x="0" y="0"/>
                          <a:ext cx="2240915" cy="1125855"/>
                        </a:xfrm>
                        <a:prstGeom prst="rect">
                          <a:avLst/>
                        </a:prstGeom>
                        <a:solidFill>
                          <a:srgbClr val="FFFFFF"/>
                        </a:solidFill>
                        <a:ln>
                          <a:solidFill>
                            <a:srgbClr val="000000"/>
                          </a:solidFill>
                          <a:prstDash val="dash"/>
                        </a:ln>
                      </wps:spPr>
                      <wps:txbx>
                        <w:txbxContent>
                          <w:p w14:paraId="20AD42B0">
                            <w:pPr>
                              <w:jc w:val="center"/>
                              <w:rPr>
                                <w:rFonts w:ascii="宋体"/>
                              </w:rPr>
                            </w:pPr>
                          </w:p>
                          <w:p w14:paraId="4F6CA233">
                            <w:pPr>
                              <w:jc w:val="center"/>
                              <w:rPr>
                                <w:rFonts w:ascii="宋体"/>
                                <w:sz w:val="28"/>
                                <w:szCs w:val="28"/>
                              </w:rPr>
                            </w:pPr>
                            <w:r>
                              <w:rPr>
                                <w:rFonts w:hint="eastAsia" w:ascii="宋体" w:hAnsi="宋体"/>
                                <w:sz w:val="28"/>
                                <w:szCs w:val="28"/>
                              </w:rPr>
                              <w:t>授权代表身份证复印件</w:t>
                            </w:r>
                          </w:p>
                          <w:p w14:paraId="658EBB62">
                            <w:pPr>
                              <w:jc w:val="center"/>
                              <w:rPr>
                                <w:sz w:val="28"/>
                                <w:szCs w:val="28"/>
                              </w:rPr>
                            </w:pPr>
                            <w:r>
                              <w:rPr>
                                <w:rFonts w:hint="eastAsia" w:ascii="宋体" w:hAnsi="宋体"/>
                                <w:sz w:val="28"/>
                                <w:szCs w:val="28"/>
                              </w:rPr>
                              <w:t>（正面）</w:t>
                            </w:r>
                          </w:p>
                          <w:p w14:paraId="296912B8"/>
                        </w:txbxContent>
                      </wps:txbx>
                      <wps:bodyPr wrap="square" anchor="ctr" upright="1"/>
                    </wps:wsp>
                  </a:graphicData>
                </a:graphic>
              </wp:anchor>
            </w:drawing>
          </mc:Choice>
          <mc:Fallback>
            <w:pict>
              <v:shape id="文本框 9" o:spid="_x0000_s1026" o:spt="202" type="#_x0000_t202" style="position:absolute;left:0pt;margin-left:30.6pt;margin-top:9.25pt;height:88.65pt;width:176.45pt;z-index:251660288;v-text-anchor:middle;mso-width-relative:page;mso-height-relative:page;" fillcolor="#FFFFFF" filled="t" stroked="t" coordsize="21600,21600" o:gfxdata="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B2rYYW&#10;1QAAAAkBAAAPAAAAAAAAAAEAIAAAACIAAABkcnMvZG93bnJldi54bWxQSwECFAAUAAAACACHTuJA&#10;MlUHa+sBAADjAwAADgAAAAAAAAABACAAAAAkAQAAZHJzL2Uyb0RvYy54bWxQSwUGAAAAAAYABgBZ&#10;AQAAgQUAAAAA&#10;">
                <v:fill on="t" focussize="0,0"/>
                <v:stroke color="#000000" joinstyle="round" dashstyle="dash"/>
                <v:imagedata o:title=""/>
                <o:lock v:ext="edit" aspectratio="f"/>
                <v:textbox>
                  <w:txbxContent>
                    <w:p w14:paraId="20AD42B0">
                      <w:pPr>
                        <w:jc w:val="center"/>
                        <w:rPr>
                          <w:rFonts w:ascii="宋体"/>
                        </w:rPr>
                      </w:pPr>
                    </w:p>
                    <w:p w14:paraId="4F6CA233">
                      <w:pPr>
                        <w:jc w:val="center"/>
                        <w:rPr>
                          <w:rFonts w:ascii="宋体"/>
                          <w:sz w:val="28"/>
                          <w:szCs w:val="28"/>
                        </w:rPr>
                      </w:pPr>
                      <w:r>
                        <w:rPr>
                          <w:rFonts w:hint="eastAsia" w:ascii="宋体" w:hAnsi="宋体"/>
                          <w:sz w:val="28"/>
                          <w:szCs w:val="28"/>
                        </w:rPr>
                        <w:t>授权代表身份证复印件</w:t>
                      </w:r>
                    </w:p>
                    <w:p w14:paraId="658EBB62">
                      <w:pPr>
                        <w:jc w:val="center"/>
                        <w:rPr>
                          <w:sz w:val="28"/>
                          <w:szCs w:val="28"/>
                        </w:rPr>
                      </w:pPr>
                      <w:r>
                        <w:rPr>
                          <w:rFonts w:hint="eastAsia" w:ascii="宋体" w:hAnsi="宋体"/>
                          <w:sz w:val="28"/>
                          <w:szCs w:val="28"/>
                        </w:rPr>
                        <w:t>（正面）</w:t>
                      </w:r>
                    </w:p>
                    <w:p w14:paraId="296912B8"/>
                  </w:txbxContent>
                </v:textbox>
              </v:shape>
            </w:pict>
          </mc:Fallback>
        </mc:AlternateContent>
      </w:r>
    </w:p>
    <w:p w14:paraId="4C1EBFE8">
      <w:pPr>
        <w:spacing w:line="560" w:lineRule="exact"/>
        <w:ind w:firstLine="573"/>
        <w:rPr>
          <w:rFonts w:ascii="宋体" w:hAnsi="宋体"/>
          <w:color w:val="auto"/>
          <w:sz w:val="24"/>
          <w:szCs w:val="24"/>
          <w:highlight w:val="none"/>
        </w:rPr>
      </w:pPr>
    </w:p>
    <w:p w14:paraId="7C86C871">
      <w:pPr>
        <w:spacing w:line="360" w:lineRule="auto"/>
        <w:jc w:val="center"/>
        <w:rPr>
          <w:rFonts w:ascii="宋体" w:hAnsi="宋体" w:cs="宋体"/>
          <w:color w:val="auto"/>
          <w:sz w:val="24"/>
          <w:szCs w:val="24"/>
          <w:highlight w:val="none"/>
        </w:rPr>
      </w:pPr>
    </w:p>
    <w:p w14:paraId="504BBCA9">
      <w:pPr>
        <w:spacing w:line="360" w:lineRule="auto"/>
        <w:jc w:val="center"/>
        <w:rPr>
          <w:rFonts w:ascii="宋体" w:hAnsi="宋体" w:cs="宋体"/>
          <w:color w:val="auto"/>
          <w:sz w:val="24"/>
          <w:szCs w:val="24"/>
          <w:highlight w:val="none"/>
        </w:rPr>
      </w:pPr>
    </w:p>
    <w:p w14:paraId="5BD6794D">
      <w:pPr>
        <w:spacing w:line="360" w:lineRule="auto"/>
        <w:jc w:val="center"/>
        <w:rPr>
          <w:rFonts w:ascii="宋体" w:hAnsi="宋体" w:cs="宋体"/>
          <w:color w:val="auto"/>
          <w:sz w:val="24"/>
          <w:szCs w:val="24"/>
          <w:highlight w:val="none"/>
        </w:rPr>
      </w:pPr>
    </w:p>
    <w:p w14:paraId="30B52598">
      <w:pPr>
        <w:spacing w:line="440" w:lineRule="exact"/>
        <w:ind w:firstLine="480"/>
        <w:rPr>
          <w:rFonts w:ascii="宋体" w:hAnsi="宋体"/>
          <w:color w:val="auto"/>
          <w:sz w:val="24"/>
          <w:szCs w:val="21"/>
          <w:highlight w:val="none"/>
        </w:rPr>
      </w:pPr>
    </w:p>
    <w:p w14:paraId="67C61500">
      <w:pPr>
        <w:spacing w:line="360" w:lineRule="auto"/>
        <w:jc w:val="center"/>
        <w:rPr>
          <w:rFonts w:ascii="宋体" w:hAnsi="宋体" w:cs="宋体"/>
          <w:color w:val="auto"/>
          <w:sz w:val="24"/>
          <w:szCs w:val="24"/>
          <w:highlight w:val="none"/>
        </w:rPr>
      </w:pPr>
      <w:r>
        <w:rPr>
          <w:rFonts w:hint="eastAsia" w:ascii="宋体" w:hAnsi="宋体" w:eastAsia="宋体" w:cs="宋体"/>
          <w:color w:val="auto"/>
          <w:sz w:val="24"/>
          <w:highlight w:val="none"/>
          <w:lang w:val="zh-CN" w:eastAsia="zh-CN"/>
        </w:rPr>
        <w:br w:type="page" w:clear="all"/>
      </w:r>
    </w:p>
    <w:p w14:paraId="2A013EB8">
      <w:pPr>
        <w:spacing w:line="360" w:lineRule="auto"/>
        <w:rPr>
          <w:rFonts w:hint="default" w:ascii="宋体" w:hAnsi="宋体" w:eastAsia="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附件4</w:t>
      </w:r>
    </w:p>
    <w:p w14:paraId="457F715D">
      <w:pPr>
        <w:spacing w:line="360" w:lineRule="auto"/>
        <w:ind w:firstLine="480"/>
        <w:rPr>
          <w:rFonts w:hint="eastAsia" w:ascii="宋体" w:hAnsi="宋体" w:cs="宋体"/>
          <w:bCs/>
          <w:color w:val="auto"/>
          <w:sz w:val="24"/>
          <w:szCs w:val="24"/>
          <w:highlight w:val="none"/>
        </w:rPr>
      </w:pPr>
      <w:r>
        <w:rPr>
          <w:rFonts w:hint="eastAsia" w:ascii="宋体" w:hAnsi="宋体" w:cs="宋体"/>
          <w:bCs/>
          <w:color w:val="auto"/>
          <w:sz w:val="24"/>
          <w:szCs w:val="24"/>
          <w:highlight w:val="none"/>
        </w:rPr>
        <w:t>投标人有依法缴纳税收和社会保障资金的良好记录：投标人依法缴纳近一年内任意一个月税收的相关凭证的复印件，及投标人依法缴纳近一年内任意一个月社会保险的相关凭证（社会保险的凭据（专用收据或社会保险缴纳清单）），依法免税或不需要缴纳社会保障资金的投标人，应提供相应文件证明其依法免税或不需要缴纳社会保障资金；</w:t>
      </w:r>
    </w:p>
    <w:p w14:paraId="5560D58A">
      <w:pPr>
        <w:spacing w:line="360" w:lineRule="auto"/>
        <w:jc w:val="center"/>
        <w:rPr>
          <w:rFonts w:ascii="宋体" w:hAnsi="宋体" w:cs="宋体"/>
          <w:bCs/>
          <w:color w:val="auto"/>
          <w:sz w:val="24"/>
          <w:szCs w:val="24"/>
          <w:highlight w:val="none"/>
        </w:rPr>
      </w:pPr>
    </w:p>
    <w:p w14:paraId="7A47D8DB">
      <w:pPr>
        <w:spacing w:line="360" w:lineRule="auto"/>
        <w:jc w:val="center"/>
        <w:rPr>
          <w:rFonts w:ascii="宋体" w:hAnsi="宋体" w:cs="宋体"/>
          <w:bCs/>
          <w:color w:val="auto"/>
          <w:sz w:val="24"/>
          <w:szCs w:val="24"/>
          <w:highlight w:val="none"/>
        </w:rPr>
      </w:pPr>
    </w:p>
    <w:p w14:paraId="08A07D51">
      <w:pPr>
        <w:spacing w:line="360" w:lineRule="auto"/>
        <w:jc w:val="center"/>
        <w:rPr>
          <w:rFonts w:ascii="宋体" w:hAnsi="宋体" w:cs="宋体"/>
          <w:bCs/>
          <w:color w:val="auto"/>
          <w:sz w:val="24"/>
          <w:szCs w:val="24"/>
          <w:highlight w:val="none"/>
        </w:rPr>
      </w:pPr>
    </w:p>
    <w:p w14:paraId="799B7CD5">
      <w:pPr>
        <w:spacing w:line="360" w:lineRule="auto"/>
        <w:jc w:val="left"/>
        <w:rPr>
          <w:rFonts w:hint="default" w:ascii="宋体" w:hAnsi="宋体" w:eastAsia="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附件5</w:t>
      </w:r>
    </w:p>
    <w:p w14:paraId="5C84D3DD">
      <w:pPr>
        <w:spacing w:line="360" w:lineRule="auto"/>
        <w:ind w:firstLine="480" w:firstLineChars="200"/>
        <w:contextualSpacing/>
        <w:rPr>
          <w:rFonts w:ascii="宋体" w:hAnsi="宋体" w:eastAsia="宋体" w:cs="宋体"/>
          <w:color w:val="auto"/>
          <w:sz w:val="24"/>
          <w:highlight w:val="none"/>
          <w:lang w:val="en-US" w:eastAsia="zh-CN"/>
        </w:rPr>
      </w:pPr>
      <w:r>
        <w:rPr>
          <w:rFonts w:hint="eastAsia" w:ascii="宋体" w:hAnsi="宋体" w:eastAsia="宋体" w:cs="宋体"/>
          <w:color w:val="auto"/>
          <w:sz w:val="24"/>
          <w:highlight w:val="none"/>
          <w:lang w:val="zh-CN" w:eastAsia="zh-CN"/>
        </w:rPr>
        <w:t>供应商提供2025年度由会计师事务所（或者审计机构）出具的完整的财务报告或投标截止时间前三个月（不含投标截止时间当月）中至少一个月的银行资信证明（成立不满一年无需提供）</w:t>
      </w:r>
      <w:r>
        <w:rPr>
          <w:rFonts w:hint="eastAsia" w:ascii="宋体" w:hAnsi="宋体" w:eastAsia="宋体" w:cs="宋体"/>
          <w:color w:val="auto"/>
          <w:sz w:val="24"/>
          <w:highlight w:val="none"/>
          <w:lang w:val="zh-CN" w:eastAsia="zh-CN"/>
        </w:rPr>
        <w:br w:type="page" w:clear="all"/>
      </w:r>
      <w:r>
        <w:rPr>
          <w:rFonts w:hint="eastAsia" w:ascii="宋体" w:hAnsi="宋体" w:eastAsia="宋体" w:cs="宋体"/>
          <w:color w:val="auto"/>
          <w:sz w:val="24"/>
          <w:highlight w:val="none"/>
          <w:lang w:val="zh-CN" w:eastAsia="zh-CN"/>
        </w:rPr>
        <w:t>附件</w:t>
      </w:r>
      <w:r>
        <w:rPr>
          <w:rFonts w:hint="eastAsia" w:ascii="宋体" w:hAnsi="宋体" w:cs="宋体"/>
          <w:color w:val="auto"/>
          <w:sz w:val="24"/>
          <w:highlight w:val="none"/>
          <w:lang w:val="en-US" w:eastAsia="zh-CN"/>
        </w:rPr>
        <w:t>6</w:t>
      </w:r>
    </w:p>
    <w:p w14:paraId="034E3610">
      <w:pPr>
        <w:jc w:val="center"/>
        <w:rPr>
          <w:rFonts w:hint="eastAsia" w:ascii="宋体" w:hAnsi="宋体" w:eastAsia="宋体" w:cs="Times New Roman"/>
          <w:b/>
          <w:color w:val="auto"/>
          <w:sz w:val="30"/>
          <w:szCs w:val="30"/>
          <w:highlight w:val="none"/>
        </w:rPr>
      </w:pPr>
      <w:r>
        <w:rPr>
          <w:rFonts w:hint="eastAsia" w:ascii="宋体" w:hAnsi="宋体" w:eastAsia="宋体" w:cs="Times New Roman"/>
          <w:b/>
          <w:color w:val="auto"/>
          <w:sz w:val="30"/>
          <w:szCs w:val="30"/>
          <w:highlight w:val="none"/>
        </w:rPr>
        <w:t>具备履行合同所必需的设备和专业技术能力的书面声明</w:t>
      </w:r>
    </w:p>
    <w:p w14:paraId="69548E27">
      <w:pPr>
        <w:spacing w:line="460" w:lineRule="exact"/>
        <w:ind w:firstLine="492"/>
        <w:rPr>
          <w:rFonts w:hint="eastAsia" w:ascii="宋体" w:hAnsi="宋体"/>
          <w:bCs/>
          <w:color w:val="auto"/>
          <w:sz w:val="24"/>
          <w:szCs w:val="21"/>
          <w:highlight w:val="none"/>
        </w:rPr>
      </w:pPr>
      <w:r>
        <w:rPr>
          <w:rFonts w:hint="eastAsia" w:ascii="宋体" w:hAnsi="宋体"/>
          <w:bCs/>
          <w:color w:val="auto"/>
          <w:sz w:val="24"/>
          <w:szCs w:val="21"/>
          <w:highlight w:val="none"/>
        </w:rPr>
        <w:t>我单位郑重声明：我单位具备履行本项采购合同所必需的设备和专业技术能力，为履行本项采购合同我公司具备如下主要设备和主要专业技术能力：</w:t>
      </w:r>
    </w:p>
    <w:p w14:paraId="64D421E6">
      <w:pPr>
        <w:spacing w:line="460" w:lineRule="exact"/>
        <w:ind w:firstLine="492"/>
        <w:rPr>
          <w:rFonts w:hint="eastAsia" w:ascii="宋体" w:hAnsi="宋体"/>
          <w:bCs/>
          <w:color w:val="auto"/>
          <w:sz w:val="24"/>
          <w:szCs w:val="21"/>
          <w:highlight w:val="none"/>
        </w:rPr>
      </w:pPr>
      <w:r>
        <w:rPr>
          <w:rFonts w:hint="eastAsia" w:ascii="宋体" w:hAnsi="宋体"/>
          <w:bCs/>
          <w:color w:val="auto"/>
          <w:sz w:val="24"/>
          <w:szCs w:val="21"/>
          <w:highlight w:val="none"/>
        </w:rPr>
        <w:t>主要设备有：</w:t>
      </w:r>
      <w:r>
        <w:rPr>
          <w:rFonts w:hint="eastAsia" w:ascii="宋体" w:hAnsi="宋体"/>
          <w:bCs/>
          <w:color w:val="auto"/>
          <w:sz w:val="24"/>
          <w:szCs w:val="21"/>
          <w:highlight w:val="none"/>
          <w:u w:val="single"/>
        </w:rPr>
        <w:t xml:space="preserve">  </w:t>
      </w:r>
      <w:r>
        <w:rPr>
          <w:rFonts w:hint="eastAsia" w:ascii="宋体" w:hAnsi="宋体"/>
          <w:bCs/>
          <w:color w:val="auto"/>
          <w:sz w:val="24"/>
          <w:szCs w:val="21"/>
          <w:highlight w:val="none"/>
        </w:rPr>
        <w:t>。</w:t>
      </w:r>
    </w:p>
    <w:p w14:paraId="41F26013">
      <w:pPr>
        <w:spacing w:line="460" w:lineRule="exact"/>
        <w:ind w:firstLine="492"/>
        <w:rPr>
          <w:rFonts w:hint="eastAsia" w:ascii="宋体" w:hAnsi="宋体"/>
          <w:bCs/>
          <w:color w:val="auto"/>
          <w:sz w:val="24"/>
          <w:szCs w:val="21"/>
          <w:highlight w:val="none"/>
        </w:rPr>
      </w:pPr>
      <w:r>
        <w:rPr>
          <w:rFonts w:hint="eastAsia" w:ascii="宋体" w:hAnsi="宋体"/>
          <w:bCs/>
          <w:color w:val="auto"/>
          <w:sz w:val="24"/>
          <w:szCs w:val="21"/>
          <w:highlight w:val="none"/>
        </w:rPr>
        <w:t>主要专业技术能力有：</w:t>
      </w:r>
      <w:r>
        <w:rPr>
          <w:rFonts w:hint="eastAsia" w:ascii="宋体" w:hAnsi="宋体"/>
          <w:bCs/>
          <w:color w:val="auto"/>
          <w:sz w:val="24"/>
          <w:szCs w:val="21"/>
          <w:highlight w:val="none"/>
          <w:u w:val="single"/>
        </w:rPr>
        <w:t xml:space="preserve">   </w:t>
      </w:r>
      <w:r>
        <w:rPr>
          <w:rFonts w:hint="eastAsia" w:ascii="宋体" w:hAnsi="宋体"/>
          <w:bCs/>
          <w:color w:val="auto"/>
          <w:sz w:val="24"/>
          <w:szCs w:val="21"/>
          <w:highlight w:val="none"/>
        </w:rPr>
        <w:t>。</w:t>
      </w:r>
    </w:p>
    <w:p w14:paraId="2BBAF630">
      <w:pPr>
        <w:spacing w:line="460" w:lineRule="exact"/>
        <w:rPr>
          <w:rFonts w:hint="eastAsia" w:ascii="宋体" w:hAnsi="宋体"/>
          <w:bCs/>
          <w:color w:val="auto"/>
          <w:sz w:val="24"/>
          <w:szCs w:val="21"/>
          <w:highlight w:val="none"/>
        </w:rPr>
      </w:pPr>
      <w:r>
        <w:rPr>
          <w:rFonts w:hint="eastAsia" w:ascii="宋体" w:hAnsi="宋体"/>
          <w:bCs/>
          <w:color w:val="auto"/>
          <w:sz w:val="24"/>
          <w:szCs w:val="21"/>
          <w:highlight w:val="none"/>
        </w:rPr>
        <w:t xml:space="preserve">                          </w:t>
      </w:r>
    </w:p>
    <w:p w14:paraId="79812D54">
      <w:pPr>
        <w:spacing w:line="360" w:lineRule="auto"/>
        <w:jc w:val="center"/>
        <w:rPr>
          <w:rFonts w:hint="eastAsia" w:ascii="宋体" w:hAnsi="宋体" w:cs="宋体"/>
          <w:bCs/>
          <w:color w:val="auto"/>
          <w:sz w:val="24"/>
          <w:highlight w:val="none"/>
        </w:rPr>
      </w:pPr>
      <w:r>
        <w:rPr>
          <w:rFonts w:hint="eastAsia" w:ascii="宋体" w:hAnsi="宋体"/>
          <w:bCs/>
          <w:color w:val="auto"/>
          <w:sz w:val="24"/>
          <w:szCs w:val="21"/>
          <w:highlight w:val="none"/>
          <w:lang w:val="en-US" w:eastAsia="zh-CN"/>
        </w:rPr>
        <w:t xml:space="preserve">                      </w:t>
      </w:r>
      <w:r>
        <w:rPr>
          <w:rFonts w:hint="eastAsia" w:ascii="宋体" w:hAnsi="宋体"/>
          <w:bCs/>
          <w:color w:val="auto"/>
          <w:sz w:val="24"/>
          <w:szCs w:val="21"/>
          <w:highlight w:val="none"/>
          <w:lang w:eastAsia="zh-CN"/>
        </w:rPr>
        <w:t>供应商</w:t>
      </w:r>
      <w:r>
        <w:rPr>
          <w:rFonts w:hint="eastAsia" w:ascii="宋体" w:hAnsi="宋体" w:cs="宋体"/>
          <w:bCs/>
          <w:color w:val="auto"/>
          <w:sz w:val="24"/>
          <w:highlight w:val="none"/>
        </w:rPr>
        <w:t>名称（公章）：</w:t>
      </w:r>
    </w:p>
    <w:p w14:paraId="260FF0C5">
      <w:pPr>
        <w:spacing w:line="360" w:lineRule="auto"/>
        <w:jc w:val="right"/>
        <w:rPr>
          <w:rFonts w:hint="eastAsia" w:ascii="宋体" w:hAnsi="宋体" w:cs="宋体"/>
          <w:bCs/>
          <w:color w:val="auto"/>
          <w:sz w:val="24"/>
          <w:highlight w:val="none"/>
        </w:rPr>
      </w:pPr>
      <w:r>
        <w:rPr>
          <w:rFonts w:hint="eastAsia" w:ascii="宋体" w:hAnsi="宋体" w:cs="宋体"/>
          <w:bCs/>
          <w:color w:val="auto"/>
          <w:sz w:val="24"/>
          <w:highlight w:val="none"/>
        </w:rPr>
        <w:t xml:space="preserve">    </w:t>
      </w:r>
    </w:p>
    <w:p w14:paraId="2CEC9FAD">
      <w:pPr>
        <w:spacing w:line="460" w:lineRule="exact"/>
        <w:rPr>
          <w:rFonts w:hint="eastAsia" w:ascii="宋体" w:hAnsi="宋体"/>
          <w:bCs/>
          <w:color w:val="auto"/>
          <w:sz w:val="24"/>
          <w:szCs w:val="21"/>
          <w:highlight w:val="none"/>
        </w:rPr>
      </w:pPr>
      <w:r>
        <w:rPr>
          <w:rFonts w:hint="eastAsia" w:ascii="宋体" w:hAnsi="宋体" w:cs="宋体"/>
          <w:bCs/>
          <w:color w:val="auto"/>
          <w:sz w:val="24"/>
          <w:highlight w:val="none"/>
        </w:rPr>
        <w:t xml:space="preserve">                                 </w:t>
      </w:r>
      <w:r>
        <w:rPr>
          <w:rFonts w:hint="eastAsia" w:ascii="宋体" w:hAnsi="宋体" w:cs="宋体"/>
          <w:bCs/>
          <w:color w:val="auto"/>
          <w:sz w:val="24"/>
          <w:highlight w:val="none"/>
          <w:lang w:val="en-US" w:eastAsia="zh-CN"/>
        </w:rPr>
        <w:t xml:space="preserve">        </w:t>
      </w:r>
      <w:r>
        <w:rPr>
          <w:rFonts w:hint="eastAsia" w:ascii="宋体" w:hAnsi="宋体" w:cs="宋体"/>
          <w:bCs/>
          <w:color w:val="auto"/>
          <w:sz w:val="24"/>
          <w:highlight w:val="none"/>
        </w:rPr>
        <w:t>日期：</w:t>
      </w:r>
      <w:r>
        <w:rPr>
          <w:rFonts w:hint="eastAsia" w:ascii="宋体" w:hAnsi="宋体" w:cs="宋体"/>
          <w:bCs/>
          <w:color w:val="auto"/>
          <w:sz w:val="24"/>
          <w:highlight w:val="none"/>
          <w:u w:val="single"/>
        </w:rPr>
        <w:t xml:space="preserve">     </w:t>
      </w:r>
      <w:r>
        <w:rPr>
          <w:rFonts w:hint="eastAsia" w:ascii="宋体" w:hAnsi="宋体" w:cs="宋体"/>
          <w:bCs/>
          <w:color w:val="auto"/>
          <w:sz w:val="24"/>
          <w:highlight w:val="none"/>
        </w:rPr>
        <w:t>年</w:t>
      </w:r>
      <w:r>
        <w:rPr>
          <w:rFonts w:hint="eastAsia" w:ascii="宋体" w:hAnsi="宋体" w:cs="宋体"/>
          <w:bCs/>
          <w:color w:val="auto"/>
          <w:sz w:val="24"/>
          <w:highlight w:val="none"/>
          <w:u w:val="single"/>
        </w:rPr>
        <w:t xml:space="preserve">    </w:t>
      </w:r>
      <w:r>
        <w:rPr>
          <w:rFonts w:hint="eastAsia" w:ascii="宋体" w:hAnsi="宋体" w:cs="宋体"/>
          <w:bCs/>
          <w:color w:val="auto"/>
          <w:sz w:val="24"/>
          <w:highlight w:val="none"/>
        </w:rPr>
        <w:t>月</w:t>
      </w:r>
      <w:r>
        <w:rPr>
          <w:rFonts w:hint="eastAsia" w:ascii="宋体" w:hAnsi="宋体" w:cs="宋体"/>
          <w:bCs/>
          <w:color w:val="auto"/>
          <w:sz w:val="24"/>
          <w:highlight w:val="none"/>
          <w:u w:val="single"/>
        </w:rPr>
        <w:t xml:space="preserve">    </w:t>
      </w:r>
      <w:r>
        <w:rPr>
          <w:rFonts w:hint="eastAsia" w:ascii="宋体" w:hAnsi="宋体" w:cs="宋体"/>
          <w:bCs/>
          <w:color w:val="auto"/>
          <w:sz w:val="24"/>
          <w:highlight w:val="none"/>
        </w:rPr>
        <w:t>日</w:t>
      </w:r>
    </w:p>
    <w:p w14:paraId="77563502">
      <w:pPr>
        <w:spacing w:line="460" w:lineRule="exact"/>
        <w:rPr>
          <w:rFonts w:hint="eastAsia" w:ascii="宋体" w:hAnsi="宋体"/>
          <w:bCs/>
          <w:color w:val="auto"/>
          <w:sz w:val="24"/>
          <w:szCs w:val="21"/>
          <w:highlight w:val="none"/>
          <w:lang w:eastAsia="zh-CN"/>
        </w:rPr>
      </w:pPr>
    </w:p>
    <w:p w14:paraId="75F620BA">
      <w:pPr>
        <w:spacing w:line="460" w:lineRule="exact"/>
        <w:rPr>
          <w:rFonts w:hint="eastAsia" w:ascii="宋体" w:hAnsi="宋体"/>
          <w:bCs/>
          <w:color w:val="auto"/>
          <w:sz w:val="24"/>
          <w:szCs w:val="21"/>
          <w:highlight w:val="none"/>
          <w:lang w:eastAsia="zh-CN"/>
        </w:rPr>
      </w:pPr>
    </w:p>
    <w:p w14:paraId="79D3E430">
      <w:pPr>
        <w:spacing w:line="460" w:lineRule="exact"/>
        <w:rPr>
          <w:rFonts w:hint="eastAsia" w:ascii="宋体" w:hAnsi="宋体"/>
          <w:bCs/>
          <w:color w:val="auto"/>
          <w:sz w:val="24"/>
          <w:szCs w:val="21"/>
          <w:highlight w:val="none"/>
        </w:rPr>
      </w:pPr>
      <w:r>
        <w:rPr>
          <w:rFonts w:hint="eastAsia" w:ascii="宋体" w:hAnsi="宋体"/>
          <w:bCs/>
          <w:color w:val="auto"/>
          <w:sz w:val="24"/>
          <w:szCs w:val="21"/>
          <w:highlight w:val="none"/>
          <w:lang w:eastAsia="zh-CN"/>
        </w:rPr>
        <w:t>附件</w:t>
      </w:r>
      <w:r>
        <w:rPr>
          <w:rFonts w:hint="eastAsia" w:ascii="宋体" w:hAnsi="宋体"/>
          <w:bCs/>
          <w:color w:val="auto"/>
          <w:sz w:val="24"/>
          <w:szCs w:val="21"/>
          <w:highlight w:val="none"/>
          <w:lang w:val="en-US" w:eastAsia="zh-CN"/>
        </w:rPr>
        <w:t>7</w:t>
      </w:r>
      <w:r>
        <w:rPr>
          <w:rFonts w:hint="eastAsia" w:ascii="宋体" w:hAnsi="宋体"/>
          <w:bCs/>
          <w:color w:val="auto"/>
          <w:sz w:val="24"/>
          <w:szCs w:val="21"/>
          <w:highlight w:val="none"/>
        </w:rPr>
        <w:t xml:space="preserve">         </w:t>
      </w:r>
    </w:p>
    <w:p w14:paraId="3AE62F44">
      <w:pPr>
        <w:rPr>
          <w:rFonts w:hint="eastAsia" w:ascii="Times New Roman" w:hAnsi="Times New Roman"/>
          <w:color w:val="auto"/>
          <w:szCs w:val="21"/>
          <w:highlight w:val="none"/>
        </w:rPr>
      </w:pPr>
    </w:p>
    <w:p w14:paraId="64CB6D18">
      <w:pPr>
        <w:jc w:val="center"/>
        <w:rPr>
          <w:rFonts w:hint="eastAsia" w:ascii="宋体" w:hAnsi="宋体" w:eastAsia="宋体" w:cs="Times New Roman"/>
          <w:b/>
          <w:color w:val="auto"/>
          <w:sz w:val="30"/>
          <w:szCs w:val="30"/>
          <w:highlight w:val="none"/>
        </w:rPr>
      </w:pPr>
      <w:r>
        <w:rPr>
          <w:rFonts w:hint="eastAsia" w:ascii="宋体" w:hAnsi="宋体" w:eastAsia="宋体" w:cs="Times New Roman"/>
          <w:b/>
          <w:color w:val="auto"/>
          <w:sz w:val="30"/>
          <w:szCs w:val="30"/>
          <w:highlight w:val="none"/>
        </w:rPr>
        <w:t>参加政府采购活动前 3 年内在经营活动中没有重大违法记录的书面声明</w:t>
      </w:r>
    </w:p>
    <w:p w14:paraId="246A02B8">
      <w:pPr>
        <w:spacing w:line="460" w:lineRule="exact"/>
        <w:rPr>
          <w:rFonts w:hint="eastAsia" w:ascii="宋体" w:hAnsi="宋体"/>
          <w:b/>
          <w:bCs/>
          <w:color w:val="auto"/>
          <w:sz w:val="44"/>
          <w:szCs w:val="44"/>
          <w:highlight w:val="none"/>
        </w:rPr>
      </w:pPr>
    </w:p>
    <w:p w14:paraId="7272B9CB">
      <w:pPr>
        <w:spacing w:line="460" w:lineRule="exact"/>
        <w:rPr>
          <w:rFonts w:hint="eastAsia" w:ascii="宋体" w:hAnsi="宋体"/>
          <w:b/>
          <w:bCs/>
          <w:color w:val="auto"/>
          <w:sz w:val="44"/>
          <w:szCs w:val="44"/>
          <w:highlight w:val="none"/>
        </w:rPr>
      </w:pPr>
    </w:p>
    <w:p w14:paraId="57A8DA0D">
      <w:pPr>
        <w:spacing w:line="460" w:lineRule="exact"/>
        <w:rPr>
          <w:rFonts w:hint="eastAsia" w:ascii="宋体" w:hAnsi="宋体"/>
          <w:b/>
          <w:bCs/>
          <w:color w:val="auto"/>
          <w:sz w:val="44"/>
          <w:szCs w:val="44"/>
          <w:highlight w:val="none"/>
        </w:rPr>
      </w:pPr>
      <w:r>
        <w:rPr>
          <w:rFonts w:hint="eastAsia" w:ascii="宋体" w:hAnsi="宋体"/>
          <w:b/>
          <w:bCs/>
          <w:color w:val="auto"/>
          <w:sz w:val="44"/>
          <w:szCs w:val="44"/>
          <w:highlight w:val="none"/>
        </w:rPr>
        <w:t xml:space="preserve">                 声  明</w:t>
      </w:r>
    </w:p>
    <w:p w14:paraId="3E918906">
      <w:pPr>
        <w:spacing w:line="460" w:lineRule="exact"/>
        <w:rPr>
          <w:rFonts w:hint="eastAsia" w:ascii="宋体" w:hAnsi="宋体"/>
          <w:bCs/>
          <w:color w:val="auto"/>
          <w:sz w:val="24"/>
          <w:szCs w:val="21"/>
          <w:highlight w:val="none"/>
        </w:rPr>
      </w:pPr>
      <w:r>
        <w:rPr>
          <w:rFonts w:hint="eastAsia" w:ascii="宋体" w:hAnsi="宋体"/>
          <w:b/>
          <w:bCs/>
          <w:color w:val="auto"/>
          <w:sz w:val="24"/>
          <w:szCs w:val="21"/>
          <w:highlight w:val="none"/>
        </w:rPr>
        <w:t xml:space="preserve">    </w:t>
      </w:r>
      <w:r>
        <w:rPr>
          <w:rFonts w:hint="eastAsia" w:ascii="宋体" w:hAnsi="宋体"/>
          <w:bCs/>
          <w:color w:val="auto"/>
          <w:sz w:val="24"/>
          <w:szCs w:val="21"/>
          <w:highlight w:val="none"/>
        </w:rPr>
        <w:t>我单位郑重声明：参加本次政府采购活动前 3 年内，我单位在经营活动中没有因违法经营受到刑事处罚或者责令停产停业、吊销许可证或者执照、较大数额罚款等行政处罚。</w:t>
      </w:r>
    </w:p>
    <w:p w14:paraId="2D64A14C">
      <w:pPr>
        <w:spacing w:line="360" w:lineRule="auto"/>
        <w:jc w:val="center"/>
        <w:rPr>
          <w:rFonts w:hint="eastAsia" w:ascii="宋体" w:hAnsi="宋体" w:cs="宋体"/>
          <w:bCs/>
          <w:color w:val="auto"/>
          <w:sz w:val="24"/>
          <w:highlight w:val="none"/>
        </w:rPr>
      </w:pPr>
      <w:r>
        <w:rPr>
          <w:rFonts w:hint="eastAsia" w:ascii="宋体" w:hAnsi="宋体"/>
          <w:bCs/>
          <w:color w:val="auto"/>
          <w:sz w:val="24"/>
          <w:szCs w:val="21"/>
          <w:highlight w:val="none"/>
          <w:lang w:val="en-US" w:eastAsia="zh-CN"/>
        </w:rPr>
        <w:t xml:space="preserve">                      </w:t>
      </w:r>
      <w:r>
        <w:rPr>
          <w:rFonts w:hint="eastAsia" w:ascii="宋体" w:hAnsi="宋体"/>
          <w:bCs/>
          <w:color w:val="auto"/>
          <w:sz w:val="24"/>
          <w:szCs w:val="21"/>
          <w:highlight w:val="none"/>
          <w:lang w:eastAsia="zh-CN"/>
        </w:rPr>
        <w:t>供应商</w:t>
      </w:r>
      <w:r>
        <w:rPr>
          <w:rFonts w:hint="eastAsia" w:ascii="宋体" w:hAnsi="宋体" w:cs="宋体"/>
          <w:bCs/>
          <w:color w:val="auto"/>
          <w:sz w:val="24"/>
          <w:highlight w:val="none"/>
        </w:rPr>
        <w:t>名称（公章）：</w:t>
      </w:r>
    </w:p>
    <w:p w14:paraId="4AF5DEAD">
      <w:pPr>
        <w:spacing w:line="360" w:lineRule="auto"/>
        <w:jc w:val="right"/>
        <w:rPr>
          <w:rFonts w:hint="eastAsia" w:ascii="宋体" w:hAnsi="宋体" w:cs="宋体"/>
          <w:bCs/>
          <w:color w:val="auto"/>
          <w:sz w:val="24"/>
          <w:highlight w:val="none"/>
        </w:rPr>
      </w:pPr>
      <w:r>
        <w:rPr>
          <w:rFonts w:hint="eastAsia" w:ascii="宋体" w:hAnsi="宋体" w:cs="宋体"/>
          <w:bCs/>
          <w:color w:val="auto"/>
          <w:sz w:val="24"/>
          <w:highlight w:val="none"/>
        </w:rPr>
        <w:t xml:space="preserve">    </w:t>
      </w:r>
    </w:p>
    <w:p w14:paraId="0EE8363D">
      <w:pPr>
        <w:spacing w:line="460" w:lineRule="exact"/>
        <w:rPr>
          <w:rFonts w:hint="eastAsia" w:ascii="宋体" w:hAnsi="宋体"/>
          <w:bCs/>
          <w:color w:val="auto"/>
          <w:sz w:val="24"/>
          <w:szCs w:val="21"/>
          <w:highlight w:val="none"/>
        </w:rPr>
      </w:pPr>
      <w:r>
        <w:rPr>
          <w:rFonts w:hint="eastAsia" w:ascii="宋体" w:hAnsi="宋体" w:cs="宋体"/>
          <w:bCs/>
          <w:color w:val="auto"/>
          <w:sz w:val="24"/>
          <w:highlight w:val="none"/>
        </w:rPr>
        <w:t xml:space="preserve">                                 </w:t>
      </w:r>
      <w:r>
        <w:rPr>
          <w:rFonts w:hint="eastAsia" w:ascii="宋体" w:hAnsi="宋体" w:cs="宋体"/>
          <w:bCs/>
          <w:color w:val="auto"/>
          <w:sz w:val="24"/>
          <w:highlight w:val="none"/>
          <w:lang w:val="en-US" w:eastAsia="zh-CN"/>
        </w:rPr>
        <w:t xml:space="preserve">        </w:t>
      </w:r>
      <w:r>
        <w:rPr>
          <w:rFonts w:hint="eastAsia" w:ascii="宋体" w:hAnsi="宋体" w:cs="宋体"/>
          <w:bCs/>
          <w:color w:val="auto"/>
          <w:sz w:val="24"/>
          <w:highlight w:val="none"/>
        </w:rPr>
        <w:t>日期：</w:t>
      </w:r>
      <w:r>
        <w:rPr>
          <w:rFonts w:hint="eastAsia" w:ascii="宋体" w:hAnsi="宋体" w:cs="宋体"/>
          <w:bCs/>
          <w:color w:val="auto"/>
          <w:sz w:val="24"/>
          <w:highlight w:val="none"/>
          <w:u w:val="single"/>
        </w:rPr>
        <w:t xml:space="preserve">     </w:t>
      </w:r>
      <w:r>
        <w:rPr>
          <w:rFonts w:hint="eastAsia" w:ascii="宋体" w:hAnsi="宋体" w:cs="宋体"/>
          <w:bCs/>
          <w:color w:val="auto"/>
          <w:sz w:val="24"/>
          <w:highlight w:val="none"/>
        </w:rPr>
        <w:t>年</w:t>
      </w:r>
      <w:r>
        <w:rPr>
          <w:rFonts w:hint="eastAsia" w:ascii="宋体" w:hAnsi="宋体" w:cs="宋体"/>
          <w:bCs/>
          <w:color w:val="auto"/>
          <w:sz w:val="24"/>
          <w:highlight w:val="none"/>
          <w:u w:val="single"/>
        </w:rPr>
        <w:t xml:space="preserve">    </w:t>
      </w:r>
      <w:r>
        <w:rPr>
          <w:rFonts w:hint="eastAsia" w:ascii="宋体" w:hAnsi="宋体" w:cs="宋体"/>
          <w:bCs/>
          <w:color w:val="auto"/>
          <w:sz w:val="24"/>
          <w:highlight w:val="none"/>
        </w:rPr>
        <w:t>月</w:t>
      </w:r>
      <w:r>
        <w:rPr>
          <w:rFonts w:hint="eastAsia" w:ascii="宋体" w:hAnsi="宋体" w:cs="宋体"/>
          <w:bCs/>
          <w:color w:val="auto"/>
          <w:sz w:val="24"/>
          <w:highlight w:val="none"/>
          <w:u w:val="single"/>
        </w:rPr>
        <w:t xml:space="preserve">    </w:t>
      </w:r>
      <w:r>
        <w:rPr>
          <w:rFonts w:hint="eastAsia" w:ascii="宋体" w:hAnsi="宋体" w:cs="宋体"/>
          <w:bCs/>
          <w:color w:val="auto"/>
          <w:sz w:val="24"/>
          <w:highlight w:val="none"/>
        </w:rPr>
        <w:t>日</w:t>
      </w:r>
    </w:p>
    <w:p w14:paraId="42837F0E">
      <w:pPr>
        <w:spacing w:line="360" w:lineRule="auto"/>
        <w:rPr>
          <w:rFonts w:ascii="宋体" w:hAnsi="宋体" w:eastAsia="宋体" w:cs="宋体"/>
          <w:bCs/>
          <w:color w:val="auto"/>
          <w:sz w:val="24"/>
          <w:highlight w:val="none"/>
          <w:lang w:val="en-US" w:eastAsia="zh-CN" w:bidi="ar"/>
        </w:rPr>
      </w:pPr>
      <w:r>
        <w:rPr>
          <w:rFonts w:hint="eastAsia" w:ascii="黑体" w:hAnsi="黑体" w:eastAsia="黑体"/>
          <w:i/>
          <w:color w:val="auto"/>
          <w:sz w:val="32"/>
          <w:szCs w:val="32"/>
          <w:highlight w:val="none"/>
          <w:u w:val="single"/>
        </w:rPr>
        <w:br w:type="page" w:clear="all"/>
      </w:r>
      <w:r>
        <w:rPr>
          <w:rFonts w:hint="eastAsia" w:ascii="宋体" w:hAnsi="宋体" w:cs="宋体"/>
          <w:bCs/>
          <w:color w:val="auto"/>
          <w:sz w:val="24"/>
          <w:highlight w:val="none"/>
          <w:lang w:bidi="ar"/>
        </w:rPr>
        <w:t>附件</w:t>
      </w:r>
      <w:r>
        <w:rPr>
          <w:rFonts w:hint="eastAsia" w:ascii="宋体" w:hAnsi="宋体" w:cs="宋体"/>
          <w:bCs/>
          <w:color w:val="auto"/>
          <w:sz w:val="24"/>
          <w:highlight w:val="none"/>
          <w:lang w:val="en-US" w:eastAsia="zh-CN" w:bidi="ar"/>
        </w:rPr>
        <w:t>8</w:t>
      </w:r>
    </w:p>
    <w:p w14:paraId="4802C201">
      <w:pPr>
        <w:spacing w:line="360" w:lineRule="auto"/>
        <w:jc w:val="center"/>
        <w:rPr>
          <w:rFonts w:hint="eastAsia" w:ascii="宋体" w:hAnsi="宋体" w:cs="宋体"/>
          <w:b/>
          <w:color w:val="auto"/>
          <w:sz w:val="24"/>
          <w:highlight w:val="none"/>
          <w:lang w:bidi="ar"/>
        </w:rPr>
      </w:pPr>
      <w:r>
        <w:rPr>
          <w:rFonts w:hint="eastAsia" w:ascii="宋体" w:hAnsi="宋体" w:cs="宋体"/>
          <w:b/>
          <w:color w:val="auto"/>
          <w:sz w:val="24"/>
          <w:highlight w:val="none"/>
          <w:lang w:bidi="ar"/>
        </w:rPr>
        <w:t>供应商信用承诺书</w:t>
      </w:r>
    </w:p>
    <w:p w14:paraId="4405AA04">
      <w:pPr>
        <w:spacing w:line="360" w:lineRule="auto"/>
        <w:ind w:firstLine="480"/>
        <w:rPr>
          <w:rFonts w:hint="eastAsia" w:ascii="宋体" w:hAnsi="宋体" w:cs="宋体"/>
          <w:color w:val="auto"/>
          <w:sz w:val="24"/>
          <w:highlight w:val="none"/>
          <w:lang w:val="zh-CN"/>
        </w:rPr>
      </w:pPr>
      <w:r>
        <w:rPr>
          <w:rFonts w:hint="eastAsia" w:ascii="宋体" w:hAnsi="宋体" w:cs="宋体"/>
          <w:color w:val="auto"/>
          <w:sz w:val="24"/>
          <w:highlight w:val="none"/>
          <w:lang w:val="zh-CN" w:bidi="ar"/>
        </w:rPr>
        <w:t>为营造公开、公平、公正的公共资源交易环境，树立诚信守法的投标人形象，本人代表本单位作出以下承诺：</w:t>
      </w:r>
    </w:p>
    <w:p w14:paraId="6D3A10EF">
      <w:pPr>
        <w:spacing w:line="360" w:lineRule="auto"/>
        <w:ind w:firstLine="480"/>
        <w:rPr>
          <w:rFonts w:hint="eastAsia" w:ascii="宋体" w:hAnsi="宋体" w:cs="宋体"/>
          <w:color w:val="auto"/>
          <w:sz w:val="24"/>
          <w:highlight w:val="none"/>
          <w:lang w:val="zh-CN"/>
        </w:rPr>
      </w:pPr>
      <w:r>
        <w:rPr>
          <w:rFonts w:hint="eastAsia" w:ascii="宋体" w:hAnsi="宋体" w:cs="宋体"/>
          <w:color w:val="auto"/>
          <w:sz w:val="24"/>
          <w:highlight w:val="none"/>
          <w:lang w:val="zh-CN" w:bidi="ar"/>
        </w:rPr>
        <w:t>一、本单位对所提交的单位基本信息、单位负责人、项目负责人、技术负责人、从业资质和资格、业绩、财务状况、信誉等所有资料，均合法、真实、准确、有效，无任何伪造、修改、虚假成分；</w:t>
      </w:r>
    </w:p>
    <w:p w14:paraId="3D3EFDEA">
      <w:pPr>
        <w:spacing w:line="360" w:lineRule="auto"/>
        <w:ind w:firstLine="480"/>
        <w:rPr>
          <w:rFonts w:hint="eastAsia" w:ascii="宋体" w:hAnsi="宋体" w:cs="宋体"/>
          <w:color w:val="auto"/>
          <w:sz w:val="24"/>
          <w:highlight w:val="none"/>
          <w:lang w:val="zh-CN"/>
        </w:rPr>
      </w:pPr>
      <w:r>
        <w:rPr>
          <w:rFonts w:hint="eastAsia" w:ascii="宋体" w:hAnsi="宋体" w:cs="宋体"/>
          <w:color w:val="auto"/>
          <w:sz w:val="24"/>
          <w:highlight w:val="none"/>
          <w:lang w:val="zh-CN" w:bidi="ar"/>
        </w:rPr>
        <w:t>二、严格依照国家和省、市、县关于政府采购等方面的法律、法规、规章、规范性文件，参加公共资源交易招标投标活动；积极履行社会责任，促进廉政建设；</w:t>
      </w:r>
    </w:p>
    <w:p w14:paraId="582D619D">
      <w:pPr>
        <w:spacing w:line="360" w:lineRule="auto"/>
        <w:ind w:firstLine="480"/>
        <w:rPr>
          <w:rFonts w:hint="eastAsia" w:ascii="宋体" w:hAnsi="宋体" w:cs="宋体"/>
          <w:color w:val="auto"/>
          <w:sz w:val="24"/>
          <w:highlight w:val="none"/>
          <w:lang w:val="zh-CN"/>
        </w:rPr>
      </w:pPr>
      <w:r>
        <w:rPr>
          <w:rFonts w:hint="eastAsia" w:ascii="宋体" w:hAnsi="宋体" w:cs="宋体"/>
          <w:color w:val="auto"/>
          <w:sz w:val="24"/>
          <w:highlight w:val="none"/>
          <w:lang w:val="zh-CN" w:bidi="ar"/>
        </w:rPr>
        <w:t>三、严格遵守即时信息公示规定，及时更新公共资源交易中心主体信息库中信息；</w:t>
      </w:r>
    </w:p>
    <w:p w14:paraId="40529C16">
      <w:pPr>
        <w:spacing w:line="360" w:lineRule="auto"/>
        <w:ind w:firstLine="480"/>
        <w:rPr>
          <w:rFonts w:hint="eastAsia" w:ascii="宋体" w:hAnsi="宋体" w:cs="宋体"/>
          <w:color w:val="auto"/>
          <w:sz w:val="24"/>
          <w:highlight w:val="none"/>
          <w:lang w:val="zh-CN"/>
        </w:rPr>
      </w:pPr>
      <w:r>
        <w:rPr>
          <w:rFonts w:hint="eastAsia" w:ascii="宋体" w:hAnsi="宋体" w:cs="宋体"/>
          <w:color w:val="auto"/>
          <w:sz w:val="24"/>
          <w:highlight w:val="none"/>
          <w:lang w:val="zh-CN" w:bidi="ar"/>
        </w:rPr>
        <w:t>四、自我约束、自我管理，守合同、重信用，不参与围标串标、弄虚作假、骗取中标、干扰评标、违约毁约、恶意投诉等行为，主动维护公共资源交易招标投标的良好秩序；</w:t>
      </w:r>
    </w:p>
    <w:p w14:paraId="14D9D772">
      <w:pPr>
        <w:spacing w:line="360" w:lineRule="auto"/>
        <w:ind w:firstLine="480"/>
        <w:rPr>
          <w:rFonts w:hint="eastAsia" w:ascii="宋体" w:hAnsi="宋体" w:cs="宋体"/>
          <w:color w:val="auto"/>
          <w:sz w:val="24"/>
          <w:highlight w:val="none"/>
          <w:lang w:val="zh-CN"/>
        </w:rPr>
      </w:pPr>
      <w:r>
        <w:rPr>
          <w:rFonts w:hint="eastAsia" w:ascii="宋体" w:hAnsi="宋体" w:cs="宋体"/>
          <w:color w:val="auto"/>
          <w:sz w:val="24"/>
          <w:highlight w:val="none"/>
          <w:lang w:val="zh-CN" w:bidi="ar"/>
        </w:rPr>
        <w:t>五、本单位自愿接受政府采购有关行政监督部门的依法检查。如发生违法违规或不良行为或存在其他法律法规对招标投标行为予以限制的情形，自愿接受政府采购有关行政监督部门依法给予的行政处罚（处理），并依法承担相应的法律责任；</w:t>
      </w:r>
    </w:p>
    <w:p w14:paraId="3CF30DA2">
      <w:pPr>
        <w:spacing w:line="360" w:lineRule="auto"/>
        <w:ind w:firstLine="480"/>
        <w:rPr>
          <w:rFonts w:hint="eastAsia" w:ascii="宋体" w:hAnsi="宋体" w:cs="宋体"/>
          <w:color w:val="auto"/>
          <w:sz w:val="24"/>
          <w:highlight w:val="none"/>
          <w:lang w:val="zh-CN"/>
        </w:rPr>
      </w:pPr>
      <w:r>
        <w:rPr>
          <w:rFonts w:hint="eastAsia" w:ascii="宋体" w:hAnsi="宋体" w:cs="宋体"/>
          <w:color w:val="auto"/>
          <w:sz w:val="24"/>
          <w:highlight w:val="none"/>
          <w:lang w:val="zh-CN" w:bidi="ar"/>
        </w:rPr>
        <w:t>六、自觉接受政府部门、行业组织、社会公众、新闻舆论等监督；</w:t>
      </w:r>
    </w:p>
    <w:p w14:paraId="18EDD5FD">
      <w:pPr>
        <w:spacing w:line="360" w:lineRule="auto"/>
        <w:ind w:firstLine="480"/>
        <w:rPr>
          <w:rFonts w:hint="eastAsia" w:ascii="宋体" w:hAnsi="宋体" w:cs="宋体"/>
          <w:color w:val="auto"/>
          <w:sz w:val="24"/>
          <w:highlight w:val="none"/>
          <w:lang w:val="zh-CN"/>
        </w:rPr>
      </w:pPr>
      <w:r>
        <w:rPr>
          <w:rFonts w:hint="eastAsia" w:ascii="宋体" w:hAnsi="宋体" w:cs="宋体"/>
          <w:color w:val="auto"/>
          <w:sz w:val="24"/>
          <w:highlight w:val="none"/>
          <w:lang w:val="zh-CN" w:bidi="ar"/>
        </w:rPr>
        <w:t>七、上述承诺已向本单位员工作了宣传教育；</w:t>
      </w:r>
    </w:p>
    <w:p w14:paraId="3475CF1E">
      <w:pPr>
        <w:spacing w:line="360" w:lineRule="auto"/>
        <w:ind w:firstLine="482"/>
        <w:rPr>
          <w:rFonts w:hint="eastAsia" w:ascii="宋体" w:hAnsi="宋体" w:cs="宋体"/>
          <w:b/>
          <w:color w:val="auto"/>
          <w:sz w:val="24"/>
          <w:highlight w:val="none"/>
          <w:lang w:val="zh-CN"/>
        </w:rPr>
      </w:pPr>
      <w:r>
        <w:rPr>
          <w:rFonts w:hint="eastAsia" w:ascii="宋体" w:hAnsi="宋体" w:cs="宋体"/>
          <w:b/>
          <w:color w:val="auto"/>
          <w:sz w:val="24"/>
          <w:highlight w:val="none"/>
          <w:lang w:val="zh-CN" w:bidi="ar"/>
        </w:rPr>
        <w:t>如有违反上述承诺的不良行为，本单位同意将其予以上网公示。</w:t>
      </w:r>
    </w:p>
    <w:p w14:paraId="35A7BD04">
      <w:pPr>
        <w:spacing w:line="360" w:lineRule="auto"/>
        <w:ind w:firstLine="4560"/>
        <w:rPr>
          <w:rFonts w:hint="eastAsia" w:ascii="宋体" w:hAnsi="宋体" w:cs="宋体"/>
          <w:color w:val="auto"/>
          <w:sz w:val="24"/>
          <w:highlight w:val="none"/>
          <w:lang w:val="zh-CN"/>
        </w:rPr>
      </w:pPr>
    </w:p>
    <w:p w14:paraId="61B862FE">
      <w:pPr>
        <w:spacing w:line="360" w:lineRule="auto"/>
        <w:ind w:firstLine="2640"/>
        <w:rPr>
          <w:rFonts w:hint="eastAsia" w:ascii="宋体" w:hAnsi="宋体" w:cs="宋体"/>
          <w:color w:val="auto"/>
          <w:sz w:val="24"/>
          <w:highlight w:val="none"/>
          <w:u w:val="single"/>
          <w:lang w:val="zh-CN"/>
        </w:rPr>
      </w:pPr>
      <w:r>
        <w:rPr>
          <w:rFonts w:hint="eastAsia" w:ascii="宋体" w:hAnsi="宋体" w:cs="宋体"/>
          <w:color w:val="auto"/>
          <w:sz w:val="24"/>
          <w:highlight w:val="none"/>
          <w:lang w:val="zh-CN" w:bidi="ar"/>
        </w:rPr>
        <w:t>供应商全称(盖公章)：</w:t>
      </w:r>
    </w:p>
    <w:p w14:paraId="5A6F0CC2">
      <w:pPr>
        <w:spacing w:line="360" w:lineRule="auto"/>
        <w:ind w:firstLine="2640"/>
        <w:rPr>
          <w:rFonts w:hint="eastAsia" w:ascii="宋体" w:hAnsi="宋体" w:cs="宋体"/>
          <w:color w:val="auto"/>
          <w:sz w:val="24"/>
          <w:highlight w:val="none"/>
          <w:u w:val="single"/>
          <w:lang w:val="zh-CN"/>
        </w:rPr>
      </w:pPr>
      <w:r>
        <w:rPr>
          <w:rFonts w:hint="eastAsia" w:ascii="宋体" w:hAnsi="宋体" w:cs="宋体"/>
          <w:color w:val="auto"/>
          <w:sz w:val="24"/>
          <w:highlight w:val="none"/>
          <w:lang w:val="zh-CN" w:bidi="ar"/>
        </w:rPr>
        <w:t>法定代表人（签字或盖章）：</w:t>
      </w:r>
    </w:p>
    <w:p w14:paraId="549EA466">
      <w:pPr>
        <w:spacing w:line="360" w:lineRule="auto"/>
        <w:ind w:firstLine="2640"/>
        <w:rPr>
          <w:rFonts w:hint="eastAsia" w:ascii="宋体" w:hAnsi="宋体" w:cs="宋体"/>
          <w:color w:val="auto"/>
          <w:sz w:val="24"/>
          <w:highlight w:val="none"/>
          <w:lang w:val="zh-CN"/>
        </w:rPr>
      </w:pPr>
      <w:r>
        <w:rPr>
          <w:rFonts w:hint="eastAsia" w:ascii="宋体" w:hAnsi="宋体" w:cs="宋体"/>
          <w:color w:val="auto"/>
          <w:sz w:val="24"/>
          <w:highlight w:val="none"/>
          <w:lang w:val="zh-CN" w:bidi="ar"/>
        </w:rPr>
        <w:t>时间：  年  月   日</w:t>
      </w:r>
    </w:p>
    <w:p w14:paraId="7DCF11EC">
      <w:pPr>
        <w:spacing w:line="460" w:lineRule="exact"/>
        <w:rPr>
          <w:rFonts w:hint="eastAsia" w:ascii="宋体" w:hAnsi="宋体"/>
          <w:bCs/>
          <w:color w:val="auto"/>
          <w:sz w:val="24"/>
          <w:highlight w:val="none"/>
        </w:rPr>
      </w:pPr>
      <w:r>
        <w:rPr>
          <w:rFonts w:hint="eastAsia" w:ascii="宋体" w:hAnsi="宋体" w:cs="宋体"/>
          <w:color w:val="auto"/>
          <w:sz w:val="24"/>
          <w:highlight w:val="none"/>
        </w:rPr>
        <w:br w:type="page" w:clear="all"/>
      </w:r>
      <w:r>
        <w:rPr>
          <w:rFonts w:hint="eastAsia" w:ascii="宋体" w:hAnsi="宋体" w:cs="宋体"/>
          <w:bCs/>
          <w:color w:val="auto"/>
          <w:sz w:val="24"/>
          <w:highlight w:val="none"/>
          <w:lang w:bidi="ar"/>
        </w:rPr>
        <w:t>附件</w:t>
      </w:r>
      <w:r>
        <w:rPr>
          <w:rFonts w:hint="eastAsia" w:ascii="宋体" w:hAnsi="宋体" w:cs="宋体"/>
          <w:bCs/>
          <w:color w:val="auto"/>
          <w:sz w:val="24"/>
          <w:highlight w:val="none"/>
          <w:lang w:val="en-US" w:eastAsia="zh-CN" w:bidi="ar"/>
        </w:rPr>
        <w:t>9</w:t>
      </w:r>
    </w:p>
    <w:p w14:paraId="73FFD8C0">
      <w:pPr>
        <w:spacing w:line="360" w:lineRule="auto"/>
        <w:jc w:val="center"/>
        <w:rPr>
          <w:rFonts w:hint="eastAsia" w:ascii="宋体" w:hAnsi="宋体"/>
          <w:b/>
          <w:color w:val="auto"/>
          <w:sz w:val="32"/>
          <w:highlight w:val="none"/>
        </w:rPr>
      </w:pPr>
      <w:bookmarkStart w:id="765" w:name="_Toc11288"/>
      <w:r>
        <w:rPr>
          <w:rFonts w:hint="eastAsia" w:ascii="宋体" w:hAnsi="宋体"/>
          <w:b/>
          <w:color w:val="auto"/>
          <w:sz w:val="32"/>
          <w:highlight w:val="none"/>
        </w:rPr>
        <w:t>拟派项目负责人无在建工程承诺书</w:t>
      </w:r>
      <w:bookmarkEnd w:id="765"/>
    </w:p>
    <w:p w14:paraId="4D38C021">
      <w:pPr>
        <w:spacing w:line="360" w:lineRule="exact"/>
        <w:jc w:val="center"/>
        <w:rPr>
          <w:rFonts w:ascii="宋体" w:hAnsi="宋体"/>
          <w:b/>
          <w:color w:val="auto"/>
          <w:sz w:val="32"/>
          <w:highlight w:val="none"/>
        </w:rPr>
      </w:pPr>
    </w:p>
    <w:p w14:paraId="31DE20EF">
      <w:pPr>
        <w:spacing w:line="360" w:lineRule="auto"/>
        <w:ind w:firstLine="482"/>
        <w:rPr>
          <w:rFonts w:hint="eastAsia" w:ascii="宋体" w:hAnsi="宋体"/>
          <w:color w:val="auto"/>
          <w:spacing w:val="8"/>
          <w:sz w:val="24"/>
          <w:highlight w:val="none"/>
        </w:rPr>
      </w:pPr>
      <w:r>
        <w:rPr>
          <w:rFonts w:hint="eastAsia" w:ascii="宋体" w:hAnsi="宋体"/>
          <w:color w:val="auto"/>
          <w:spacing w:val="8"/>
          <w:sz w:val="24"/>
          <w:highlight w:val="none"/>
        </w:rPr>
        <w:t>__________________（采购人单位名称）：</w:t>
      </w:r>
    </w:p>
    <w:p w14:paraId="0121F94D">
      <w:pPr>
        <w:spacing w:line="360" w:lineRule="auto"/>
        <w:ind w:firstLine="482"/>
        <w:rPr>
          <w:rFonts w:hint="eastAsia" w:ascii="宋体" w:hAnsi="宋体"/>
          <w:color w:val="auto"/>
          <w:spacing w:val="8"/>
          <w:sz w:val="24"/>
          <w:highlight w:val="none"/>
        </w:rPr>
      </w:pPr>
      <w:r>
        <w:rPr>
          <w:rFonts w:hint="eastAsia" w:ascii="宋体" w:hAnsi="宋体"/>
          <w:color w:val="auto"/>
          <w:spacing w:val="8"/>
          <w:sz w:val="24"/>
          <w:highlight w:val="none"/>
        </w:rPr>
        <w:t>我方参加你方的</w:t>
      </w:r>
      <w:r>
        <w:rPr>
          <w:rFonts w:hint="eastAsia" w:ascii="宋体" w:hAnsi="宋体"/>
          <w:color w:val="auto"/>
          <w:spacing w:val="8"/>
          <w:sz w:val="24"/>
          <w:highlight w:val="none"/>
          <w:u w:val="single"/>
        </w:rPr>
        <w:t xml:space="preserve">                 </w:t>
      </w:r>
      <w:r>
        <w:rPr>
          <w:rFonts w:hint="eastAsia" w:ascii="宋体" w:hAnsi="宋体"/>
          <w:color w:val="auto"/>
          <w:spacing w:val="8"/>
          <w:sz w:val="24"/>
          <w:highlight w:val="none"/>
        </w:rPr>
        <w:t>工程（以下简称“本工程”）施工投标的申请，拟派项目负责人为</w:t>
      </w:r>
      <w:r>
        <w:rPr>
          <w:rFonts w:hint="eastAsia" w:ascii="宋体" w:hAnsi="宋体"/>
          <w:color w:val="auto"/>
          <w:spacing w:val="8"/>
          <w:sz w:val="24"/>
          <w:highlight w:val="none"/>
          <w:u w:val="single"/>
        </w:rPr>
        <w:t xml:space="preserve">              </w:t>
      </w:r>
      <w:r>
        <w:rPr>
          <w:rFonts w:hint="eastAsia" w:ascii="宋体" w:hAnsi="宋体"/>
          <w:color w:val="auto"/>
          <w:spacing w:val="8"/>
          <w:sz w:val="24"/>
          <w:highlight w:val="none"/>
        </w:rPr>
        <w:t>。现我方向你方慎重承诺：</w:t>
      </w:r>
    </w:p>
    <w:p w14:paraId="08E262B1">
      <w:pPr>
        <w:spacing w:line="360" w:lineRule="auto"/>
        <w:ind w:firstLine="482"/>
        <w:rPr>
          <w:rFonts w:hint="eastAsia" w:ascii="宋体" w:hAnsi="宋体"/>
          <w:color w:val="auto"/>
          <w:spacing w:val="8"/>
          <w:sz w:val="24"/>
          <w:highlight w:val="none"/>
        </w:rPr>
      </w:pPr>
      <w:r>
        <w:rPr>
          <w:rFonts w:hint="eastAsia" w:ascii="宋体" w:hAnsi="宋体"/>
          <w:color w:val="auto"/>
          <w:spacing w:val="8"/>
          <w:sz w:val="24"/>
          <w:highlight w:val="none"/>
        </w:rPr>
        <w:t xml:space="preserve">拟派项目负责人 </w:t>
      </w:r>
      <w:r>
        <w:rPr>
          <w:rFonts w:hint="eastAsia" w:ascii="宋体" w:hAnsi="宋体"/>
          <w:color w:val="auto"/>
          <w:spacing w:val="8"/>
          <w:sz w:val="24"/>
          <w:highlight w:val="none"/>
          <w:u w:val="single"/>
        </w:rPr>
        <w:t xml:space="preserve">                 </w:t>
      </w:r>
      <w:r>
        <w:rPr>
          <w:rFonts w:hint="eastAsia" w:ascii="宋体" w:hAnsi="宋体"/>
          <w:color w:val="auto"/>
          <w:spacing w:val="8"/>
          <w:sz w:val="24"/>
          <w:highlight w:val="none"/>
        </w:rPr>
        <w:t>无在建工程，如果我方经本工程评标委员会评定为第一中标候选人，在公示期间被他人举报并经招标投标监管机构核实，确认拟派项目负责人有在建工程，那么取消我方第一中标候选人资格，并投标保证金不予退还。</w:t>
      </w:r>
    </w:p>
    <w:p w14:paraId="0CC2E8D1">
      <w:pPr>
        <w:spacing w:line="360" w:lineRule="auto"/>
        <w:ind w:right="-512" w:firstLine="3720"/>
        <w:rPr>
          <w:rFonts w:hint="eastAsia" w:ascii="宋体" w:hAnsi="宋体"/>
          <w:color w:val="auto"/>
          <w:sz w:val="24"/>
          <w:highlight w:val="none"/>
        </w:rPr>
      </w:pPr>
    </w:p>
    <w:p w14:paraId="0F56DE00">
      <w:pPr>
        <w:spacing w:line="360" w:lineRule="auto"/>
        <w:ind w:right="-512" w:firstLine="3720"/>
        <w:rPr>
          <w:rFonts w:hint="eastAsia" w:ascii="宋体" w:hAnsi="宋体"/>
          <w:color w:val="auto"/>
          <w:sz w:val="24"/>
          <w:highlight w:val="none"/>
        </w:rPr>
      </w:pPr>
    </w:p>
    <w:p w14:paraId="6B273CF4">
      <w:pPr>
        <w:spacing w:line="360" w:lineRule="auto"/>
        <w:ind w:right="-512" w:firstLine="3720"/>
        <w:rPr>
          <w:rFonts w:hint="eastAsia" w:ascii="宋体" w:hAnsi="宋体"/>
          <w:color w:val="auto"/>
          <w:sz w:val="24"/>
          <w:highlight w:val="none"/>
        </w:rPr>
      </w:pPr>
    </w:p>
    <w:p w14:paraId="0D292987">
      <w:pPr>
        <w:spacing w:line="360" w:lineRule="auto"/>
        <w:ind w:right="-512" w:firstLine="3720"/>
        <w:rPr>
          <w:rFonts w:hint="eastAsia" w:ascii="宋体" w:hAnsi="宋体"/>
          <w:color w:val="auto"/>
          <w:sz w:val="24"/>
          <w:highlight w:val="none"/>
        </w:rPr>
      </w:pPr>
    </w:p>
    <w:p w14:paraId="4A55D718">
      <w:pPr>
        <w:spacing w:line="360" w:lineRule="auto"/>
        <w:ind w:right="-512" w:firstLine="3720"/>
        <w:rPr>
          <w:rFonts w:hint="eastAsia" w:ascii="宋体" w:hAnsi="宋体"/>
          <w:color w:val="auto"/>
          <w:sz w:val="24"/>
          <w:highlight w:val="none"/>
        </w:rPr>
      </w:pPr>
    </w:p>
    <w:p w14:paraId="1CF14A18">
      <w:pPr>
        <w:spacing w:line="360" w:lineRule="auto"/>
        <w:ind w:firstLine="2640"/>
        <w:rPr>
          <w:rFonts w:hint="eastAsia" w:ascii="宋体" w:hAnsi="宋体" w:cs="宋体"/>
          <w:color w:val="auto"/>
          <w:sz w:val="24"/>
          <w:highlight w:val="none"/>
          <w:u w:val="single"/>
          <w:lang w:val="zh-CN"/>
        </w:rPr>
      </w:pPr>
      <w:r>
        <w:rPr>
          <w:rFonts w:hint="eastAsia" w:ascii="宋体" w:hAnsi="宋体" w:cs="宋体"/>
          <w:color w:val="auto"/>
          <w:sz w:val="24"/>
          <w:highlight w:val="none"/>
          <w:lang w:val="zh-CN" w:bidi="ar"/>
        </w:rPr>
        <w:t>供应商全称(盖公章)：</w:t>
      </w:r>
    </w:p>
    <w:p w14:paraId="571AC224">
      <w:pPr>
        <w:spacing w:line="360" w:lineRule="auto"/>
        <w:ind w:firstLine="2640"/>
        <w:rPr>
          <w:rFonts w:hint="eastAsia" w:ascii="宋体" w:hAnsi="宋体" w:cs="宋体"/>
          <w:color w:val="auto"/>
          <w:sz w:val="24"/>
          <w:highlight w:val="none"/>
          <w:u w:val="single"/>
          <w:lang w:val="zh-CN"/>
        </w:rPr>
      </w:pPr>
      <w:r>
        <w:rPr>
          <w:rFonts w:hint="eastAsia" w:ascii="宋体" w:hAnsi="宋体" w:cs="宋体"/>
          <w:color w:val="auto"/>
          <w:sz w:val="24"/>
          <w:highlight w:val="none"/>
          <w:lang w:val="zh-CN" w:bidi="ar"/>
        </w:rPr>
        <w:t>法定代表人（签字或盖章）：</w:t>
      </w:r>
    </w:p>
    <w:p w14:paraId="2368D036">
      <w:pPr>
        <w:keepNext/>
        <w:keepLines/>
        <w:spacing w:before="260" w:after="260" w:line="416" w:lineRule="auto"/>
        <w:ind w:firstLine="3120"/>
        <w:outlineLvl w:val="1"/>
        <w:rPr>
          <w:rFonts w:hint="eastAsia" w:ascii="宋体" w:hAnsi="宋体" w:cs="宋体"/>
          <w:color w:val="auto"/>
          <w:sz w:val="24"/>
          <w:highlight w:val="none"/>
          <w:lang w:val="zh-CN" w:bidi="ar"/>
        </w:rPr>
      </w:pPr>
      <w:r>
        <w:rPr>
          <w:rFonts w:hint="eastAsia" w:ascii="宋体" w:hAnsi="宋体" w:cs="宋体"/>
          <w:color w:val="auto"/>
          <w:sz w:val="24"/>
          <w:highlight w:val="none"/>
          <w:lang w:val="zh-CN" w:bidi="ar"/>
        </w:rPr>
        <w:t>时间：  年  月   日</w:t>
      </w:r>
    </w:p>
    <w:p w14:paraId="423560FE">
      <w:pPr>
        <w:rPr>
          <w:rFonts w:hint="eastAsia" w:ascii="宋体" w:hAnsi="宋体" w:cs="宋体"/>
          <w:color w:val="auto"/>
          <w:sz w:val="24"/>
          <w:highlight w:val="none"/>
          <w:lang w:val="zh-CN" w:bidi="ar"/>
        </w:rPr>
      </w:pPr>
      <w:r>
        <w:rPr>
          <w:rFonts w:hint="eastAsia" w:ascii="宋体" w:hAnsi="宋体" w:cs="宋体"/>
          <w:color w:val="auto"/>
          <w:sz w:val="24"/>
          <w:highlight w:val="none"/>
          <w:lang w:val="zh-CN" w:bidi="ar"/>
        </w:rPr>
        <w:br w:type="page" w:clear="all"/>
      </w:r>
    </w:p>
    <w:p w14:paraId="7A61D676">
      <w:pPr>
        <w:keepNext/>
        <w:keepLines/>
        <w:spacing w:before="260" w:after="260" w:line="416" w:lineRule="auto"/>
        <w:outlineLvl w:val="1"/>
        <w:rPr>
          <w:rFonts w:hint="eastAsia" w:ascii="宋体" w:hAnsi="宋体" w:cs="宋体"/>
          <w:color w:val="auto"/>
          <w:sz w:val="24"/>
          <w:highlight w:val="none"/>
          <w:lang w:val="en-US" w:eastAsia="zh-CN"/>
        </w:rPr>
      </w:pPr>
      <w:r>
        <w:rPr>
          <w:rFonts w:hint="eastAsia" w:ascii="宋体" w:hAnsi="宋体" w:cs="宋体"/>
          <w:color w:val="auto"/>
          <w:sz w:val="24"/>
          <w:highlight w:val="none"/>
        </w:rPr>
        <w:t>附件</w:t>
      </w:r>
      <w:r>
        <w:rPr>
          <w:rFonts w:hint="eastAsia" w:ascii="宋体" w:hAnsi="宋体" w:cs="宋体"/>
          <w:color w:val="auto"/>
          <w:sz w:val="24"/>
          <w:highlight w:val="none"/>
          <w:lang w:val="en-US" w:eastAsia="zh-CN"/>
        </w:rPr>
        <w:t xml:space="preserve">10    </w:t>
      </w:r>
    </w:p>
    <w:p w14:paraId="3B949992">
      <w:pPr>
        <w:keepNext/>
        <w:keepLines/>
        <w:spacing w:before="260" w:after="260" w:line="416" w:lineRule="auto"/>
        <w:jc w:val="center"/>
        <w:outlineLvl w:val="1"/>
        <w:rPr>
          <w:rFonts w:hint="eastAsia" w:ascii="宋体" w:hAnsi="宋体" w:eastAsia="宋体" w:cs="宋体"/>
          <w:b/>
          <w:color w:val="auto"/>
          <w:sz w:val="24"/>
          <w:highlight w:val="none"/>
          <w:lang w:bidi="ar"/>
        </w:rPr>
      </w:pPr>
      <w:r>
        <w:rPr>
          <w:rFonts w:hint="eastAsia" w:ascii="宋体" w:hAnsi="宋体" w:eastAsia="宋体" w:cs="宋体"/>
          <w:b/>
          <w:color w:val="auto"/>
          <w:sz w:val="24"/>
          <w:highlight w:val="none"/>
          <w:lang w:bidi="ar"/>
        </w:rPr>
        <w:t>磋商响应函</w:t>
      </w:r>
    </w:p>
    <w:p w14:paraId="07A19819">
      <w:pPr>
        <w:spacing w:line="420" w:lineRule="exact"/>
        <w:jc w:val="left"/>
        <w:rPr>
          <w:rFonts w:hint="eastAsia" w:ascii="宋体" w:hAnsi="宋体" w:eastAsia="宋体"/>
          <w:color w:val="auto"/>
          <w:sz w:val="24"/>
          <w:szCs w:val="24"/>
          <w:highlight w:val="none"/>
          <w:lang w:eastAsia="zh-CN"/>
        </w:rPr>
      </w:pPr>
      <w:r>
        <w:rPr>
          <w:rFonts w:hint="eastAsia" w:ascii="宋体" w:hAnsi="宋体"/>
          <w:color w:val="auto"/>
          <w:sz w:val="24"/>
          <w:szCs w:val="24"/>
          <w:highlight w:val="none"/>
        </w:rPr>
        <w:t>致：</w:t>
      </w:r>
      <w:r>
        <w:rPr>
          <w:rFonts w:hint="eastAsia" w:ascii="宋体" w:hAnsi="宋体"/>
          <w:color w:val="auto"/>
          <w:sz w:val="24"/>
          <w:szCs w:val="24"/>
          <w:highlight w:val="none"/>
          <w:u w:val="single"/>
          <w:lang w:eastAsia="zh-CN"/>
        </w:rPr>
        <w:t>（采购人）、南通市通州区公共资源交易中心</w:t>
      </w:r>
    </w:p>
    <w:p w14:paraId="6BD8E96C">
      <w:pPr>
        <w:spacing w:line="420" w:lineRule="exact"/>
        <w:ind w:firstLine="480"/>
        <w:jc w:val="left"/>
        <w:rPr>
          <w:rFonts w:hint="eastAsia" w:ascii="宋体" w:hAnsi="宋体"/>
          <w:color w:val="auto"/>
          <w:sz w:val="24"/>
          <w:szCs w:val="24"/>
          <w:highlight w:val="none"/>
        </w:rPr>
      </w:pPr>
      <w:r>
        <w:rPr>
          <w:rFonts w:hint="eastAsia" w:ascii="宋体" w:hAnsi="宋体"/>
          <w:color w:val="auto"/>
          <w:sz w:val="24"/>
          <w:szCs w:val="24"/>
          <w:highlight w:val="none"/>
        </w:rPr>
        <w:t>根据贵方的</w:t>
      </w:r>
      <w:r>
        <w:rPr>
          <w:rFonts w:hint="eastAsia" w:ascii="宋体" w:hAnsi="宋体"/>
          <w:color w:val="auto"/>
          <w:sz w:val="24"/>
          <w:szCs w:val="24"/>
          <w:highlight w:val="none"/>
          <w:u w:val="single"/>
          <w:lang w:eastAsia="zh-CN"/>
        </w:rPr>
        <w:t>（项目编号）</w:t>
      </w:r>
      <w:r>
        <w:rPr>
          <w:rFonts w:hint="eastAsia" w:ascii="宋体" w:hAnsi="宋体"/>
          <w:b/>
          <w:color w:val="auto"/>
          <w:sz w:val="24"/>
          <w:szCs w:val="24"/>
          <w:highlight w:val="none"/>
          <w:u w:val="single"/>
        </w:rPr>
        <w:t xml:space="preserve">   </w:t>
      </w:r>
      <w:r>
        <w:rPr>
          <w:rFonts w:hint="eastAsia" w:ascii="宋体" w:hAnsi="宋体"/>
          <w:color w:val="auto"/>
          <w:sz w:val="24"/>
          <w:szCs w:val="24"/>
          <w:highlight w:val="none"/>
        </w:rPr>
        <w:t>号磋商文件，正式授权下述签字人______(姓名)代表我方______________（供应商的名称），全权处理本次项目磋商的有关事宜。</w:t>
      </w:r>
    </w:p>
    <w:p w14:paraId="7EA9653F">
      <w:pPr>
        <w:spacing w:line="420" w:lineRule="exact"/>
        <w:ind w:firstLine="480"/>
        <w:jc w:val="left"/>
        <w:rPr>
          <w:rFonts w:hint="eastAsia" w:ascii="宋体" w:hAnsi="宋体"/>
          <w:color w:val="auto"/>
          <w:sz w:val="24"/>
          <w:szCs w:val="24"/>
          <w:highlight w:val="none"/>
        </w:rPr>
      </w:pPr>
      <w:r>
        <w:rPr>
          <w:rFonts w:hint="eastAsia" w:ascii="宋体" w:hAnsi="宋体"/>
          <w:color w:val="auto"/>
          <w:sz w:val="24"/>
          <w:szCs w:val="24"/>
          <w:highlight w:val="none"/>
        </w:rPr>
        <w:t>据此函，__________签字人兹宣布同意如下：</w:t>
      </w:r>
    </w:p>
    <w:p w14:paraId="2EA9BB96">
      <w:pPr>
        <w:spacing w:line="420" w:lineRule="exact"/>
        <w:ind w:firstLine="480"/>
        <w:jc w:val="left"/>
        <w:rPr>
          <w:rFonts w:hint="eastAsia" w:ascii="宋体" w:hAnsi="宋体"/>
          <w:color w:val="auto"/>
          <w:sz w:val="24"/>
          <w:szCs w:val="24"/>
          <w:highlight w:val="none"/>
        </w:rPr>
      </w:pPr>
      <w:r>
        <w:rPr>
          <w:rFonts w:hint="eastAsia" w:ascii="宋体" w:hAnsi="宋体"/>
          <w:color w:val="auto"/>
          <w:sz w:val="24"/>
          <w:szCs w:val="24"/>
          <w:highlight w:val="none"/>
        </w:rPr>
        <w:t>1.按磋商文件规定的各项要求，向买方提供所需货物、服务（包含与货物相关的服务及与服务相关的货物）。</w:t>
      </w:r>
    </w:p>
    <w:p w14:paraId="2679114B">
      <w:pPr>
        <w:spacing w:line="420" w:lineRule="exact"/>
        <w:ind w:firstLine="480"/>
        <w:jc w:val="left"/>
        <w:rPr>
          <w:rFonts w:hint="eastAsia" w:ascii="宋体" w:hAnsi="宋体"/>
          <w:color w:val="auto"/>
          <w:sz w:val="24"/>
          <w:szCs w:val="24"/>
          <w:highlight w:val="none"/>
        </w:rPr>
      </w:pPr>
      <w:r>
        <w:rPr>
          <w:rFonts w:hint="eastAsia" w:ascii="宋体" w:hAnsi="宋体"/>
          <w:color w:val="auto"/>
          <w:sz w:val="24"/>
          <w:szCs w:val="24"/>
          <w:highlight w:val="none"/>
        </w:rPr>
        <w:t>2.我们完全理解贵方不一定将合同授予最低报价的供应商。</w:t>
      </w:r>
    </w:p>
    <w:p w14:paraId="3356F9FE">
      <w:pPr>
        <w:spacing w:line="420" w:lineRule="exact"/>
        <w:ind w:firstLine="480"/>
        <w:jc w:val="left"/>
        <w:rPr>
          <w:rFonts w:hint="eastAsia" w:ascii="宋体" w:hAnsi="宋体"/>
          <w:color w:val="auto"/>
          <w:sz w:val="24"/>
          <w:szCs w:val="24"/>
          <w:highlight w:val="none"/>
        </w:rPr>
      </w:pPr>
      <w:r>
        <w:rPr>
          <w:rFonts w:hint="eastAsia" w:ascii="宋体" w:hAnsi="宋体"/>
          <w:color w:val="auto"/>
          <w:sz w:val="24"/>
          <w:szCs w:val="24"/>
          <w:highlight w:val="none"/>
        </w:rPr>
        <w:t>3.我们已详细审核全部磋商文件及其有效补充文件，我们知道必须放弃提出含糊不清或误解问题的权利。</w:t>
      </w:r>
    </w:p>
    <w:p w14:paraId="4AC3F60D">
      <w:pPr>
        <w:spacing w:line="420" w:lineRule="exact"/>
        <w:ind w:firstLine="480"/>
        <w:jc w:val="left"/>
        <w:rPr>
          <w:rFonts w:hint="eastAsia" w:ascii="宋体" w:hAnsi="宋体"/>
          <w:color w:val="auto"/>
          <w:sz w:val="24"/>
          <w:szCs w:val="24"/>
          <w:highlight w:val="none"/>
        </w:rPr>
      </w:pPr>
      <w:r>
        <w:rPr>
          <w:rFonts w:hint="eastAsia" w:ascii="宋体" w:hAnsi="宋体"/>
          <w:color w:val="auto"/>
          <w:sz w:val="24"/>
          <w:szCs w:val="24"/>
          <w:highlight w:val="none"/>
        </w:rPr>
        <w:t>4.我们同意从规定的开标日期起遵循本响应文件，并在规定的磋商有效期期满之前均具有约束力。</w:t>
      </w:r>
    </w:p>
    <w:p w14:paraId="4682C30D">
      <w:pPr>
        <w:spacing w:line="420" w:lineRule="exact"/>
        <w:ind w:firstLine="480"/>
        <w:jc w:val="left"/>
        <w:rPr>
          <w:rFonts w:hint="eastAsia" w:ascii="宋体" w:hAnsi="宋体"/>
          <w:color w:val="auto"/>
          <w:sz w:val="24"/>
          <w:szCs w:val="24"/>
          <w:highlight w:val="none"/>
        </w:rPr>
      </w:pPr>
      <w:r>
        <w:rPr>
          <w:rFonts w:ascii="宋体" w:hAnsi="宋体"/>
          <w:color w:val="auto"/>
          <w:sz w:val="24"/>
          <w:szCs w:val="24"/>
          <w:highlight w:val="none"/>
        </w:rPr>
        <w:t>5</w:t>
      </w:r>
      <w:r>
        <w:rPr>
          <w:rFonts w:hint="eastAsia" w:ascii="宋体" w:hAnsi="宋体"/>
          <w:color w:val="auto"/>
          <w:sz w:val="24"/>
          <w:szCs w:val="24"/>
          <w:highlight w:val="none"/>
        </w:rPr>
        <w:t>.同意向贵方提供贵方可能另外要求的与磋商有关的任何证据或资料，并保证我方已提供和将要提供的文件是真实的、准确的。</w:t>
      </w:r>
    </w:p>
    <w:p w14:paraId="4DFC9146">
      <w:pPr>
        <w:spacing w:line="420" w:lineRule="exact"/>
        <w:ind w:firstLine="480"/>
        <w:jc w:val="left"/>
        <w:rPr>
          <w:rFonts w:hint="eastAsia" w:ascii="宋体" w:hAnsi="宋体"/>
          <w:color w:val="auto"/>
          <w:sz w:val="24"/>
          <w:szCs w:val="24"/>
          <w:highlight w:val="none"/>
        </w:rPr>
      </w:pPr>
      <w:r>
        <w:rPr>
          <w:rFonts w:ascii="宋体" w:hAnsi="宋体"/>
          <w:color w:val="auto"/>
          <w:sz w:val="24"/>
          <w:szCs w:val="24"/>
          <w:highlight w:val="none"/>
        </w:rPr>
        <w:t>6</w:t>
      </w:r>
      <w:r>
        <w:rPr>
          <w:rFonts w:hint="eastAsia" w:ascii="宋体" w:hAnsi="宋体"/>
          <w:color w:val="auto"/>
          <w:sz w:val="24"/>
          <w:szCs w:val="24"/>
          <w:highlight w:val="none"/>
        </w:rPr>
        <w:t>.一旦我方成交,我方将根据磋商文件的规定，严格履行合同的责任和义务,并保证在磋商文件规定的时间完成项目，交付买方验收、使用。</w:t>
      </w:r>
    </w:p>
    <w:p w14:paraId="701ED503">
      <w:pPr>
        <w:spacing w:line="420" w:lineRule="exact"/>
        <w:ind w:left="425"/>
        <w:jc w:val="left"/>
        <w:rPr>
          <w:rFonts w:hint="eastAsia" w:ascii="宋体" w:hAnsi="宋体"/>
          <w:color w:val="auto"/>
          <w:sz w:val="24"/>
          <w:szCs w:val="24"/>
          <w:highlight w:val="none"/>
        </w:rPr>
      </w:pPr>
      <w:r>
        <w:rPr>
          <w:rFonts w:ascii="宋体" w:hAnsi="宋体"/>
          <w:color w:val="auto"/>
          <w:sz w:val="24"/>
          <w:szCs w:val="24"/>
          <w:highlight w:val="none"/>
        </w:rPr>
        <w:t>7</w:t>
      </w:r>
      <w:r>
        <w:rPr>
          <w:rFonts w:hint="eastAsia" w:ascii="宋体" w:hAnsi="宋体"/>
          <w:color w:val="auto"/>
          <w:sz w:val="24"/>
          <w:szCs w:val="24"/>
          <w:highlight w:val="none"/>
        </w:rPr>
        <w:t>.我方与本磋商有关的正式通讯地址为：</w:t>
      </w:r>
    </w:p>
    <w:p w14:paraId="6072ED50">
      <w:pPr>
        <w:spacing w:line="420" w:lineRule="exact"/>
        <w:ind w:left="420" w:firstLine="480"/>
        <w:jc w:val="left"/>
        <w:rPr>
          <w:rFonts w:hint="eastAsia" w:ascii="宋体" w:hAnsi="宋体"/>
          <w:color w:val="auto"/>
          <w:sz w:val="24"/>
          <w:szCs w:val="24"/>
          <w:highlight w:val="none"/>
        </w:rPr>
      </w:pPr>
      <w:r>
        <w:rPr>
          <w:rFonts w:hint="eastAsia" w:ascii="宋体" w:hAnsi="宋体"/>
          <w:color w:val="auto"/>
          <w:sz w:val="24"/>
          <w:szCs w:val="24"/>
          <w:highlight w:val="none"/>
        </w:rPr>
        <w:t>地          址：</w:t>
      </w:r>
    </w:p>
    <w:p w14:paraId="3E29AC21">
      <w:pPr>
        <w:spacing w:line="420" w:lineRule="exact"/>
        <w:ind w:left="420" w:firstLine="480"/>
        <w:jc w:val="left"/>
        <w:rPr>
          <w:rFonts w:hint="eastAsia" w:ascii="宋体" w:hAnsi="宋体"/>
          <w:color w:val="auto"/>
          <w:sz w:val="24"/>
          <w:szCs w:val="24"/>
          <w:highlight w:val="none"/>
        </w:rPr>
      </w:pPr>
      <w:r>
        <w:rPr>
          <w:rFonts w:hint="eastAsia" w:ascii="宋体" w:hAnsi="宋体"/>
          <w:color w:val="auto"/>
          <w:sz w:val="24"/>
          <w:szCs w:val="24"/>
          <w:highlight w:val="none"/>
        </w:rPr>
        <w:t>邮          编：</w:t>
      </w:r>
    </w:p>
    <w:p w14:paraId="74C9D240">
      <w:pPr>
        <w:spacing w:line="420" w:lineRule="exact"/>
        <w:ind w:left="420" w:firstLine="480"/>
        <w:jc w:val="left"/>
        <w:rPr>
          <w:rFonts w:hint="eastAsia" w:ascii="宋体" w:hAnsi="宋体"/>
          <w:color w:val="auto"/>
          <w:sz w:val="24"/>
          <w:szCs w:val="24"/>
          <w:highlight w:val="none"/>
        </w:rPr>
      </w:pPr>
      <w:r>
        <w:rPr>
          <w:rFonts w:hint="eastAsia" w:ascii="宋体" w:hAnsi="宋体"/>
          <w:color w:val="auto"/>
          <w:sz w:val="24"/>
          <w:szCs w:val="24"/>
          <w:highlight w:val="none"/>
        </w:rPr>
        <w:t>电          话：</w:t>
      </w:r>
    </w:p>
    <w:p w14:paraId="78DD6DC5">
      <w:pPr>
        <w:spacing w:line="420" w:lineRule="exact"/>
        <w:ind w:left="420" w:firstLine="480"/>
        <w:jc w:val="left"/>
        <w:rPr>
          <w:rFonts w:hint="eastAsia" w:ascii="宋体" w:hAnsi="宋体"/>
          <w:color w:val="auto"/>
          <w:sz w:val="24"/>
          <w:szCs w:val="24"/>
          <w:highlight w:val="none"/>
        </w:rPr>
      </w:pPr>
      <w:r>
        <w:rPr>
          <w:rFonts w:hint="eastAsia" w:ascii="宋体" w:hAnsi="宋体"/>
          <w:color w:val="auto"/>
          <w:sz w:val="24"/>
          <w:szCs w:val="24"/>
          <w:highlight w:val="none"/>
        </w:rPr>
        <w:t>传          真：</w:t>
      </w:r>
    </w:p>
    <w:p w14:paraId="2A73EC25">
      <w:pPr>
        <w:spacing w:line="420" w:lineRule="exact"/>
        <w:ind w:left="420" w:firstLine="480"/>
        <w:jc w:val="left"/>
        <w:rPr>
          <w:rFonts w:hint="eastAsia" w:ascii="宋体" w:hAnsi="宋体"/>
          <w:color w:val="auto"/>
          <w:sz w:val="24"/>
          <w:szCs w:val="24"/>
          <w:highlight w:val="none"/>
        </w:rPr>
      </w:pPr>
      <w:r>
        <w:rPr>
          <w:rFonts w:hint="eastAsia" w:ascii="宋体" w:hAnsi="宋体"/>
          <w:color w:val="auto"/>
          <w:sz w:val="24"/>
          <w:szCs w:val="24"/>
          <w:highlight w:val="none"/>
        </w:rPr>
        <w:t>供应商开户行：</w:t>
      </w:r>
    </w:p>
    <w:p w14:paraId="7B049705">
      <w:pPr>
        <w:spacing w:line="420" w:lineRule="exact"/>
        <w:ind w:left="420" w:firstLine="480"/>
        <w:jc w:val="left"/>
        <w:rPr>
          <w:rFonts w:hint="eastAsia" w:ascii="宋体" w:hAnsi="宋体"/>
          <w:color w:val="auto"/>
          <w:sz w:val="24"/>
          <w:szCs w:val="24"/>
          <w:highlight w:val="none"/>
        </w:rPr>
      </w:pPr>
      <w:r>
        <w:rPr>
          <w:rFonts w:hint="eastAsia" w:ascii="宋体" w:hAnsi="宋体"/>
          <w:color w:val="auto"/>
          <w:sz w:val="24"/>
          <w:szCs w:val="24"/>
          <w:highlight w:val="none"/>
        </w:rPr>
        <w:t xml:space="preserve">账          号： </w:t>
      </w:r>
    </w:p>
    <w:p w14:paraId="793875D2">
      <w:pPr>
        <w:spacing w:line="420" w:lineRule="exact"/>
        <w:ind w:left="420" w:firstLine="480"/>
        <w:jc w:val="left"/>
        <w:rPr>
          <w:rFonts w:hint="eastAsia" w:ascii="宋体" w:hAnsi="宋体"/>
          <w:color w:val="auto"/>
          <w:sz w:val="24"/>
          <w:szCs w:val="24"/>
          <w:highlight w:val="none"/>
        </w:rPr>
      </w:pPr>
      <w:r>
        <w:rPr>
          <w:rFonts w:hint="eastAsia" w:ascii="宋体" w:hAnsi="宋体"/>
          <w:color w:val="auto"/>
          <w:sz w:val="24"/>
          <w:szCs w:val="24"/>
          <w:highlight w:val="none"/>
        </w:rPr>
        <w:t>日           期：________年____月____日</w:t>
      </w:r>
    </w:p>
    <w:p w14:paraId="669CB733">
      <w:pPr>
        <w:spacing w:line="400" w:lineRule="exact"/>
        <w:contextualSpacing/>
        <w:rPr>
          <w:rFonts w:ascii="宋体" w:hAnsi="宋体" w:eastAsia="宋体" w:cs="宋体"/>
          <w:color w:val="auto"/>
          <w:sz w:val="24"/>
          <w:highlight w:val="none"/>
          <w:lang w:val="en-US" w:eastAsia="zh-CN"/>
        </w:rPr>
      </w:pPr>
    </w:p>
    <w:p w14:paraId="3200D687">
      <w:pPr>
        <w:tabs>
          <w:tab w:val="left" w:pos="1260"/>
        </w:tabs>
        <w:spacing w:line="300" w:lineRule="auto"/>
        <w:contextualSpacing/>
        <w:jc w:val="center"/>
        <w:rPr>
          <w:rFonts w:hint="eastAsia" w:ascii="宋体" w:hAnsi="宋体" w:cs="宋体"/>
          <w:b/>
          <w:color w:val="auto"/>
          <w:sz w:val="24"/>
          <w:highlight w:val="none"/>
        </w:rPr>
      </w:pPr>
    </w:p>
    <w:p w14:paraId="245D5BA7">
      <w:pPr>
        <w:tabs>
          <w:tab w:val="left" w:pos="1260"/>
        </w:tabs>
        <w:spacing w:line="300" w:lineRule="auto"/>
        <w:contextualSpacing/>
        <w:jc w:val="center"/>
        <w:rPr>
          <w:rFonts w:hint="eastAsia" w:ascii="宋体" w:hAnsi="宋体" w:cs="宋体"/>
          <w:b/>
          <w:color w:val="auto"/>
          <w:sz w:val="24"/>
          <w:highlight w:val="none"/>
        </w:rPr>
      </w:pPr>
    </w:p>
    <w:p w14:paraId="16816DFC">
      <w:pPr>
        <w:tabs>
          <w:tab w:val="left" w:pos="1260"/>
        </w:tabs>
        <w:spacing w:line="300" w:lineRule="auto"/>
        <w:contextualSpacing/>
        <w:jc w:val="center"/>
        <w:rPr>
          <w:rFonts w:hint="eastAsia" w:ascii="宋体" w:hAnsi="宋体" w:cs="宋体"/>
          <w:b/>
          <w:color w:val="auto"/>
          <w:sz w:val="24"/>
          <w:highlight w:val="none"/>
        </w:rPr>
      </w:pPr>
    </w:p>
    <w:p w14:paraId="78CBE3F6">
      <w:pPr>
        <w:tabs>
          <w:tab w:val="left" w:pos="1260"/>
        </w:tabs>
        <w:spacing w:line="300" w:lineRule="auto"/>
        <w:contextualSpacing/>
        <w:jc w:val="both"/>
        <w:rPr>
          <w:rFonts w:hint="eastAsia" w:ascii="宋体" w:hAnsi="宋体" w:cs="宋体"/>
          <w:b/>
          <w:color w:val="auto"/>
          <w:sz w:val="24"/>
          <w:highlight w:val="none"/>
        </w:rPr>
      </w:pPr>
    </w:p>
    <w:p w14:paraId="7F407052">
      <w:pPr>
        <w:rPr>
          <w:rFonts w:hint="eastAsia" w:ascii="宋体" w:hAnsi="宋体" w:cs="宋体"/>
          <w:color w:val="auto"/>
          <w:sz w:val="24"/>
          <w:highlight w:val="none"/>
        </w:rPr>
      </w:pPr>
      <w:r>
        <w:rPr>
          <w:rFonts w:hint="eastAsia" w:ascii="宋体" w:hAnsi="宋体" w:cs="宋体"/>
          <w:color w:val="auto"/>
          <w:sz w:val="24"/>
          <w:highlight w:val="none"/>
        </w:rPr>
        <w:br w:type="page" w:clear="all"/>
      </w:r>
    </w:p>
    <w:p w14:paraId="550CBD6F">
      <w:pPr>
        <w:tabs>
          <w:tab w:val="left" w:pos="1260"/>
        </w:tabs>
        <w:spacing w:line="300" w:lineRule="auto"/>
        <w:contextualSpacing/>
        <w:jc w:val="both"/>
        <w:rPr>
          <w:rFonts w:ascii="宋体" w:hAnsi="宋体" w:cs="宋体"/>
          <w:b/>
          <w:color w:val="auto"/>
          <w:sz w:val="24"/>
          <w:highlight w:val="none"/>
          <w:lang w:val="en-US"/>
        </w:rPr>
      </w:pPr>
      <w:r>
        <w:rPr>
          <w:rFonts w:hint="eastAsia" w:ascii="宋体" w:hAnsi="宋体" w:cs="宋体"/>
          <w:color w:val="auto"/>
          <w:sz w:val="24"/>
          <w:highlight w:val="none"/>
        </w:rPr>
        <w:t>附件</w:t>
      </w:r>
      <w:r>
        <w:rPr>
          <w:rFonts w:hint="eastAsia" w:ascii="宋体" w:hAnsi="宋体" w:cs="宋体"/>
          <w:color w:val="auto"/>
          <w:sz w:val="24"/>
          <w:highlight w:val="none"/>
          <w:lang w:val="en-US" w:eastAsia="zh-CN"/>
        </w:rPr>
        <w:t>11</w:t>
      </w:r>
    </w:p>
    <w:p w14:paraId="0A0CEDEE">
      <w:pPr>
        <w:tabs>
          <w:tab w:val="left" w:pos="1260"/>
        </w:tabs>
        <w:spacing w:line="300" w:lineRule="auto"/>
        <w:contextualSpacing/>
        <w:jc w:val="center"/>
        <w:rPr>
          <w:rFonts w:hint="eastAsia"/>
          <w:color w:val="auto"/>
          <w:highlight w:val="none"/>
        </w:rPr>
      </w:pPr>
      <w:r>
        <w:rPr>
          <w:rFonts w:hint="eastAsia" w:ascii="宋体" w:hAnsi="宋体" w:cs="宋体"/>
          <w:b/>
          <w:color w:val="auto"/>
          <w:sz w:val="24"/>
          <w:highlight w:val="none"/>
          <w:lang w:eastAsia="zh-CN"/>
        </w:rPr>
        <w:t>供应商</w:t>
      </w:r>
      <w:r>
        <w:rPr>
          <w:rFonts w:hint="eastAsia" w:ascii="宋体" w:hAnsi="宋体" w:cs="宋体"/>
          <w:b/>
          <w:color w:val="auto"/>
          <w:sz w:val="24"/>
          <w:highlight w:val="none"/>
        </w:rPr>
        <w:t>情况一览表</w:t>
      </w:r>
    </w:p>
    <w:tbl>
      <w:tblPr>
        <w:tblStyle w:val="35"/>
        <w:tblW w:w="896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626"/>
        <w:gridCol w:w="897"/>
        <w:gridCol w:w="1021"/>
        <w:gridCol w:w="1160"/>
        <w:gridCol w:w="311"/>
        <w:gridCol w:w="1246"/>
        <w:gridCol w:w="63"/>
        <w:gridCol w:w="720"/>
        <w:gridCol w:w="1923"/>
      </w:tblGrid>
      <w:tr w14:paraId="71C304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41AF3365">
            <w:pPr>
              <w:jc w:val="center"/>
              <w:rPr>
                <w:color w:val="auto"/>
                <w:szCs w:val="21"/>
                <w:highlight w:val="none"/>
              </w:rPr>
            </w:pPr>
            <w:r>
              <w:rPr>
                <w:color w:val="auto"/>
                <w:szCs w:val="21"/>
                <w:highlight w:val="none"/>
              </w:rPr>
              <w:t>投标人名称</w:t>
            </w:r>
          </w:p>
        </w:tc>
        <w:tc>
          <w:tcPr>
            <w:tcW w:w="7341" w:type="dxa"/>
            <w:gridSpan w:val="8"/>
            <w:noWrap w:val="0"/>
            <w:vAlign w:val="center"/>
          </w:tcPr>
          <w:p w14:paraId="4A07F72B">
            <w:pPr>
              <w:jc w:val="center"/>
              <w:rPr>
                <w:color w:val="auto"/>
                <w:szCs w:val="21"/>
                <w:highlight w:val="none"/>
              </w:rPr>
            </w:pPr>
          </w:p>
        </w:tc>
      </w:tr>
      <w:tr w14:paraId="5D55F5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7D1A8E46">
            <w:pPr>
              <w:jc w:val="center"/>
              <w:rPr>
                <w:color w:val="auto"/>
                <w:szCs w:val="21"/>
                <w:highlight w:val="none"/>
              </w:rPr>
            </w:pPr>
            <w:r>
              <w:rPr>
                <w:color w:val="auto"/>
                <w:szCs w:val="21"/>
                <w:highlight w:val="none"/>
              </w:rPr>
              <w:t>注册地址</w:t>
            </w:r>
          </w:p>
        </w:tc>
        <w:tc>
          <w:tcPr>
            <w:tcW w:w="3389" w:type="dxa"/>
            <w:gridSpan w:val="4"/>
            <w:noWrap w:val="0"/>
            <w:vAlign w:val="center"/>
          </w:tcPr>
          <w:p w14:paraId="2153809D">
            <w:pPr>
              <w:jc w:val="center"/>
              <w:rPr>
                <w:color w:val="auto"/>
                <w:szCs w:val="21"/>
                <w:highlight w:val="none"/>
              </w:rPr>
            </w:pPr>
          </w:p>
        </w:tc>
        <w:tc>
          <w:tcPr>
            <w:tcW w:w="1246" w:type="dxa"/>
            <w:noWrap w:val="0"/>
            <w:vAlign w:val="center"/>
          </w:tcPr>
          <w:p w14:paraId="2AFD7B72">
            <w:pPr>
              <w:jc w:val="center"/>
              <w:rPr>
                <w:color w:val="auto"/>
                <w:szCs w:val="21"/>
                <w:highlight w:val="none"/>
              </w:rPr>
            </w:pPr>
            <w:r>
              <w:rPr>
                <w:color w:val="auto"/>
                <w:szCs w:val="21"/>
                <w:highlight w:val="none"/>
              </w:rPr>
              <w:t>邮政编码</w:t>
            </w:r>
          </w:p>
        </w:tc>
        <w:tc>
          <w:tcPr>
            <w:tcW w:w="2706" w:type="dxa"/>
            <w:gridSpan w:val="3"/>
            <w:noWrap w:val="0"/>
            <w:vAlign w:val="center"/>
          </w:tcPr>
          <w:p w14:paraId="5848A3DC">
            <w:pPr>
              <w:jc w:val="center"/>
              <w:rPr>
                <w:color w:val="auto"/>
                <w:szCs w:val="21"/>
                <w:highlight w:val="none"/>
              </w:rPr>
            </w:pPr>
          </w:p>
        </w:tc>
      </w:tr>
      <w:tr w14:paraId="0015F8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626" w:type="dxa"/>
            <w:vMerge w:val="restart"/>
            <w:noWrap w:val="0"/>
            <w:vAlign w:val="center"/>
          </w:tcPr>
          <w:p w14:paraId="21B83490">
            <w:pPr>
              <w:jc w:val="center"/>
              <w:rPr>
                <w:color w:val="auto"/>
                <w:szCs w:val="21"/>
                <w:highlight w:val="none"/>
              </w:rPr>
            </w:pPr>
            <w:r>
              <w:rPr>
                <w:color w:val="auto"/>
                <w:szCs w:val="21"/>
                <w:highlight w:val="none"/>
              </w:rPr>
              <w:t>联系方式</w:t>
            </w:r>
          </w:p>
        </w:tc>
        <w:tc>
          <w:tcPr>
            <w:tcW w:w="897" w:type="dxa"/>
            <w:noWrap w:val="0"/>
            <w:vAlign w:val="center"/>
          </w:tcPr>
          <w:p w14:paraId="0AE29A44">
            <w:pPr>
              <w:jc w:val="center"/>
              <w:rPr>
                <w:color w:val="auto"/>
                <w:szCs w:val="21"/>
                <w:highlight w:val="none"/>
              </w:rPr>
            </w:pPr>
            <w:r>
              <w:rPr>
                <w:color w:val="auto"/>
                <w:szCs w:val="21"/>
                <w:highlight w:val="none"/>
              </w:rPr>
              <w:t>联系人</w:t>
            </w:r>
          </w:p>
        </w:tc>
        <w:tc>
          <w:tcPr>
            <w:tcW w:w="2492" w:type="dxa"/>
            <w:gridSpan w:val="3"/>
            <w:noWrap w:val="0"/>
            <w:vAlign w:val="center"/>
          </w:tcPr>
          <w:p w14:paraId="48A324EA">
            <w:pPr>
              <w:jc w:val="center"/>
              <w:rPr>
                <w:color w:val="auto"/>
                <w:szCs w:val="21"/>
                <w:highlight w:val="none"/>
              </w:rPr>
            </w:pPr>
          </w:p>
        </w:tc>
        <w:tc>
          <w:tcPr>
            <w:tcW w:w="1246" w:type="dxa"/>
            <w:noWrap w:val="0"/>
            <w:vAlign w:val="center"/>
          </w:tcPr>
          <w:p w14:paraId="2D20C17D">
            <w:pPr>
              <w:jc w:val="center"/>
              <w:rPr>
                <w:color w:val="auto"/>
                <w:szCs w:val="21"/>
                <w:highlight w:val="none"/>
              </w:rPr>
            </w:pPr>
            <w:r>
              <w:rPr>
                <w:color w:val="auto"/>
                <w:szCs w:val="21"/>
                <w:highlight w:val="none"/>
              </w:rPr>
              <w:t>电  话</w:t>
            </w:r>
          </w:p>
        </w:tc>
        <w:tc>
          <w:tcPr>
            <w:tcW w:w="2706" w:type="dxa"/>
            <w:gridSpan w:val="3"/>
            <w:noWrap w:val="0"/>
            <w:vAlign w:val="center"/>
          </w:tcPr>
          <w:p w14:paraId="486B8C73">
            <w:pPr>
              <w:jc w:val="center"/>
              <w:rPr>
                <w:color w:val="auto"/>
                <w:szCs w:val="21"/>
                <w:highlight w:val="none"/>
              </w:rPr>
            </w:pPr>
          </w:p>
        </w:tc>
      </w:tr>
      <w:tr w14:paraId="7A0D3E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626" w:type="dxa"/>
            <w:vMerge w:val="continue"/>
            <w:noWrap w:val="0"/>
            <w:vAlign w:val="center"/>
          </w:tcPr>
          <w:p w14:paraId="16086106">
            <w:pPr>
              <w:jc w:val="center"/>
              <w:rPr>
                <w:color w:val="auto"/>
                <w:szCs w:val="21"/>
                <w:highlight w:val="none"/>
              </w:rPr>
            </w:pPr>
          </w:p>
        </w:tc>
        <w:tc>
          <w:tcPr>
            <w:tcW w:w="897" w:type="dxa"/>
            <w:noWrap w:val="0"/>
            <w:vAlign w:val="center"/>
          </w:tcPr>
          <w:p w14:paraId="0F4A4622">
            <w:pPr>
              <w:jc w:val="center"/>
              <w:rPr>
                <w:color w:val="auto"/>
                <w:szCs w:val="21"/>
                <w:highlight w:val="none"/>
              </w:rPr>
            </w:pPr>
            <w:r>
              <w:rPr>
                <w:color w:val="auto"/>
                <w:szCs w:val="21"/>
                <w:highlight w:val="none"/>
              </w:rPr>
              <w:t>传  真</w:t>
            </w:r>
          </w:p>
        </w:tc>
        <w:tc>
          <w:tcPr>
            <w:tcW w:w="2492" w:type="dxa"/>
            <w:gridSpan w:val="3"/>
            <w:noWrap w:val="0"/>
            <w:vAlign w:val="center"/>
          </w:tcPr>
          <w:p w14:paraId="1268A669">
            <w:pPr>
              <w:jc w:val="center"/>
              <w:rPr>
                <w:color w:val="auto"/>
                <w:szCs w:val="21"/>
                <w:highlight w:val="none"/>
              </w:rPr>
            </w:pPr>
          </w:p>
        </w:tc>
        <w:tc>
          <w:tcPr>
            <w:tcW w:w="1246" w:type="dxa"/>
            <w:noWrap w:val="0"/>
            <w:vAlign w:val="center"/>
          </w:tcPr>
          <w:p w14:paraId="2A79D7D6">
            <w:pPr>
              <w:jc w:val="center"/>
              <w:rPr>
                <w:color w:val="auto"/>
                <w:szCs w:val="21"/>
                <w:highlight w:val="none"/>
              </w:rPr>
            </w:pPr>
            <w:r>
              <w:rPr>
                <w:color w:val="auto"/>
                <w:szCs w:val="21"/>
                <w:highlight w:val="none"/>
              </w:rPr>
              <w:t>网  址</w:t>
            </w:r>
          </w:p>
        </w:tc>
        <w:tc>
          <w:tcPr>
            <w:tcW w:w="2706" w:type="dxa"/>
            <w:gridSpan w:val="3"/>
            <w:noWrap w:val="0"/>
            <w:vAlign w:val="center"/>
          </w:tcPr>
          <w:p w14:paraId="5EC98067">
            <w:pPr>
              <w:jc w:val="center"/>
              <w:rPr>
                <w:color w:val="auto"/>
                <w:szCs w:val="21"/>
                <w:highlight w:val="none"/>
              </w:rPr>
            </w:pPr>
          </w:p>
        </w:tc>
      </w:tr>
      <w:tr w14:paraId="55BEB2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674D8079">
            <w:pPr>
              <w:jc w:val="center"/>
              <w:rPr>
                <w:color w:val="auto"/>
                <w:szCs w:val="21"/>
                <w:highlight w:val="none"/>
              </w:rPr>
            </w:pPr>
            <w:r>
              <w:rPr>
                <w:rFonts w:hint="eastAsia"/>
                <w:color w:val="auto"/>
                <w:szCs w:val="21"/>
                <w:highlight w:val="none"/>
              </w:rPr>
              <w:t>企业统一社会信用</w:t>
            </w:r>
            <w:r>
              <w:rPr>
                <w:color w:val="auto"/>
                <w:szCs w:val="21"/>
                <w:highlight w:val="none"/>
              </w:rPr>
              <w:t>代码</w:t>
            </w:r>
          </w:p>
        </w:tc>
        <w:tc>
          <w:tcPr>
            <w:tcW w:w="7341" w:type="dxa"/>
            <w:gridSpan w:val="8"/>
            <w:noWrap w:val="0"/>
            <w:vAlign w:val="center"/>
          </w:tcPr>
          <w:p w14:paraId="1211A494">
            <w:pPr>
              <w:jc w:val="center"/>
              <w:rPr>
                <w:color w:val="auto"/>
                <w:szCs w:val="21"/>
                <w:highlight w:val="none"/>
              </w:rPr>
            </w:pPr>
          </w:p>
        </w:tc>
      </w:tr>
      <w:tr w14:paraId="0B5056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57192214">
            <w:pPr>
              <w:jc w:val="center"/>
              <w:rPr>
                <w:color w:val="auto"/>
                <w:szCs w:val="21"/>
                <w:highlight w:val="none"/>
              </w:rPr>
            </w:pPr>
            <w:r>
              <w:rPr>
                <w:color w:val="auto"/>
                <w:szCs w:val="21"/>
                <w:highlight w:val="none"/>
              </w:rPr>
              <w:t>法定代表人</w:t>
            </w:r>
          </w:p>
        </w:tc>
        <w:tc>
          <w:tcPr>
            <w:tcW w:w="897" w:type="dxa"/>
            <w:noWrap w:val="0"/>
            <w:vAlign w:val="center"/>
          </w:tcPr>
          <w:p w14:paraId="74F14260">
            <w:pPr>
              <w:jc w:val="center"/>
              <w:rPr>
                <w:color w:val="auto"/>
                <w:szCs w:val="21"/>
                <w:highlight w:val="none"/>
              </w:rPr>
            </w:pPr>
            <w:r>
              <w:rPr>
                <w:color w:val="auto"/>
                <w:szCs w:val="21"/>
                <w:highlight w:val="none"/>
              </w:rPr>
              <w:t>姓名</w:t>
            </w:r>
          </w:p>
        </w:tc>
        <w:tc>
          <w:tcPr>
            <w:tcW w:w="1021" w:type="dxa"/>
            <w:noWrap w:val="0"/>
            <w:vAlign w:val="center"/>
          </w:tcPr>
          <w:p w14:paraId="31935A33">
            <w:pPr>
              <w:jc w:val="center"/>
              <w:rPr>
                <w:color w:val="auto"/>
                <w:szCs w:val="21"/>
                <w:highlight w:val="none"/>
              </w:rPr>
            </w:pPr>
          </w:p>
        </w:tc>
        <w:tc>
          <w:tcPr>
            <w:tcW w:w="1160" w:type="dxa"/>
            <w:noWrap w:val="0"/>
            <w:vAlign w:val="center"/>
          </w:tcPr>
          <w:p w14:paraId="21967F24">
            <w:pPr>
              <w:jc w:val="center"/>
              <w:rPr>
                <w:color w:val="auto"/>
                <w:szCs w:val="21"/>
                <w:highlight w:val="none"/>
              </w:rPr>
            </w:pPr>
            <w:r>
              <w:rPr>
                <w:color w:val="auto"/>
                <w:szCs w:val="21"/>
                <w:highlight w:val="none"/>
              </w:rPr>
              <w:t>技术职称</w:t>
            </w:r>
          </w:p>
        </w:tc>
        <w:tc>
          <w:tcPr>
            <w:tcW w:w="1620" w:type="dxa"/>
            <w:gridSpan w:val="3"/>
            <w:noWrap w:val="0"/>
            <w:vAlign w:val="center"/>
          </w:tcPr>
          <w:p w14:paraId="0AC6399C">
            <w:pPr>
              <w:jc w:val="center"/>
              <w:rPr>
                <w:color w:val="auto"/>
                <w:szCs w:val="21"/>
                <w:highlight w:val="none"/>
              </w:rPr>
            </w:pPr>
          </w:p>
        </w:tc>
        <w:tc>
          <w:tcPr>
            <w:tcW w:w="720" w:type="dxa"/>
            <w:noWrap w:val="0"/>
            <w:vAlign w:val="center"/>
          </w:tcPr>
          <w:p w14:paraId="377F39DE">
            <w:pPr>
              <w:jc w:val="center"/>
              <w:rPr>
                <w:color w:val="auto"/>
                <w:szCs w:val="21"/>
                <w:highlight w:val="none"/>
              </w:rPr>
            </w:pPr>
            <w:r>
              <w:rPr>
                <w:color w:val="auto"/>
                <w:szCs w:val="21"/>
                <w:highlight w:val="none"/>
              </w:rPr>
              <w:t>电话</w:t>
            </w:r>
          </w:p>
        </w:tc>
        <w:tc>
          <w:tcPr>
            <w:tcW w:w="1923" w:type="dxa"/>
            <w:noWrap w:val="0"/>
            <w:vAlign w:val="center"/>
          </w:tcPr>
          <w:p w14:paraId="5CE241AE">
            <w:pPr>
              <w:jc w:val="center"/>
              <w:rPr>
                <w:color w:val="auto"/>
                <w:szCs w:val="21"/>
                <w:highlight w:val="none"/>
              </w:rPr>
            </w:pPr>
          </w:p>
        </w:tc>
      </w:tr>
      <w:tr w14:paraId="38817B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0A8392DD">
            <w:pPr>
              <w:jc w:val="center"/>
              <w:rPr>
                <w:color w:val="auto"/>
                <w:szCs w:val="21"/>
                <w:highlight w:val="none"/>
              </w:rPr>
            </w:pPr>
            <w:r>
              <w:rPr>
                <w:color w:val="auto"/>
                <w:szCs w:val="21"/>
                <w:highlight w:val="none"/>
              </w:rPr>
              <w:t>技术负责人</w:t>
            </w:r>
          </w:p>
        </w:tc>
        <w:tc>
          <w:tcPr>
            <w:tcW w:w="897" w:type="dxa"/>
            <w:noWrap w:val="0"/>
            <w:vAlign w:val="center"/>
          </w:tcPr>
          <w:p w14:paraId="7EB79352">
            <w:pPr>
              <w:jc w:val="center"/>
              <w:rPr>
                <w:color w:val="auto"/>
                <w:szCs w:val="21"/>
                <w:highlight w:val="none"/>
              </w:rPr>
            </w:pPr>
            <w:r>
              <w:rPr>
                <w:color w:val="auto"/>
                <w:szCs w:val="21"/>
                <w:highlight w:val="none"/>
              </w:rPr>
              <w:t>姓名</w:t>
            </w:r>
          </w:p>
        </w:tc>
        <w:tc>
          <w:tcPr>
            <w:tcW w:w="1021" w:type="dxa"/>
            <w:noWrap w:val="0"/>
            <w:vAlign w:val="center"/>
          </w:tcPr>
          <w:p w14:paraId="35175876">
            <w:pPr>
              <w:jc w:val="center"/>
              <w:rPr>
                <w:color w:val="auto"/>
                <w:szCs w:val="21"/>
                <w:highlight w:val="none"/>
              </w:rPr>
            </w:pPr>
          </w:p>
        </w:tc>
        <w:tc>
          <w:tcPr>
            <w:tcW w:w="1160" w:type="dxa"/>
            <w:noWrap w:val="0"/>
            <w:vAlign w:val="center"/>
          </w:tcPr>
          <w:p w14:paraId="0D51E8E1">
            <w:pPr>
              <w:jc w:val="center"/>
              <w:rPr>
                <w:color w:val="auto"/>
                <w:szCs w:val="21"/>
                <w:highlight w:val="none"/>
              </w:rPr>
            </w:pPr>
            <w:r>
              <w:rPr>
                <w:color w:val="auto"/>
                <w:szCs w:val="21"/>
                <w:highlight w:val="none"/>
              </w:rPr>
              <w:t>技术职称</w:t>
            </w:r>
          </w:p>
        </w:tc>
        <w:tc>
          <w:tcPr>
            <w:tcW w:w="1620" w:type="dxa"/>
            <w:gridSpan w:val="3"/>
            <w:noWrap w:val="0"/>
            <w:vAlign w:val="center"/>
          </w:tcPr>
          <w:p w14:paraId="72F27A28">
            <w:pPr>
              <w:jc w:val="center"/>
              <w:rPr>
                <w:color w:val="auto"/>
                <w:szCs w:val="21"/>
                <w:highlight w:val="none"/>
              </w:rPr>
            </w:pPr>
          </w:p>
        </w:tc>
        <w:tc>
          <w:tcPr>
            <w:tcW w:w="720" w:type="dxa"/>
            <w:noWrap w:val="0"/>
            <w:vAlign w:val="center"/>
          </w:tcPr>
          <w:p w14:paraId="36464621">
            <w:pPr>
              <w:jc w:val="center"/>
              <w:rPr>
                <w:color w:val="auto"/>
                <w:szCs w:val="21"/>
                <w:highlight w:val="none"/>
              </w:rPr>
            </w:pPr>
            <w:r>
              <w:rPr>
                <w:color w:val="auto"/>
                <w:szCs w:val="21"/>
                <w:highlight w:val="none"/>
              </w:rPr>
              <w:t>电话</w:t>
            </w:r>
          </w:p>
        </w:tc>
        <w:tc>
          <w:tcPr>
            <w:tcW w:w="1923" w:type="dxa"/>
            <w:noWrap w:val="0"/>
            <w:vAlign w:val="center"/>
          </w:tcPr>
          <w:p w14:paraId="6E194E49">
            <w:pPr>
              <w:jc w:val="center"/>
              <w:rPr>
                <w:color w:val="auto"/>
                <w:szCs w:val="21"/>
                <w:highlight w:val="none"/>
              </w:rPr>
            </w:pPr>
          </w:p>
        </w:tc>
      </w:tr>
      <w:tr w14:paraId="74F4A4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2A458655">
            <w:pPr>
              <w:jc w:val="center"/>
              <w:rPr>
                <w:color w:val="auto"/>
                <w:szCs w:val="21"/>
                <w:highlight w:val="none"/>
              </w:rPr>
            </w:pPr>
            <w:r>
              <w:rPr>
                <w:color w:val="auto"/>
                <w:szCs w:val="21"/>
                <w:highlight w:val="none"/>
              </w:rPr>
              <w:t>成立时间</w:t>
            </w:r>
          </w:p>
        </w:tc>
        <w:tc>
          <w:tcPr>
            <w:tcW w:w="1918" w:type="dxa"/>
            <w:gridSpan w:val="2"/>
            <w:noWrap w:val="0"/>
            <w:vAlign w:val="center"/>
          </w:tcPr>
          <w:p w14:paraId="6E467DA7">
            <w:pPr>
              <w:jc w:val="center"/>
              <w:rPr>
                <w:color w:val="auto"/>
                <w:szCs w:val="21"/>
                <w:highlight w:val="none"/>
              </w:rPr>
            </w:pPr>
          </w:p>
        </w:tc>
        <w:tc>
          <w:tcPr>
            <w:tcW w:w="5423" w:type="dxa"/>
            <w:gridSpan w:val="6"/>
            <w:noWrap w:val="0"/>
            <w:vAlign w:val="center"/>
          </w:tcPr>
          <w:p w14:paraId="2E5DFA21">
            <w:pPr>
              <w:jc w:val="center"/>
              <w:rPr>
                <w:color w:val="auto"/>
                <w:szCs w:val="21"/>
                <w:highlight w:val="none"/>
              </w:rPr>
            </w:pPr>
            <w:r>
              <w:rPr>
                <w:color w:val="auto"/>
                <w:szCs w:val="21"/>
                <w:highlight w:val="none"/>
              </w:rPr>
              <w:t>员工总人数：</w:t>
            </w:r>
          </w:p>
        </w:tc>
      </w:tr>
      <w:tr w14:paraId="7E1042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508A477A">
            <w:pPr>
              <w:jc w:val="center"/>
              <w:rPr>
                <w:color w:val="auto"/>
                <w:szCs w:val="21"/>
                <w:highlight w:val="none"/>
              </w:rPr>
            </w:pPr>
            <w:r>
              <w:rPr>
                <w:color w:val="auto"/>
                <w:szCs w:val="21"/>
                <w:highlight w:val="none"/>
              </w:rPr>
              <w:t>企业资质等级</w:t>
            </w:r>
          </w:p>
        </w:tc>
        <w:tc>
          <w:tcPr>
            <w:tcW w:w="1918" w:type="dxa"/>
            <w:gridSpan w:val="2"/>
            <w:noWrap w:val="0"/>
            <w:vAlign w:val="center"/>
          </w:tcPr>
          <w:p w14:paraId="4BB7CEC5">
            <w:pPr>
              <w:jc w:val="center"/>
              <w:rPr>
                <w:color w:val="auto"/>
                <w:szCs w:val="21"/>
                <w:highlight w:val="none"/>
              </w:rPr>
            </w:pPr>
          </w:p>
        </w:tc>
        <w:tc>
          <w:tcPr>
            <w:tcW w:w="1160" w:type="dxa"/>
            <w:vMerge w:val="restart"/>
            <w:noWrap w:val="0"/>
            <w:vAlign w:val="center"/>
          </w:tcPr>
          <w:p w14:paraId="4A93A819">
            <w:pPr>
              <w:jc w:val="center"/>
              <w:rPr>
                <w:color w:val="auto"/>
                <w:szCs w:val="21"/>
                <w:highlight w:val="none"/>
              </w:rPr>
            </w:pPr>
            <w:r>
              <w:rPr>
                <w:color w:val="auto"/>
                <w:szCs w:val="21"/>
                <w:highlight w:val="none"/>
              </w:rPr>
              <w:t>其中</w:t>
            </w:r>
          </w:p>
        </w:tc>
        <w:tc>
          <w:tcPr>
            <w:tcW w:w="1620" w:type="dxa"/>
            <w:gridSpan w:val="3"/>
            <w:noWrap w:val="0"/>
            <w:vAlign w:val="center"/>
          </w:tcPr>
          <w:p w14:paraId="4EBF8112">
            <w:pPr>
              <w:jc w:val="center"/>
              <w:rPr>
                <w:color w:val="auto"/>
                <w:szCs w:val="21"/>
                <w:highlight w:val="none"/>
              </w:rPr>
            </w:pPr>
            <w:r>
              <w:rPr>
                <w:rFonts w:hint="eastAsia"/>
                <w:color w:val="auto"/>
                <w:szCs w:val="21"/>
                <w:highlight w:val="none"/>
              </w:rPr>
              <w:t>注册建造师</w:t>
            </w:r>
          </w:p>
        </w:tc>
        <w:tc>
          <w:tcPr>
            <w:tcW w:w="2643" w:type="dxa"/>
            <w:gridSpan w:val="2"/>
            <w:noWrap w:val="0"/>
            <w:vAlign w:val="center"/>
          </w:tcPr>
          <w:p w14:paraId="20807B7C">
            <w:pPr>
              <w:jc w:val="center"/>
              <w:rPr>
                <w:color w:val="auto"/>
                <w:szCs w:val="21"/>
                <w:highlight w:val="none"/>
              </w:rPr>
            </w:pPr>
          </w:p>
        </w:tc>
      </w:tr>
      <w:tr w14:paraId="3A4BC0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36DE69B9">
            <w:pPr>
              <w:jc w:val="center"/>
              <w:rPr>
                <w:color w:val="auto"/>
                <w:szCs w:val="21"/>
                <w:highlight w:val="none"/>
              </w:rPr>
            </w:pPr>
            <w:r>
              <w:rPr>
                <w:color w:val="auto"/>
                <w:szCs w:val="21"/>
                <w:highlight w:val="none"/>
              </w:rPr>
              <w:t>营业执照号</w:t>
            </w:r>
          </w:p>
        </w:tc>
        <w:tc>
          <w:tcPr>
            <w:tcW w:w="1918" w:type="dxa"/>
            <w:gridSpan w:val="2"/>
            <w:noWrap w:val="0"/>
            <w:vAlign w:val="center"/>
          </w:tcPr>
          <w:p w14:paraId="32033875">
            <w:pPr>
              <w:jc w:val="center"/>
              <w:rPr>
                <w:color w:val="auto"/>
                <w:szCs w:val="21"/>
                <w:highlight w:val="none"/>
              </w:rPr>
            </w:pPr>
          </w:p>
        </w:tc>
        <w:tc>
          <w:tcPr>
            <w:tcW w:w="1160" w:type="dxa"/>
            <w:vMerge w:val="continue"/>
            <w:noWrap w:val="0"/>
            <w:vAlign w:val="center"/>
          </w:tcPr>
          <w:p w14:paraId="1FFB2C0A">
            <w:pPr>
              <w:jc w:val="center"/>
              <w:rPr>
                <w:color w:val="auto"/>
                <w:szCs w:val="21"/>
                <w:highlight w:val="none"/>
              </w:rPr>
            </w:pPr>
          </w:p>
        </w:tc>
        <w:tc>
          <w:tcPr>
            <w:tcW w:w="1620" w:type="dxa"/>
            <w:gridSpan w:val="3"/>
            <w:noWrap w:val="0"/>
            <w:vAlign w:val="center"/>
          </w:tcPr>
          <w:p w14:paraId="3B79281B">
            <w:pPr>
              <w:jc w:val="center"/>
              <w:rPr>
                <w:color w:val="auto"/>
                <w:szCs w:val="21"/>
                <w:highlight w:val="none"/>
              </w:rPr>
            </w:pPr>
            <w:r>
              <w:rPr>
                <w:color w:val="auto"/>
                <w:szCs w:val="21"/>
                <w:highlight w:val="none"/>
              </w:rPr>
              <w:t>高级职称人员</w:t>
            </w:r>
          </w:p>
        </w:tc>
        <w:tc>
          <w:tcPr>
            <w:tcW w:w="2643" w:type="dxa"/>
            <w:gridSpan w:val="2"/>
            <w:noWrap w:val="0"/>
            <w:vAlign w:val="center"/>
          </w:tcPr>
          <w:p w14:paraId="534A2405">
            <w:pPr>
              <w:jc w:val="center"/>
              <w:rPr>
                <w:color w:val="auto"/>
                <w:szCs w:val="21"/>
                <w:highlight w:val="none"/>
              </w:rPr>
            </w:pPr>
          </w:p>
        </w:tc>
      </w:tr>
      <w:tr w14:paraId="4C03AA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41DB3081">
            <w:pPr>
              <w:jc w:val="center"/>
              <w:rPr>
                <w:color w:val="auto"/>
                <w:szCs w:val="21"/>
                <w:highlight w:val="none"/>
              </w:rPr>
            </w:pPr>
            <w:r>
              <w:rPr>
                <w:color w:val="auto"/>
                <w:szCs w:val="21"/>
                <w:highlight w:val="none"/>
              </w:rPr>
              <w:t>注册资金</w:t>
            </w:r>
          </w:p>
        </w:tc>
        <w:tc>
          <w:tcPr>
            <w:tcW w:w="1918" w:type="dxa"/>
            <w:gridSpan w:val="2"/>
            <w:noWrap w:val="0"/>
            <w:vAlign w:val="center"/>
          </w:tcPr>
          <w:p w14:paraId="0166DFA4">
            <w:pPr>
              <w:jc w:val="center"/>
              <w:rPr>
                <w:color w:val="auto"/>
                <w:szCs w:val="21"/>
                <w:highlight w:val="none"/>
              </w:rPr>
            </w:pPr>
          </w:p>
        </w:tc>
        <w:tc>
          <w:tcPr>
            <w:tcW w:w="1160" w:type="dxa"/>
            <w:vMerge w:val="continue"/>
            <w:noWrap w:val="0"/>
            <w:vAlign w:val="center"/>
          </w:tcPr>
          <w:p w14:paraId="666B4A88">
            <w:pPr>
              <w:jc w:val="center"/>
              <w:rPr>
                <w:color w:val="auto"/>
                <w:szCs w:val="21"/>
                <w:highlight w:val="none"/>
              </w:rPr>
            </w:pPr>
          </w:p>
        </w:tc>
        <w:tc>
          <w:tcPr>
            <w:tcW w:w="1620" w:type="dxa"/>
            <w:gridSpan w:val="3"/>
            <w:noWrap w:val="0"/>
            <w:vAlign w:val="center"/>
          </w:tcPr>
          <w:p w14:paraId="3A7EF08B">
            <w:pPr>
              <w:jc w:val="center"/>
              <w:rPr>
                <w:color w:val="auto"/>
                <w:szCs w:val="21"/>
                <w:highlight w:val="none"/>
              </w:rPr>
            </w:pPr>
            <w:r>
              <w:rPr>
                <w:color w:val="auto"/>
                <w:szCs w:val="21"/>
                <w:highlight w:val="none"/>
              </w:rPr>
              <w:t>中级职称人员</w:t>
            </w:r>
          </w:p>
        </w:tc>
        <w:tc>
          <w:tcPr>
            <w:tcW w:w="2643" w:type="dxa"/>
            <w:gridSpan w:val="2"/>
            <w:noWrap w:val="0"/>
            <w:vAlign w:val="center"/>
          </w:tcPr>
          <w:p w14:paraId="051CD558">
            <w:pPr>
              <w:jc w:val="center"/>
              <w:rPr>
                <w:color w:val="auto"/>
                <w:szCs w:val="21"/>
                <w:highlight w:val="none"/>
              </w:rPr>
            </w:pPr>
          </w:p>
        </w:tc>
      </w:tr>
      <w:tr w14:paraId="6D8352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5C0DFE70">
            <w:pPr>
              <w:jc w:val="center"/>
              <w:rPr>
                <w:color w:val="auto"/>
                <w:szCs w:val="21"/>
                <w:highlight w:val="none"/>
              </w:rPr>
            </w:pPr>
            <w:r>
              <w:rPr>
                <w:color w:val="auto"/>
                <w:szCs w:val="21"/>
                <w:highlight w:val="none"/>
              </w:rPr>
              <w:t>开户银行</w:t>
            </w:r>
          </w:p>
        </w:tc>
        <w:tc>
          <w:tcPr>
            <w:tcW w:w="1918" w:type="dxa"/>
            <w:gridSpan w:val="2"/>
            <w:noWrap w:val="0"/>
            <w:vAlign w:val="center"/>
          </w:tcPr>
          <w:p w14:paraId="413E8014">
            <w:pPr>
              <w:jc w:val="center"/>
              <w:rPr>
                <w:color w:val="auto"/>
                <w:szCs w:val="21"/>
                <w:highlight w:val="none"/>
              </w:rPr>
            </w:pPr>
          </w:p>
        </w:tc>
        <w:tc>
          <w:tcPr>
            <w:tcW w:w="1160" w:type="dxa"/>
            <w:vMerge w:val="continue"/>
            <w:noWrap w:val="0"/>
            <w:vAlign w:val="center"/>
          </w:tcPr>
          <w:p w14:paraId="579B4029">
            <w:pPr>
              <w:jc w:val="center"/>
              <w:rPr>
                <w:color w:val="auto"/>
                <w:szCs w:val="21"/>
                <w:highlight w:val="none"/>
              </w:rPr>
            </w:pPr>
          </w:p>
        </w:tc>
        <w:tc>
          <w:tcPr>
            <w:tcW w:w="1620" w:type="dxa"/>
            <w:gridSpan w:val="3"/>
            <w:noWrap w:val="0"/>
            <w:vAlign w:val="center"/>
          </w:tcPr>
          <w:p w14:paraId="1D747D6B">
            <w:pPr>
              <w:jc w:val="center"/>
              <w:rPr>
                <w:color w:val="auto"/>
                <w:szCs w:val="21"/>
                <w:highlight w:val="none"/>
              </w:rPr>
            </w:pPr>
            <w:r>
              <w:rPr>
                <w:color w:val="auto"/>
                <w:szCs w:val="21"/>
                <w:highlight w:val="none"/>
              </w:rPr>
              <w:t>初级职称人员</w:t>
            </w:r>
          </w:p>
        </w:tc>
        <w:tc>
          <w:tcPr>
            <w:tcW w:w="2643" w:type="dxa"/>
            <w:gridSpan w:val="2"/>
            <w:noWrap w:val="0"/>
            <w:vAlign w:val="center"/>
          </w:tcPr>
          <w:p w14:paraId="57766A12">
            <w:pPr>
              <w:jc w:val="center"/>
              <w:rPr>
                <w:color w:val="auto"/>
                <w:szCs w:val="21"/>
                <w:highlight w:val="none"/>
              </w:rPr>
            </w:pPr>
          </w:p>
        </w:tc>
      </w:tr>
      <w:tr w14:paraId="43EA9C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4BD5BE35">
            <w:pPr>
              <w:jc w:val="center"/>
              <w:rPr>
                <w:color w:val="auto"/>
                <w:szCs w:val="21"/>
                <w:highlight w:val="none"/>
              </w:rPr>
            </w:pPr>
            <w:r>
              <w:rPr>
                <w:color w:val="auto"/>
                <w:szCs w:val="21"/>
                <w:highlight w:val="none"/>
              </w:rPr>
              <w:t>账号</w:t>
            </w:r>
          </w:p>
        </w:tc>
        <w:tc>
          <w:tcPr>
            <w:tcW w:w="1918" w:type="dxa"/>
            <w:gridSpan w:val="2"/>
            <w:noWrap w:val="0"/>
            <w:vAlign w:val="center"/>
          </w:tcPr>
          <w:p w14:paraId="2F828F06">
            <w:pPr>
              <w:jc w:val="center"/>
              <w:rPr>
                <w:color w:val="auto"/>
                <w:szCs w:val="21"/>
                <w:highlight w:val="none"/>
              </w:rPr>
            </w:pPr>
          </w:p>
        </w:tc>
        <w:tc>
          <w:tcPr>
            <w:tcW w:w="1160" w:type="dxa"/>
            <w:vMerge w:val="continue"/>
            <w:noWrap w:val="0"/>
            <w:vAlign w:val="center"/>
          </w:tcPr>
          <w:p w14:paraId="7E2D095C">
            <w:pPr>
              <w:jc w:val="center"/>
              <w:rPr>
                <w:color w:val="auto"/>
                <w:szCs w:val="21"/>
                <w:highlight w:val="none"/>
              </w:rPr>
            </w:pPr>
          </w:p>
        </w:tc>
        <w:tc>
          <w:tcPr>
            <w:tcW w:w="1620" w:type="dxa"/>
            <w:gridSpan w:val="3"/>
            <w:noWrap w:val="0"/>
            <w:vAlign w:val="center"/>
          </w:tcPr>
          <w:p w14:paraId="36C99E2F">
            <w:pPr>
              <w:jc w:val="center"/>
              <w:rPr>
                <w:color w:val="auto"/>
                <w:szCs w:val="21"/>
                <w:highlight w:val="none"/>
              </w:rPr>
            </w:pPr>
            <w:r>
              <w:rPr>
                <w:color w:val="auto"/>
                <w:szCs w:val="21"/>
                <w:highlight w:val="none"/>
              </w:rPr>
              <w:t>技  工</w:t>
            </w:r>
          </w:p>
        </w:tc>
        <w:tc>
          <w:tcPr>
            <w:tcW w:w="2643" w:type="dxa"/>
            <w:gridSpan w:val="2"/>
            <w:noWrap w:val="0"/>
            <w:vAlign w:val="center"/>
          </w:tcPr>
          <w:p w14:paraId="22CF81AF">
            <w:pPr>
              <w:jc w:val="center"/>
              <w:rPr>
                <w:color w:val="auto"/>
                <w:szCs w:val="21"/>
                <w:highlight w:val="none"/>
              </w:rPr>
            </w:pPr>
          </w:p>
        </w:tc>
      </w:tr>
      <w:tr w14:paraId="7697ED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37" w:hRule="atLeast"/>
          <w:jc w:val="center"/>
        </w:trPr>
        <w:tc>
          <w:tcPr>
            <w:tcW w:w="1626" w:type="dxa"/>
            <w:noWrap w:val="0"/>
            <w:vAlign w:val="center"/>
          </w:tcPr>
          <w:p w14:paraId="4FF2782A">
            <w:pPr>
              <w:jc w:val="center"/>
              <w:rPr>
                <w:color w:val="auto"/>
                <w:szCs w:val="21"/>
                <w:highlight w:val="none"/>
              </w:rPr>
            </w:pPr>
            <w:r>
              <w:rPr>
                <w:color w:val="auto"/>
                <w:szCs w:val="21"/>
                <w:highlight w:val="none"/>
              </w:rPr>
              <w:t>经营范围</w:t>
            </w:r>
          </w:p>
        </w:tc>
        <w:tc>
          <w:tcPr>
            <w:tcW w:w="7341" w:type="dxa"/>
            <w:gridSpan w:val="8"/>
            <w:noWrap w:val="0"/>
            <w:vAlign w:val="center"/>
          </w:tcPr>
          <w:p w14:paraId="3FA0E8C9">
            <w:pPr>
              <w:jc w:val="center"/>
              <w:rPr>
                <w:color w:val="auto"/>
                <w:szCs w:val="21"/>
                <w:highlight w:val="none"/>
              </w:rPr>
            </w:pPr>
          </w:p>
        </w:tc>
      </w:tr>
      <w:tr w14:paraId="51F7C7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3758A2A7">
            <w:pPr>
              <w:jc w:val="center"/>
              <w:rPr>
                <w:color w:val="auto"/>
                <w:szCs w:val="21"/>
                <w:highlight w:val="none"/>
              </w:rPr>
            </w:pPr>
            <w:r>
              <w:rPr>
                <w:color w:val="auto"/>
                <w:szCs w:val="21"/>
                <w:highlight w:val="none"/>
              </w:rPr>
              <w:t>备注</w:t>
            </w:r>
          </w:p>
        </w:tc>
        <w:tc>
          <w:tcPr>
            <w:tcW w:w="7341" w:type="dxa"/>
            <w:gridSpan w:val="8"/>
            <w:noWrap w:val="0"/>
            <w:vAlign w:val="center"/>
          </w:tcPr>
          <w:p w14:paraId="195F4E09">
            <w:pPr>
              <w:jc w:val="center"/>
              <w:rPr>
                <w:color w:val="auto"/>
                <w:szCs w:val="21"/>
                <w:highlight w:val="none"/>
              </w:rPr>
            </w:pPr>
          </w:p>
        </w:tc>
      </w:tr>
    </w:tbl>
    <w:p w14:paraId="496A472B">
      <w:pPr>
        <w:spacing w:line="400" w:lineRule="exact"/>
        <w:contextualSpacing/>
        <w:rPr>
          <w:rFonts w:hint="eastAsia" w:ascii="宋体" w:hAnsi="宋体" w:cs="宋体"/>
          <w:color w:val="auto"/>
          <w:sz w:val="24"/>
          <w:highlight w:val="none"/>
        </w:rPr>
      </w:pPr>
    </w:p>
    <w:p w14:paraId="2FCEDB0D">
      <w:pPr>
        <w:spacing w:line="560" w:lineRule="exact"/>
        <w:ind w:firstLine="240"/>
        <w:jc w:val="center"/>
        <w:rPr>
          <w:rFonts w:hint="eastAsia" w:ascii="宋体" w:hAnsi="宋体"/>
          <w:bCs/>
          <w:color w:val="auto"/>
          <w:sz w:val="24"/>
          <w:szCs w:val="21"/>
          <w:highlight w:val="none"/>
        </w:rPr>
      </w:pPr>
    </w:p>
    <w:p w14:paraId="0B1B781A">
      <w:pPr>
        <w:spacing w:line="560" w:lineRule="exact"/>
        <w:ind w:firstLine="240"/>
        <w:jc w:val="center"/>
        <w:rPr>
          <w:rFonts w:hint="eastAsia" w:ascii="宋体" w:hAnsi="宋体"/>
          <w:bCs/>
          <w:color w:val="auto"/>
          <w:sz w:val="24"/>
          <w:szCs w:val="21"/>
          <w:highlight w:val="none"/>
        </w:rPr>
      </w:pPr>
    </w:p>
    <w:p w14:paraId="5E857B49">
      <w:pPr>
        <w:spacing w:line="560" w:lineRule="exact"/>
        <w:ind w:firstLine="240"/>
        <w:jc w:val="center"/>
        <w:rPr>
          <w:rFonts w:hint="eastAsia" w:ascii="宋体" w:hAnsi="宋体"/>
          <w:bCs/>
          <w:color w:val="auto"/>
          <w:sz w:val="24"/>
          <w:szCs w:val="21"/>
          <w:highlight w:val="none"/>
        </w:rPr>
      </w:pPr>
    </w:p>
    <w:p w14:paraId="6B5612D5">
      <w:pPr>
        <w:rPr>
          <w:rFonts w:hint="eastAsia" w:ascii="宋体" w:hAnsi="宋体"/>
          <w:color w:val="auto"/>
          <w:sz w:val="24"/>
          <w:szCs w:val="24"/>
          <w:highlight w:val="none"/>
          <w:lang w:val="en-US" w:eastAsia="zh-CN"/>
        </w:rPr>
      </w:pPr>
      <w:r>
        <w:rPr>
          <w:rFonts w:hint="eastAsia" w:ascii="宋体" w:hAnsi="宋体"/>
          <w:color w:val="auto"/>
          <w:sz w:val="24"/>
          <w:szCs w:val="24"/>
          <w:highlight w:val="none"/>
          <w:lang w:val="en-US" w:eastAsia="zh-CN"/>
        </w:rPr>
        <w:br w:type="page" w:clear="all"/>
      </w:r>
    </w:p>
    <w:p w14:paraId="6858C4D8">
      <w:pPr>
        <w:pageBreakBefore w:val="0"/>
        <w:widowControl w:val="0"/>
        <w:ind w:left="0" w:right="0"/>
        <w:rPr>
          <w:rFonts w:ascii="宋体" w:hAnsi="宋体" w:eastAsia="宋体"/>
          <w:color w:val="auto"/>
          <w:sz w:val="24"/>
          <w:szCs w:val="24"/>
          <w:highlight w:val="none"/>
          <w:lang w:val="en-US" w:eastAsia="zh-CN"/>
        </w:rPr>
      </w:pPr>
      <w:r>
        <w:rPr>
          <w:rFonts w:hint="eastAsia" w:ascii="宋体" w:hAnsi="宋体"/>
          <w:color w:val="auto"/>
          <w:sz w:val="24"/>
          <w:szCs w:val="24"/>
          <w:highlight w:val="none"/>
          <w:lang w:val="en-US" w:eastAsia="zh-CN"/>
        </w:rPr>
        <w:t>附件12</w:t>
      </w:r>
    </w:p>
    <w:p w14:paraId="77D1436B">
      <w:pPr>
        <w:keepNext/>
        <w:keepLines/>
        <w:pageBreakBefore w:val="0"/>
        <w:widowControl w:val="0"/>
        <w:spacing w:line="400" w:lineRule="exact"/>
        <w:ind w:left="0" w:right="0"/>
        <w:jc w:val="center"/>
        <w:outlineLvl w:val="1"/>
        <w:rPr>
          <w:b/>
          <w:color w:val="auto"/>
          <w:sz w:val="24"/>
          <w:highlight w:val="none"/>
        </w:rPr>
      </w:pPr>
      <w:r>
        <w:rPr>
          <w:rFonts w:eastAsia="黑体" w:cs="宋体"/>
          <w:color w:val="auto"/>
          <w:sz w:val="28"/>
          <w:szCs w:val="20"/>
          <w:highlight w:val="none"/>
        </w:rPr>
        <w:t>投标函</w:t>
      </w:r>
    </w:p>
    <w:p w14:paraId="730E7F76">
      <w:pPr>
        <w:pStyle w:val="304"/>
        <w:pageBreakBefore w:val="0"/>
        <w:widowControl w:val="0"/>
        <w:ind w:left="0" w:right="0"/>
        <w:jc w:val="center"/>
        <w:rPr>
          <w:color w:val="auto"/>
          <w:highlight w:val="none"/>
        </w:rPr>
      </w:pPr>
    </w:p>
    <w:p w14:paraId="3A8E0EC6">
      <w:pPr>
        <w:keepNext w:val="0"/>
        <w:keepLines w:val="0"/>
        <w:pageBreakBefore w:val="0"/>
        <w:widowControl w:val="0"/>
        <w:numPr>
          <w:ilvl w:val="0"/>
          <w:numId w:val="9"/>
        </w:numPr>
        <w:spacing w:line="360" w:lineRule="auto"/>
        <w:ind w:left="0" w:right="0" w:firstLine="484"/>
        <w:rPr>
          <w:rFonts w:hint="eastAsia" w:ascii="宋体" w:hAnsi="宋体" w:cs="宋体"/>
          <w:color w:val="auto"/>
          <w:sz w:val="24"/>
          <w:highlight w:val="none"/>
        </w:rPr>
      </w:pPr>
      <w:r>
        <w:rPr>
          <w:color w:val="auto"/>
          <w:sz w:val="24"/>
          <w:highlight w:val="none"/>
        </w:rPr>
        <w:t>根据你方项目编号为</w:t>
      </w:r>
      <w:r>
        <w:rPr>
          <w:color w:val="auto"/>
          <w:sz w:val="24"/>
          <w:highlight w:val="none"/>
          <w:u w:val="single"/>
        </w:rPr>
        <w:t xml:space="preserve">  （</w:t>
      </w:r>
      <w:r>
        <w:rPr>
          <w:rFonts w:hint="eastAsia"/>
          <w:color w:val="auto"/>
          <w:sz w:val="24"/>
          <w:highlight w:val="none"/>
          <w:u w:val="single"/>
          <w:lang w:val="en-US" w:eastAsia="zh-CN"/>
        </w:rPr>
        <w:t>项目</w:t>
      </w:r>
      <w:r>
        <w:rPr>
          <w:color w:val="auto"/>
          <w:sz w:val="24"/>
          <w:highlight w:val="none"/>
          <w:u w:val="single"/>
        </w:rPr>
        <w:t xml:space="preserve">编号）  </w:t>
      </w:r>
      <w:r>
        <w:rPr>
          <w:color w:val="auto"/>
          <w:sz w:val="24"/>
          <w:highlight w:val="none"/>
        </w:rPr>
        <w:t>的</w:t>
      </w:r>
      <w:r>
        <w:rPr>
          <w:color w:val="auto"/>
          <w:sz w:val="24"/>
          <w:highlight w:val="none"/>
          <w:u w:val="single"/>
        </w:rPr>
        <w:t xml:space="preserve">  （</w:t>
      </w:r>
      <w:r>
        <w:rPr>
          <w:rFonts w:hint="eastAsia"/>
          <w:color w:val="auto"/>
          <w:sz w:val="24"/>
          <w:highlight w:val="none"/>
          <w:u w:val="single"/>
          <w:lang w:val="en-US" w:eastAsia="zh-CN"/>
        </w:rPr>
        <w:t>项目</w:t>
      </w:r>
      <w:r>
        <w:rPr>
          <w:color w:val="auto"/>
          <w:sz w:val="24"/>
          <w:highlight w:val="none"/>
          <w:u w:val="single"/>
        </w:rPr>
        <w:t xml:space="preserve">名称）  </w:t>
      </w:r>
      <w:r>
        <w:rPr>
          <w:color w:val="auto"/>
          <w:sz w:val="24"/>
          <w:highlight w:val="none"/>
        </w:rPr>
        <w:t>工程</w:t>
      </w:r>
      <w:r>
        <w:rPr>
          <w:rFonts w:hint="eastAsia"/>
          <w:color w:val="auto"/>
          <w:sz w:val="24"/>
          <w:highlight w:val="none"/>
          <w:lang w:eastAsia="zh-CN"/>
        </w:rPr>
        <w:t>竞争性磋商</w:t>
      </w:r>
      <w:r>
        <w:rPr>
          <w:color w:val="auto"/>
          <w:sz w:val="24"/>
          <w:highlight w:val="none"/>
        </w:rPr>
        <w:t>文件，遵照有关规定，经踏勘项目现场和研究上述</w:t>
      </w:r>
      <w:r>
        <w:rPr>
          <w:rFonts w:hint="eastAsia"/>
          <w:color w:val="auto"/>
          <w:sz w:val="24"/>
          <w:highlight w:val="none"/>
          <w:lang w:eastAsia="zh-CN"/>
        </w:rPr>
        <w:t>竞争性磋商</w:t>
      </w:r>
      <w:r>
        <w:rPr>
          <w:color w:val="auto"/>
          <w:sz w:val="24"/>
          <w:highlight w:val="none"/>
        </w:rPr>
        <w:t>文件的投标须知、合同条款、工程建设标准和工程量清单及其他有关文件后，我方愿以</w:t>
      </w:r>
      <w:r>
        <w:rPr>
          <w:rFonts w:hint="eastAsia"/>
          <w:color w:val="auto"/>
          <w:sz w:val="24"/>
          <w:highlight w:val="none"/>
          <w:u w:val="single"/>
          <w:lang w:val="en-US" w:eastAsia="zh-CN"/>
        </w:rPr>
        <w:t xml:space="preserve">     </w:t>
      </w:r>
      <w:r>
        <w:rPr>
          <w:color w:val="auto"/>
          <w:sz w:val="24"/>
          <w:highlight w:val="none"/>
        </w:rPr>
        <w:t>的</w:t>
      </w:r>
      <w:r>
        <w:rPr>
          <w:rFonts w:hint="eastAsia"/>
          <w:color w:val="auto"/>
          <w:sz w:val="24"/>
          <w:highlight w:val="none"/>
          <w:lang w:val="en-US" w:eastAsia="zh-CN"/>
        </w:rPr>
        <w:t>总价</w:t>
      </w:r>
      <w:r>
        <w:rPr>
          <w:color w:val="auto"/>
          <w:sz w:val="24"/>
          <w:highlight w:val="none"/>
        </w:rPr>
        <w:t>并按上述合同条款、工程建设标准和工程量清单的条件要求承包上述工程的施工、竣工，并承担任何质量缺陷保修责任。我方保证工程质量达到</w:t>
      </w:r>
      <w:r>
        <w:rPr>
          <w:color w:val="auto"/>
          <w:sz w:val="24"/>
          <w:highlight w:val="none"/>
          <w:u w:val="single"/>
        </w:rPr>
        <w:t xml:space="preserve">       </w:t>
      </w:r>
      <w:r>
        <w:rPr>
          <w:rFonts w:hint="eastAsia"/>
          <w:color w:val="auto"/>
          <w:sz w:val="24"/>
          <w:highlight w:val="none"/>
        </w:rPr>
        <w:t>标准，工期</w:t>
      </w:r>
      <w:r>
        <w:rPr>
          <w:rFonts w:hint="eastAsia"/>
          <w:color w:val="auto"/>
          <w:sz w:val="24"/>
          <w:highlight w:val="none"/>
          <w:u w:val="single"/>
        </w:rPr>
        <w:t xml:space="preserve">    </w:t>
      </w:r>
      <w:r>
        <w:rPr>
          <w:color w:val="auto"/>
          <w:sz w:val="24"/>
          <w:highlight w:val="none"/>
        </w:rPr>
        <w:t>。</w:t>
      </w:r>
      <w:r>
        <w:rPr>
          <w:rFonts w:hint="eastAsia" w:ascii="宋体" w:hAnsi="宋体" w:cs="宋体"/>
          <w:color w:val="auto"/>
          <w:sz w:val="24"/>
          <w:highlight w:val="none"/>
        </w:rPr>
        <w:t>如果我方中标，我方将按照规定提交履约担保</w:t>
      </w:r>
      <w:r>
        <w:rPr>
          <w:rFonts w:hint="eastAsia" w:ascii="宋体" w:hAnsi="宋体" w:cs="宋体"/>
          <w:color w:val="auto"/>
          <w:sz w:val="24"/>
          <w:highlight w:val="none"/>
          <w:u w:val="single"/>
        </w:rPr>
        <w:t>合同</w:t>
      </w:r>
      <w:r>
        <w:rPr>
          <w:rFonts w:hint="eastAsia" w:ascii="宋体" w:hAnsi="宋体" w:cs="宋体"/>
          <w:color w:val="auto"/>
          <w:sz w:val="24"/>
          <w:highlight w:val="none"/>
          <w:u w:val="single"/>
          <w:lang w:val="en-US" w:eastAsia="zh-CN"/>
        </w:rPr>
        <w:t>总</w:t>
      </w:r>
      <w:r>
        <w:rPr>
          <w:rFonts w:hint="eastAsia" w:ascii="宋体" w:hAnsi="宋体" w:cs="宋体"/>
          <w:color w:val="auto"/>
          <w:sz w:val="24"/>
          <w:highlight w:val="none"/>
          <w:u w:val="single"/>
        </w:rPr>
        <w:t>价的        %</w:t>
      </w:r>
      <w:r>
        <w:rPr>
          <w:rFonts w:hint="eastAsia" w:ascii="宋体" w:hAnsi="宋体" w:cs="宋体"/>
          <w:color w:val="auto"/>
          <w:sz w:val="24"/>
          <w:highlight w:val="none"/>
        </w:rPr>
        <w:t>。</w:t>
      </w:r>
    </w:p>
    <w:p w14:paraId="34F0EE06">
      <w:pPr>
        <w:keepNext w:val="0"/>
        <w:keepLines w:val="0"/>
        <w:pageBreakBefore w:val="0"/>
        <w:widowControl w:val="0"/>
        <w:spacing w:line="360" w:lineRule="auto"/>
        <w:ind w:left="0" w:right="0" w:firstLine="480"/>
        <w:rPr>
          <w:rFonts w:hint="eastAsia"/>
          <w:color w:val="auto"/>
          <w:sz w:val="24"/>
          <w:highlight w:val="none"/>
        </w:rPr>
      </w:pPr>
      <w:r>
        <w:rPr>
          <w:rFonts w:hint="eastAsia"/>
          <w:color w:val="auto"/>
          <w:sz w:val="24"/>
          <w:highlight w:val="none"/>
        </w:rPr>
        <w:t>2、贵单位的</w:t>
      </w:r>
      <w:r>
        <w:rPr>
          <w:rFonts w:hint="eastAsia"/>
          <w:color w:val="auto"/>
          <w:sz w:val="24"/>
          <w:highlight w:val="none"/>
          <w:lang w:eastAsia="zh-CN"/>
        </w:rPr>
        <w:t>竞争性磋商</w:t>
      </w:r>
      <w:r>
        <w:rPr>
          <w:rFonts w:hint="eastAsia"/>
          <w:color w:val="auto"/>
          <w:sz w:val="24"/>
          <w:highlight w:val="none"/>
        </w:rPr>
        <w:t>文件、中标通知书和本投标文件将构成约束我们双方的合同。</w:t>
      </w:r>
    </w:p>
    <w:p w14:paraId="3E028661">
      <w:pPr>
        <w:keepNext w:val="0"/>
        <w:keepLines w:val="0"/>
        <w:pageBreakBefore w:val="0"/>
        <w:widowControl w:val="0"/>
        <w:spacing w:line="360" w:lineRule="auto"/>
        <w:ind w:left="0" w:right="0" w:firstLine="480"/>
        <w:rPr>
          <w:rFonts w:hint="eastAsia"/>
          <w:color w:val="auto"/>
          <w:sz w:val="24"/>
          <w:highlight w:val="none"/>
        </w:rPr>
      </w:pPr>
      <w:r>
        <w:rPr>
          <w:rFonts w:hint="eastAsia"/>
          <w:color w:val="auto"/>
          <w:sz w:val="24"/>
          <w:highlight w:val="none"/>
        </w:rPr>
        <w:t>3、我方承诺，如果我方中</w:t>
      </w:r>
      <w:r>
        <w:rPr>
          <w:rFonts w:hint="eastAsia" w:ascii="宋体" w:hAnsi="宋体" w:cs="宋体"/>
          <w:color w:val="auto"/>
          <w:sz w:val="24"/>
          <w:highlight w:val="none"/>
        </w:rPr>
        <w:t>标，我方保证做到：不违法分包、转包，</w:t>
      </w:r>
      <w:r>
        <w:rPr>
          <w:rFonts w:hint="eastAsia"/>
          <w:color w:val="auto"/>
          <w:sz w:val="24"/>
          <w:highlight w:val="none"/>
        </w:rPr>
        <w:t>拟派项目负责人满足无在建工程的相关要求。</w:t>
      </w:r>
    </w:p>
    <w:p w14:paraId="6F1F51CC">
      <w:pPr>
        <w:keepNext w:val="0"/>
        <w:keepLines w:val="0"/>
        <w:pageBreakBefore w:val="0"/>
        <w:widowControl w:val="0"/>
        <w:spacing w:line="360" w:lineRule="auto"/>
        <w:ind w:left="0" w:right="0" w:firstLine="484"/>
        <w:rPr>
          <w:rFonts w:hint="eastAsia"/>
          <w:color w:val="auto"/>
          <w:sz w:val="24"/>
          <w:highlight w:val="none"/>
        </w:rPr>
      </w:pPr>
      <w:r>
        <w:rPr>
          <w:rFonts w:hint="eastAsia"/>
          <w:color w:val="auto"/>
          <w:sz w:val="24"/>
          <w:highlight w:val="none"/>
        </w:rPr>
        <w:t>4、我方承诺在本次投标过程中无弄虚作假和串通投标等违法、违规行为，并</w:t>
      </w:r>
      <w:r>
        <w:rPr>
          <w:rFonts w:hint="eastAsia" w:ascii="宋体" w:hAnsi="宋体"/>
          <w:color w:val="auto"/>
          <w:sz w:val="24"/>
          <w:highlight w:val="none"/>
        </w:rPr>
        <w:t>愿意承担因</w:t>
      </w:r>
      <w:r>
        <w:rPr>
          <w:rFonts w:hint="eastAsia"/>
          <w:color w:val="auto"/>
          <w:sz w:val="24"/>
          <w:highlight w:val="none"/>
        </w:rPr>
        <w:t>弄虚作假和串通投标</w:t>
      </w:r>
      <w:r>
        <w:rPr>
          <w:rFonts w:hint="eastAsia" w:ascii="宋体" w:hAnsi="宋体"/>
          <w:color w:val="auto"/>
          <w:sz w:val="24"/>
          <w:highlight w:val="none"/>
        </w:rPr>
        <w:t>所引起的一切法律责任。</w:t>
      </w:r>
    </w:p>
    <w:p w14:paraId="29A7B3CA">
      <w:pPr>
        <w:keepNext w:val="0"/>
        <w:keepLines w:val="0"/>
        <w:pageBreakBefore w:val="0"/>
        <w:widowControl w:val="0"/>
        <w:spacing w:line="360" w:lineRule="auto"/>
        <w:ind w:left="0" w:right="0" w:firstLine="484"/>
        <w:rPr>
          <w:color w:val="auto"/>
          <w:sz w:val="24"/>
          <w:highlight w:val="none"/>
        </w:rPr>
      </w:pPr>
      <w:r>
        <w:rPr>
          <w:rFonts w:hint="eastAsia"/>
          <w:color w:val="auto"/>
          <w:sz w:val="24"/>
          <w:highlight w:val="none"/>
        </w:rPr>
        <w:t>5</w:t>
      </w:r>
      <w:r>
        <w:rPr>
          <w:color w:val="auto"/>
          <w:sz w:val="24"/>
          <w:highlight w:val="none"/>
        </w:rPr>
        <w:t>、我方承诺在投标有效期内不修改、撤销投标文件。</w:t>
      </w:r>
    </w:p>
    <w:p w14:paraId="035F0325">
      <w:pPr>
        <w:keepNext w:val="0"/>
        <w:keepLines w:val="0"/>
        <w:pageBreakBefore w:val="0"/>
        <w:widowControl w:val="0"/>
        <w:spacing w:line="360" w:lineRule="auto"/>
        <w:ind w:left="0" w:right="0" w:firstLine="484"/>
        <w:rPr>
          <w:color w:val="auto"/>
          <w:sz w:val="24"/>
          <w:highlight w:val="none"/>
        </w:rPr>
      </w:pPr>
      <w:r>
        <w:rPr>
          <w:rFonts w:hint="eastAsia"/>
          <w:color w:val="auto"/>
          <w:sz w:val="24"/>
          <w:highlight w:val="none"/>
        </w:rPr>
        <w:t>6</w:t>
      </w:r>
      <w:r>
        <w:rPr>
          <w:color w:val="auto"/>
          <w:sz w:val="24"/>
          <w:highlight w:val="none"/>
        </w:rPr>
        <w:t>、如我方中标：</w:t>
      </w:r>
    </w:p>
    <w:p w14:paraId="1B5E1264">
      <w:pPr>
        <w:keepNext w:val="0"/>
        <w:keepLines w:val="0"/>
        <w:pageBreakBefore w:val="0"/>
        <w:widowControl w:val="0"/>
        <w:spacing w:line="360" w:lineRule="auto"/>
        <w:ind w:left="0" w:right="0" w:firstLine="484"/>
        <w:rPr>
          <w:color w:val="auto"/>
          <w:sz w:val="24"/>
          <w:highlight w:val="none"/>
        </w:rPr>
      </w:pPr>
      <w:r>
        <w:rPr>
          <w:color w:val="auto"/>
          <w:sz w:val="24"/>
          <w:highlight w:val="none"/>
        </w:rPr>
        <w:t>（1）我方承诺在收到中标通知书后，在中标通知书规定的期限内与你方签订合同。</w:t>
      </w:r>
    </w:p>
    <w:p w14:paraId="436BC866">
      <w:pPr>
        <w:keepNext w:val="0"/>
        <w:keepLines w:val="0"/>
        <w:pageBreakBefore w:val="0"/>
        <w:widowControl w:val="0"/>
        <w:spacing w:line="360" w:lineRule="auto"/>
        <w:ind w:left="0" w:right="0" w:firstLine="484"/>
        <w:rPr>
          <w:color w:val="auto"/>
          <w:sz w:val="24"/>
          <w:highlight w:val="none"/>
        </w:rPr>
      </w:pPr>
      <w:r>
        <w:rPr>
          <w:color w:val="auto"/>
          <w:sz w:val="24"/>
          <w:highlight w:val="none"/>
        </w:rPr>
        <w:t>（2）我方承诺按照</w:t>
      </w:r>
      <w:r>
        <w:rPr>
          <w:rFonts w:hint="eastAsia"/>
          <w:color w:val="auto"/>
          <w:sz w:val="24"/>
          <w:highlight w:val="none"/>
          <w:lang w:eastAsia="zh-CN"/>
        </w:rPr>
        <w:t>竞争性磋商</w:t>
      </w:r>
      <w:r>
        <w:rPr>
          <w:color w:val="auto"/>
          <w:sz w:val="24"/>
          <w:highlight w:val="none"/>
        </w:rPr>
        <w:t>文件规定向你方递交履约担保。</w:t>
      </w:r>
    </w:p>
    <w:p w14:paraId="1EC8ECC0">
      <w:pPr>
        <w:keepNext w:val="0"/>
        <w:keepLines w:val="0"/>
        <w:pageBreakBefore w:val="0"/>
        <w:widowControl w:val="0"/>
        <w:spacing w:line="360" w:lineRule="auto"/>
        <w:ind w:left="0" w:right="0" w:firstLine="484"/>
        <w:rPr>
          <w:color w:val="auto"/>
          <w:sz w:val="24"/>
          <w:highlight w:val="none"/>
        </w:rPr>
      </w:pPr>
      <w:r>
        <w:rPr>
          <w:color w:val="auto"/>
          <w:sz w:val="24"/>
          <w:highlight w:val="none"/>
        </w:rPr>
        <w:t>（3）我方承诺在合同约定的期限内完成并移交全部合同工程。</w:t>
      </w:r>
    </w:p>
    <w:p w14:paraId="50674B52">
      <w:pPr>
        <w:keepNext w:val="0"/>
        <w:keepLines w:val="0"/>
        <w:pageBreakBefore w:val="0"/>
        <w:widowControl w:val="0"/>
        <w:spacing w:line="360" w:lineRule="auto"/>
        <w:ind w:left="0" w:right="0" w:firstLine="1680"/>
        <w:rPr>
          <w:rFonts w:hint="eastAsia" w:ascii="宋体" w:hAnsi="宋体" w:cs="宋体"/>
          <w:color w:val="auto"/>
          <w:sz w:val="24"/>
          <w:highlight w:val="none"/>
          <w:u w:val="single"/>
          <w:lang w:val="zh-CN"/>
        </w:rPr>
      </w:pPr>
      <w:r>
        <w:rPr>
          <w:rFonts w:hint="eastAsia" w:ascii="宋体" w:hAnsi="宋体" w:cs="宋体"/>
          <w:color w:val="auto"/>
          <w:sz w:val="24"/>
          <w:highlight w:val="none"/>
          <w:lang w:val="zh-CN" w:bidi="ar"/>
        </w:rPr>
        <w:t>供应商全称(盖公章)：</w:t>
      </w:r>
    </w:p>
    <w:p w14:paraId="1C7AED3E">
      <w:pPr>
        <w:keepNext w:val="0"/>
        <w:keepLines w:val="0"/>
        <w:pageBreakBefore w:val="0"/>
        <w:widowControl w:val="0"/>
        <w:spacing w:line="360" w:lineRule="auto"/>
        <w:ind w:left="0" w:right="0" w:firstLine="1680"/>
        <w:rPr>
          <w:rFonts w:hint="eastAsia" w:ascii="宋体" w:hAnsi="宋体" w:cs="宋体"/>
          <w:color w:val="auto"/>
          <w:sz w:val="24"/>
          <w:highlight w:val="none"/>
          <w:u w:val="single"/>
          <w:lang w:val="zh-CN"/>
        </w:rPr>
      </w:pPr>
      <w:r>
        <w:rPr>
          <w:rFonts w:hint="eastAsia" w:ascii="宋体" w:hAnsi="宋体" w:cs="宋体"/>
          <w:color w:val="auto"/>
          <w:sz w:val="24"/>
          <w:highlight w:val="none"/>
          <w:lang w:val="zh-CN" w:bidi="ar"/>
        </w:rPr>
        <w:t>法定代表人（签字或盖章）：</w:t>
      </w:r>
    </w:p>
    <w:p w14:paraId="7343311F">
      <w:pPr>
        <w:keepNext w:val="0"/>
        <w:keepLines w:val="0"/>
        <w:pageBreakBefore w:val="0"/>
        <w:widowControl w:val="0"/>
        <w:spacing w:line="360" w:lineRule="auto"/>
        <w:ind w:left="0" w:right="0" w:firstLine="722"/>
        <w:rPr>
          <w:rFonts w:hint="eastAsia" w:ascii="宋体" w:hAnsi="宋体" w:cs="宋体"/>
          <w:color w:val="auto"/>
          <w:sz w:val="24"/>
          <w:highlight w:val="none"/>
          <w:lang w:val="en-US" w:eastAsia="zh-CN" w:bidi="ar"/>
        </w:rPr>
      </w:pPr>
      <w:r>
        <w:rPr>
          <w:rFonts w:hint="eastAsia" w:ascii="宋体" w:hAnsi="宋体" w:cs="宋体"/>
          <w:color w:val="auto"/>
          <w:sz w:val="24"/>
          <w:highlight w:val="none"/>
          <w:lang w:val="en-US" w:eastAsia="zh-CN" w:bidi="ar"/>
        </w:rPr>
        <w:t>供应商地址：</w:t>
      </w:r>
      <w:r>
        <w:rPr>
          <w:rFonts w:hint="eastAsia"/>
          <w:color w:val="auto"/>
          <w:sz w:val="24"/>
          <w:highlight w:val="none"/>
          <w:u w:val="single"/>
        </w:rPr>
        <w:t xml:space="preserve">          </w:t>
      </w:r>
    </w:p>
    <w:p w14:paraId="359FC4E0">
      <w:pPr>
        <w:keepNext w:val="0"/>
        <w:keepLines w:val="0"/>
        <w:pageBreakBefore w:val="0"/>
        <w:widowControl w:val="0"/>
        <w:spacing w:line="360" w:lineRule="auto"/>
        <w:ind w:left="0" w:right="0" w:firstLine="722"/>
        <w:rPr>
          <w:rFonts w:hint="eastAsia"/>
          <w:color w:val="auto"/>
          <w:sz w:val="24"/>
          <w:highlight w:val="none"/>
          <w:u w:val="single"/>
        </w:rPr>
      </w:pPr>
      <w:r>
        <w:rPr>
          <w:color w:val="auto"/>
          <w:sz w:val="24"/>
          <w:highlight w:val="none"/>
        </w:rPr>
        <w:t>邮政编码：</w:t>
      </w:r>
      <w:r>
        <w:rPr>
          <w:rFonts w:hint="eastAsia"/>
          <w:color w:val="auto"/>
          <w:sz w:val="24"/>
          <w:highlight w:val="none"/>
          <w:u w:val="single"/>
        </w:rPr>
        <w:t xml:space="preserve">          </w:t>
      </w:r>
    </w:p>
    <w:p w14:paraId="58D02B55">
      <w:pPr>
        <w:keepNext w:val="0"/>
        <w:keepLines w:val="0"/>
        <w:pageBreakBefore w:val="0"/>
        <w:widowControl w:val="0"/>
        <w:spacing w:line="360" w:lineRule="auto"/>
        <w:ind w:left="0" w:right="0" w:firstLine="722"/>
        <w:rPr>
          <w:rFonts w:hint="eastAsia"/>
          <w:color w:val="auto"/>
          <w:sz w:val="24"/>
          <w:highlight w:val="none"/>
          <w:u w:val="single"/>
        </w:rPr>
      </w:pPr>
      <w:r>
        <w:rPr>
          <w:color w:val="auto"/>
          <w:sz w:val="24"/>
          <w:highlight w:val="none"/>
        </w:rPr>
        <w:t>电话：</w:t>
      </w:r>
      <w:r>
        <w:rPr>
          <w:rFonts w:hint="eastAsia"/>
          <w:color w:val="auto"/>
          <w:sz w:val="24"/>
          <w:highlight w:val="none"/>
          <w:u w:val="single"/>
        </w:rPr>
        <w:t xml:space="preserve">         </w:t>
      </w:r>
    </w:p>
    <w:p w14:paraId="77E3F804">
      <w:pPr>
        <w:keepNext w:val="0"/>
        <w:keepLines w:val="0"/>
        <w:pageBreakBefore w:val="0"/>
        <w:widowControl w:val="0"/>
        <w:spacing w:line="360" w:lineRule="auto"/>
        <w:ind w:left="0" w:right="0" w:firstLine="722"/>
        <w:rPr>
          <w:color w:val="auto"/>
          <w:sz w:val="24"/>
          <w:highlight w:val="none"/>
        </w:rPr>
      </w:pPr>
      <w:r>
        <w:rPr>
          <w:color w:val="auto"/>
          <w:sz w:val="24"/>
          <w:highlight w:val="none"/>
        </w:rPr>
        <w:t>传真：</w:t>
      </w:r>
      <w:r>
        <w:rPr>
          <w:rFonts w:hint="eastAsia"/>
          <w:color w:val="auto"/>
          <w:sz w:val="24"/>
          <w:highlight w:val="none"/>
          <w:u w:val="single"/>
        </w:rPr>
        <w:t xml:space="preserve">          </w:t>
      </w:r>
    </w:p>
    <w:p w14:paraId="4DD86EA5">
      <w:pPr>
        <w:keepNext w:val="0"/>
        <w:keepLines w:val="0"/>
        <w:pageBreakBefore w:val="0"/>
        <w:widowControl w:val="0"/>
        <w:spacing w:line="360" w:lineRule="auto"/>
        <w:ind w:left="0" w:right="0" w:firstLine="484"/>
        <w:jc w:val="right"/>
        <w:rPr>
          <w:color w:val="auto"/>
          <w:sz w:val="24"/>
          <w:highlight w:val="none"/>
        </w:rPr>
      </w:pPr>
      <w:r>
        <w:rPr>
          <w:color w:val="auto"/>
          <w:sz w:val="24"/>
          <w:highlight w:val="none"/>
        </w:rPr>
        <w:t>日期：</w:t>
      </w:r>
      <w:r>
        <w:rPr>
          <w:color w:val="auto"/>
          <w:sz w:val="24"/>
          <w:highlight w:val="none"/>
          <w:u w:val="single"/>
        </w:rPr>
        <w:t xml:space="preserve">         </w:t>
      </w:r>
      <w:r>
        <w:rPr>
          <w:color w:val="auto"/>
          <w:sz w:val="24"/>
          <w:highlight w:val="none"/>
        </w:rPr>
        <w:t>年</w:t>
      </w:r>
      <w:r>
        <w:rPr>
          <w:color w:val="auto"/>
          <w:sz w:val="24"/>
          <w:highlight w:val="none"/>
          <w:u w:val="single"/>
        </w:rPr>
        <w:t xml:space="preserve">        </w:t>
      </w:r>
      <w:r>
        <w:rPr>
          <w:color w:val="auto"/>
          <w:sz w:val="24"/>
          <w:highlight w:val="none"/>
        </w:rPr>
        <w:t>月</w:t>
      </w:r>
      <w:r>
        <w:rPr>
          <w:color w:val="auto"/>
          <w:sz w:val="24"/>
          <w:highlight w:val="none"/>
          <w:u w:val="single"/>
        </w:rPr>
        <w:t xml:space="preserve">        </w:t>
      </w:r>
      <w:r>
        <w:rPr>
          <w:color w:val="auto"/>
          <w:sz w:val="24"/>
          <w:highlight w:val="none"/>
        </w:rPr>
        <w:t>日</w:t>
      </w:r>
    </w:p>
    <w:p w14:paraId="41EFDBCC">
      <w:pPr>
        <w:jc w:val="center"/>
        <w:rPr>
          <w:rFonts w:hint="eastAsia" w:ascii="宋体" w:hAnsi="宋体"/>
          <w:color w:val="auto"/>
          <w:sz w:val="24"/>
          <w:highlight w:val="none"/>
        </w:rPr>
      </w:pPr>
    </w:p>
    <w:p w14:paraId="37C3AA12">
      <w:pPr>
        <w:jc w:val="center"/>
        <w:rPr>
          <w:rFonts w:hint="eastAsia" w:ascii="宋体" w:hAnsi="宋体"/>
          <w:color w:val="auto"/>
          <w:sz w:val="24"/>
          <w:highlight w:val="none"/>
        </w:rPr>
      </w:pPr>
    </w:p>
    <w:p w14:paraId="4889C506">
      <w:pPr>
        <w:jc w:val="center"/>
        <w:rPr>
          <w:rFonts w:ascii="宋体" w:hAnsi="宋体"/>
          <w:b/>
          <w:color w:val="auto"/>
          <w:sz w:val="30"/>
          <w:szCs w:val="30"/>
          <w:highlight w:val="none"/>
        </w:rPr>
      </w:pPr>
      <w:r>
        <w:rPr>
          <w:rFonts w:hint="eastAsia" w:ascii="宋体" w:hAnsi="宋体"/>
          <w:color w:val="auto"/>
          <w:sz w:val="24"/>
          <w:highlight w:val="none"/>
        </w:rPr>
        <w:t>附件</w:t>
      </w:r>
      <w:r>
        <w:rPr>
          <w:rFonts w:hint="eastAsia" w:ascii="宋体" w:hAnsi="宋体"/>
          <w:color w:val="auto"/>
          <w:sz w:val="24"/>
          <w:highlight w:val="none"/>
          <w:lang w:eastAsia="zh-CN"/>
        </w:rPr>
        <w:t>：</w:t>
      </w:r>
      <w:r>
        <w:rPr>
          <w:rFonts w:hint="eastAsia" w:ascii="宋体" w:hAnsi="宋体"/>
          <w:color w:val="auto"/>
          <w:sz w:val="24"/>
          <w:highlight w:val="none"/>
        </w:rPr>
        <w:t>项目清单</w:t>
      </w:r>
      <w:r>
        <w:rPr>
          <w:rFonts w:hint="eastAsia" w:ascii="宋体" w:hAnsi="宋体"/>
          <w:color w:val="auto"/>
          <w:sz w:val="24"/>
          <w:highlight w:val="none"/>
          <w:lang w:eastAsia="zh-CN"/>
        </w:rPr>
        <w:t>（</w:t>
      </w:r>
      <w:r>
        <w:rPr>
          <w:rFonts w:hint="eastAsia" w:ascii="宋体" w:hAnsi="宋体"/>
          <w:color w:val="auto"/>
          <w:sz w:val="24"/>
          <w:highlight w:val="none"/>
          <w:lang w:val="en-US" w:eastAsia="zh-CN"/>
        </w:rPr>
        <w:t>自行下载</w:t>
      </w:r>
      <w:r>
        <w:rPr>
          <w:rFonts w:hint="eastAsia" w:ascii="宋体" w:hAnsi="宋体"/>
          <w:color w:val="auto"/>
          <w:sz w:val="24"/>
          <w:highlight w:val="none"/>
          <w:lang w:eastAsia="zh-CN"/>
        </w:rPr>
        <w:t>）</w:t>
      </w:r>
    </w:p>
    <w:p w14:paraId="3EA81411">
      <w:pPr>
        <w:spacing w:line="360" w:lineRule="auto"/>
        <w:rPr>
          <w:rFonts w:hint="eastAsia" w:ascii="宋体" w:hAnsi="宋体"/>
          <w:b/>
          <w:color w:val="auto"/>
          <w:sz w:val="30"/>
          <w:szCs w:val="30"/>
          <w:highlight w:val="none"/>
        </w:rPr>
      </w:pPr>
    </w:p>
    <w:p w14:paraId="6AF6936C">
      <w:pPr>
        <w:keepNext/>
        <w:keepLines/>
        <w:spacing w:before="100" w:line="400" w:lineRule="exact"/>
        <w:jc w:val="both"/>
        <w:outlineLvl w:val="1"/>
        <w:rPr>
          <w:rFonts w:hint="eastAsia" w:ascii="宋体" w:hAnsi="宋体" w:eastAsia="宋体" w:cs="宋体"/>
          <w:b w:val="0"/>
          <w:bCs w:val="0"/>
          <w:color w:val="auto"/>
          <w:sz w:val="28"/>
          <w:szCs w:val="20"/>
          <w:highlight w:val="none"/>
          <w:lang w:val="en-US" w:eastAsia="zh-CN"/>
        </w:rPr>
      </w:pPr>
      <w:bookmarkStart w:id="766" w:name="_Toc25103_WPSOffice_Level3"/>
    </w:p>
    <w:p w14:paraId="6AD99C07">
      <w:pPr>
        <w:keepNext/>
        <w:keepLines/>
        <w:spacing w:before="100" w:line="400" w:lineRule="exact"/>
        <w:jc w:val="both"/>
        <w:outlineLvl w:val="1"/>
        <w:rPr>
          <w:rFonts w:hint="eastAsia" w:ascii="宋体" w:hAnsi="宋体" w:eastAsia="宋体" w:cs="宋体"/>
          <w:b w:val="0"/>
          <w:bCs w:val="0"/>
          <w:color w:val="auto"/>
          <w:sz w:val="28"/>
          <w:szCs w:val="20"/>
          <w:highlight w:val="none"/>
          <w:lang w:val="en-US" w:eastAsia="zh-CN"/>
        </w:rPr>
      </w:pPr>
    </w:p>
    <w:p w14:paraId="7EBFC32E">
      <w:pPr>
        <w:keepNext/>
        <w:keepLines/>
        <w:spacing w:before="100" w:line="400" w:lineRule="exact"/>
        <w:jc w:val="both"/>
        <w:outlineLvl w:val="1"/>
        <w:rPr>
          <w:rFonts w:hint="eastAsia" w:ascii="宋体" w:hAnsi="宋体" w:eastAsia="宋体" w:cs="宋体"/>
          <w:b w:val="0"/>
          <w:bCs w:val="0"/>
          <w:color w:val="auto"/>
          <w:sz w:val="28"/>
          <w:szCs w:val="20"/>
          <w:highlight w:val="none"/>
          <w:lang w:val="en-US" w:eastAsia="zh-CN"/>
        </w:rPr>
      </w:pPr>
      <w:r>
        <w:rPr>
          <w:rFonts w:hint="eastAsia" w:ascii="宋体" w:hAnsi="宋体" w:eastAsia="宋体" w:cs="宋体"/>
          <w:b w:val="0"/>
          <w:bCs w:val="0"/>
          <w:color w:val="auto"/>
          <w:sz w:val="28"/>
          <w:szCs w:val="20"/>
          <w:highlight w:val="none"/>
          <w:lang w:val="en-US" w:eastAsia="zh-CN"/>
        </w:rPr>
        <w:t>附件13</w:t>
      </w:r>
    </w:p>
    <w:p w14:paraId="62EDE642">
      <w:pPr>
        <w:keepNext/>
        <w:keepLines/>
        <w:spacing w:before="100" w:line="400" w:lineRule="exact"/>
        <w:jc w:val="center"/>
        <w:outlineLvl w:val="1"/>
        <w:rPr>
          <w:rFonts w:ascii="宋体" w:hAnsi="宋体"/>
          <w:color w:val="auto"/>
          <w:sz w:val="25"/>
          <w:highlight w:val="none"/>
        </w:rPr>
      </w:pPr>
      <w:r>
        <w:rPr>
          <w:rFonts w:hint="eastAsia" w:eastAsia="黑体" w:cs="宋体"/>
          <w:color w:val="auto"/>
          <w:sz w:val="28"/>
          <w:szCs w:val="20"/>
          <w:highlight w:val="none"/>
        </w:rPr>
        <w:t>计划投入的主要施工机械设备表</w:t>
      </w:r>
      <w:bookmarkEnd w:id="766"/>
    </w:p>
    <w:tbl>
      <w:tblPr>
        <w:tblStyle w:val="35"/>
        <w:tblW w:w="9480"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19"/>
        <w:gridCol w:w="1735"/>
        <w:gridCol w:w="714"/>
        <w:gridCol w:w="715"/>
        <w:gridCol w:w="918"/>
        <w:gridCol w:w="919"/>
        <w:gridCol w:w="1123"/>
        <w:gridCol w:w="1122"/>
        <w:gridCol w:w="1715"/>
      </w:tblGrid>
      <w:tr w14:paraId="354C83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153" w:hRule="atLeast"/>
        </w:trPr>
        <w:tc>
          <w:tcPr>
            <w:tcW w:w="519" w:type="dxa"/>
            <w:noWrap w:val="0"/>
            <w:vAlign w:val="top"/>
          </w:tcPr>
          <w:p w14:paraId="2D48B186">
            <w:pPr>
              <w:pStyle w:val="315"/>
              <w:spacing w:line="360" w:lineRule="auto"/>
              <w:ind w:firstLine="0"/>
              <w:jc w:val="center"/>
              <w:rPr>
                <w:rFonts w:ascii="宋体" w:hAnsi="宋体"/>
                <w:color w:val="auto"/>
                <w:position w:val="-32"/>
                <w:sz w:val="23"/>
                <w:highlight w:val="none"/>
              </w:rPr>
            </w:pPr>
            <w:r>
              <w:rPr>
                <w:rFonts w:hint="eastAsia" w:ascii="宋体" w:hAnsi="宋体"/>
                <w:color w:val="auto"/>
                <w:position w:val="-32"/>
                <w:sz w:val="23"/>
                <w:highlight w:val="none"/>
              </w:rPr>
              <w:t>序号</w:t>
            </w:r>
          </w:p>
        </w:tc>
        <w:tc>
          <w:tcPr>
            <w:tcW w:w="1735" w:type="dxa"/>
            <w:noWrap w:val="0"/>
            <w:vAlign w:val="top"/>
          </w:tcPr>
          <w:p w14:paraId="7B3F8E1F">
            <w:pPr>
              <w:pStyle w:val="315"/>
              <w:spacing w:line="360" w:lineRule="auto"/>
              <w:ind w:firstLine="0"/>
              <w:jc w:val="center"/>
              <w:rPr>
                <w:rFonts w:ascii="宋体" w:hAnsi="宋体"/>
                <w:color w:val="auto"/>
                <w:position w:val="-50"/>
                <w:sz w:val="23"/>
                <w:highlight w:val="none"/>
              </w:rPr>
            </w:pPr>
            <w:r>
              <w:rPr>
                <w:rFonts w:hint="eastAsia" w:ascii="宋体" w:hAnsi="宋体"/>
                <w:color w:val="auto"/>
                <w:position w:val="-50"/>
                <w:sz w:val="23"/>
                <w:highlight w:val="none"/>
              </w:rPr>
              <w:t>机械设备名称</w:t>
            </w:r>
          </w:p>
        </w:tc>
        <w:tc>
          <w:tcPr>
            <w:tcW w:w="714" w:type="dxa"/>
            <w:noWrap w:val="0"/>
            <w:vAlign w:val="top"/>
          </w:tcPr>
          <w:p w14:paraId="504CB017">
            <w:pPr>
              <w:pStyle w:val="315"/>
              <w:spacing w:line="360" w:lineRule="auto"/>
              <w:ind w:firstLine="0"/>
              <w:jc w:val="center"/>
              <w:rPr>
                <w:rFonts w:ascii="宋体" w:hAnsi="宋体"/>
                <w:color w:val="auto"/>
                <w:position w:val="-30"/>
                <w:sz w:val="23"/>
                <w:highlight w:val="none"/>
              </w:rPr>
            </w:pPr>
            <w:r>
              <w:rPr>
                <w:rFonts w:hint="eastAsia" w:ascii="宋体" w:hAnsi="宋体"/>
                <w:color w:val="auto"/>
                <w:position w:val="-30"/>
                <w:sz w:val="23"/>
                <w:highlight w:val="none"/>
              </w:rPr>
              <w:t>型号规格</w:t>
            </w:r>
          </w:p>
        </w:tc>
        <w:tc>
          <w:tcPr>
            <w:tcW w:w="715" w:type="dxa"/>
            <w:noWrap w:val="0"/>
            <w:vAlign w:val="top"/>
          </w:tcPr>
          <w:p w14:paraId="54320003">
            <w:pPr>
              <w:pStyle w:val="315"/>
              <w:spacing w:line="360" w:lineRule="auto"/>
              <w:ind w:firstLine="0"/>
              <w:jc w:val="center"/>
              <w:rPr>
                <w:rFonts w:ascii="宋体" w:hAnsi="宋体"/>
                <w:color w:val="auto"/>
                <w:position w:val="-50"/>
                <w:sz w:val="23"/>
                <w:highlight w:val="none"/>
              </w:rPr>
            </w:pPr>
            <w:r>
              <w:rPr>
                <w:rFonts w:hint="eastAsia" w:ascii="宋体" w:hAnsi="宋体"/>
                <w:color w:val="auto"/>
                <w:position w:val="-50"/>
                <w:sz w:val="23"/>
                <w:highlight w:val="none"/>
              </w:rPr>
              <w:t>数量</w:t>
            </w:r>
          </w:p>
        </w:tc>
        <w:tc>
          <w:tcPr>
            <w:tcW w:w="918" w:type="dxa"/>
            <w:noWrap w:val="0"/>
            <w:vAlign w:val="top"/>
          </w:tcPr>
          <w:p w14:paraId="4641851C">
            <w:pPr>
              <w:pStyle w:val="315"/>
              <w:spacing w:line="360" w:lineRule="auto"/>
              <w:ind w:firstLine="0"/>
              <w:jc w:val="center"/>
              <w:rPr>
                <w:rFonts w:ascii="宋体" w:hAnsi="宋体"/>
                <w:color w:val="auto"/>
                <w:position w:val="-30"/>
                <w:sz w:val="23"/>
                <w:highlight w:val="none"/>
              </w:rPr>
            </w:pPr>
            <w:r>
              <w:rPr>
                <w:rFonts w:hint="eastAsia" w:ascii="宋体" w:hAnsi="宋体"/>
                <w:color w:val="auto"/>
                <w:position w:val="-30"/>
                <w:sz w:val="23"/>
                <w:highlight w:val="none"/>
              </w:rPr>
              <w:t>国 别</w:t>
            </w:r>
          </w:p>
          <w:p w14:paraId="789E5D8A">
            <w:pPr>
              <w:pStyle w:val="315"/>
              <w:spacing w:line="360" w:lineRule="auto"/>
              <w:ind w:firstLine="0"/>
              <w:jc w:val="center"/>
              <w:rPr>
                <w:rFonts w:ascii="宋体" w:hAnsi="宋体"/>
                <w:color w:val="auto"/>
                <w:position w:val="-30"/>
                <w:sz w:val="23"/>
                <w:highlight w:val="none"/>
              </w:rPr>
            </w:pPr>
            <w:r>
              <w:rPr>
                <w:rFonts w:hint="eastAsia" w:ascii="宋体" w:hAnsi="宋体"/>
                <w:color w:val="auto"/>
                <w:position w:val="-30"/>
                <w:sz w:val="23"/>
                <w:highlight w:val="none"/>
              </w:rPr>
              <w:t>产 地</w:t>
            </w:r>
          </w:p>
        </w:tc>
        <w:tc>
          <w:tcPr>
            <w:tcW w:w="919" w:type="dxa"/>
            <w:noWrap w:val="0"/>
            <w:vAlign w:val="top"/>
          </w:tcPr>
          <w:p w14:paraId="041E0FD0">
            <w:pPr>
              <w:pStyle w:val="315"/>
              <w:spacing w:line="360" w:lineRule="auto"/>
              <w:ind w:firstLine="0"/>
              <w:jc w:val="center"/>
              <w:rPr>
                <w:rFonts w:ascii="宋体" w:hAnsi="宋体"/>
                <w:color w:val="auto"/>
                <w:position w:val="-30"/>
                <w:sz w:val="23"/>
                <w:highlight w:val="none"/>
              </w:rPr>
            </w:pPr>
            <w:r>
              <w:rPr>
                <w:rFonts w:hint="eastAsia" w:ascii="宋体" w:hAnsi="宋体"/>
                <w:color w:val="auto"/>
                <w:position w:val="-30"/>
                <w:sz w:val="23"/>
                <w:highlight w:val="none"/>
              </w:rPr>
              <w:t>制 造</w:t>
            </w:r>
          </w:p>
          <w:p w14:paraId="45382A27">
            <w:pPr>
              <w:pStyle w:val="315"/>
              <w:spacing w:line="360" w:lineRule="auto"/>
              <w:ind w:firstLine="0"/>
              <w:jc w:val="center"/>
              <w:rPr>
                <w:rFonts w:ascii="宋体" w:hAnsi="宋体"/>
                <w:color w:val="auto"/>
                <w:position w:val="-30"/>
                <w:sz w:val="23"/>
                <w:highlight w:val="none"/>
              </w:rPr>
            </w:pPr>
            <w:r>
              <w:rPr>
                <w:rFonts w:hint="eastAsia" w:ascii="宋体" w:hAnsi="宋体"/>
                <w:color w:val="auto"/>
                <w:position w:val="-30"/>
                <w:sz w:val="23"/>
                <w:highlight w:val="none"/>
              </w:rPr>
              <w:t>年 份</w:t>
            </w:r>
          </w:p>
        </w:tc>
        <w:tc>
          <w:tcPr>
            <w:tcW w:w="1123" w:type="dxa"/>
            <w:noWrap w:val="0"/>
            <w:vAlign w:val="top"/>
          </w:tcPr>
          <w:p w14:paraId="77B26C65">
            <w:pPr>
              <w:pStyle w:val="315"/>
              <w:spacing w:line="360" w:lineRule="auto"/>
              <w:ind w:firstLine="0"/>
              <w:jc w:val="center"/>
              <w:rPr>
                <w:rFonts w:ascii="宋体" w:hAnsi="宋体"/>
                <w:color w:val="auto"/>
                <w:position w:val="-30"/>
                <w:highlight w:val="none"/>
              </w:rPr>
            </w:pPr>
            <w:r>
              <w:rPr>
                <w:rFonts w:hint="eastAsia" w:ascii="宋体" w:hAnsi="宋体"/>
                <w:color w:val="auto"/>
                <w:position w:val="-30"/>
                <w:highlight w:val="none"/>
              </w:rPr>
              <w:t>额定功率</w:t>
            </w:r>
            <w:r>
              <w:rPr>
                <w:rFonts w:ascii="宋体" w:hAnsi="宋体"/>
                <w:color w:val="auto"/>
                <w:position w:val="-30"/>
                <w:highlight w:val="none"/>
              </w:rPr>
              <w:t>(</w:t>
            </w:r>
            <w:r>
              <w:rPr>
                <w:rFonts w:hint="eastAsia" w:ascii="宋体" w:hAnsi="宋体"/>
                <w:color w:val="auto"/>
                <w:position w:val="-30"/>
                <w:highlight w:val="none"/>
              </w:rPr>
              <w:t>KW</w:t>
            </w:r>
            <w:r>
              <w:rPr>
                <w:rFonts w:ascii="宋体" w:hAnsi="宋体"/>
                <w:color w:val="auto"/>
                <w:position w:val="-30"/>
                <w:highlight w:val="none"/>
              </w:rPr>
              <w:t>)</w:t>
            </w:r>
          </w:p>
        </w:tc>
        <w:tc>
          <w:tcPr>
            <w:tcW w:w="1122" w:type="dxa"/>
            <w:noWrap w:val="0"/>
            <w:vAlign w:val="top"/>
          </w:tcPr>
          <w:p w14:paraId="0F13B509">
            <w:pPr>
              <w:pStyle w:val="315"/>
              <w:spacing w:line="360" w:lineRule="auto"/>
              <w:ind w:firstLine="0"/>
              <w:jc w:val="center"/>
              <w:rPr>
                <w:rFonts w:ascii="宋体" w:hAnsi="宋体"/>
                <w:color w:val="auto"/>
                <w:position w:val="-30"/>
                <w:highlight w:val="none"/>
              </w:rPr>
            </w:pPr>
            <w:r>
              <w:rPr>
                <w:rFonts w:hint="eastAsia" w:ascii="宋体" w:hAnsi="宋体"/>
                <w:color w:val="auto"/>
                <w:position w:val="-30"/>
                <w:highlight w:val="none"/>
              </w:rPr>
              <w:t>生产能力</w:t>
            </w:r>
            <w:r>
              <w:rPr>
                <w:rFonts w:ascii="宋体" w:hAnsi="宋体"/>
                <w:color w:val="auto"/>
                <w:position w:val="-30"/>
                <w:highlight w:val="none"/>
              </w:rPr>
              <w:t>(</w:t>
            </w:r>
            <w:r>
              <w:rPr>
                <w:rFonts w:hint="eastAsia" w:ascii="宋体" w:hAnsi="宋体"/>
                <w:color w:val="auto"/>
                <w:position w:val="-30"/>
                <w:highlight w:val="none"/>
              </w:rPr>
              <w:t>MH</w:t>
            </w:r>
            <w:r>
              <w:rPr>
                <w:rFonts w:ascii="宋体" w:hAnsi="宋体"/>
                <w:color w:val="auto"/>
                <w:position w:val="-30"/>
                <w:highlight w:val="none"/>
              </w:rPr>
              <w:t>)</w:t>
            </w:r>
          </w:p>
        </w:tc>
        <w:tc>
          <w:tcPr>
            <w:tcW w:w="1715" w:type="dxa"/>
            <w:noWrap w:val="0"/>
            <w:vAlign w:val="top"/>
          </w:tcPr>
          <w:p w14:paraId="01AC5A9F">
            <w:pPr>
              <w:pStyle w:val="315"/>
              <w:spacing w:line="360" w:lineRule="auto"/>
              <w:ind w:firstLine="0"/>
              <w:jc w:val="center"/>
              <w:rPr>
                <w:rFonts w:ascii="宋体" w:hAnsi="宋体"/>
                <w:color w:val="auto"/>
                <w:position w:val="-50"/>
                <w:sz w:val="23"/>
                <w:highlight w:val="none"/>
              </w:rPr>
            </w:pPr>
            <w:r>
              <w:rPr>
                <w:rFonts w:hint="eastAsia" w:ascii="宋体" w:hAnsi="宋体"/>
                <w:color w:val="auto"/>
                <w:position w:val="-50"/>
                <w:sz w:val="23"/>
                <w:highlight w:val="none"/>
              </w:rPr>
              <w:t>备注</w:t>
            </w:r>
          </w:p>
        </w:tc>
      </w:tr>
      <w:tr w14:paraId="218BCA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6" w:hRule="atLeast"/>
        </w:trPr>
        <w:tc>
          <w:tcPr>
            <w:tcW w:w="519" w:type="dxa"/>
            <w:noWrap w:val="0"/>
            <w:vAlign w:val="top"/>
          </w:tcPr>
          <w:p w14:paraId="5CB75B88">
            <w:pPr>
              <w:pStyle w:val="315"/>
              <w:spacing w:line="360" w:lineRule="auto"/>
              <w:ind w:firstLine="0"/>
              <w:rPr>
                <w:rFonts w:ascii="宋体" w:hAnsi="宋体"/>
                <w:color w:val="auto"/>
                <w:sz w:val="25"/>
                <w:highlight w:val="none"/>
              </w:rPr>
            </w:pPr>
          </w:p>
        </w:tc>
        <w:tc>
          <w:tcPr>
            <w:tcW w:w="1735" w:type="dxa"/>
            <w:noWrap w:val="0"/>
            <w:vAlign w:val="top"/>
          </w:tcPr>
          <w:p w14:paraId="71F7F58E">
            <w:pPr>
              <w:pStyle w:val="315"/>
              <w:spacing w:line="360" w:lineRule="auto"/>
              <w:ind w:firstLine="0"/>
              <w:rPr>
                <w:rFonts w:ascii="宋体" w:hAnsi="宋体"/>
                <w:color w:val="auto"/>
                <w:sz w:val="25"/>
                <w:highlight w:val="none"/>
              </w:rPr>
            </w:pPr>
          </w:p>
        </w:tc>
        <w:tc>
          <w:tcPr>
            <w:tcW w:w="714" w:type="dxa"/>
            <w:noWrap w:val="0"/>
            <w:vAlign w:val="top"/>
          </w:tcPr>
          <w:p w14:paraId="53656AAA">
            <w:pPr>
              <w:pStyle w:val="315"/>
              <w:spacing w:line="360" w:lineRule="auto"/>
              <w:ind w:firstLine="0"/>
              <w:rPr>
                <w:rFonts w:ascii="宋体" w:hAnsi="宋体"/>
                <w:color w:val="auto"/>
                <w:sz w:val="25"/>
                <w:highlight w:val="none"/>
              </w:rPr>
            </w:pPr>
          </w:p>
        </w:tc>
        <w:tc>
          <w:tcPr>
            <w:tcW w:w="715" w:type="dxa"/>
            <w:noWrap w:val="0"/>
            <w:vAlign w:val="top"/>
          </w:tcPr>
          <w:p w14:paraId="0CD3E1A0">
            <w:pPr>
              <w:pStyle w:val="315"/>
              <w:spacing w:line="360" w:lineRule="auto"/>
              <w:ind w:firstLine="0"/>
              <w:rPr>
                <w:rFonts w:ascii="宋体" w:hAnsi="宋体"/>
                <w:color w:val="auto"/>
                <w:sz w:val="25"/>
                <w:highlight w:val="none"/>
              </w:rPr>
            </w:pPr>
          </w:p>
        </w:tc>
        <w:tc>
          <w:tcPr>
            <w:tcW w:w="918" w:type="dxa"/>
            <w:noWrap w:val="0"/>
            <w:vAlign w:val="top"/>
          </w:tcPr>
          <w:p w14:paraId="7AFD3728">
            <w:pPr>
              <w:pStyle w:val="315"/>
              <w:spacing w:line="360" w:lineRule="auto"/>
              <w:ind w:firstLine="0"/>
              <w:rPr>
                <w:rFonts w:ascii="宋体" w:hAnsi="宋体"/>
                <w:color w:val="auto"/>
                <w:sz w:val="25"/>
                <w:highlight w:val="none"/>
              </w:rPr>
            </w:pPr>
          </w:p>
        </w:tc>
        <w:tc>
          <w:tcPr>
            <w:tcW w:w="919" w:type="dxa"/>
            <w:noWrap w:val="0"/>
            <w:vAlign w:val="top"/>
          </w:tcPr>
          <w:p w14:paraId="06EE25A1">
            <w:pPr>
              <w:pStyle w:val="315"/>
              <w:spacing w:line="360" w:lineRule="auto"/>
              <w:ind w:firstLine="0"/>
              <w:rPr>
                <w:rFonts w:ascii="宋体" w:hAnsi="宋体"/>
                <w:color w:val="auto"/>
                <w:sz w:val="25"/>
                <w:highlight w:val="none"/>
              </w:rPr>
            </w:pPr>
          </w:p>
        </w:tc>
        <w:tc>
          <w:tcPr>
            <w:tcW w:w="1123" w:type="dxa"/>
            <w:noWrap w:val="0"/>
            <w:vAlign w:val="top"/>
          </w:tcPr>
          <w:p w14:paraId="69AC17E7">
            <w:pPr>
              <w:pStyle w:val="315"/>
              <w:spacing w:line="360" w:lineRule="auto"/>
              <w:ind w:firstLine="0"/>
              <w:rPr>
                <w:rFonts w:ascii="宋体" w:hAnsi="宋体"/>
                <w:color w:val="auto"/>
                <w:sz w:val="25"/>
                <w:highlight w:val="none"/>
              </w:rPr>
            </w:pPr>
          </w:p>
        </w:tc>
        <w:tc>
          <w:tcPr>
            <w:tcW w:w="1122" w:type="dxa"/>
            <w:noWrap w:val="0"/>
            <w:vAlign w:val="top"/>
          </w:tcPr>
          <w:p w14:paraId="457E4215">
            <w:pPr>
              <w:pStyle w:val="315"/>
              <w:spacing w:line="360" w:lineRule="auto"/>
              <w:ind w:firstLine="0"/>
              <w:rPr>
                <w:rFonts w:ascii="宋体" w:hAnsi="宋体"/>
                <w:color w:val="auto"/>
                <w:sz w:val="25"/>
                <w:highlight w:val="none"/>
              </w:rPr>
            </w:pPr>
          </w:p>
        </w:tc>
        <w:tc>
          <w:tcPr>
            <w:tcW w:w="1715" w:type="dxa"/>
            <w:noWrap w:val="0"/>
            <w:vAlign w:val="top"/>
          </w:tcPr>
          <w:p w14:paraId="18CD5D27">
            <w:pPr>
              <w:pStyle w:val="315"/>
              <w:spacing w:line="360" w:lineRule="auto"/>
              <w:ind w:firstLine="0"/>
              <w:rPr>
                <w:rFonts w:ascii="宋体" w:hAnsi="宋体"/>
                <w:color w:val="auto"/>
                <w:sz w:val="25"/>
                <w:highlight w:val="none"/>
              </w:rPr>
            </w:pPr>
          </w:p>
        </w:tc>
      </w:tr>
      <w:tr w14:paraId="7975D4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6" w:hRule="atLeast"/>
        </w:trPr>
        <w:tc>
          <w:tcPr>
            <w:tcW w:w="519" w:type="dxa"/>
            <w:noWrap w:val="0"/>
            <w:vAlign w:val="top"/>
          </w:tcPr>
          <w:p w14:paraId="0C150228">
            <w:pPr>
              <w:pStyle w:val="315"/>
              <w:spacing w:line="360" w:lineRule="auto"/>
              <w:ind w:firstLine="0"/>
              <w:rPr>
                <w:rFonts w:ascii="宋体" w:hAnsi="宋体"/>
                <w:color w:val="auto"/>
                <w:sz w:val="25"/>
                <w:highlight w:val="none"/>
              </w:rPr>
            </w:pPr>
          </w:p>
        </w:tc>
        <w:tc>
          <w:tcPr>
            <w:tcW w:w="1735" w:type="dxa"/>
            <w:noWrap w:val="0"/>
            <w:vAlign w:val="top"/>
          </w:tcPr>
          <w:p w14:paraId="700A4C4D">
            <w:pPr>
              <w:pStyle w:val="315"/>
              <w:spacing w:line="360" w:lineRule="auto"/>
              <w:ind w:firstLine="0"/>
              <w:rPr>
                <w:rFonts w:ascii="宋体" w:hAnsi="宋体"/>
                <w:color w:val="auto"/>
                <w:sz w:val="25"/>
                <w:highlight w:val="none"/>
              </w:rPr>
            </w:pPr>
          </w:p>
        </w:tc>
        <w:tc>
          <w:tcPr>
            <w:tcW w:w="714" w:type="dxa"/>
            <w:noWrap w:val="0"/>
            <w:vAlign w:val="top"/>
          </w:tcPr>
          <w:p w14:paraId="7F665808">
            <w:pPr>
              <w:pStyle w:val="315"/>
              <w:spacing w:line="360" w:lineRule="auto"/>
              <w:ind w:firstLine="0"/>
              <w:rPr>
                <w:rFonts w:ascii="宋体" w:hAnsi="宋体"/>
                <w:color w:val="auto"/>
                <w:sz w:val="25"/>
                <w:highlight w:val="none"/>
              </w:rPr>
            </w:pPr>
          </w:p>
        </w:tc>
        <w:tc>
          <w:tcPr>
            <w:tcW w:w="715" w:type="dxa"/>
            <w:noWrap w:val="0"/>
            <w:vAlign w:val="top"/>
          </w:tcPr>
          <w:p w14:paraId="099ACC09">
            <w:pPr>
              <w:pStyle w:val="315"/>
              <w:spacing w:line="360" w:lineRule="auto"/>
              <w:ind w:firstLine="0"/>
              <w:rPr>
                <w:rFonts w:ascii="宋体" w:hAnsi="宋体"/>
                <w:color w:val="auto"/>
                <w:sz w:val="25"/>
                <w:highlight w:val="none"/>
              </w:rPr>
            </w:pPr>
          </w:p>
        </w:tc>
        <w:tc>
          <w:tcPr>
            <w:tcW w:w="918" w:type="dxa"/>
            <w:noWrap w:val="0"/>
            <w:vAlign w:val="top"/>
          </w:tcPr>
          <w:p w14:paraId="4E7A971C">
            <w:pPr>
              <w:pStyle w:val="315"/>
              <w:spacing w:line="360" w:lineRule="auto"/>
              <w:ind w:firstLine="0"/>
              <w:rPr>
                <w:rFonts w:ascii="宋体" w:hAnsi="宋体"/>
                <w:color w:val="auto"/>
                <w:sz w:val="25"/>
                <w:highlight w:val="none"/>
              </w:rPr>
            </w:pPr>
          </w:p>
        </w:tc>
        <w:tc>
          <w:tcPr>
            <w:tcW w:w="919" w:type="dxa"/>
            <w:noWrap w:val="0"/>
            <w:vAlign w:val="top"/>
          </w:tcPr>
          <w:p w14:paraId="756809C4">
            <w:pPr>
              <w:pStyle w:val="315"/>
              <w:spacing w:line="360" w:lineRule="auto"/>
              <w:ind w:firstLine="0"/>
              <w:rPr>
                <w:rFonts w:ascii="宋体" w:hAnsi="宋体"/>
                <w:color w:val="auto"/>
                <w:sz w:val="25"/>
                <w:highlight w:val="none"/>
              </w:rPr>
            </w:pPr>
          </w:p>
        </w:tc>
        <w:tc>
          <w:tcPr>
            <w:tcW w:w="1123" w:type="dxa"/>
            <w:noWrap w:val="0"/>
            <w:vAlign w:val="top"/>
          </w:tcPr>
          <w:p w14:paraId="308705F5">
            <w:pPr>
              <w:pStyle w:val="315"/>
              <w:spacing w:line="360" w:lineRule="auto"/>
              <w:ind w:firstLine="0"/>
              <w:rPr>
                <w:rFonts w:ascii="宋体" w:hAnsi="宋体"/>
                <w:color w:val="auto"/>
                <w:sz w:val="25"/>
                <w:highlight w:val="none"/>
              </w:rPr>
            </w:pPr>
          </w:p>
        </w:tc>
        <w:tc>
          <w:tcPr>
            <w:tcW w:w="1122" w:type="dxa"/>
            <w:noWrap w:val="0"/>
            <w:vAlign w:val="top"/>
          </w:tcPr>
          <w:p w14:paraId="2B83A834">
            <w:pPr>
              <w:pStyle w:val="315"/>
              <w:spacing w:line="360" w:lineRule="auto"/>
              <w:ind w:firstLine="0"/>
              <w:rPr>
                <w:rFonts w:ascii="宋体" w:hAnsi="宋体"/>
                <w:color w:val="auto"/>
                <w:sz w:val="25"/>
                <w:highlight w:val="none"/>
              </w:rPr>
            </w:pPr>
          </w:p>
        </w:tc>
        <w:tc>
          <w:tcPr>
            <w:tcW w:w="1715" w:type="dxa"/>
            <w:noWrap w:val="0"/>
            <w:vAlign w:val="top"/>
          </w:tcPr>
          <w:p w14:paraId="6B348633">
            <w:pPr>
              <w:pStyle w:val="315"/>
              <w:spacing w:line="360" w:lineRule="auto"/>
              <w:ind w:firstLine="0"/>
              <w:rPr>
                <w:rFonts w:ascii="宋体" w:hAnsi="宋体"/>
                <w:color w:val="auto"/>
                <w:sz w:val="25"/>
                <w:highlight w:val="none"/>
              </w:rPr>
            </w:pPr>
          </w:p>
        </w:tc>
      </w:tr>
      <w:tr w14:paraId="6008F6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6" w:hRule="atLeast"/>
        </w:trPr>
        <w:tc>
          <w:tcPr>
            <w:tcW w:w="519" w:type="dxa"/>
            <w:noWrap w:val="0"/>
            <w:vAlign w:val="top"/>
          </w:tcPr>
          <w:p w14:paraId="09FA79D0">
            <w:pPr>
              <w:pStyle w:val="315"/>
              <w:spacing w:line="360" w:lineRule="auto"/>
              <w:ind w:firstLine="0"/>
              <w:rPr>
                <w:rFonts w:ascii="宋体" w:hAnsi="宋体"/>
                <w:color w:val="auto"/>
                <w:sz w:val="25"/>
                <w:highlight w:val="none"/>
              </w:rPr>
            </w:pPr>
          </w:p>
        </w:tc>
        <w:tc>
          <w:tcPr>
            <w:tcW w:w="1735" w:type="dxa"/>
            <w:noWrap w:val="0"/>
            <w:vAlign w:val="top"/>
          </w:tcPr>
          <w:p w14:paraId="5B100D3B">
            <w:pPr>
              <w:pStyle w:val="315"/>
              <w:spacing w:line="360" w:lineRule="auto"/>
              <w:ind w:firstLine="0"/>
              <w:rPr>
                <w:rFonts w:ascii="宋体" w:hAnsi="宋体"/>
                <w:color w:val="auto"/>
                <w:sz w:val="25"/>
                <w:highlight w:val="none"/>
              </w:rPr>
            </w:pPr>
          </w:p>
        </w:tc>
        <w:tc>
          <w:tcPr>
            <w:tcW w:w="714" w:type="dxa"/>
            <w:noWrap w:val="0"/>
            <w:vAlign w:val="top"/>
          </w:tcPr>
          <w:p w14:paraId="64FA0E12">
            <w:pPr>
              <w:pStyle w:val="315"/>
              <w:spacing w:line="360" w:lineRule="auto"/>
              <w:ind w:firstLine="0"/>
              <w:rPr>
                <w:rFonts w:ascii="宋体" w:hAnsi="宋体"/>
                <w:color w:val="auto"/>
                <w:sz w:val="25"/>
                <w:highlight w:val="none"/>
              </w:rPr>
            </w:pPr>
          </w:p>
        </w:tc>
        <w:tc>
          <w:tcPr>
            <w:tcW w:w="715" w:type="dxa"/>
            <w:noWrap w:val="0"/>
            <w:vAlign w:val="top"/>
          </w:tcPr>
          <w:p w14:paraId="58855A75">
            <w:pPr>
              <w:pStyle w:val="315"/>
              <w:spacing w:line="360" w:lineRule="auto"/>
              <w:ind w:firstLine="0"/>
              <w:rPr>
                <w:rFonts w:ascii="宋体" w:hAnsi="宋体"/>
                <w:color w:val="auto"/>
                <w:sz w:val="25"/>
                <w:highlight w:val="none"/>
              </w:rPr>
            </w:pPr>
          </w:p>
        </w:tc>
        <w:tc>
          <w:tcPr>
            <w:tcW w:w="918" w:type="dxa"/>
            <w:noWrap w:val="0"/>
            <w:vAlign w:val="top"/>
          </w:tcPr>
          <w:p w14:paraId="567D5070">
            <w:pPr>
              <w:pStyle w:val="315"/>
              <w:spacing w:line="360" w:lineRule="auto"/>
              <w:ind w:firstLine="0"/>
              <w:rPr>
                <w:rFonts w:ascii="宋体" w:hAnsi="宋体"/>
                <w:color w:val="auto"/>
                <w:sz w:val="25"/>
                <w:highlight w:val="none"/>
              </w:rPr>
            </w:pPr>
          </w:p>
        </w:tc>
        <w:tc>
          <w:tcPr>
            <w:tcW w:w="919" w:type="dxa"/>
            <w:noWrap w:val="0"/>
            <w:vAlign w:val="top"/>
          </w:tcPr>
          <w:p w14:paraId="3C6B7C2F">
            <w:pPr>
              <w:pStyle w:val="315"/>
              <w:spacing w:line="360" w:lineRule="auto"/>
              <w:ind w:firstLine="0"/>
              <w:rPr>
                <w:rFonts w:ascii="宋体" w:hAnsi="宋体"/>
                <w:color w:val="auto"/>
                <w:sz w:val="25"/>
                <w:highlight w:val="none"/>
              </w:rPr>
            </w:pPr>
          </w:p>
        </w:tc>
        <w:tc>
          <w:tcPr>
            <w:tcW w:w="1123" w:type="dxa"/>
            <w:noWrap w:val="0"/>
            <w:vAlign w:val="top"/>
          </w:tcPr>
          <w:p w14:paraId="1788AE5C">
            <w:pPr>
              <w:pStyle w:val="315"/>
              <w:spacing w:line="360" w:lineRule="auto"/>
              <w:ind w:firstLine="0"/>
              <w:rPr>
                <w:rFonts w:ascii="宋体" w:hAnsi="宋体"/>
                <w:color w:val="auto"/>
                <w:sz w:val="25"/>
                <w:highlight w:val="none"/>
              </w:rPr>
            </w:pPr>
          </w:p>
        </w:tc>
        <w:tc>
          <w:tcPr>
            <w:tcW w:w="1122" w:type="dxa"/>
            <w:noWrap w:val="0"/>
            <w:vAlign w:val="top"/>
          </w:tcPr>
          <w:p w14:paraId="3CF81D16">
            <w:pPr>
              <w:pStyle w:val="315"/>
              <w:spacing w:line="360" w:lineRule="auto"/>
              <w:ind w:firstLine="0"/>
              <w:rPr>
                <w:rFonts w:ascii="宋体" w:hAnsi="宋体"/>
                <w:color w:val="auto"/>
                <w:sz w:val="25"/>
                <w:highlight w:val="none"/>
              </w:rPr>
            </w:pPr>
          </w:p>
        </w:tc>
        <w:tc>
          <w:tcPr>
            <w:tcW w:w="1715" w:type="dxa"/>
            <w:noWrap w:val="0"/>
            <w:vAlign w:val="top"/>
          </w:tcPr>
          <w:p w14:paraId="76C36EDF">
            <w:pPr>
              <w:pStyle w:val="315"/>
              <w:spacing w:line="360" w:lineRule="auto"/>
              <w:ind w:firstLine="0"/>
              <w:rPr>
                <w:rFonts w:ascii="宋体" w:hAnsi="宋体"/>
                <w:color w:val="auto"/>
                <w:sz w:val="25"/>
                <w:highlight w:val="none"/>
              </w:rPr>
            </w:pPr>
          </w:p>
        </w:tc>
      </w:tr>
      <w:tr w14:paraId="17066C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6" w:hRule="atLeast"/>
        </w:trPr>
        <w:tc>
          <w:tcPr>
            <w:tcW w:w="519" w:type="dxa"/>
            <w:noWrap w:val="0"/>
            <w:vAlign w:val="top"/>
          </w:tcPr>
          <w:p w14:paraId="1D804097">
            <w:pPr>
              <w:pStyle w:val="315"/>
              <w:spacing w:line="360" w:lineRule="auto"/>
              <w:ind w:firstLine="0"/>
              <w:rPr>
                <w:rFonts w:ascii="宋体" w:hAnsi="宋体"/>
                <w:color w:val="auto"/>
                <w:sz w:val="25"/>
                <w:highlight w:val="none"/>
              </w:rPr>
            </w:pPr>
          </w:p>
        </w:tc>
        <w:tc>
          <w:tcPr>
            <w:tcW w:w="1735" w:type="dxa"/>
            <w:noWrap w:val="0"/>
            <w:vAlign w:val="top"/>
          </w:tcPr>
          <w:p w14:paraId="35AAC27A">
            <w:pPr>
              <w:pStyle w:val="315"/>
              <w:spacing w:line="360" w:lineRule="auto"/>
              <w:ind w:firstLine="0"/>
              <w:rPr>
                <w:rFonts w:ascii="宋体" w:hAnsi="宋体"/>
                <w:color w:val="auto"/>
                <w:sz w:val="25"/>
                <w:highlight w:val="none"/>
              </w:rPr>
            </w:pPr>
          </w:p>
        </w:tc>
        <w:tc>
          <w:tcPr>
            <w:tcW w:w="714" w:type="dxa"/>
            <w:noWrap w:val="0"/>
            <w:vAlign w:val="top"/>
          </w:tcPr>
          <w:p w14:paraId="0488B41D">
            <w:pPr>
              <w:pStyle w:val="315"/>
              <w:spacing w:line="360" w:lineRule="auto"/>
              <w:ind w:firstLine="0"/>
              <w:rPr>
                <w:rFonts w:ascii="宋体" w:hAnsi="宋体"/>
                <w:color w:val="auto"/>
                <w:sz w:val="25"/>
                <w:highlight w:val="none"/>
              </w:rPr>
            </w:pPr>
          </w:p>
        </w:tc>
        <w:tc>
          <w:tcPr>
            <w:tcW w:w="715" w:type="dxa"/>
            <w:noWrap w:val="0"/>
            <w:vAlign w:val="top"/>
          </w:tcPr>
          <w:p w14:paraId="0D309B2C">
            <w:pPr>
              <w:pStyle w:val="315"/>
              <w:spacing w:line="360" w:lineRule="auto"/>
              <w:ind w:firstLine="0"/>
              <w:rPr>
                <w:rFonts w:ascii="宋体" w:hAnsi="宋体"/>
                <w:color w:val="auto"/>
                <w:sz w:val="25"/>
                <w:highlight w:val="none"/>
              </w:rPr>
            </w:pPr>
          </w:p>
        </w:tc>
        <w:tc>
          <w:tcPr>
            <w:tcW w:w="918" w:type="dxa"/>
            <w:noWrap w:val="0"/>
            <w:vAlign w:val="top"/>
          </w:tcPr>
          <w:p w14:paraId="060E23D7">
            <w:pPr>
              <w:pStyle w:val="315"/>
              <w:spacing w:line="360" w:lineRule="auto"/>
              <w:ind w:firstLine="0"/>
              <w:rPr>
                <w:rFonts w:ascii="宋体" w:hAnsi="宋体"/>
                <w:color w:val="auto"/>
                <w:sz w:val="25"/>
                <w:highlight w:val="none"/>
              </w:rPr>
            </w:pPr>
          </w:p>
        </w:tc>
        <w:tc>
          <w:tcPr>
            <w:tcW w:w="919" w:type="dxa"/>
            <w:noWrap w:val="0"/>
            <w:vAlign w:val="top"/>
          </w:tcPr>
          <w:p w14:paraId="7EE7798E">
            <w:pPr>
              <w:pStyle w:val="315"/>
              <w:spacing w:line="360" w:lineRule="auto"/>
              <w:ind w:firstLine="0"/>
              <w:rPr>
                <w:rFonts w:ascii="宋体" w:hAnsi="宋体"/>
                <w:color w:val="auto"/>
                <w:sz w:val="25"/>
                <w:highlight w:val="none"/>
              </w:rPr>
            </w:pPr>
          </w:p>
        </w:tc>
        <w:tc>
          <w:tcPr>
            <w:tcW w:w="1123" w:type="dxa"/>
            <w:noWrap w:val="0"/>
            <w:vAlign w:val="top"/>
          </w:tcPr>
          <w:p w14:paraId="2CAE7901">
            <w:pPr>
              <w:pStyle w:val="315"/>
              <w:spacing w:line="360" w:lineRule="auto"/>
              <w:ind w:firstLine="0"/>
              <w:rPr>
                <w:rFonts w:ascii="宋体" w:hAnsi="宋体"/>
                <w:color w:val="auto"/>
                <w:sz w:val="25"/>
                <w:highlight w:val="none"/>
              </w:rPr>
            </w:pPr>
          </w:p>
        </w:tc>
        <w:tc>
          <w:tcPr>
            <w:tcW w:w="1122" w:type="dxa"/>
            <w:noWrap w:val="0"/>
            <w:vAlign w:val="top"/>
          </w:tcPr>
          <w:p w14:paraId="7C0C1717">
            <w:pPr>
              <w:pStyle w:val="315"/>
              <w:spacing w:line="360" w:lineRule="auto"/>
              <w:ind w:firstLine="0"/>
              <w:rPr>
                <w:rFonts w:ascii="宋体" w:hAnsi="宋体"/>
                <w:color w:val="auto"/>
                <w:sz w:val="25"/>
                <w:highlight w:val="none"/>
              </w:rPr>
            </w:pPr>
          </w:p>
        </w:tc>
        <w:tc>
          <w:tcPr>
            <w:tcW w:w="1715" w:type="dxa"/>
            <w:noWrap w:val="0"/>
            <w:vAlign w:val="top"/>
          </w:tcPr>
          <w:p w14:paraId="6A5B0D4B">
            <w:pPr>
              <w:pStyle w:val="315"/>
              <w:spacing w:line="360" w:lineRule="auto"/>
              <w:ind w:firstLine="0"/>
              <w:rPr>
                <w:rFonts w:ascii="宋体" w:hAnsi="宋体"/>
                <w:color w:val="auto"/>
                <w:sz w:val="25"/>
                <w:highlight w:val="none"/>
              </w:rPr>
            </w:pPr>
          </w:p>
        </w:tc>
      </w:tr>
    </w:tbl>
    <w:p w14:paraId="07596762">
      <w:pPr>
        <w:spacing w:line="360" w:lineRule="auto"/>
        <w:ind w:firstLine="490"/>
        <w:jc w:val="center"/>
        <w:rPr>
          <w:color w:val="auto"/>
          <w:highlight w:val="none"/>
        </w:rPr>
      </w:pPr>
    </w:p>
    <w:p w14:paraId="6D752553">
      <w:pPr>
        <w:spacing w:line="360" w:lineRule="auto"/>
        <w:jc w:val="center"/>
        <w:rPr>
          <w:rFonts w:hint="eastAsia" w:ascii="宋体" w:hAnsi="宋体"/>
          <w:bCs/>
          <w:color w:val="auto"/>
          <w:sz w:val="24"/>
          <w:highlight w:val="none"/>
        </w:rPr>
      </w:pPr>
    </w:p>
    <w:p w14:paraId="37AFC8FF">
      <w:pPr>
        <w:spacing w:line="360" w:lineRule="auto"/>
        <w:jc w:val="center"/>
        <w:rPr>
          <w:rFonts w:hint="eastAsia" w:ascii="宋体" w:hAnsi="宋体"/>
          <w:bCs/>
          <w:color w:val="auto"/>
          <w:sz w:val="24"/>
          <w:highlight w:val="none"/>
        </w:rPr>
      </w:pPr>
      <w:r>
        <w:rPr>
          <w:rFonts w:hint="eastAsia" w:ascii="宋体" w:hAnsi="宋体"/>
          <w:bCs/>
          <w:color w:val="auto"/>
          <w:sz w:val="24"/>
          <w:highlight w:val="none"/>
        </w:rPr>
        <w:t>主要施工人员表</w:t>
      </w:r>
    </w:p>
    <w:tbl>
      <w:tblPr>
        <w:tblStyle w:val="35"/>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855"/>
        <w:gridCol w:w="1855"/>
        <w:gridCol w:w="1855"/>
        <w:gridCol w:w="1856"/>
        <w:gridCol w:w="1856"/>
      </w:tblGrid>
      <w:tr w14:paraId="76C124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33" w:type="dxa"/>
            <w:noWrap w:val="0"/>
            <w:vAlign w:val="top"/>
          </w:tcPr>
          <w:p w14:paraId="7C9225F1">
            <w:pPr>
              <w:spacing w:line="360" w:lineRule="auto"/>
              <w:jc w:val="center"/>
              <w:rPr>
                <w:rFonts w:hint="eastAsia" w:ascii="宋体" w:hAnsi="宋体"/>
                <w:color w:val="auto"/>
                <w:sz w:val="24"/>
                <w:highlight w:val="none"/>
              </w:rPr>
            </w:pPr>
          </w:p>
        </w:tc>
        <w:tc>
          <w:tcPr>
            <w:tcW w:w="1933" w:type="dxa"/>
            <w:noWrap w:val="0"/>
            <w:vAlign w:val="top"/>
          </w:tcPr>
          <w:p w14:paraId="108D739C">
            <w:pPr>
              <w:spacing w:line="360" w:lineRule="auto"/>
              <w:jc w:val="center"/>
              <w:rPr>
                <w:rFonts w:hint="eastAsia" w:ascii="宋体" w:hAnsi="宋体"/>
                <w:color w:val="auto"/>
                <w:sz w:val="24"/>
                <w:highlight w:val="none"/>
              </w:rPr>
            </w:pPr>
          </w:p>
        </w:tc>
        <w:tc>
          <w:tcPr>
            <w:tcW w:w="1933" w:type="dxa"/>
            <w:noWrap w:val="0"/>
            <w:vAlign w:val="top"/>
          </w:tcPr>
          <w:p w14:paraId="3201FBCD">
            <w:pPr>
              <w:spacing w:line="360" w:lineRule="auto"/>
              <w:jc w:val="center"/>
              <w:rPr>
                <w:rFonts w:hint="eastAsia" w:ascii="宋体" w:hAnsi="宋体"/>
                <w:color w:val="auto"/>
                <w:sz w:val="24"/>
                <w:highlight w:val="none"/>
              </w:rPr>
            </w:pPr>
          </w:p>
        </w:tc>
        <w:tc>
          <w:tcPr>
            <w:tcW w:w="1934" w:type="dxa"/>
            <w:noWrap w:val="0"/>
            <w:vAlign w:val="top"/>
          </w:tcPr>
          <w:p w14:paraId="64DC3BDC">
            <w:pPr>
              <w:spacing w:line="360" w:lineRule="auto"/>
              <w:jc w:val="center"/>
              <w:rPr>
                <w:rFonts w:hint="eastAsia" w:ascii="宋体" w:hAnsi="宋体"/>
                <w:color w:val="auto"/>
                <w:sz w:val="24"/>
                <w:highlight w:val="none"/>
              </w:rPr>
            </w:pPr>
          </w:p>
        </w:tc>
        <w:tc>
          <w:tcPr>
            <w:tcW w:w="1934" w:type="dxa"/>
            <w:noWrap w:val="0"/>
            <w:vAlign w:val="top"/>
          </w:tcPr>
          <w:p w14:paraId="3EB2E7E4">
            <w:pPr>
              <w:spacing w:line="360" w:lineRule="auto"/>
              <w:jc w:val="center"/>
              <w:rPr>
                <w:rFonts w:hint="eastAsia" w:ascii="宋体" w:hAnsi="宋体"/>
                <w:color w:val="auto"/>
                <w:sz w:val="24"/>
                <w:highlight w:val="none"/>
              </w:rPr>
            </w:pPr>
          </w:p>
        </w:tc>
      </w:tr>
      <w:tr w14:paraId="4A3995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33" w:type="dxa"/>
            <w:noWrap w:val="0"/>
            <w:vAlign w:val="top"/>
          </w:tcPr>
          <w:p w14:paraId="52A344AC">
            <w:pPr>
              <w:spacing w:line="360" w:lineRule="auto"/>
              <w:jc w:val="center"/>
              <w:rPr>
                <w:rFonts w:hint="eastAsia" w:ascii="宋体" w:hAnsi="宋体"/>
                <w:color w:val="auto"/>
                <w:sz w:val="24"/>
                <w:highlight w:val="none"/>
              </w:rPr>
            </w:pPr>
          </w:p>
        </w:tc>
        <w:tc>
          <w:tcPr>
            <w:tcW w:w="1933" w:type="dxa"/>
            <w:noWrap w:val="0"/>
            <w:vAlign w:val="top"/>
          </w:tcPr>
          <w:p w14:paraId="04617C9C">
            <w:pPr>
              <w:spacing w:line="360" w:lineRule="auto"/>
              <w:jc w:val="center"/>
              <w:rPr>
                <w:rFonts w:hint="eastAsia" w:ascii="宋体" w:hAnsi="宋体"/>
                <w:color w:val="auto"/>
                <w:sz w:val="24"/>
                <w:highlight w:val="none"/>
              </w:rPr>
            </w:pPr>
          </w:p>
        </w:tc>
        <w:tc>
          <w:tcPr>
            <w:tcW w:w="1933" w:type="dxa"/>
            <w:noWrap w:val="0"/>
            <w:vAlign w:val="top"/>
          </w:tcPr>
          <w:p w14:paraId="0B6F2251">
            <w:pPr>
              <w:spacing w:line="360" w:lineRule="auto"/>
              <w:jc w:val="center"/>
              <w:rPr>
                <w:rFonts w:hint="eastAsia" w:ascii="宋体" w:hAnsi="宋体"/>
                <w:color w:val="auto"/>
                <w:sz w:val="24"/>
                <w:highlight w:val="none"/>
              </w:rPr>
            </w:pPr>
          </w:p>
        </w:tc>
        <w:tc>
          <w:tcPr>
            <w:tcW w:w="1934" w:type="dxa"/>
            <w:noWrap w:val="0"/>
            <w:vAlign w:val="top"/>
          </w:tcPr>
          <w:p w14:paraId="197E235A">
            <w:pPr>
              <w:spacing w:line="360" w:lineRule="auto"/>
              <w:jc w:val="center"/>
              <w:rPr>
                <w:rFonts w:hint="eastAsia" w:ascii="宋体" w:hAnsi="宋体"/>
                <w:color w:val="auto"/>
                <w:sz w:val="24"/>
                <w:highlight w:val="none"/>
              </w:rPr>
            </w:pPr>
          </w:p>
        </w:tc>
        <w:tc>
          <w:tcPr>
            <w:tcW w:w="1934" w:type="dxa"/>
            <w:noWrap w:val="0"/>
            <w:vAlign w:val="top"/>
          </w:tcPr>
          <w:p w14:paraId="7F69DF3B">
            <w:pPr>
              <w:spacing w:line="360" w:lineRule="auto"/>
              <w:jc w:val="center"/>
              <w:rPr>
                <w:rFonts w:hint="eastAsia" w:ascii="宋体" w:hAnsi="宋体"/>
                <w:color w:val="auto"/>
                <w:sz w:val="24"/>
                <w:highlight w:val="none"/>
              </w:rPr>
            </w:pPr>
          </w:p>
        </w:tc>
      </w:tr>
      <w:tr w14:paraId="3861E6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33" w:type="dxa"/>
            <w:noWrap w:val="0"/>
            <w:vAlign w:val="top"/>
          </w:tcPr>
          <w:p w14:paraId="08E32DE7">
            <w:pPr>
              <w:spacing w:line="360" w:lineRule="auto"/>
              <w:jc w:val="center"/>
              <w:rPr>
                <w:rFonts w:hint="eastAsia" w:ascii="宋体" w:hAnsi="宋体"/>
                <w:color w:val="auto"/>
                <w:sz w:val="24"/>
                <w:highlight w:val="none"/>
              </w:rPr>
            </w:pPr>
          </w:p>
        </w:tc>
        <w:tc>
          <w:tcPr>
            <w:tcW w:w="1933" w:type="dxa"/>
            <w:noWrap w:val="0"/>
            <w:vAlign w:val="top"/>
          </w:tcPr>
          <w:p w14:paraId="77121F51">
            <w:pPr>
              <w:spacing w:line="360" w:lineRule="auto"/>
              <w:jc w:val="center"/>
              <w:rPr>
                <w:rFonts w:hint="eastAsia" w:ascii="宋体" w:hAnsi="宋体"/>
                <w:color w:val="auto"/>
                <w:sz w:val="24"/>
                <w:highlight w:val="none"/>
              </w:rPr>
            </w:pPr>
          </w:p>
        </w:tc>
        <w:tc>
          <w:tcPr>
            <w:tcW w:w="1933" w:type="dxa"/>
            <w:noWrap w:val="0"/>
            <w:vAlign w:val="top"/>
          </w:tcPr>
          <w:p w14:paraId="0E4355EE">
            <w:pPr>
              <w:spacing w:line="360" w:lineRule="auto"/>
              <w:jc w:val="center"/>
              <w:rPr>
                <w:rFonts w:hint="eastAsia" w:ascii="宋体" w:hAnsi="宋体"/>
                <w:color w:val="auto"/>
                <w:sz w:val="24"/>
                <w:highlight w:val="none"/>
              </w:rPr>
            </w:pPr>
          </w:p>
        </w:tc>
        <w:tc>
          <w:tcPr>
            <w:tcW w:w="1934" w:type="dxa"/>
            <w:noWrap w:val="0"/>
            <w:vAlign w:val="top"/>
          </w:tcPr>
          <w:p w14:paraId="40D3507D">
            <w:pPr>
              <w:spacing w:line="360" w:lineRule="auto"/>
              <w:jc w:val="center"/>
              <w:rPr>
                <w:rFonts w:hint="eastAsia" w:ascii="宋体" w:hAnsi="宋体"/>
                <w:color w:val="auto"/>
                <w:sz w:val="24"/>
                <w:highlight w:val="none"/>
              </w:rPr>
            </w:pPr>
          </w:p>
        </w:tc>
        <w:tc>
          <w:tcPr>
            <w:tcW w:w="1934" w:type="dxa"/>
            <w:noWrap w:val="0"/>
            <w:vAlign w:val="top"/>
          </w:tcPr>
          <w:p w14:paraId="5954392D">
            <w:pPr>
              <w:spacing w:line="360" w:lineRule="auto"/>
              <w:jc w:val="center"/>
              <w:rPr>
                <w:rFonts w:hint="eastAsia" w:ascii="宋体" w:hAnsi="宋体"/>
                <w:color w:val="auto"/>
                <w:sz w:val="24"/>
                <w:highlight w:val="none"/>
              </w:rPr>
            </w:pPr>
          </w:p>
        </w:tc>
      </w:tr>
      <w:tr w14:paraId="179C28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33" w:type="dxa"/>
            <w:noWrap w:val="0"/>
            <w:vAlign w:val="top"/>
          </w:tcPr>
          <w:p w14:paraId="2AF66C4E">
            <w:pPr>
              <w:spacing w:line="360" w:lineRule="auto"/>
              <w:jc w:val="center"/>
              <w:rPr>
                <w:rFonts w:hint="eastAsia" w:ascii="宋体" w:hAnsi="宋体"/>
                <w:color w:val="auto"/>
                <w:sz w:val="24"/>
                <w:highlight w:val="none"/>
              </w:rPr>
            </w:pPr>
          </w:p>
        </w:tc>
        <w:tc>
          <w:tcPr>
            <w:tcW w:w="1933" w:type="dxa"/>
            <w:noWrap w:val="0"/>
            <w:vAlign w:val="top"/>
          </w:tcPr>
          <w:p w14:paraId="4614DCB6">
            <w:pPr>
              <w:spacing w:line="360" w:lineRule="auto"/>
              <w:jc w:val="center"/>
              <w:rPr>
                <w:rFonts w:hint="eastAsia" w:ascii="宋体" w:hAnsi="宋体"/>
                <w:color w:val="auto"/>
                <w:sz w:val="24"/>
                <w:highlight w:val="none"/>
              </w:rPr>
            </w:pPr>
          </w:p>
        </w:tc>
        <w:tc>
          <w:tcPr>
            <w:tcW w:w="1933" w:type="dxa"/>
            <w:noWrap w:val="0"/>
            <w:vAlign w:val="top"/>
          </w:tcPr>
          <w:p w14:paraId="5E36079D">
            <w:pPr>
              <w:spacing w:line="360" w:lineRule="auto"/>
              <w:jc w:val="center"/>
              <w:rPr>
                <w:rFonts w:hint="eastAsia" w:ascii="宋体" w:hAnsi="宋体"/>
                <w:color w:val="auto"/>
                <w:sz w:val="24"/>
                <w:highlight w:val="none"/>
              </w:rPr>
            </w:pPr>
          </w:p>
        </w:tc>
        <w:tc>
          <w:tcPr>
            <w:tcW w:w="1934" w:type="dxa"/>
            <w:noWrap w:val="0"/>
            <w:vAlign w:val="top"/>
          </w:tcPr>
          <w:p w14:paraId="1F1EB750">
            <w:pPr>
              <w:spacing w:line="360" w:lineRule="auto"/>
              <w:jc w:val="center"/>
              <w:rPr>
                <w:rFonts w:hint="eastAsia" w:ascii="宋体" w:hAnsi="宋体"/>
                <w:color w:val="auto"/>
                <w:sz w:val="24"/>
                <w:highlight w:val="none"/>
              </w:rPr>
            </w:pPr>
          </w:p>
        </w:tc>
        <w:tc>
          <w:tcPr>
            <w:tcW w:w="1934" w:type="dxa"/>
            <w:noWrap w:val="0"/>
            <w:vAlign w:val="top"/>
          </w:tcPr>
          <w:p w14:paraId="2E35D32B">
            <w:pPr>
              <w:spacing w:line="360" w:lineRule="auto"/>
              <w:jc w:val="center"/>
              <w:rPr>
                <w:rFonts w:hint="eastAsia" w:ascii="宋体" w:hAnsi="宋体"/>
                <w:color w:val="auto"/>
                <w:sz w:val="24"/>
                <w:highlight w:val="none"/>
              </w:rPr>
            </w:pPr>
          </w:p>
        </w:tc>
      </w:tr>
      <w:tr w14:paraId="44493A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33" w:type="dxa"/>
            <w:noWrap w:val="0"/>
            <w:vAlign w:val="top"/>
          </w:tcPr>
          <w:p w14:paraId="6AA7E2AA">
            <w:pPr>
              <w:spacing w:line="360" w:lineRule="auto"/>
              <w:jc w:val="center"/>
              <w:rPr>
                <w:rFonts w:hint="eastAsia" w:ascii="宋体" w:hAnsi="宋体"/>
                <w:color w:val="auto"/>
                <w:sz w:val="24"/>
                <w:highlight w:val="none"/>
              </w:rPr>
            </w:pPr>
          </w:p>
        </w:tc>
        <w:tc>
          <w:tcPr>
            <w:tcW w:w="1933" w:type="dxa"/>
            <w:noWrap w:val="0"/>
            <w:vAlign w:val="top"/>
          </w:tcPr>
          <w:p w14:paraId="63CBCA18">
            <w:pPr>
              <w:spacing w:line="360" w:lineRule="auto"/>
              <w:jc w:val="center"/>
              <w:rPr>
                <w:rFonts w:hint="eastAsia" w:ascii="宋体" w:hAnsi="宋体"/>
                <w:color w:val="auto"/>
                <w:sz w:val="24"/>
                <w:highlight w:val="none"/>
              </w:rPr>
            </w:pPr>
          </w:p>
        </w:tc>
        <w:tc>
          <w:tcPr>
            <w:tcW w:w="1933" w:type="dxa"/>
            <w:noWrap w:val="0"/>
            <w:vAlign w:val="top"/>
          </w:tcPr>
          <w:p w14:paraId="54D8AC10">
            <w:pPr>
              <w:spacing w:line="360" w:lineRule="auto"/>
              <w:jc w:val="center"/>
              <w:rPr>
                <w:rFonts w:hint="eastAsia" w:ascii="宋体" w:hAnsi="宋体"/>
                <w:color w:val="auto"/>
                <w:sz w:val="24"/>
                <w:highlight w:val="none"/>
              </w:rPr>
            </w:pPr>
          </w:p>
        </w:tc>
        <w:tc>
          <w:tcPr>
            <w:tcW w:w="1934" w:type="dxa"/>
            <w:noWrap w:val="0"/>
            <w:vAlign w:val="top"/>
          </w:tcPr>
          <w:p w14:paraId="15C07346">
            <w:pPr>
              <w:spacing w:line="360" w:lineRule="auto"/>
              <w:jc w:val="center"/>
              <w:rPr>
                <w:rFonts w:hint="eastAsia" w:ascii="宋体" w:hAnsi="宋体"/>
                <w:color w:val="auto"/>
                <w:sz w:val="24"/>
                <w:highlight w:val="none"/>
              </w:rPr>
            </w:pPr>
          </w:p>
        </w:tc>
        <w:tc>
          <w:tcPr>
            <w:tcW w:w="1934" w:type="dxa"/>
            <w:noWrap w:val="0"/>
            <w:vAlign w:val="top"/>
          </w:tcPr>
          <w:p w14:paraId="7E845847">
            <w:pPr>
              <w:spacing w:line="360" w:lineRule="auto"/>
              <w:jc w:val="center"/>
              <w:rPr>
                <w:rFonts w:hint="eastAsia" w:ascii="宋体" w:hAnsi="宋体"/>
                <w:color w:val="auto"/>
                <w:sz w:val="24"/>
                <w:highlight w:val="none"/>
              </w:rPr>
            </w:pPr>
          </w:p>
        </w:tc>
      </w:tr>
    </w:tbl>
    <w:p w14:paraId="641C3C9E">
      <w:pPr>
        <w:pStyle w:val="316"/>
        <w:ind w:left="0" w:firstLine="0"/>
        <w:jc w:val="both"/>
        <w:rPr>
          <w:rFonts w:hint="eastAsia"/>
          <w:color w:val="auto"/>
          <w:highlight w:val="none"/>
        </w:rPr>
      </w:pPr>
      <w:r>
        <w:rPr>
          <w:rFonts w:hint="eastAsia" w:ascii="宋体" w:hAnsi="宋体"/>
          <w:color w:val="auto"/>
          <w:sz w:val="24"/>
          <w:highlight w:val="none"/>
        </w:rPr>
        <w:br w:type="page" w:clear="all"/>
      </w:r>
      <w:r>
        <w:rPr>
          <w:rFonts w:hint="eastAsia" w:ascii="宋体" w:hAnsi="宋体" w:eastAsia="宋体" w:cs="宋体"/>
          <w:color w:val="auto"/>
          <w:sz w:val="24"/>
          <w:szCs w:val="22"/>
          <w:highlight w:val="none"/>
          <w:lang w:val="zh-CN" w:eastAsia="zh-CN" w:bidi="ar-SA"/>
        </w:rPr>
        <w:t>附件</w:t>
      </w:r>
      <w:r>
        <w:rPr>
          <w:rFonts w:hint="eastAsia" w:ascii="宋体" w:hAnsi="宋体" w:eastAsia="宋体" w:cs="宋体"/>
          <w:color w:val="auto"/>
          <w:sz w:val="24"/>
          <w:szCs w:val="22"/>
          <w:highlight w:val="none"/>
          <w:lang w:val="en-US" w:eastAsia="zh-CN" w:bidi="ar-SA"/>
        </w:rPr>
        <w:t>14</w:t>
      </w:r>
    </w:p>
    <w:p w14:paraId="2CBCD181">
      <w:pPr>
        <w:keepNext w:val="0"/>
        <w:keepLines w:val="0"/>
        <w:pageBreakBefore w:val="0"/>
        <w:widowControl w:val="0"/>
        <w:spacing w:line="360" w:lineRule="auto"/>
        <w:jc w:val="center"/>
        <w:rPr>
          <w:rFonts w:hint="eastAsia" w:ascii="宋体" w:hAnsi="宋体" w:cs="宋体"/>
          <w:b/>
          <w:bCs/>
          <w:color w:val="auto"/>
          <w:sz w:val="24"/>
          <w:highlight w:val="none"/>
        </w:rPr>
      </w:pPr>
      <w:r>
        <w:rPr>
          <w:rFonts w:hint="eastAsia" w:ascii="宋体" w:hAnsi="宋体" w:cs="宋体"/>
          <w:b/>
          <w:bCs/>
          <w:color w:val="auto"/>
          <w:sz w:val="24"/>
          <w:highlight w:val="none"/>
        </w:rPr>
        <w:t>中小企业声明函（工程、服务）</w:t>
      </w:r>
    </w:p>
    <w:p w14:paraId="5ABEA005">
      <w:pPr>
        <w:keepNext w:val="0"/>
        <w:keepLines w:val="0"/>
        <w:pageBreakBefore w:val="0"/>
        <w:widowControl w:val="0"/>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 体中的中小企业、签订分包意向协议的中小企业）的具体情况如下：</w:t>
      </w:r>
    </w:p>
    <w:p w14:paraId="0DEC1C43">
      <w:pPr>
        <w:keepNext w:val="0"/>
        <w:keepLines w:val="0"/>
        <w:pageBreakBefore w:val="0"/>
        <w:widowControl w:val="0"/>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 xml:space="preserve">1.（标的名称），属于（采购文件中明确的所属行业）；承建（承接）企业为（企业名称），从业人员 </w:t>
      </w:r>
      <w:r>
        <w:rPr>
          <w:rFonts w:hint="eastAsia" w:ascii="宋体" w:hAnsi="宋体" w:cs="宋体"/>
          <w:color w:val="auto"/>
          <w:sz w:val="24"/>
          <w:highlight w:val="none"/>
        </w:rPr>
        <w:tab/>
      </w:r>
      <w:r>
        <w:rPr>
          <w:rFonts w:hint="eastAsia" w:ascii="宋体" w:hAnsi="宋体" w:cs="宋体"/>
          <w:color w:val="auto"/>
          <w:sz w:val="24"/>
          <w:highlight w:val="none"/>
        </w:rPr>
        <w:t xml:space="preserve">人，营业收入为 </w:t>
      </w:r>
      <w:r>
        <w:rPr>
          <w:rFonts w:hint="eastAsia" w:ascii="宋体" w:hAnsi="宋体" w:cs="宋体"/>
          <w:color w:val="auto"/>
          <w:sz w:val="24"/>
          <w:highlight w:val="none"/>
        </w:rPr>
        <w:tab/>
      </w:r>
      <w:r>
        <w:rPr>
          <w:rFonts w:hint="eastAsia" w:ascii="宋体" w:hAnsi="宋体" w:cs="宋体"/>
          <w:color w:val="auto"/>
          <w:sz w:val="24"/>
          <w:highlight w:val="none"/>
        </w:rPr>
        <w:t xml:space="preserve">万元，资产总额为 </w:t>
      </w:r>
      <w:r>
        <w:rPr>
          <w:rFonts w:hint="eastAsia" w:ascii="宋体" w:hAnsi="宋体" w:cs="宋体"/>
          <w:color w:val="auto"/>
          <w:sz w:val="24"/>
          <w:highlight w:val="none"/>
        </w:rPr>
        <w:tab/>
      </w:r>
      <w:r>
        <w:rPr>
          <w:rFonts w:hint="eastAsia" w:ascii="宋体" w:hAnsi="宋体" w:cs="宋体"/>
          <w:color w:val="auto"/>
          <w:sz w:val="24"/>
          <w:highlight w:val="none"/>
        </w:rPr>
        <w:t>万元，属于（中型企业、小型企业、微型企业）；</w:t>
      </w:r>
    </w:p>
    <w:p w14:paraId="11BC5323">
      <w:pPr>
        <w:keepNext w:val="0"/>
        <w:keepLines w:val="0"/>
        <w:pageBreakBefore w:val="0"/>
        <w:widowControl w:val="0"/>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 xml:space="preserve">2.（标的名称），属于（采购文件中明确的所属行业）；承建（承接）企业为（企业名称），从业人员 </w:t>
      </w:r>
      <w:r>
        <w:rPr>
          <w:rFonts w:hint="eastAsia" w:ascii="宋体" w:hAnsi="宋体" w:cs="宋体"/>
          <w:color w:val="auto"/>
          <w:sz w:val="24"/>
          <w:highlight w:val="none"/>
        </w:rPr>
        <w:tab/>
      </w:r>
      <w:r>
        <w:rPr>
          <w:rFonts w:hint="eastAsia" w:ascii="宋体" w:hAnsi="宋体" w:cs="宋体"/>
          <w:color w:val="auto"/>
          <w:sz w:val="24"/>
          <w:highlight w:val="none"/>
        </w:rPr>
        <w:t xml:space="preserve">人，营业收入为 </w:t>
      </w:r>
      <w:r>
        <w:rPr>
          <w:rFonts w:hint="eastAsia" w:ascii="宋体" w:hAnsi="宋体" w:cs="宋体"/>
          <w:color w:val="auto"/>
          <w:sz w:val="24"/>
          <w:highlight w:val="none"/>
        </w:rPr>
        <w:tab/>
      </w:r>
      <w:r>
        <w:rPr>
          <w:rFonts w:hint="eastAsia" w:ascii="宋体" w:hAnsi="宋体" w:cs="宋体"/>
          <w:color w:val="auto"/>
          <w:sz w:val="24"/>
          <w:highlight w:val="none"/>
        </w:rPr>
        <w:t xml:space="preserve">万元，资产总额为 </w:t>
      </w:r>
      <w:r>
        <w:rPr>
          <w:rFonts w:hint="eastAsia" w:ascii="宋体" w:hAnsi="宋体" w:cs="宋体"/>
          <w:color w:val="auto"/>
          <w:sz w:val="24"/>
          <w:highlight w:val="none"/>
        </w:rPr>
        <w:tab/>
      </w:r>
      <w:r>
        <w:rPr>
          <w:rFonts w:hint="eastAsia" w:ascii="宋体" w:hAnsi="宋体" w:cs="宋体"/>
          <w:color w:val="auto"/>
          <w:sz w:val="24"/>
          <w:highlight w:val="none"/>
        </w:rPr>
        <w:t>万元，属于（中型企业、小型企业、微型企业）；</w:t>
      </w:r>
    </w:p>
    <w:p w14:paraId="60CF7695">
      <w:pPr>
        <w:keepNext w:val="0"/>
        <w:keepLines w:val="0"/>
        <w:pageBreakBefore w:val="0"/>
        <w:widowControl w:val="0"/>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w:t>
      </w:r>
    </w:p>
    <w:p w14:paraId="6E08150E">
      <w:pPr>
        <w:keepNext w:val="0"/>
        <w:keepLines w:val="0"/>
        <w:pageBreakBefore w:val="0"/>
        <w:widowControl w:val="0"/>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以上企业，不属于大企业的分支机构，不存在控股股东为大企业的情形，也不存在与大企业的负责人为同一人的情形。</w:t>
      </w:r>
    </w:p>
    <w:p w14:paraId="52709F96">
      <w:pPr>
        <w:keepNext w:val="0"/>
        <w:keepLines w:val="0"/>
        <w:pageBreakBefore w:val="0"/>
        <w:widowControl w:val="0"/>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本企业对上述声明内容的真实性负责。如有虚假，将依法承担相应责任。</w:t>
      </w:r>
    </w:p>
    <w:p w14:paraId="2B879A97">
      <w:pPr>
        <w:keepNext w:val="0"/>
        <w:keepLines w:val="0"/>
        <w:pageBreakBefore w:val="0"/>
        <w:widowControl w:val="0"/>
        <w:spacing w:line="360" w:lineRule="auto"/>
        <w:ind w:firstLine="480"/>
        <w:rPr>
          <w:rFonts w:hint="eastAsia" w:ascii="宋体" w:hAnsi="宋体" w:cs="宋体"/>
          <w:color w:val="auto"/>
          <w:sz w:val="24"/>
          <w:highlight w:val="none"/>
        </w:rPr>
      </w:pPr>
    </w:p>
    <w:p w14:paraId="13EBFCCA">
      <w:pPr>
        <w:keepNext w:val="0"/>
        <w:keepLines w:val="0"/>
        <w:pageBreakBefore w:val="0"/>
        <w:widowControl w:val="0"/>
        <w:spacing w:line="360" w:lineRule="auto"/>
        <w:ind w:firstLine="5668"/>
        <w:rPr>
          <w:rFonts w:hint="eastAsia" w:ascii="宋体" w:hAnsi="宋体" w:cs="宋体"/>
          <w:color w:val="auto"/>
          <w:sz w:val="24"/>
          <w:highlight w:val="none"/>
        </w:rPr>
      </w:pPr>
      <w:r>
        <w:rPr>
          <w:rFonts w:hint="eastAsia" w:ascii="宋体" w:hAnsi="宋体" w:cs="宋体"/>
          <w:color w:val="auto"/>
          <w:sz w:val="24"/>
          <w:highlight w:val="none"/>
        </w:rPr>
        <w:t>企业名称（盖章）：</w:t>
      </w:r>
    </w:p>
    <w:p w14:paraId="283C1EB2">
      <w:pPr>
        <w:keepNext w:val="0"/>
        <w:keepLines w:val="0"/>
        <w:pageBreakBefore w:val="0"/>
        <w:widowControl w:val="0"/>
        <w:spacing w:line="360" w:lineRule="auto"/>
        <w:ind w:firstLine="5668"/>
        <w:rPr>
          <w:rFonts w:hint="eastAsia" w:ascii="宋体" w:hAnsi="宋体" w:cs="宋体"/>
          <w:color w:val="auto"/>
          <w:sz w:val="24"/>
          <w:highlight w:val="none"/>
        </w:rPr>
      </w:pPr>
      <w:r>
        <w:rPr>
          <w:rFonts w:hint="eastAsia" w:ascii="宋体" w:hAnsi="宋体" w:cs="宋体"/>
          <w:color w:val="auto"/>
          <w:sz w:val="24"/>
          <w:highlight w:val="none"/>
        </w:rPr>
        <w:t>日期：</w:t>
      </w:r>
    </w:p>
    <w:p w14:paraId="4E5C3826">
      <w:pPr>
        <w:rPr>
          <w:rFonts w:hint="eastAsia"/>
          <w:color w:val="auto"/>
          <w:highlight w:val="none"/>
        </w:rPr>
      </w:pPr>
    </w:p>
    <w:p w14:paraId="6E5932C2">
      <w:pPr>
        <w:rPr>
          <w:rFonts w:hint="eastAsia"/>
          <w:color w:val="auto"/>
          <w:highlight w:val="none"/>
        </w:rPr>
      </w:pPr>
    </w:p>
    <w:p w14:paraId="5BECE8D3">
      <w:pPr>
        <w:rPr>
          <w:rFonts w:hint="eastAsia"/>
          <w:color w:val="auto"/>
          <w:highlight w:val="none"/>
        </w:rPr>
      </w:pPr>
    </w:p>
    <w:p w14:paraId="747439EA">
      <w:pPr>
        <w:rPr>
          <w:rFonts w:hint="eastAsia"/>
          <w:color w:val="auto"/>
          <w:highlight w:val="none"/>
        </w:rPr>
      </w:pPr>
    </w:p>
    <w:p w14:paraId="50F7C1CC">
      <w:pPr>
        <w:rPr>
          <w:rFonts w:hint="eastAsia"/>
          <w:color w:val="auto"/>
          <w:highlight w:val="none"/>
        </w:rPr>
      </w:pPr>
    </w:p>
    <w:p w14:paraId="290D83BC">
      <w:pPr>
        <w:rPr>
          <w:rFonts w:hint="eastAsia"/>
          <w:color w:val="auto"/>
          <w:highlight w:val="none"/>
        </w:rPr>
      </w:pPr>
    </w:p>
    <w:p w14:paraId="4A93FC00">
      <w:pPr>
        <w:pStyle w:val="305"/>
        <w:rPr>
          <w:rFonts w:hint="eastAsia"/>
          <w:color w:val="auto"/>
          <w:highlight w:val="none"/>
        </w:rPr>
      </w:pPr>
    </w:p>
    <w:p w14:paraId="3B5D47E7">
      <w:pPr>
        <w:rPr>
          <w:rFonts w:hint="eastAsia" w:ascii="宋体" w:hAnsi="宋体" w:eastAsia="宋体" w:cs="宋体"/>
          <w:color w:val="auto"/>
          <w:sz w:val="24"/>
          <w:szCs w:val="22"/>
          <w:highlight w:val="none"/>
          <w:lang w:val="zh-CN" w:eastAsia="zh-CN" w:bidi="ar-SA"/>
        </w:rPr>
      </w:pPr>
    </w:p>
    <w:p w14:paraId="55F5A9A9">
      <w:pPr>
        <w:rPr>
          <w:rFonts w:hint="eastAsia" w:ascii="宋体" w:hAnsi="宋体" w:eastAsia="宋体" w:cs="宋体"/>
          <w:color w:val="auto"/>
          <w:sz w:val="24"/>
          <w:szCs w:val="22"/>
          <w:highlight w:val="none"/>
          <w:lang w:val="zh-CN" w:eastAsia="zh-CN" w:bidi="ar-SA"/>
        </w:rPr>
      </w:pPr>
      <w:r>
        <w:rPr>
          <w:rFonts w:hint="eastAsia" w:ascii="宋体" w:hAnsi="宋体" w:eastAsia="宋体" w:cs="宋体"/>
          <w:color w:val="auto"/>
          <w:sz w:val="24"/>
          <w:szCs w:val="22"/>
          <w:highlight w:val="none"/>
          <w:lang w:val="zh-CN" w:eastAsia="zh-CN" w:bidi="ar-SA"/>
        </w:rPr>
        <w:br w:type="page" w:clear="all"/>
      </w:r>
    </w:p>
    <w:p w14:paraId="0C365587">
      <w:pPr>
        <w:rPr>
          <w:rFonts w:ascii="宋体" w:hAnsi="宋体" w:eastAsia="宋体" w:cs="宋体"/>
          <w:color w:val="auto"/>
          <w:sz w:val="24"/>
          <w:szCs w:val="22"/>
          <w:highlight w:val="none"/>
          <w:lang w:val="en-US" w:eastAsia="zh-CN" w:bidi="ar-SA"/>
        </w:rPr>
      </w:pPr>
      <w:r>
        <w:rPr>
          <w:rFonts w:hint="eastAsia" w:ascii="宋体" w:hAnsi="宋体" w:eastAsia="宋体" w:cs="宋体"/>
          <w:color w:val="auto"/>
          <w:sz w:val="24"/>
          <w:szCs w:val="22"/>
          <w:highlight w:val="none"/>
          <w:lang w:val="zh-CN" w:eastAsia="zh-CN" w:bidi="ar-SA"/>
        </w:rPr>
        <w:t>附件</w:t>
      </w:r>
      <w:r>
        <w:rPr>
          <w:rFonts w:hint="eastAsia" w:ascii="宋体" w:hAnsi="宋体" w:eastAsia="宋体" w:cs="宋体"/>
          <w:color w:val="auto"/>
          <w:sz w:val="24"/>
          <w:szCs w:val="22"/>
          <w:highlight w:val="none"/>
          <w:lang w:val="en-US" w:eastAsia="zh-CN" w:bidi="ar-SA"/>
        </w:rPr>
        <w:t>15</w:t>
      </w:r>
    </w:p>
    <w:p w14:paraId="415AF374">
      <w:pPr>
        <w:spacing w:line="360" w:lineRule="auto"/>
        <w:jc w:val="center"/>
        <w:rPr>
          <w:rFonts w:hint="eastAsia" w:ascii="宋体" w:hAnsi="宋体" w:cs="宋体"/>
          <w:b/>
          <w:color w:val="auto"/>
          <w:sz w:val="24"/>
          <w:highlight w:val="none"/>
        </w:rPr>
      </w:pPr>
      <w:r>
        <w:rPr>
          <w:rFonts w:hint="eastAsia" w:ascii="宋体" w:hAnsi="宋体" w:cs="宋体"/>
          <w:b/>
          <w:color w:val="auto"/>
          <w:sz w:val="24"/>
          <w:highlight w:val="none"/>
        </w:rPr>
        <w:t>残疾人福利性单位声明函</w:t>
      </w:r>
    </w:p>
    <w:p w14:paraId="0E1FCBDE">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本单位郑重声明，根据《财政部 民政部 中国残疾人联合会关于促进残疾人就业政府采购政策的通知》（财库〔2017〕141号）的规定，本单位为符合条件的残疾人福利性单位，且本单位参加______单位的项目编号为______的</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项目采购活动提供本单位制造的货物（由本单位承担工程/提供服务），或者提供其他残疾人福利性单位制造的货物（不包括使用非残疾人福利性单位注册商标的货物）。</w:t>
      </w:r>
    </w:p>
    <w:p w14:paraId="6C035D63">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本单位对上述声明的真实性负责。如有虚假，将依法承担相应责任。</w:t>
      </w:r>
    </w:p>
    <w:p w14:paraId="22573DC5">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（备注：1、供应商如不提供此声明函，价格将不做相应扣除。2、中标供应商为残疾人福利单位的，此声明函将随中标结果同时公告，接受社会监督）</w:t>
      </w:r>
    </w:p>
    <w:p w14:paraId="528CF1CF">
      <w:pPr>
        <w:spacing w:line="360" w:lineRule="auto"/>
        <w:ind w:firstLine="504"/>
        <w:rPr>
          <w:rFonts w:hint="eastAsia" w:ascii="宋体" w:hAnsi="宋体" w:cs="宋体"/>
          <w:color w:val="auto"/>
          <w:spacing w:val="6"/>
          <w:sz w:val="24"/>
          <w:highlight w:val="none"/>
        </w:rPr>
      </w:pPr>
    </w:p>
    <w:p w14:paraId="1686E1A1">
      <w:pPr>
        <w:tabs>
          <w:tab w:val="left" w:pos="4860"/>
        </w:tabs>
        <w:spacing w:line="360" w:lineRule="auto"/>
        <w:ind w:right="1560" w:firstLine="504"/>
        <w:jc w:val="center"/>
        <w:rPr>
          <w:rFonts w:hint="eastAsia" w:ascii="宋体" w:hAnsi="宋体" w:cs="宋体"/>
          <w:color w:val="auto"/>
          <w:sz w:val="24"/>
          <w:highlight w:val="none"/>
        </w:rPr>
      </w:pPr>
      <w:r>
        <w:rPr>
          <w:rFonts w:hint="eastAsia" w:ascii="宋体" w:hAnsi="宋体" w:cs="宋体"/>
          <w:color w:val="auto"/>
          <w:spacing w:val="6"/>
          <w:sz w:val="24"/>
          <w:highlight w:val="none"/>
        </w:rPr>
        <w:t xml:space="preserve">             </w:t>
      </w:r>
      <w:r>
        <w:rPr>
          <w:rFonts w:hint="eastAsia" w:ascii="宋体" w:hAnsi="宋体" w:cs="宋体"/>
          <w:color w:val="auto"/>
          <w:sz w:val="24"/>
          <w:highlight w:val="none"/>
        </w:rPr>
        <w:t xml:space="preserve">           供应商全称（盖章）：</w:t>
      </w:r>
    </w:p>
    <w:p w14:paraId="65617682">
      <w:pPr>
        <w:tabs>
          <w:tab w:val="left" w:pos="4860"/>
        </w:tabs>
        <w:spacing w:line="360" w:lineRule="auto"/>
        <w:ind w:right="1560" w:firstLine="480"/>
        <w:jc w:val="center"/>
        <w:rPr>
          <w:rFonts w:hint="eastAsia" w:ascii="宋体" w:hAnsi="宋体" w:cs="宋体"/>
          <w:color w:val="auto"/>
          <w:sz w:val="24"/>
          <w:highlight w:val="none"/>
        </w:rPr>
      </w:pPr>
      <w:r>
        <w:rPr>
          <w:rFonts w:hint="eastAsia" w:ascii="宋体" w:hAnsi="宋体" w:cs="宋体"/>
          <w:color w:val="auto"/>
          <w:sz w:val="24"/>
          <w:highlight w:val="none"/>
        </w:rPr>
        <w:t xml:space="preserve">              日  期：</w:t>
      </w:r>
    </w:p>
    <w:p w14:paraId="6E4CDCD5">
      <w:pPr>
        <w:spacing w:line="360" w:lineRule="auto"/>
        <w:rPr>
          <w:rFonts w:hint="eastAsia" w:ascii="宋体" w:hAnsi="宋体" w:cs="宋体"/>
          <w:color w:val="auto"/>
          <w:sz w:val="24"/>
          <w:highlight w:val="none"/>
        </w:rPr>
      </w:pPr>
    </w:p>
    <w:p w14:paraId="06DA2406">
      <w:pPr>
        <w:rPr>
          <w:rFonts w:ascii="宋体" w:hAnsi="宋体" w:eastAsia="宋体" w:cs="宋体"/>
          <w:color w:val="auto"/>
          <w:sz w:val="24"/>
          <w:szCs w:val="22"/>
          <w:highlight w:val="none"/>
          <w:lang w:val="en-US" w:eastAsia="zh-CN" w:bidi="ar-SA"/>
        </w:rPr>
      </w:pPr>
      <w:r>
        <w:rPr>
          <w:rFonts w:hint="eastAsia" w:ascii="宋体" w:hAnsi="宋体" w:eastAsia="宋体" w:cs="宋体"/>
          <w:color w:val="auto"/>
          <w:sz w:val="24"/>
          <w:szCs w:val="22"/>
          <w:highlight w:val="none"/>
          <w:lang w:val="zh-CN" w:eastAsia="zh-CN" w:bidi="ar-SA"/>
        </w:rPr>
        <w:t>附件</w:t>
      </w:r>
      <w:r>
        <w:rPr>
          <w:rFonts w:hint="eastAsia" w:ascii="宋体" w:hAnsi="宋体" w:eastAsia="宋体" w:cs="宋体"/>
          <w:color w:val="auto"/>
          <w:sz w:val="24"/>
          <w:szCs w:val="22"/>
          <w:highlight w:val="none"/>
          <w:lang w:val="en-US" w:eastAsia="zh-CN" w:bidi="ar-SA"/>
        </w:rPr>
        <w:t>16</w:t>
      </w:r>
    </w:p>
    <w:p w14:paraId="50C57FE9">
      <w:pPr>
        <w:spacing w:line="360" w:lineRule="auto"/>
        <w:jc w:val="center"/>
        <w:rPr>
          <w:rFonts w:hint="eastAsia" w:ascii="宋体" w:hAnsi="宋体" w:cs="宋体"/>
          <w:b/>
          <w:color w:val="auto"/>
          <w:sz w:val="24"/>
          <w:highlight w:val="none"/>
        </w:rPr>
      </w:pPr>
      <w:r>
        <w:rPr>
          <w:rFonts w:hint="eastAsia" w:ascii="宋体" w:hAnsi="宋体" w:cs="宋体"/>
          <w:b/>
          <w:color w:val="auto"/>
          <w:sz w:val="24"/>
          <w:highlight w:val="none"/>
        </w:rPr>
        <w:t>监狱和戒毒企业证明材料</w:t>
      </w:r>
    </w:p>
    <w:p w14:paraId="588C33D3">
      <w:pPr>
        <w:spacing w:line="360" w:lineRule="auto"/>
        <w:ind w:firstLine="424"/>
        <w:rPr>
          <w:rFonts w:hint="eastAsia" w:ascii="宋体" w:hAnsi="宋体" w:cs="宋体"/>
          <w:color w:val="auto"/>
          <w:sz w:val="24"/>
          <w:highlight w:val="none"/>
        </w:rPr>
      </w:pPr>
    </w:p>
    <w:p w14:paraId="42BBFEAB">
      <w:pPr>
        <w:spacing w:line="360" w:lineRule="auto"/>
        <w:ind w:firstLine="426"/>
        <w:rPr>
          <w:rFonts w:hint="eastAsia" w:ascii="宋体" w:hAnsi="宋体" w:cs="宋体"/>
          <w:b/>
          <w:color w:val="auto"/>
          <w:sz w:val="24"/>
          <w:highlight w:val="none"/>
        </w:rPr>
      </w:pPr>
      <w:r>
        <w:rPr>
          <w:rFonts w:hint="eastAsia" w:ascii="宋体" w:hAnsi="宋体" w:cs="宋体"/>
          <w:b/>
          <w:color w:val="auto"/>
          <w:sz w:val="24"/>
          <w:highlight w:val="none"/>
        </w:rPr>
        <w:t>（格式自拟）</w:t>
      </w:r>
    </w:p>
    <w:p w14:paraId="6297FCB0">
      <w:pPr>
        <w:spacing w:line="560" w:lineRule="exact"/>
        <w:jc w:val="center"/>
        <w:rPr>
          <w:rFonts w:hint="eastAsia" w:ascii="黑体" w:hAnsi="黑体" w:eastAsia="黑体"/>
          <w:b/>
          <w:color w:val="auto"/>
          <w:sz w:val="32"/>
          <w:szCs w:val="32"/>
          <w:highlight w:val="none"/>
        </w:rPr>
      </w:pPr>
      <w:r>
        <w:rPr>
          <w:rFonts w:hint="eastAsia" w:ascii="宋体" w:hAnsi="宋体" w:cs="宋体"/>
          <w:color w:val="auto"/>
          <w:sz w:val="24"/>
          <w:highlight w:val="none"/>
        </w:rPr>
        <w:t>根据《财政部司法部关于政府采购支持监狱企业发展有关问题的通知》（财库〔2014〕68号），监狱企业参加政府采购活动时，应当提供由省级以上监狱管理局、戒毒管理局（含新疆生产建设兵团）出具的，供应商属于监狱企业的证明文件。</w:t>
      </w:r>
    </w:p>
    <w:p w14:paraId="1A5F7237">
      <w:pPr>
        <w:jc w:val="center"/>
        <w:rPr>
          <w:rFonts w:hint="eastAsia" w:ascii="宋体" w:hAnsi="宋体" w:cs="仿宋"/>
          <w:b/>
          <w:bCs/>
          <w:color w:val="auto"/>
          <w:sz w:val="32"/>
          <w:szCs w:val="32"/>
          <w:highlight w:val="none"/>
        </w:rPr>
      </w:pPr>
    </w:p>
    <w:p w14:paraId="1A1A28AC">
      <w:pPr>
        <w:spacing w:line="560" w:lineRule="exact"/>
        <w:ind w:firstLine="321"/>
        <w:jc w:val="center"/>
        <w:outlineLvl w:val="0"/>
        <w:rPr>
          <w:rFonts w:hint="eastAsia" w:ascii="宋体" w:hAnsi="宋体" w:cs="宋体"/>
          <w:b/>
          <w:bCs/>
          <w:color w:val="auto"/>
          <w:sz w:val="32"/>
          <w:szCs w:val="32"/>
          <w:highlight w:val="none"/>
        </w:rPr>
      </w:pPr>
      <w:r>
        <w:rPr>
          <w:rFonts w:hint="eastAsia" w:ascii="宋体" w:hAnsi="宋体" w:cs="仿宋"/>
          <w:b/>
          <w:bCs/>
          <w:color w:val="auto"/>
          <w:sz w:val="32"/>
          <w:szCs w:val="32"/>
          <w:highlight w:val="none"/>
        </w:rPr>
        <w:br w:type="page" w:clear="all"/>
      </w:r>
      <w:r>
        <w:rPr>
          <w:rFonts w:hint="eastAsia" w:ascii="宋体" w:hAnsi="宋体" w:cs="宋体"/>
          <w:b/>
          <w:bCs/>
          <w:color w:val="auto"/>
          <w:sz w:val="32"/>
          <w:szCs w:val="32"/>
          <w:highlight w:val="none"/>
        </w:rPr>
        <w:t>中小企业划型标准规定</w:t>
      </w:r>
    </w:p>
    <w:p w14:paraId="2A7CFCE4">
      <w:pPr>
        <w:spacing w:line="560" w:lineRule="exact"/>
        <w:ind w:firstLine="480"/>
        <w:rPr>
          <w:rFonts w:hint="eastAsia" w:ascii="宋体" w:hAnsi="宋体" w:cs="宋体"/>
          <w:color w:val="auto"/>
          <w:sz w:val="24"/>
          <w:szCs w:val="21"/>
          <w:highlight w:val="none"/>
        </w:rPr>
      </w:pPr>
      <w:r>
        <w:rPr>
          <w:rFonts w:hint="eastAsia" w:ascii="宋体" w:hAnsi="宋体" w:cs="宋体"/>
          <w:color w:val="auto"/>
          <w:sz w:val="24"/>
          <w:szCs w:val="21"/>
          <w:highlight w:val="none"/>
        </w:rPr>
        <w:t>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156DAADB">
      <w:pPr>
        <w:spacing w:line="560" w:lineRule="exact"/>
        <w:ind w:firstLine="240"/>
        <w:rPr>
          <w:rFonts w:hint="eastAsia" w:ascii="宋体" w:hAnsi="宋体" w:cs="宋体"/>
          <w:color w:val="auto"/>
          <w:sz w:val="24"/>
          <w:szCs w:val="21"/>
          <w:highlight w:val="none"/>
        </w:rPr>
      </w:pPr>
      <w:r>
        <w:rPr>
          <w:rFonts w:hint="eastAsia" w:ascii="宋体" w:hAnsi="宋体" w:cs="宋体"/>
          <w:color w:val="auto"/>
          <w:sz w:val="24"/>
          <w:szCs w:val="21"/>
          <w:highlight w:val="none"/>
        </w:rPr>
        <w:t>各行业划型标准为：</w:t>
      </w:r>
    </w:p>
    <w:p w14:paraId="0D66E23A">
      <w:pPr>
        <w:spacing w:line="560" w:lineRule="exact"/>
        <w:ind w:firstLine="720"/>
        <w:rPr>
          <w:rFonts w:hint="eastAsia" w:ascii="宋体" w:hAnsi="宋体" w:cs="宋体"/>
          <w:color w:val="auto"/>
          <w:sz w:val="24"/>
          <w:szCs w:val="21"/>
          <w:highlight w:val="none"/>
        </w:rPr>
      </w:pPr>
      <w:r>
        <w:rPr>
          <w:rFonts w:hint="eastAsia" w:ascii="宋体" w:hAnsi="宋体" w:cs="宋体"/>
          <w:color w:val="auto"/>
          <w:sz w:val="24"/>
          <w:szCs w:val="21"/>
          <w:highlight w:val="none"/>
        </w:rPr>
        <w:t>（一）农、林、牧、渔业。营业收入20000万元以下的为中小微型企业。其中，营业收入500万元及以上的为中型企业，营业收入50万元及以上的为小型企业，营业收入50万元以下的为微型企业。</w:t>
      </w:r>
    </w:p>
    <w:p w14:paraId="07D68AD4">
      <w:pPr>
        <w:spacing w:line="560" w:lineRule="exact"/>
        <w:ind w:firstLine="240"/>
        <w:rPr>
          <w:rFonts w:hint="eastAsia" w:ascii="宋体" w:hAnsi="宋体" w:cs="宋体"/>
          <w:color w:val="auto"/>
          <w:sz w:val="24"/>
          <w:szCs w:val="21"/>
          <w:highlight w:val="none"/>
        </w:rPr>
      </w:pPr>
      <w:r>
        <w:rPr>
          <w:rFonts w:hint="eastAsia" w:ascii="宋体" w:hAnsi="宋体" w:cs="宋体"/>
          <w:color w:val="auto"/>
          <w:sz w:val="24"/>
          <w:szCs w:val="21"/>
          <w:highlight w:val="none"/>
        </w:rPr>
        <w:t>　　（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201C7F00">
      <w:pPr>
        <w:spacing w:line="560" w:lineRule="exact"/>
        <w:ind w:firstLine="240"/>
        <w:rPr>
          <w:rFonts w:hint="eastAsia" w:ascii="宋体" w:hAnsi="宋体" w:cs="宋体"/>
          <w:color w:val="auto"/>
          <w:sz w:val="24"/>
          <w:szCs w:val="21"/>
          <w:highlight w:val="none"/>
        </w:rPr>
      </w:pPr>
      <w:r>
        <w:rPr>
          <w:rFonts w:hint="eastAsia" w:ascii="宋体" w:hAnsi="宋体" w:cs="宋体"/>
          <w:color w:val="auto"/>
          <w:sz w:val="24"/>
          <w:szCs w:val="21"/>
          <w:highlight w:val="none"/>
        </w:rPr>
        <w:t>　　（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1EBBB512">
      <w:pPr>
        <w:spacing w:line="560" w:lineRule="exact"/>
        <w:ind w:firstLine="240"/>
        <w:rPr>
          <w:rFonts w:hint="eastAsia" w:ascii="宋体" w:hAnsi="宋体" w:cs="宋体"/>
          <w:color w:val="auto"/>
          <w:sz w:val="24"/>
          <w:szCs w:val="21"/>
          <w:highlight w:val="none"/>
        </w:rPr>
      </w:pPr>
      <w:r>
        <w:rPr>
          <w:rFonts w:hint="eastAsia" w:ascii="宋体" w:hAnsi="宋体" w:cs="宋体"/>
          <w:color w:val="auto"/>
          <w:sz w:val="24"/>
          <w:szCs w:val="21"/>
          <w:highlight w:val="none"/>
        </w:rPr>
        <w:t>　　（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42F87D8A">
      <w:pPr>
        <w:spacing w:line="560" w:lineRule="exact"/>
        <w:ind w:firstLine="240"/>
        <w:rPr>
          <w:rFonts w:hint="eastAsia" w:ascii="宋体" w:hAnsi="宋体" w:cs="宋体"/>
          <w:color w:val="auto"/>
          <w:sz w:val="24"/>
          <w:szCs w:val="21"/>
          <w:highlight w:val="none"/>
        </w:rPr>
      </w:pPr>
      <w:r>
        <w:rPr>
          <w:rFonts w:hint="eastAsia" w:ascii="宋体" w:hAnsi="宋体" w:cs="宋体"/>
          <w:color w:val="auto"/>
          <w:sz w:val="24"/>
          <w:szCs w:val="21"/>
          <w:highlight w:val="none"/>
        </w:rPr>
        <w:t>　　（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26F804F2">
      <w:pPr>
        <w:spacing w:line="560" w:lineRule="exact"/>
        <w:ind w:firstLine="240"/>
        <w:rPr>
          <w:rFonts w:hint="eastAsia" w:ascii="宋体" w:hAnsi="宋体" w:cs="宋体"/>
          <w:color w:val="auto"/>
          <w:sz w:val="24"/>
          <w:szCs w:val="21"/>
          <w:highlight w:val="none"/>
        </w:rPr>
      </w:pPr>
      <w:r>
        <w:rPr>
          <w:rFonts w:hint="eastAsia" w:ascii="宋体" w:hAnsi="宋体" w:cs="宋体"/>
          <w:color w:val="auto"/>
          <w:sz w:val="24"/>
          <w:szCs w:val="21"/>
          <w:highlight w:val="none"/>
        </w:rPr>
        <w:t>　　（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0C312237">
      <w:pPr>
        <w:spacing w:line="560" w:lineRule="exact"/>
        <w:ind w:firstLine="240"/>
        <w:rPr>
          <w:rFonts w:hint="eastAsia" w:ascii="宋体" w:hAnsi="宋体" w:cs="宋体"/>
          <w:color w:val="auto"/>
          <w:sz w:val="24"/>
          <w:szCs w:val="21"/>
          <w:highlight w:val="none"/>
        </w:rPr>
      </w:pPr>
      <w:r>
        <w:rPr>
          <w:rFonts w:hint="eastAsia" w:ascii="宋体" w:hAnsi="宋体" w:cs="宋体"/>
          <w:color w:val="auto"/>
          <w:sz w:val="24"/>
          <w:szCs w:val="21"/>
          <w:highlight w:val="none"/>
        </w:rPr>
        <w:t>　　（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12D7C18B">
      <w:pPr>
        <w:spacing w:line="560" w:lineRule="exact"/>
        <w:ind w:firstLine="240"/>
        <w:rPr>
          <w:rFonts w:hint="eastAsia" w:ascii="宋体" w:hAnsi="宋体" w:cs="宋体"/>
          <w:color w:val="auto"/>
          <w:sz w:val="24"/>
          <w:szCs w:val="21"/>
          <w:highlight w:val="none"/>
        </w:rPr>
      </w:pPr>
      <w:r>
        <w:rPr>
          <w:rFonts w:hint="eastAsia" w:ascii="宋体" w:hAnsi="宋体" w:cs="宋体"/>
          <w:color w:val="auto"/>
          <w:sz w:val="24"/>
          <w:szCs w:val="21"/>
          <w:highlight w:val="none"/>
        </w:rPr>
        <w:t>　　（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74BA9ECE">
      <w:pPr>
        <w:spacing w:line="560" w:lineRule="exact"/>
        <w:ind w:firstLine="240"/>
        <w:rPr>
          <w:rFonts w:hint="eastAsia" w:ascii="宋体" w:hAnsi="宋体" w:cs="宋体"/>
          <w:color w:val="auto"/>
          <w:sz w:val="24"/>
          <w:szCs w:val="21"/>
          <w:highlight w:val="none"/>
        </w:rPr>
      </w:pPr>
      <w:r>
        <w:rPr>
          <w:rFonts w:hint="eastAsia" w:ascii="宋体" w:hAnsi="宋体" w:cs="宋体"/>
          <w:color w:val="auto"/>
          <w:sz w:val="24"/>
          <w:szCs w:val="21"/>
          <w:highlight w:val="none"/>
        </w:rPr>
        <w:t>　　（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2CF12803">
      <w:pPr>
        <w:spacing w:line="560" w:lineRule="exact"/>
        <w:ind w:firstLine="240"/>
        <w:rPr>
          <w:rFonts w:hint="eastAsia" w:ascii="宋体" w:hAnsi="宋体" w:cs="宋体"/>
          <w:color w:val="auto"/>
          <w:sz w:val="24"/>
          <w:szCs w:val="21"/>
          <w:highlight w:val="none"/>
        </w:rPr>
      </w:pPr>
      <w:r>
        <w:rPr>
          <w:rFonts w:hint="eastAsia" w:ascii="宋体" w:hAnsi="宋体" w:cs="宋体"/>
          <w:color w:val="auto"/>
          <w:sz w:val="24"/>
          <w:szCs w:val="21"/>
          <w:highlight w:val="none"/>
        </w:rPr>
        <w:t>　　（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480FDF1E">
      <w:pPr>
        <w:spacing w:line="560" w:lineRule="exact"/>
        <w:ind w:firstLine="240"/>
        <w:rPr>
          <w:rFonts w:hint="eastAsia" w:ascii="宋体" w:hAnsi="宋体" w:cs="宋体"/>
          <w:color w:val="auto"/>
          <w:sz w:val="24"/>
          <w:szCs w:val="21"/>
          <w:highlight w:val="none"/>
        </w:rPr>
      </w:pPr>
      <w:r>
        <w:rPr>
          <w:rFonts w:hint="eastAsia" w:ascii="宋体" w:hAnsi="宋体" w:cs="宋体"/>
          <w:color w:val="auto"/>
          <w:sz w:val="24"/>
          <w:szCs w:val="21"/>
          <w:highlight w:val="none"/>
        </w:rPr>
        <w:t>　　（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6BF2DCC4">
      <w:pPr>
        <w:spacing w:line="560" w:lineRule="exact"/>
        <w:ind w:firstLine="240"/>
        <w:rPr>
          <w:rFonts w:hint="eastAsia" w:ascii="宋体" w:hAnsi="宋体" w:cs="宋体"/>
          <w:color w:val="auto"/>
          <w:sz w:val="24"/>
          <w:szCs w:val="21"/>
          <w:highlight w:val="none"/>
        </w:rPr>
      </w:pPr>
      <w:r>
        <w:rPr>
          <w:rFonts w:hint="eastAsia" w:ascii="宋体" w:hAnsi="宋体" w:cs="宋体"/>
          <w:color w:val="auto"/>
          <w:sz w:val="24"/>
          <w:szCs w:val="21"/>
          <w:highlight w:val="none"/>
        </w:rPr>
        <w:t>　　（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48B5B518">
      <w:pPr>
        <w:spacing w:line="560" w:lineRule="exact"/>
        <w:ind w:firstLine="240"/>
        <w:rPr>
          <w:rFonts w:hint="eastAsia" w:ascii="宋体" w:hAnsi="宋体" w:cs="宋体"/>
          <w:color w:val="auto"/>
          <w:sz w:val="24"/>
          <w:szCs w:val="21"/>
          <w:highlight w:val="none"/>
        </w:rPr>
      </w:pPr>
      <w:r>
        <w:rPr>
          <w:rFonts w:hint="eastAsia" w:ascii="宋体" w:hAnsi="宋体" w:cs="宋体"/>
          <w:color w:val="auto"/>
          <w:sz w:val="24"/>
          <w:szCs w:val="21"/>
          <w:highlight w:val="none"/>
        </w:rPr>
        <w:t>　　（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1001E690">
      <w:pPr>
        <w:spacing w:line="560" w:lineRule="exact"/>
        <w:ind w:firstLine="240"/>
        <w:rPr>
          <w:rFonts w:hint="eastAsia" w:ascii="宋体" w:hAnsi="宋体" w:cs="宋体"/>
          <w:color w:val="auto"/>
          <w:sz w:val="24"/>
          <w:szCs w:val="21"/>
          <w:highlight w:val="none"/>
        </w:rPr>
      </w:pPr>
      <w:r>
        <w:rPr>
          <w:rFonts w:hint="eastAsia" w:ascii="宋体" w:hAnsi="宋体" w:cs="宋体"/>
          <w:color w:val="auto"/>
          <w:sz w:val="24"/>
          <w:szCs w:val="21"/>
          <w:highlight w:val="none"/>
        </w:rPr>
        <w:t>　　（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32B86CE5">
      <w:pPr>
        <w:spacing w:line="560" w:lineRule="exact"/>
        <w:ind w:firstLine="240"/>
        <w:rPr>
          <w:rFonts w:hint="eastAsia" w:ascii="宋体" w:hAnsi="宋体" w:cs="宋体"/>
          <w:color w:val="auto"/>
          <w:sz w:val="24"/>
          <w:szCs w:val="21"/>
          <w:highlight w:val="none"/>
        </w:rPr>
      </w:pPr>
      <w:r>
        <w:rPr>
          <w:rFonts w:hint="eastAsia" w:ascii="宋体" w:hAnsi="宋体" w:cs="宋体"/>
          <w:color w:val="auto"/>
          <w:sz w:val="24"/>
          <w:szCs w:val="21"/>
          <w:highlight w:val="none"/>
        </w:rPr>
        <w:t>　　（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11FEC66C">
      <w:pPr>
        <w:spacing w:line="560" w:lineRule="exact"/>
        <w:ind w:firstLine="240"/>
        <w:rPr>
          <w:rFonts w:hint="eastAsia" w:ascii="宋体" w:hAnsi="宋体" w:cs="宋体"/>
          <w:color w:val="auto"/>
          <w:sz w:val="24"/>
          <w:szCs w:val="21"/>
          <w:highlight w:val="none"/>
        </w:rPr>
      </w:pPr>
      <w:r>
        <w:rPr>
          <w:rFonts w:hint="eastAsia" w:ascii="宋体" w:hAnsi="宋体" w:cs="宋体"/>
          <w:color w:val="auto"/>
          <w:sz w:val="24"/>
          <w:szCs w:val="21"/>
          <w:highlight w:val="none"/>
        </w:rPr>
        <w:t>　　（十六）其他未列明行业。从业人员300人以下的为中小微型企业。其中，从业人员100人及以上的为中型企业；从业人员10人及以上的为小型企业；从业人员10人以下的为微型企业。</w:t>
      </w:r>
    </w:p>
    <w:p w14:paraId="5C82A74F">
      <w:pPr>
        <w:jc w:val="both"/>
        <w:rPr>
          <w:rFonts w:hint="eastAsia" w:ascii="宋体" w:hAnsi="宋体" w:cs="仿宋"/>
          <w:b/>
          <w:bCs/>
          <w:color w:val="auto"/>
          <w:sz w:val="32"/>
          <w:szCs w:val="32"/>
          <w:highlight w:val="none"/>
        </w:rPr>
      </w:pPr>
    </w:p>
    <w:p w14:paraId="22092886">
      <w:pPr>
        <w:jc w:val="center"/>
        <w:rPr>
          <w:rFonts w:ascii="宋体" w:hAnsi="宋体" w:cs="仿宋"/>
          <w:b/>
          <w:bCs/>
          <w:color w:val="auto"/>
          <w:sz w:val="32"/>
          <w:szCs w:val="32"/>
          <w:highlight w:val="none"/>
        </w:rPr>
      </w:pPr>
      <w:r>
        <w:rPr>
          <w:rFonts w:hint="eastAsia" w:ascii="宋体" w:hAnsi="宋体" w:cs="仿宋"/>
          <w:b/>
          <w:bCs/>
          <w:color w:val="auto"/>
          <w:sz w:val="32"/>
          <w:szCs w:val="32"/>
          <w:highlight w:val="none"/>
        </w:rPr>
        <w:br w:type="page" w:clear="all"/>
      </w:r>
      <w:r>
        <w:rPr>
          <w:rFonts w:hint="eastAsia" w:ascii="宋体" w:hAnsi="宋体" w:cs="仿宋"/>
          <w:b/>
          <w:bCs/>
          <w:color w:val="auto"/>
          <w:sz w:val="32"/>
          <w:szCs w:val="32"/>
          <w:highlight w:val="none"/>
        </w:rPr>
        <w:t>质疑函范本</w:t>
      </w:r>
    </w:p>
    <w:p w14:paraId="2CB0E9AB">
      <w:pPr>
        <w:spacing w:before="290" w:line="360" w:lineRule="auto"/>
        <w:rPr>
          <w:rFonts w:ascii="宋体" w:hAnsi="宋体" w:cs="仿宋"/>
          <w:bCs/>
          <w:color w:val="auto"/>
          <w:sz w:val="24"/>
          <w:szCs w:val="24"/>
          <w:highlight w:val="none"/>
        </w:rPr>
      </w:pPr>
      <w:r>
        <w:rPr>
          <w:rFonts w:hint="eastAsia" w:ascii="宋体" w:hAnsi="宋体" w:cs="仿宋"/>
          <w:bCs/>
          <w:color w:val="auto"/>
          <w:sz w:val="24"/>
          <w:szCs w:val="24"/>
          <w:highlight w:val="none"/>
        </w:rPr>
        <w:t>一、质疑供应商基本信息</w:t>
      </w:r>
    </w:p>
    <w:p w14:paraId="00F8C1E3">
      <w:pPr>
        <w:spacing w:line="360" w:lineRule="auto"/>
        <w:rPr>
          <w:rFonts w:ascii="宋体" w:hAnsi="宋体" w:cs="仿宋"/>
          <w:color w:val="auto"/>
          <w:sz w:val="24"/>
          <w:szCs w:val="24"/>
          <w:highlight w:val="none"/>
          <w:u w:val="single"/>
        </w:rPr>
      </w:pPr>
      <w:r>
        <w:rPr>
          <w:rFonts w:hint="eastAsia" w:ascii="宋体" w:hAnsi="宋体" w:cs="仿宋"/>
          <w:color w:val="auto"/>
          <w:sz w:val="24"/>
          <w:szCs w:val="24"/>
          <w:highlight w:val="none"/>
        </w:rPr>
        <w:t>质疑供应商：</w:t>
      </w:r>
      <w:r>
        <w:rPr>
          <w:rFonts w:hint="eastAsia" w:ascii="宋体" w:hAnsi="宋体" w:cs="仿宋"/>
          <w:color w:val="auto"/>
          <w:sz w:val="24"/>
          <w:szCs w:val="24"/>
          <w:highlight w:val="none"/>
          <w:u w:val="single"/>
        </w:rPr>
        <w:t xml:space="preserve">                                                              </w:t>
      </w:r>
    </w:p>
    <w:p w14:paraId="69A4CE45">
      <w:pPr>
        <w:spacing w:line="360" w:lineRule="auto"/>
        <w:rPr>
          <w:rFonts w:ascii="宋体" w:hAnsi="宋体" w:cs="仿宋"/>
          <w:color w:val="auto"/>
          <w:sz w:val="24"/>
          <w:szCs w:val="24"/>
          <w:highlight w:val="none"/>
        </w:rPr>
      </w:pPr>
      <w:r>
        <w:rPr>
          <w:rFonts w:hint="eastAsia" w:ascii="宋体" w:hAnsi="宋体" w:cs="仿宋"/>
          <w:color w:val="auto"/>
          <w:sz w:val="24"/>
          <w:szCs w:val="24"/>
          <w:highlight w:val="none"/>
        </w:rPr>
        <w:t>地址：</w:t>
      </w:r>
      <w:r>
        <w:rPr>
          <w:rFonts w:hint="eastAsia" w:ascii="宋体" w:hAnsi="宋体" w:cs="仿宋"/>
          <w:color w:val="auto"/>
          <w:sz w:val="24"/>
          <w:szCs w:val="24"/>
          <w:highlight w:val="none"/>
          <w:u w:val="single"/>
        </w:rPr>
        <w:t xml:space="preserve">                             </w:t>
      </w:r>
      <w:r>
        <w:rPr>
          <w:rFonts w:hint="eastAsia" w:ascii="宋体" w:hAnsi="宋体" w:cs="仿宋"/>
          <w:color w:val="auto"/>
          <w:sz w:val="24"/>
          <w:szCs w:val="24"/>
          <w:highlight w:val="none"/>
        </w:rPr>
        <w:t>邮编：</w:t>
      </w:r>
      <w:r>
        <w:rPr>
          <w:rFonts w:hint="eastAsia" w:ascii="宋体" w:hAnsi="宋体" w:cs="仿宋"/>
          <w:color w:val="auto"/>
          <w:sz w:val="24"/>
          <w:szCs w:val="24"/>
          <w:highlight w:val="none"/>
          <w:u w:val="single"/>
        </w:rPr>
        <w:t xml:space="preserve">                                    </w:t>
      </w:r>
    </w:p>
    <w:p w14:paraId="2F013702">
      <w:pPr>
        <w:spacing w:line="360" w:lineRule="auto"/>
        <w:rPr>
          <w:rFonts w:ascii="宋体" w:hAnsi="宋体" w:cs="仿宋"/>
          <w:color w:val="auto"/>
          <w:sz w:val="24"/>
          <w:szCs w:val="24"/>
          <w:highlight w:val="none"/>
        </w:rPr>
      </w:pPr>
      <w:r>
        <w:rPr>
          <w:rFonts w:hint="eastAsia" w:ascii="宋体" w:hAnsi="宋体" w:cs="仿宋"/>
          <w:color w:val="auto"/>
          <w:sz w:val="24"/>
          <w:szCs w:val="24"/>
          <w:highlight w:val="none"/>
        </w:rPr>
        <w:t>联系人：</w:t>
      </w:r>
      <w:r>
        <w:rPr>
          <w:rFonts w:hint="eastAsia" w:ascii="宋体" w:hAnsi="宋体" w:cs="仿宋"/>
          <w:color w:val="auto"/>
          <w:sz w:val="24"/>
          <w:szCs w:val="24"/>
          <w:highlight w:val="none"/>
          <w:u w:val="single"/>
        </w:rPr>
        <w:t xml:space="preserve">                      </w:t>
      </w:r>
      <w:r>
        <w:rPr>
          <w:rFonts w:hint="eastAsia" w:ascii="宋体" w:hAnsi="宋体" w:cs="仿宋"/>
          <w:color w:val="auto"/>
          <w:sz w:val="24"/>
          <w:szCs w:val="24"/>
          <w:highlight w:val="none"/>
        </w:rPr>
        <w:t>联系电话：</w:t>
      </w:r>
      <w:r>
        <w:rPr>
          <w:rFonts w:hint="eastAsia" w:ascii="宋体" w:hAnsi="宋体" w:cs="仿宋"/>
          <w:color w:val="auto"/>
          <w:sz w:val="24"/>
          <w:szCs w:val="24"/>
          <w:highlight w:val="none"/>
          <w:u w:val="single"/>
        </w:rPr>
        <w:t xml:space="preserve">                                       </w:t>
      </w:r>
    </w:p>
    <w:p w14:paraId="6362AC35">
      <w:pPr>
        <w:spacing w:line="360" w:lineRule="auto"/>
        <w:rPr>
          <w:rFonts w:ascii="宋体" w:hAnsi="宋体" w:cs="仿宋"/>
          <w:color w:val="auto"/>
          <w:sz w:val="24"/>
          <w:szCs w:val="24"/>
          <w:highlight w:val="none"/>
          <w:u w:val="single"/>
        </w:rPr>
      </w:pPr>
      <w:r>
        <w:rPr>
          <w:rFonts w:hint="eastAsia" w:ascii="宋体" w:hAnsi="宋体" w:cs="仿宋"/>
          <w:color w:val="auto"/>
          <w:sz w:val="24"/>
          <w:szCs w:val="24"/>
          <w:highlight w:val="none"/>
        </w:rPr>
        <w:t>授权代表：</w:t>
      </w:r>
      <w:r>
        <w:rPr>
          <w:rFonts w:hint="eastAsia" w:ascii="宋体" w:hAnsi="宋体" w:cs="仿宋"/>
          <w:color w:val="auto"/>
          <w:sz w:val="24"/>
          <w:szCs w:val="24"/>
          <w:highlight w:val="none"/>
          <w:u w:val="single"/>
        </w:rPr>
        <w:t xml:space="preserve">                                                                 </w:t>
      </w:r>
    </w:p>
    <w:p w14:paraId="5B779CB1">
      <w:pPr>
        <w:spacing w:line="360" w:lineRule="auto"/>
        <w:rPr>
          <w:rFonts w:ascii="宋体" w:hAnsi="宋体" w:cs="仿宋"/>
          <w:color w:val="auto"/>
          <w:sz w:val="24"/>
          <w:szCs w:val="24"/>
          <w:highlight w:val="none"/>
        </w:rPr>
      </w:pPr>
      <w:r>
        <w:rPr>
          <w:rFonts w:hint="eastAsia" w:ascii="宋体" w:hAnsi="宋体" w:cs="仿宋"/>
          <w:color w:val="auto"/>
          <w:sz w:val="24"/>
          <w:szCs w:val="24"/>
          <w:highlight w:val="none"/>
        </w:rPr>
        <w:t>联系电话：</w:t>
      </w:r>
      <w:r>
        <w:rPr>
          <w:rFonts w:hint="eastAsia" w:ascii="宋体" w:hAnsi="宋体" w:cs="仿宋"/>
          <w:color w:val="auto"/>
          <w:sz w:val="24"/>
          <w:szCs w:val="24"/>
          <w:highlight w:val="none"/>
          <w:u w:val="single"/>
        </w:rPr>
        <w:t xml:space="preserve">                                                                </w:t>
      </w:r>
    </w:p>
    <w:p w14:paraId="4B51449E">
      <w:pPr>
        <w:spacing w:line="360" w:lineRule="auto"/>
        <w:rPr>
          <w:rFonts w:ascii="宋体" w:hAnsi="宋体" w:cs="仿宋"/>
          <w:color w:val="auto"/>
          <w:sz w:val="24"/>
          <w:szCs w:val="24"/>
          <w:highlight w:val="none"/>
        </w:rPr>
      </w:pPr>
      <w:r>
        <w:rPr>
          <w:rFonts w:hint="eastAsia" w:ascii="宋体" w:hAnsi="宋体" w:cs="仿宋"/>
          <w:color w:val="auto"/>
          <w:sz w:val="24"/>
          <w:szCs w:val="24"/>
          <w:highlight w:val="none"/>
        </w:rPr>
        <w:t>地址：</w:t>
      </w:r>
      <w:r>
        <w:rPr>
          <w:rFonts w:ascii="宋体" w:hAnsi="宋体" w:cs="仿宋"/>
          <w:color w:val="auto"/>
          <w:sz w:val="24"/>
          <w:szCs w:val="24"/>
          <w:highlight w:val="none"/>
        </w:rPr>
        <w:t xml:space="preserve"> </w:t>
      </w:r>
      <w:r>
        <w:rPr>
          <w:rFonts w:hint="eastAsia" w:ascii="宋体" w:hAnsi="宋体" w:cs="仿宋"/>
          <w:color w:val="auto"/>
          <w:sz w:val="24"/>
          <w:szCs w:val="24"/>
          <w:highlight w:val="none"/>
          <w:u w:val="single"/>
        </w:rPr>
        <w:t xml:space="preserve">                        </w:t>
      </w:r>
      <w:r>
        <w:rPr>
          <w:rFonts w:hint="eastAsia" w:ascii="宋体" w:hAnsi="宋体" w:cs="仿宋"/>
          <w:color w:val="auto"/>
          <w:sz w:val="24"/>
          <w:szCs w:val="24"/>
          <w:highlight w:val="none"/>
        </w:rPr>
        <w:t>邮编：</w:t>
      </w:r>
      <w:r>
        <w:rPr>
          <w:rFonts w:hint="eastAsia" w:ascii="宋体" w:hAnsi="宋体" w:cs="仿宋"/>
          <w:color w:val="auto"/>
          <w:sz w:val="24"/>
          <w:szCs w:val="24"/>
          <w:highlight w:val="none"/>
          <w:u w:val="single"/>
        </w:rPr>
        <w:t xml:space="preserve">                                     </w:t>
      </w:r>
    </w:p>
    <w:p w14:paraId="7AE6CD90">
      <w:pPr>
        <w:spacing w:line="360" w:lineRule="auto"/>
        <w:rPr>
          <w:rFonts w:ascii="宋体" w:hAnsi="宋体" w:cs="仿宋"/>
          <w:bCs/>
          <w:color w:val="auto"/>
          <w:sz w:val="24"/>
          <w:szCs w:val="24"/>
          <w:highlight w:val="none"/>
        </w:rPr>
      </w:pPr>
      <w:r>
        <w:rPr>
          <w:rFonts w:hint="eastAsia" w:ascii="宋体" w:hAnsi="宋体" w:cs="仿宋"/>
          <w:bCs/>
          <w:color w:val="auto"/>
          <w:sz w:val="24"/>
          <w:szCs w:val="24"/>
          <w:highlight w:val="none"/>
        </w:rPr>
        <w:t>二、质疑项目基本情况</w:t>
      </w:r>
    </w:p>
    <w:p w14:paraId="666C284E">
      <w:pPr>
        <w:spacing w:line="360" w:lineRule="auto"/>
        <w:rPr>
          <w:rFonts w:ascii="宋体" w:hAnsi="宋体" w:cs="仿宋"/>
          <w:color w:val="auto"/>
          <w:sz w:val="24"/>
          <w:szCs w:val="24"/>
          <w:highlight w:val="none"/>
        </w:rPr>
      </w:pPr>
      <w:r>
        <w:rPr>
          <w:rFonts w:hint="eastAsia" w:ascii="宋体" w:hAnsi="宋体" w:cs="仿宋"/>
          <w:color w:val="auto"/>
          <w:sz w:val="24"/>
          <w:szCs w:val="24"/>
          <w:highlight w:val="none"/>
        </w:rPr>
        <w:t>质疑项目的名称：</w:t>
      </w:r>
      <w:r>
        <w:rPr>
          <w:rFonts w:hint="eastAsia" w:ascii="宋体" w:hAnsi="宋体" w:cs="仿宋"/>
          <w:color w:val="auto"/>
          <w:sz w:val="24"/>
          <w:szCs w:val="24"/>
          <w:highlight w:val="none"/>
          <w:u w:val="single"/>
        </w:rPr>
        <w:t xml:space="preserve">                                                          </w:t>
      </w:r>
    </w:p>
    <w:p w14:paraId="2C0398E9">
      <w:pPr>
        <w:spacing w:line="360" w:lineRule="auto"/>
        <w:rPr>
          <w:rFonts w:ascii="宋体" w:hAnsi="宋体" w:cs="仿宋"/>
          <w:color w:val="auto"/>
          <w:sz w:val="24"/>
          <w:szCs w:val="24"/>
          <w:highlight w:val="none"/>
        </w:rPr>
      </w:pPr>
      <w:r>
        <w:rPr>
          <w:rFonts w:hint="eastAsia" w:ascii="宋体" w:hAnsi="宋体" w:cs="仿宋"/>
          <w:color w:val="auto"/>
          <w:sz w:val="24"/>
          <w:szCs w:val="24"/>
          <w:highlight w:val="none"/>
        </w:rPr>
        <w:t>质疑项目的编号：</w:t>
      </w:r>
      <w:r>
        <w:rPr>
          <w:rFonts w:hint="eastAsia" w:ascii="宋体" w:hAnsi="宋体" w:cs="仿宋"/>
          <w:color w:val="auto"/>
          <w:sz w:val="24"/>
          <w:szCs w:val="24"/>
          <w:highlight w:val="none"/>
          <w:u w:val="single"/>
        </w:rPr>
        <w:t xml:space="preserve">                         </w:t>
      </w:r>
      <w:r>
        <w:rPr>
          <w:rFonts w:hint="eastAsia" w:ascii="宋体" w:hAnsi="宋体" w:cs="仿宋"/>
          <w:color w:val="auto"/>
          <w:sz w:val="24"/>
          <w:szCs w:val="24"/>
          <w:highlight w:val="none"/>
        </w:rPr>
        <w:t>包号：</w:t>
      </w:r>
      <w:r>
        <w:rPr>
          <w:rFonts w:hint="eastAsia" w:ascii="宋体" w:hAnsi="宋体" w:cs="仿宋"/>
          <w:color w:val="auto"/>
          <w:sz w:val="24"/>
          <w:szCs w:val="24"/>
          <w:highlight w:val="none"/>
          <w:u w:val="single"/>
        </w:rPr>
        <w:t xml:space="preserve">                           </w:t>
      </w:r>
    </w:p>
    <w:p w14:paraId="43BDE9F0">
      <w:pPr>
        <w:spacing w:line="360" w:lineRule="auto"/>
        <w:rPr>
          <w:rFonts w:ascii="宋体" w:hAnsi="宋体" w:cs="仿宋"/>
          <w:color w:val="auto"/>
          <w:sz w:val="24"/>
          <w:szCs w:val="24"/>
          <w:highlight w:val="none"/>
          <w:u w:val="single"/>
        </w:rPr>
      </w:pPr>
      <w:r>
        <w:rPr>
          <w:rFonts w:hint="eastAsia" w:ascii="宋体" w:hAnsi="宋体" w:cs="仿宋"/>
          <w:color w:val="auto"/>
          <w:sz w:val="24"/>
          <w:szCs w:val="24"/>
          <w:highlight w:val="none"/>
        </w:rPr>
        <w:t>采购人名称：</w:t>
      </w:r>
      <w:r>
        <w:rPr>
          <w:rFonts w:hint="eastAsia" w:ascii="宋体" w:hAnsi="宋体" w:cs="仿宋"/>
          <w:color w:val="auto"/>
          <w:sz w:val="24"/>
          <w:szCs w:val="24"/>
          <w:highlight w:val="none"/>
          <w:u w:val="single"/>
        </w:rPr>
        <w:t xml:space="preserve">                                                              </w:t>
      </w:r>
    </w:p>
    <w:p w14:paraId="19F5EEE9">
      <w:pPr>
        <w:spacing w:line="360" w:lineRule="auto"/>
        <w:rPr>
          <w:rFonts w:ascii="宋体" w:hAnsi="宋体" w:cs="仿宋"/>
          <w:color w:val="auto"/>
          <w:sz w:val="24"/>
          <w:szCs w:val="24"/>
          <w:highlight w:val="none"/>
        </w:rPr>
      </w:pPr>
      <w:r>
        <w:rPr>
          <w:rFonts w:hint="eastAsia" w:ascii="宋体" w:hAnsi="宋体" w:cs="仿宋"/>
          <w:color w:val="auto"/>
          <w:sz w:val="24"/>
          <w:szCs w:val="24"/>
          <w:highlight w:val="none"/>
        </w:rPr>
        <w:t>采购文件获取日期：</w:t>
      </w:r>
      <w:r>
        <w:rPr>
          <w:rFonts w:hint="eastAsia" w:ascii="宋体" w:hAnsi="宋体" w:cs="仿宋"/>
          <w:color w:val="auto"/>
          <w:sz w:val="24"/>
          <w:szCs w:val="24"/>
          <w:highlight w:val="none"/>
          <w:u w:val="single"/>
        </w:rPr>
        <w:t xml:space="preserve">                                                        </w:t>
      </w:r>
    </w:p>
    <w:p w14:paraId="401A7C78">
      <w:pPr>
        <w:spacing w:line="360" w:lineRule="auto"/>
        <w:rPr>
          <w:rFonts w:ascii="宋体" w:hAnsi="宋体" w:cs="仿宋"/>
          <w:bCs/>
          <w:color w:val="auto"/>
          <w:sz w:val="24"/>
          <w:szCs w:val="24"/>
          <w:highlight w:val="none"/>
        </w:rPr>
      </w:pPr>
      <w:r>
        <w:rPr>
          <w:rFonts w:hint="eastAsia" w:ascii="宋体" w:hAnsi="宋体" w:cs="仿宋"/>
          <w:bCs/>
          <w:color w:val="auto"/>
          <w:sz w:val="24"/>
          <w:szCs w:val="24"/>
          <w:highlight w:val="none"/>
        </w:rPr>
        <w:t>三、质疑事项具体内容</w:t>
      </w:r>
    </w:p>
    <w:p w14:paraId="287AC174">
      <w:pPr>
        <w:spacing w:line="360" w:lineRule="auto"/>
        <w:rPr>
          <w:rFonts w:ascii="宋体" w:hAnsi="宋体" w:cs="仿宋"/>
          <w:color w:val="auto"/>
          <w:sz w:val="24"/>
          <w:szCs w:val="24"/>
          <w:highlight w:val="none"/>
          <w:u w:val="single"/>
        </w:rPr>
      </w:pPr>
      <w:r>
        <w:rPr>
          <w:rFonts w:hint="eastAsia" w:ascii="宋体" w:hAnsi="宋体" w:cs="仿宋"/>
          <w:color w:val="auto"/>
          <w:sz w:val="24"/>
          <w:szCs w:val="24"/>
          <w:highlight w:val="none"/>
        </w:rPr>
        <w:t>质疑事项1：</w:t>
      </w:r>
      <w:r>
        <w:rPr>
          <w:rFonts w:hint="eastAsia" w:ascii="宋体" w:hAnsi="宋体" w:cs="仿宋"/>
          <w:color w:val="auto"/>
          <w:sz w:val="24"/>
          <w:szCs w:val="24"/>
          <w:highlight w:val="none"/>
          <w:u w:val="single"/>
        </w:rPr>
        <w:t xml:space="preserve">                                                              </w:t>
      </w:r>
    </w:p>
    <w:p w14:paraId="04AEEA0B">
      <w:pPr>
        <w:spacing w:line="360" w:lineRule="auto"/>
        <w:rPr>
          <w:rFonts w:ascii="宋体" w:hAnsi="宋体" w:cs="仿宋"/>
          <w:color w:val="auto"/>
          <w:sz w:val="24"/>
          <w:szCs w:val="24"/>
          <w:highlight w:val="none"/>
          <w:u w:val="single"/>
        </w:rPr>
      </w:pPr>
      <w:r>
        <w:rPr>
          <w:rFonts w:hint="eastAsia" w:ascii="宋体" w:hAnsi="宋体" w:cs="仿宋"/>
          <w:color w:val="auto"/>
          <w:sz w:val="24"/>
          <w:szCs w:val="24"/>
          <w:highlight w:val="none"/>
        </w:rPr>
        <w:t>事实依据：</w:t>
      </w:r>
      <w:r>
        <w:rPr>
          <w:rFonts w:hint="eastAsia" w:ascii="宋体" w:hAnsi="宋体" w:cs="仿宋"/>
          <w:color w:val="auto"/>
          <w:sz w:val="24"/>
          <w:szCs w:val="24"/>
          <w:highlight w:val="none"/>
          <w:u w:val="single"/>
        </w:rPr>
        <w:t xml:space="preserve">                                                                </w:t>
      </w:r>
    </w:p>
    <w:p w14:paraId="5871DB60">
      <w:pPr>
        <w:spacing w:line="360" w:lineRule="auto"/>
        <w:rPr>
          <w:rFonts w:ascii="宋体" w:hAnsi="宋体" w:cs="仿宋"/>
          <w:color w:val="auto"/>
          <w:sz w:val="24"/>
          <w:szCs w:val="24"/>
          <w:highlight w:val="none"/>
        </w:rPr>
      </w:pPr>
      <w:r>
        <w:rPr>
          <w:rFonts w:hint="eastAsia" w:ascii="宋体" w:hAnsi="宋体" w:cs="仿宋"/>
          <w:color w:val="auto"/>
          <w:sz w:val="24"/>
          <w:szCs w:val="24"/>
          <w:highlight w:val="none"/>
          <w:u w:val="single"/>
        </w:rPr>
        <w:t xml:space="preserve">                                                                           </w:t>
      </w:r>
    </w:p>
    <w:p w14:paraId="19B28B0D">
      <w:pPr>
        <w:spacing w:line="360" w:lineRule="auto"/>
        <w:rPr>
          <w:rFonts w:ascii="宋体" w:hAnsi="宋体" w:cs="仿宋"/>
          <w:color w:val="auto"/>
          <w:sz w:val="24"/>
          <w:szCs w:val="24"/>
          <w:highlight w:val="none"/>
          <w:u w:val="single"/>
        </w:rPr>
      </w:pPr>
      <w:r>
        <w:rPr>
          <w:rFonts w:hint="eastAsia" w:ascii="宋体" w:hAnsi="宋体" w:cs="仿宋"/>
          <w:color w:val="auto"/>
          <w:sz w:val="24"/>
          <w:szCs w:val="24"/>
          <w:highlight w:val="none"/>
        </w:rPr>
        <w:t>法律依据：</w:t>
      </w:r>
      <w:r>
        <w:rPr>
          <w:rFonts w:hint="eastAsia" w:ascii="宋体" w:hAnsi="宋体" w:cs="仿宋"/>
          <w:color w:val="auto"/>
          <w:sz w:val="24"/>
          <w:szCs w:val="24"/>
          <w:highlight w:val="none"/>
          <w:u w:val="single"/>
        </w:rPr>
        <w:t xml:space="preserve">                                                                 </w:t>
      </w:r>
    </w:p>
    <w:p w14:paraId="59F3E7E7">
      <w:pPr>
        <w:spacing w:line="360" w:lineRule="auto"/>
        <w:rPr>
          <w:rFonts w:ascii="宋体" w:hAnsi="宋体" w:cs="仿宋"/>
          <w:color w:val="auto"/>
          <w:sz w:val="24"/>
          <w:szCs w:val="24"/>
          <w:highlight w:val="none"/>
          <w:u w:val="single"/>
        </w:rPr>
      </w:pPr>
      <w:r>
        <w:rPr>
          <w:rFonts w:hint="eastAsia" w:ascii="宋体" w:hAnsi="宋体" w:cs="仿宋"/>
          <w:color w:val="auto"/>
          <w:sz w:val="24"/>
          <w:szCs w:val="24"/>
          <w:highlight w:val="none"/>
          <w:u w:val="single"/>
        </w:rPr>
        <w:t xml:space="preserve">                                                                           </w:t>
      </w:r>
    </w:p>
    <w:p w14:paraId="1A2DA985">
      <w:pPr>
        <w:spacing w:line="360" w:lineRule="auto"/>
        <w:rPr>
          <w:rFonts w:ascii="宋体" w:hAnsi="宋体" w:cs="仿宋"/>
          <w:color w:val="auto"/>
          <w:sz w:val="24"/>
          <w:szCs w:val="24"/>
          <w:highlight w:val="none"/>
          <w:u w:val="single"/>
        </w:rPr>
      </w:pPr>
      <w:r>
        <w:rPr>
          <w:rFonts w:hint="eastAsia" w:ascii="宋体" w:hAnsi="宋体" w:cs="仿宋"/>
          <w:color w:val="auto"/>
          <w:sz w:val="24"/>
          <w:szCs w:val="24"/>
          <w:highlight w:val="none"/>
        </w:rPr>
        <w:t>质疑事项2</w:t>
      </w:r>
    </w:p>
    <w:p w14:paraId="458557B7">
      <w:pPr>
        <w:spacing w:line="360" w:lineRule="auto"/>
        <w:rPr>
          <w:rFonts w:ascii="宋体" w:hAnsi="宋体" w:cs="仿宋"/>
          <w:color w:val="auto"/>
          <w:sz w:val="24"/>
          <w:szCs w:val="24"/>
          <w:highlight w:val="none"/>
        </w:rPr>
      </w:pPr>
      <w:r>
        <w:rPr>
          <w:rFonts w:hint="eastAsia" w:ascii="宋体" w:hAnsi="宋体" w:cs="仿宋"/>
          <w:color w:val="auto"/>
          <w:sz w:val="24"/>
          <w:szCs w:val="24"/>
          <w:highlight w:val="none"/>
        </w:rPr>
        <w:t>……</w:t>
      </w:r>
    </w:p>
    <w:p w14:paraId="6CE14C9F">
      <w:pPr>
        <w:spacing w:line="360" w:lineRule="auto"/>
        <w:rPr>
          <w:rFonts w:ascii="宋体" w:hAnsi="宋体" w:cs="仿宋"/>
          <w:bCs/>
          <w:color w:val="auto"/>
          <w:sz w:val="24"/>
          <w:szCs w:val="24"/>
          <w:highlight w:val="none"/>
        </w:rPr>
      </w:pPr>
      <w:r>
        <w:rPr>
          <w:rFonts w:hint="eastAsia" w:ascii="宋体" w:hAnsi="宋体" w:cs="仿宋"/>
          <w:bCs/>
          <w:color w:val="auto"/>
          <w:sz w:val="24"/>
          <w:szCs w:val="24"/>
          <w:highlight w:val="none"/>
        </w:rPr>
        <w:t>四、与质疑事项相关的质疑请求</w:t>
      </w:r>
    </w:p>
    <w:p w14:paraId="5CFF4BAC">
      <w:pPr>
        <w:spacing w:line="360" w:lineRule="auto"/>
        <w:rPr>
          <w:rFonts w:ascii="宋体" w:hAnsi="宋体" w:cs="仿宋"/>
          <w:color w:val="auto"/>
          <w:sz w:val="24"/>
          <w:szCs w:val="24"/>
          <w:highlight w:val="none"/>
          <w:u w:val="single"/>
        </w:rPr>
      </w:pPr>
      <w:r>
        <w:rPr>
          <w:rFonts w:hint="eastAsia" w:ascii="宋体" w:hAnsi="宋体" w:cs="仿宋"/>
          <w:color w:val="auto"/>
          <w:sz w:val="24"/>
          <w:szCs w:val="24"/>
          <w:highlight w:val="none"/>
        </w:rPr>
        <w:t>请求：</w:t>
      </w:r>
      <w:r>
        <w:rPr>
          <w:rFonts w:hint="eastAsia" w:ascii="宋体" w:hAnsi="宋体" w:cs="仿宋"/>
          <w:color w:val="auto"/>
          <w:sz w:val="24"/>
          <w:szCs w:val="24"/>
          <w:highlight w:val="none"/>
          <w:u w:val="single"/>
        </w:rPr>
        <w:t xml:space="preserve">                                                                     </w:t>
      </w:r>
    </w:p>
    <w:p w14:paraId="4E9248C6">
      <w:pPr>
        <w:rPr>
          <w:rFonts w:ascii="宋体" w:hAnsi="宋体"/>
          <w:color w:val="auto"/>
          <w:sz w:val="24"/>
          <w:szCs w:val="24"/>
          <w:highlight w:val="none"/>
        </w:rPr>
      </w:pPr>
      <w:r>
        <w:rPr>
          <w:rFonts w:hint="eastAsia" w:ascii="宋体" w:hAnsi="宋体"/>
          <w:color w:val="auto"/>
          <w:sz w:val="24"/>
          <w:szCs w:val="24"/>
          <w:highlight w:val="none"/>
        </w:rPr>
        <w:t xml:space="preserve">签字(签章)：                   公章：                      </w:t>
      </w:r>
    </w:p>
    <w:p w14:paraId="376F1262">
      <w:pPr>
        <w:rPr>
          <w:rFonts w:ascii="宋体" w:hAnsi="宋体"/>
          <w:color w:val="auto"/>
          <w:sz w:val="24"/>
          <w:szCs w:val="24"/>
          <w:highlight w:val="none"/>
        </w:rPr>
      </w:pPr>
      <w:r>
        <w:rPr>
          <w:rFonts w:hint="eastAsia" w:ascii="宋体" w:hAnsi="宋体"/>
          <w:color w:val="auto"/>
          <w:sz w:val="24"/>
          <w:szCs w:val="24"/>
          <w:highlight w:val="none"/>
        </w:rPr>
        <w:t xml:space="preserve">日期：    </w:t>
      </w:r>
    </w:p>
    <w:p w14:paraId="0C758AF6">
      <w:pPr>
        <w:spacing w:line="400" w:lineRule="exact"/>
        <w:rPr>
          <w:rFonts w:ascii="宋体" w:hAnsi="宋体"/>
          <w:b/>
          <w:color w:val="auto"/>
          <w:sz w:val="24"/>
          <w:szCs w:val="24"/>
          <w:highlight w:val="none"/>
        </w:rPr>
      </w:pPr>
      <w:r>
        <w:rPr>
          <w:rFonts w:hint="eastAsia" w:ascii="宋体" w:hAnsi="宋体"/>
          <w:b/>
          <w:color w:val="auto"/>
          <w:sz w:val="24"/>
          <w:szCs w:val="24"/>
          <w:highlight w:val="none"/>
        </w:rPr>
        <w:t>质疑函制作说明：</w:t>
      </w:r>
    </w:p>
    <w:p w14:paraId="446F4308">
      <w:pPr>
        <w:widowControl/>
        <w:spacing w:line="400" w:lineRule="exact"/>
        <w:ind w:firstLine="480"/>
        <w:jc w:val="left"/>
        <w:rPr>
          <w:rFonts w:ascii="宋体" w:hAnsi="宋体"/>
          <w:color w:val="auto"/>
          <w:sz w:val="24"/>
          <w:szCs w:val="24"/>
          <w:highlight w:val="none"/>
        </w:rPr>
      </w:pPr>
      <w:r>
        <w:rPr>
          <w:rFonts w:hint="eastAsia" w:ascii="宋体" w:hAnsi="宋体"/>
          <w:color w:val="auto"/>
          <w:sz w:val="24"/>
          <w:szCs w:val="24"/>
          <w:highlight w:val="none"/>
        </w:rPr>
        <w:t>1.供应商提出质疑时，应提交质疑函和必要的证明材料。</w:t>
      </w:r>
    </w:p>
    <w:p w14:paraId="5432DDF8">
      <w:pPr>
        <w:widowControl/>
        <w:spacing w:line="400" w:lineRule="exact"/>
        <w:ind w:firstLine="480"/>
        <w:jc w:val="left"/>
        <w:rPr>
          <w:rFonts w:ascii="宋体" w:hAnsi="宋体"/>
          <w:color w:val="auto"/>
          <w:sz w:val="24"/>
          <w:szCs w:val="24"/>
          <w:highlight w:val="none"/>
        </w:rPr>
      </w:pPr>
      <w:r>
        <w:rPr>
          <w:rFonts w:hint="eastAsia" w:ascii="宋体" w:hAnsi="宋体"/>
          <w:color w:val="auto"/>
          <w:sz w:val="24"/>
          <w:szCs w:val="24"/>
          <w:highlight w:val="none"/>
        </w:rPr>
        <w:t>2.质疑供应商若委托代理人进行质疑的，质疑函应按要求列明“授权代表”的有关内容，并在附件中提交由质疑</w:t>
      </w:r>
      <w:r>
        <w:rPr>
          <w:rFonts w:hint="eastAsia" w:ascii="宋体" w:hAnsi="宋体" w:cs="宋体"/>
          <w:color w:val="auto"/>
          <w:sz w:val="24"/>
          <w:szCs w:val="24"/>
          <w:highlight w:val="none"/>
        </w:rPr>
        <w:t>供应商签署的授权委托书。授权委托书应载明代理人的姓名或者名称、代理事项、具体权限、期限和相关事项。</w:t>
      </w:r>
    </w:p>
    <w:p w14:paraId="6449B7A0">
      <w:pPr>
        <w:widowControl/>
        <w:spacing w:line="400" w:lineRule="exact"/>
        <w:ind w:firstLine="480"/>
        <w:jc w:val="left"/>
        <w:rPr>
          <w:rFonts w:ascii="宋体" w:hAnsi="宋体"/>
          <w:color w:val="auto"/>
          <w:sz w:val="24"/>
          <w:szCs w:val="24"/>
          <w:highlight w:val="none"/>
        </w:rPr>
      </w:pPr>
      <w:r>
        <w:rPr>
          <w:rFonts w:hint="eastAsia" w:ascii="宋体" w:hAnsi="宋体"/>
          <w:color w:val="auto"/>
          <w:sz w:val="24"/>
          <w:szCs w:val="24"/>
          <w:highlight w:val="none"/>
        </w:rPr>
        <w:t>3.质疑供应商若对项目的某一分包进行质疑，质疑函中应列明具体分包号。</w:t>
      </w:r>
    </w:p>
    <w:p w14:paraId="694F1A7B">
      <w:pPr>
        <w:widowControl/>
        <w:spacing w:line="400" w:lineRule="exact"/>
        <w:ind w:firstLine="480"/>
        <w:jc w:val="left"/>
        <w:rPr>
          <w:rFonts w:ascii="宋体" w:hAnsi="宋体"/>
          <w:color w:val="auto"/>
          <w:sz w:val="24"/>
          <w:szCs w:val="24"/>
          <w:highlight w:val="none"/>
        </w:rPr>
      </w:pPr>
      <w:r>
        <w:rPr>
          <w:rFonts w:hint="eastAsia" w:ascii="宋体" w:hAnsi="宋体"/>
          <w:color w:val="auto"/>
          <w:sz w:val="24"/>
          <w:szCs w:val="24"/>
          <w:highlight w:val="none"/>
        </w:rPr>
        <w:t>4.质疑函的质疑事项应具体、明确，并有必要的事实依据和法律依据。</w:t>
      </w:r>
    </w:p>
    <w:p w14:paraId="70BA56FE">
      <w:pPr>
        <w:widowControl/>
        <w:spacing w:line="400" w:lineRule="exact"/>
        <w:ind w:firstLine="480"/>
        <w:jc w:val="left"/>
        <w:rPr>
          <w:rFonts w:ascii="宋体" w:hAnsi="宋体"/>
          <w:color w:val="auto"/>
          <w:sz w:val="24"/>
          <w:szCs w:val="24"/>
          <w:highlight w:val="none"/>
        </w:rPr>
      </w:pPr>
      <w:r>
        <w:rPr>
          <w:rFonts w:hint="eastAsia" w:ascii="宋体" w:hAnsi="宋体"/>
          <w:color w:val="auto"/>
          <w:sz w:val="24"/>
          <w:szCs w:val="24"/>
          <w:highlight w:val="none"/>
        </w:rPr>
        <w:t>5.质疑函的质疑请求应与质疑事项相关。</w:t>
      </w:r>
    </w:p>
    <w:p w14:paraId="0677E2C9">
      <w:pPr>
        <w:widowControl/>
        <w:spacing w:line="400" w:lineRule="exact"/>
        <w:ind w:firstLine="480"/>
        <w:jc w:val="left"/>
        <w:rPr>
          <w:rFonts w:hint="eastAsia" w:ascii="宋体" w:hAnsi="宋体"/>
          <w:color w:val="auto"/>
          <w:sz w:val="24"/>
          <w:szCs w:val="24"/>
          <w:highlight w:val="none"/>
        </w:rPr>
      </w:pPr>
      <w:r>
        <w:rPr>
          <w:rFonts w:hint="eastAsia" w:ascii="宋体" w:hAnsi="宋体"/>
          <w:color w:val="auto"/>
          <w:sz w:val="24"/>
          <w:szCs w:val="24"/>
          <w:highlight w:val="none"/>
        </w:rPr>
        <w:t>6.质疑供应商为自然人的，质疑函应由本人签字；质疑供应商为法人或者其他组织的，质疑函应由法定代表人、主要负责人，或者其授权代表签字或者盖章，并加盖公章。</w:t>
      </w:r>
    </w:p>
    <w:p w14:paraId="319F0A36">
      <w:pPr>
        <w:widowControl/>
        <w:spacing w:line="400" w:lineRule="exact"/>
        <w:ind w:firstLine="480"/>
        <w:jc w:val="left"/>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lang w:val="en-US" w:eastAsia="zh-CN"/>
        </w:rPr>
        <w:t>7.</w:t>
      </w:r>
      <w:r>
        <w:rPr>
          <w:rFonts w:hint="eastAsia" w:ascii="宋体" w:hAnsi="宋体" w:eastAsia="宋体" w:cs="Times New Roman"/>
          <w:color w:val="auto"/>
          <w:sz w:val="24"/>
          <w:szCs w:val="24"/>
          <w:highlight w:val="none"/>
        </w:rPr>
        <w:t>特别提醒：供应商必须在法定质疑期内一次性提出针对同一采购程序环节的质疑。</w:t>
      </w:r>
    </w:p>
    <w:p w14:paraId="5DD4BE64">
      <w:pPr>
        <w:rPr>
          <w:color w:val="auto"/>
          <w:highlight w:val="none"/>
        </w:rPr>
      </w:pPr>
      <w:r>
        <w:rPr>
          <w:color w:val="auto"/>
          <w:highlight w:val="none"/>
        </w:rPr>
        <w:br w:type="page" w:clear="all"/>
      </w:r>
    </w:p>
    <w:p w14:paraId="12BC4741">
      <w:pPr>
        <w:ind w:firstLine="160"/>
        <w:rPr>
          <w:rFonts w:ascii="仿宋_GB2312" w:eastAsia="仿宋_GB2312"/>
          <w:color w:val="auto"/>
          <w:sz w:val="32"/>
          <w:highlight w:val="none"/>
        </w:rPr>
      </w:pPr>
      <w:r>
        <w:rPr>
          <w:rFonts w:hint="eastAsia" w:ascii="仿宋_GB2312" w:eastAsia="仿宋_GB2312"/>
          <w:color w:val="auto"/>
          <w:sz w:val="32"/>
          <w:highlight w:val="none"/>
        </w:rPr>
        <w:t>附件</w:t>
      </w:r>
      <w:r>
        <w:rPr>
          <w:rFonts w:hint="eastAsia" w:ascii="仿宋_GB2312" w:eastAsia="仿宋_GB2312"/>
          <w:color w:val="auto"/>
          <w:sz w:val="32"/>
          <w:highlight w:val="none"/>
          <w:lang w:val="en-US" w:eastAsia="zh-CN"/>
        </w:rPr>
        <w:t>1</w:t>
      </w:r>
      <w:r>
        <w:rPr>
          <w:rFonts w:hint="eastAsia" w:ascii="仿宋_GB2312" w:eastAsia="仿宋_GB2312"/>
          <w:color w:val="auto"/>
          <w:sz w:val="32"/>
          <w:highlight w:val="none"/>
        </w:rPr>
        <w:t>：</w:t>
      </w:r>
    </w:p>
    <w:p w14:paraId="237D02E7">
      <w:pPr>
        <w:jc w:val="center"/>
        <w:rPr>
          <w:rFonts w:ascii="方正小标宋简体" w:hAnsi="Times New Roman" w:eastAsia="方正小标宋简体" w:cs="Times New Roman"/>
          <w:color w:val="auto"/>
          <w:sz w:val="44"/>
          <w:highlight w:val="none"/>
        </w:rPr>
      </w:pPr>
      <w:r>
        <w:rPr>
          <w:rFonts w:hint="eastAsia" w:ascii="方正小标宋简体" w:hAnsi="Times New Roman" w:eastAsia="方正小标宋简体" w:cs="Times New Roman"/>
          <w:color w:val="auto"/>
          <w:sz w:val="44"/>
          <w:highlight w:val="none"/>
        </w:rPr>
        <w:t>办理政采贷和</w:t>
      </w:r>
      <w:r>
        <w:rPr>
          <w:rFonts w:ascii="方正小标宋简体" w:hAnsi="Times New Roman" w:eastAsia="方正小标宋简体" w:cs="Times New Roman"/>
          <w:color w:val="auto"/>
          <w:sz w:val="44"/>
          <w:highlight w:val="none"/>
        </w:rPr>
        <w:t>履</w:t>
      </w:r>
      <w:r>
        <w:rPr>
          <w:rFonts w:hint="eastAsia" w:ascii="方正小标宋简体" w:hAnsi="Times New Roman" w:eastAsia="方正小标宋简体" w:cs="Times New Roman"/>
          <w:color w:val="auto"/>
          <w:sz w:val="44"/>
          <w:highlight w:val="none"/>
        </w:rPr>
        <w:t>约保函（</w:t>
      </w:r>
      <w:r>
        <w:rPr>
          <w:rFonts w:ascii="方正小标宋简体" w:hAnsi="Times New Roman" w:eastAsia="方正小标宋简体" w:cs="Times New Roman"/>
          <w:color w:val="auto"/>
          <w:sz w:val="44"/>
          <w:highlight w:val="none"/>
        </w:rPr>
        <w:t>保险</w:t>
      </w:r>
      <w:r>
        <w:rPr>
          <w:rFonts w:hint="eastAsia" w:ascii="方正小标宋简体" w:hAnsi="Times New Roman" w:eastAsia="方正小标宋简体" w:cs="Times New Roman"/>
          <w:color w:val="auto"/>
          <w:sz w:val="44"/>
          <w:highlight w:val="none"/>
        </w:rPr>
        <w:t>）告知函</w:t>
      </w:r>
    </w:p>
    <w:p w14:paraId="2D2B9671">
      <w:pPr>
        <w:rPr>
          <w:rFonts w:ascii="Times New Roman" w:hAnsi="Times New Roman" w:eastAsia="仿宋_GB2312" w:cs="Times New Roman"/>
          <w:color w:val="auto"/>
          <w:sz w:val="32"/>
          <w:highlight w:val="none"/>
        </w:rPr>
      </w:pPr>
    </w:p>
    <w:p w14:paraId="704226D2">
      <w:pPr>
        <w:rPr>
          <w:rFonts w:ascii="Times New Roman" w:hAnsi="Times New Roman" w:eastAsia="仿宋_GB2312" w:cs="Times New Roman"/>
          <w:color w:val="auto"/>
          <w:sz w:val="32"/>
          <w:highlight w:val="none"/>
        </w:rPr>
      </w:pPr>
      <w:r>
        <w:rPr>
          <w:rFonts w:hint="eastAsia" w:ascii="Times New Roman" w:hAnsi="Times New Roman" w:eastAsia="仿宋_GB2312" w:cs="Times New Roman"/>
          <w:color w:val="auto"/>
          <w:sz w:val="32"/>
          <w:highlight w:val="none"/>
        </w:rPr>
        <w:t>各政府采购供应商：</w:t>
      </w:r>
    </w:p>
    <w:p w14:paraId="7BF0F357">
      <w:pPr>
        <w:ind w:firstLine="640"/>
        <w:rPr>
          <w:rFonts w:ascii="Times New Roman" w:hAnsi="Times New Roman" w:eastAsia="仿宋_GB2312" w:cs="Times New Roman"/>
          <w:color w:val="auto"/>
          <w:sz w:val="32"/>
          <w:highlight w:val="none"/>
        </w:rPr>
      </w:pPr>
      <w:r>
        <w:rPr>
          <w:rFonts w:hint="eastAsia" w:ascii="Times New Roman" w:hAnsi="Times New Roman" w:eastAsia="仿宋_GB2312" w:cs="Times New Roman"/>
          <w:color w:val="auto"/>
          <w:sz w:val="32"/>
          <w:highlight w:val="none"/>
        </w:rPr>
        <w:t>欢迎贵公司参与南通市政府采购活动！</w:t>
      </w:r>
    </w:p>
    <w:p w14:paraId="0C243DEC">
      <w:pPr>
        <w:ind w:firstLine="640"/>
        <w:rPr>
          <w:rFonts w:ascii="Times New Roman" w:hAnsi="Times New Roman" w:eastAsia="仿宋_GB2312" w:cs="Times New Roman"/>
          <w:color w:val="auto"/>
          <w:sz w:val="32"/>
          <w:highlight w:val="none"/>
        </w:rPr>
      </w:pPr>
      <w:r>
        <w:rPr>
          <w:rFonts w:hint="eastAsia" w:ascii="Times New Roman" w:hAnsi="Times New Roman" w:eastAsia="仿宋_GB2312" w:cs="Times New Roman"/>
          <w:color w:val="auto"/>
          <w:sz w:val="32"/>
          <w:highlight w:val="none"/>
        </w:rPr>
        <w:t>政府采购线上合同信用融资和</w:t>
      </w:r>
      <w:r>
        <w:rPr>
          <w:rFonts w:ascii="Times New Roman" w:hAnsi="Times New Roman" w:eastAsia="仿宋_GB2312" w:cs="Times New Roman"/>
          <w:color w:val="auto"/>
          <w:sz w:val="32"/>
          <w:highlight w:val="none"/>
        </w:rPr>
        <w:t>履</w:t>
      </w:r>
      <w:r>
        <w:rPr>
          <w:rFonts w:hint="eastAsia" w:ascii="Times New Roman" w:hAnsi="Times New Roman" w:eastAsia="仿宋_GB2312" w:cs="Times New Roman"/>
          <w:color w:val="auto"/>
          <w:sz w:val="32"/>
          <w:highlight w:val="none"/>
        </w:rPr>
        <w:t>约保函（</w:t>
      </w:r>
      <w:r>
        <w:rPr>
          <w:rFonts w:ascii="Times New Roman" w:hAnsi="Times New Roman" w:eastAsia="仿宋_GB2312" w:cs="Times New Roman"/>
          <w:color w:val="auto"/>
          <w:sz w:val="32"/>
          <w:highlight w:val="none"/>
        </w:rPr>
        <w:t>保险</w:t>
      </w:r>
      <w:r>
        <w:rPr>
          <w:rFonts w:hint="eastAsia" w:ascii="Times New Roman" w:hAnsi="Times New Roman" w:eastAsia="仿宋_GB2312" w:cs="Times New Roman"/>
          <w:color w:val="auto"/>
          <w:sz w:val="32"/>
          <w:highlight w:val="none"/>
        </w:rPr>
        <w:t>）是支持企业发展，针对参与政府采购活动的企业融资难、现金流不足等问题推出的一项服务举措。</w:t>
      </w:r>
    </w:p>
    <w:p w14:paraId="7762DEDC">
      <w:pPr>
        <w:ind w:firstLine="640"/>
        <w:rPr>
          <w:rFonts w:hint="eastAsia"/>
          <w:color w:val="auto"/>
          <w:highlight w:val="none"/>
        </w:rPr>
      </w:pPr>
      <w:r>
        <w:rPr>
          <w:rFonts w:hint="eastAsia" w:ascii="Times New Roman" w:hAnsi="Times New Roman" w:eastAsia="仿宋_GB2312" w:cs="Times New Roman"/>
          <w:color w:val="auto"/>
          <w:sz w:val="32"/>
          <w:highlight w:val="none"/>
        </w:rPr>
        <w:t>贵公司若成为本次政府采购项目的中标（成交）供应商，</w:t>
      </w:r>
      <w:r>
        <w:rPr>
          <w:rFonts w:hint="eastAsia" w:ascii="仿宋_GB2312" w:hAnsi="Times New Roman" w:eastAsia="仿宋_GB2312" w:cs="Times New Roman"/>
          <w:color w:val="auto"/>
          <w:sz w:val="32"/>
          <w:szCs w:val="32"/>
          <w:highlight w:val="none"/>
        </w:rPr>
        <w:t>可自愿选择</w:t>
      </w:r>
      <w:r>
        <w:rPr>
          <w:rFonts w:ascii="Times New Roman" w:hAnsi="Times New Roman" w:eastAsia="仿宋_GB2312" w:cs="Times New Roman"/>
          <w:color w:val="auto"/>
          <w:sz w:val="32"/>
          <w:highlight w:val="none"/>
        </w:rPr>
        <w:t>履</w:t>
      </w:r>
      <w:r>
        <w:rPr>
          <w:rFonts w:hint="eastAsia" w:ascii="Times New Roman" w:hAnsi="Times New Roman" w:eastAsia="仿宋_GB2312" w:cs="Times New Roman"/>
          <w:color w:val="auto"/>
          <w:sz w:val="32"/>
          <w:highlight w:val="none"/>
        </w:rPr>
        <w:t>约保函（</w:t>
      </w:r>
      <w:r>
        <w:rPr>
          <w:rFonts w:ascii="Times New Roman" w:hAnsi="Times New Roman" w:eastAsia="仿宋_GB2312" w:cs="Times New Roman"/>
          <w:color w:val="auto"/>
          <w:sz w:val="32"/>
          <w:highlight w:val="none"/>
        </w:rPr>
        <w:t>保险</w:t>
      </w:r>
      <w:r>
        <w:rPr>
          <w:rFonts w:hint="eastAsia" w:ascii="Times New Roman" w:hAnsi="Times New Roman" w:eastAsia="仿宋_GB2312" w:cs="Times New Roman"/>
          <w:color w:val="auto"/>
          <w:sz w:val="32"/>
          <w:highlight w:val="none"/>
        </w:rPr>
        <w:t>）</w:t>
      </w:r>
      <w:r>
        <w:rPr>
          <w:rFonts w:hint="eastAsia" w:ascii="仿宋_GB2312" w:hAnsi="Times New Roman" w:eastAsia="仿宋_GB2312" w:cs="Times New Roman"/>
          <w:color w:val="auto"/>
          <w:sz w:val="32"/>
          <w:szCs w:val="32"/>
          <w:highlight w:val="none"/>
        </w:rPr>
        <w:t>形式替代履约保证金，也</w:t>
      </w:r>
      <w:r>
        <w:rPr>
          <w:rFonts w:hint="eastAsia" w:ascii="Times New Roman" w:hAnsi="Times New Roman" w:eastAsia="仿宋_GB2312" w:cs="Times New Roman"/>
          <w:color w:val="auto"/>
          <w:sz w:val="32"/>
          <w:highlight w:val="none"/>
        </w:rPr>
        <w:t>可持政府采购合同在线向金融机构申请无抵押无担保贷款。第三方机构将根据《转发关于在全省政府采购领域推行电子履约保函（保险）的通知》（通财购〔2023〕57号）和《关于深入开展南通市政府采购线上合同信用融资业务的通知》（通财购〔2022〕68号），按照双方自愿的原则提供便捷、优惠的服务。</w:t>
      </w:r>
    </w:p>
    <w:sectPr>
      <w:pgSz w:w="11906" w:h="16838"/>
      <w:pgMar w:top="1418" w:right="1588" w:bottom="1418" w:left="1365" w:header="851" w:footer="907" w:gutter="0"/>
      <w:cols w:space="1701"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60101010101"/>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幼圆">
    <w:altName w:val="宋体"/>
    <w:panose1 w:val="02010509060101010101"/>
    <w:charset w:val="86"/>
    <w:family w:val="auto"/>
    <w:pitch w:val="default"/>
    <w:sig w:usb0="00000000" w:usb1="00000000" w:usb2="00000000" w:usb3="00000000" w:csb0="00040000" w:csb1="00000000"/>
  </w:font>
  <w:font w:name="仿宋_GB2312">
    <w:altName w:val="仿宋"/>
    <w:panose1 w:val="02010609060101010101"/>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 w:name="Arial Unicode MS">
    <w:altName w:val="Arial"/>
    <w:panose1 w:val="020B0604020202020204"/>
    <w:charset w:val="00"/>
    <w:family w:val="auto"/>
    <w:pitch w:val="default"/>
    <w:sig w:usb0="00000000" w:usb1="00000000" w:usb2="00000000" w:usb3="00000000" w:csb0="00000000" w:csb1="00000000"/>
  </w:font>
  <w:font w:name="方正黑体_GBK">
    <w:altName w:val="微软雅黑"/>
    <w:panose1 w:val="020B0503020202020204"/>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Verdana">
    <w:panose1 w:val="020B0604030504040204"/>
    <w:charset w:val="00"/>
    <w:family w:val="auto"/>
    <w:pitch w:val="default"/>
    <w:sig w:usb0="A00006FF" w:usb1="4000205B" w:usb2="00000010" w:usb3="00000000" w:csb0="2000019F" w:csb1="00000000"/>
  </w:font>
  <w:font w:name="方正小标宋_GBK">
    <w:altName w:val="微软雅黑"/>
    <w:panose1 w:val="020B0503020202020204"/>
    <w:charset w:val="00"/>
    <w:family w:val="auto"/>
    <w:pitch w:val="default"/>
    <w:sig w:usb0="00000000" w:usb1="00000000" w:usb2="00000000" w:usb3="00000000" w:csb0="00000000" w:csb1="00000000"/>
  </w:font>
  <w:font w:name="Calibri-Bold">
    <w:altName w:val="Calibri"/>
    <w:panose1 w:val="020F0502020204030204"/>
    <w:charset w:val="00"/>
    <w:family w:val="auto"/>
    <w:pitch w:val="default"/>
    <w:sig w:usb0="00000000" w:usb1="00000000" w:usb2="00000000" w:usb3="00000000" w:csb0="00000000" w:csb1="00000000"/>
  </w:font>
  <w:font w:name="Segoe UI">
    <w:panose1 w:val="020B0502040204020203"/>
    <w:charset w:val="00"/>
    <w:family w:val="auto"/>
    <w:pitch w:val="default"/>
    <w:sig w:usb0="E4002EFF" w:usb1="C000E47F"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方正小标宋简体">
    <w:altName w:val="黑体"/>
    <w:panose1 w:val="020B0503020202020204"/>
    <w:charset w:val="00"/>
    <w:family w:val="auto"/>
    <w:pitch w:val="default"/>
    <w:sig w:usb0="00000000" w:usb1="00000000" w:usb2="00000000" w:usb3="00000000" w:csb0="00000000"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AA29C9">
    <w:pPr>
      <w:pStyle w:val="240"/>
      <w:jc w:val="center"/>
      <w:rPr>
        <w:rFonts w:hint="eastAsia"/>
        <w:b/>
        <w:i/>
      </w:rPr>
    </w:pPr>
    <w:r>
      <w:rPr>
        <w:b/>
        <w:i/>
        <w:sz w:val="20"/>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09638E">
    <w:pPr>
      <w:pStyle w:val="240"/>
      <w:framePr w:wrap="around" w:vAnchor="text" w:hAnchor="margin" w:xAlign="center" w:y="1"/>
      <w:rPr>
        <w:rStyle w:val="265"/>
      </w:rPr>
    </w:pPr>
    <w:r>
      <w:fldChar w:fldCharType="begin"/>
    </w:r>
    <w:r>
      <w:rPr>
        <w:rStyle w:val="265"/>
      </w:rPr>
      <w:instrText xml:space="preserve">PAGE  </w:instrText>
    </w:r>
    <w:r>
      <w:fldChar w:fldCharType="separate"/>
    </w:r>
    <w:r>
      <w:rPr>
        <w:rStyle w:val="265"/>
      </w:rPr>
      <w:t>1</w:t>
    </w:r>
    <w:r>
      <w:fldChar w:fldCharType="end"/>
    </w:r>
  </w:p>
  <w:p w14:paraId="537DB2D5">
    <w:pPr>
      <w:pStyle w:val="24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2E3DFC">
    <w:pPr>
      <w:pStyle w:val="240"/>
      <w:jc w:val="center"/>
      <w:rPr>
        <w:rFonts w:hint="eastAsia"/>
        <w:b/>
        <w:i/>
      </w:rPr>
    </w:pPr>
    <w:r>
      <w:rPr>
        <w:b/>
        <w:i/>
        <w:sz w:val="20"/>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4D4504">
    <w:pPr>
      <w:pStyle w:val="22"/>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E2914A">
    <w:pPr>
      <w:pStyle w:val="240"/>
      <w:jc w:val="center"/>
      <w:rPr>
        <w:rFonts w:hint="eastAsia"/>
        <w:b/>
        <w:i/>
      </w:rPr>
    </w:pPr>
    <w:r>
      <w:rPr>
        <w:b/>
        <w:i/>
        <w:sz w:val="20"/>
      </w:rP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E6E1C3">
    <w:pPr>
      <w:pStyle w:val="22"/>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CC0FE1">
    <w:pPr>
      <w:pStyle w:val="240"/>
      <w:jc w:val="center"/>
      <w:rPr>
        <w:rFonts w:hint="eastAsia"/>
        <w:b/>
        <w:i/>
      </w:rPr>
    </w:pPr>
    <w:r>
      <w:rPr>
        <w:b/>
        <w:i/>
        <w:sz w:val="20"/>
      </w:rPr>
      <w:t xml:space="preserve"> </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71709B">
    <w:pPr>
      <w:pStyle w:val="2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BDE91B">
    <w:pPr>
      <w:pStyle w:val="242"/>
      <w:pBdr>
        <w:bottom w:val="none" w:color="000000"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multilevel"/>
    <w:tmpl w:val="9239341B"/>
    <w:lvl w:ilvl="0" w:tentative="0">
      <w:start w:val="1"/>
      <w:numFmt w:val="decimal"/>
      <w:suff w:val="nothing"/>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1">
    <w:nsid w:val="C8879AEF"/>
    <w:multiLevelType w:val="multilevel"/>
    <w:tmpl w:val="C8879AEF"/>
    <w:lvl w:ilvl="0" w:tentative="0">
      <w:start w:val="1"/>
      <w:numFmt w:val="decimal"/>
      <w:pStyle w:val="288"/>
      <w:lvlText w:val="%1."/>
      <w:lvlJc w:val="left"/>
      <w:pPr>
        <w:tabs>
          <w:tab w:val="left" w:pos="709"/>
        </w:tabs>
        <w:ind w:left="709" w:hanging="709"/>
      </w:pPr>
      <w:rPr>
        <w:rFonts w:hint="eastAsia"/>
      </w:rPr>
    </w:lvl>
    <w:lvl w:ilvl="1" w:tentative="0">
      <w:start w:val="1"/>
      <w:numFmt w:val="decimal"/>
      <w:lvlText w:val="%1.%2"/>
      <w:lvlJc w:val="left"/>
      <w:pPr>
        <w:tabs>
          <w:tab w:val="left" w:pos="709"/>
        </w:tabs>
        <w:ind w:left="709" w:hanging="709"/>
      </w:pPr>
      <w:rPr>
        <w:rFonts w:hint="eastAsia"/>
      </w:rPr>
    </w:lvl>
    <w:lvl w:ilvl="2" w:tentative="0">
      <w:start w:val="1"/>
      <w:numFmt w:val="decimal"/>
      <w:lvlText w:val="%1.%2.%3."/>
      <w:lvlJc w:val="left"/>
      <w:pPr>
        <w:tabs>
          <w:tab w:val="left" w:pos="425"/>
        </w:tabs>
        <w:ind w:left="425" w:hanging="425"/>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2">
    <w:nsid w:val="D7F9FE59"/>
    <w:multiLevelType w:val="multilevel"/>
    <w:tmpl w:val="D7F9FE59"/>
    <w:lvl w:ilvl="0" w:tentative="0">
      <w:start w:val="4"/>
      <w:numFmt w:val="chineseCounting"/>
      <w:suff w:val="space"/>
      <w:lvlText w:val="第%1章"/>
      <w:lvlJc w:val="left"/>
      <w:pPr>
        <w:ind w:left="1470"/>
      </w:pPr>
      <w:rPr>
        <w:rFonts w:hint="eastAsia"/>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3">
    <w:nsid w:val="DCBA6B53"/>
    <w:multiLevelType w:val="multilevel"/>
    <w:tmpl w:val="DCBA6B53"/>
    <w:lvl w:ilvl="0" w:tentative="0">
      <w:start w:val="3"/>
      <w:numFmt w:val="chineseCounting"/>
      <w:suff w:val="nothing"/>
      <w:lvlText w:val="%1、"/>
      <w:lvlJc w:val="left"/>
      <w:pPr>
        <w:ind w:left="0" w:firstLine="0"/>
      </w:p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4">
    <w:nsid w:val="F4B5D9F5"/>
    <w:multiLevelType w:val="multilevel"/>
    <w:tmpl w:val="F4B5D9F5"/>
    <w:lvl w:ilvl="0" w:tentative="0">
      <w:start w:val="2"/>
      <w:numFmt w:val="decimal"/>
      <w:lvlText w:val="%1."/>
      <w:lvlJc w:val="left"/>
      <w:pPr>
        <w:tabs>
          <w:tab w:val="left" w:pos="312"/>
        </w:tabs>
      </w:p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5">
    <w:nsid w:val="2470EC97"/>
    <w:multiLevelType w:val="multilevel"/>
    <w:tmpl w:val="2470EC97"/>
    <w:lvl w:ilvl="0" w:tentative="0">
      <w:start w:val="1"/>
      <w:numFmt w:val="decimal"/>
      <w:suff w:val="nothing"/>
      <w:lvlText w:val="%1．"/>
      <w:lvlJc w:val="left"/>
      <w:pPr>
        <w:ind w:left="0" w:firstLine="0"/>
      </w:p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6">
    <w:nsid w:val="2A8F537B"/>
    <w:multiLevelType w:val="multilevel"/>
    <w:tmpl w:val="2A8F537B"/>
    <w:lvl w:ilvl="0" w:tentative="0">
      <w:start w:val="1"/>
      <w:numFmt w:val="chineseCountingThousand"/>
      <w:suff w:val="nothing"/>
      <w:lvlText w:val="第%1章 "/>
      <w:lvlJc w:val="left"/>
      <w:pPr>
        <w:ind w:left="0" w:firstLine="0"/>
      </w:pPr>
      <w:rPr>
        <w:rFonts w:hint="eastAsia"/>
      </w:rPr>
    </w:lvl>
    <w:lvl w:ilvl="1" w:tentative="0">
      <w:start w:val="1"/>
      <w:numFmt w:val="decimal"/>
      <w:suff w:val="nothing"/>
      <w:lvlText w:val="%2、"/>
      <w:lvlJc w:val="left"/>
      <w:pPr>
        <w:ind w:left="0" w:firstLine="0"/>
      </w:pPr>
      <w:rPr>
        <w:rFonts w:hint="eastAsia"/>
      </w:rPr>
    </w:lvl>
    <w:lvl w:ilvl="2" w:tentative="0">
      <w:start w:val="1"/>
      <w:numFmt w:val="decimal"/>
      <w:suff w:val="nothing"/>
      <w:lvlText w:val="%2.%3 "/>
      <w:lvlJc w:val="left"/>
      <w:pPr>
        <w:ind w:left="0" w:firstLine="0"/>
      </w:pPr>
      <w:rPr>
        <w:rFonts w:hint="eastAsia"/>
      </w:rPr>
    </w:lvl>
    <w:lvl w:ilvl="3" w:tentative="0">
      <w:start w:val="1"/>
      <w:numFmt w:val="decimal"/>
      <w:suff w:val="nothing"/>
      <w:lvlText w:val="%2.%3.%4 "/>
      <w:lvlJc w:val="left"/>
      <w:pPr>
        <w:ind w:left="0" w:firstLine="0"/>
      </w:pPr>
      <w:rPr>
        <w:rFonts w:hint="eastAsia"/>
      </w:rPr>
    </w:lvl>
    <w:lvl w:ilvl="4" w:tentative="0">
      <w:start w:val="1"/>
      <w:numFmt w:val="decimal"/>
      <w:suff w:val="nothing"/>
      <w:lvlText w:val="%2.%3.%4.%5 "/>
      <w:lvlJc w:val="left"/>
      <w:pPr>
        <w:ind w:left="0" w:firstLine="0"/>
      </w:pPr>
      <w:rPr>
        <w:rFonts w:hint="eastAsia"/>
      </w:rPr>
    </w:lvl>
    <w:lvl w:ilvl="5" w:tentative="0">
      <w:start w:val="1"/>
      <w:numFmt w:val="decimal"/>
      <w:pStyle w:val="199"/>
      <w:suff w:val="nothing"/>
      <w:lvlText w:val=""/>
      <w:lvlJc w:val="left"/>
      <w:pPr>
        <w:ind w:left="0" w:firstLine="0"/>
      </w:pPr>
      <w:rPr>
        <w:rFonts w:hint="eastAsia"/>
      </w:rPr>
    </w:lvl>
    <w:lvl w:ilvl="6" w:tentative="0">
      <w:start w:val="1"/>
      <w:numFmt w:val="decimal"/>
      <w:pStyle w:val="200"/>
      <w:suff w:val="nothing"/>
      <w:lvlText w:val=""/>
      <w:lvlJc w:val="left"/>
      <w:pPr>
        <w:ind w:left="0" w:firstLine="0"/>
      </w:pPr>
      <w:rPr>
        <w:rFonts w:hint="eastAsia"/>
      </w:rPr>
    </w:lvl>
    <w:lvl w:ilvl="7" w:tentative="0">
      <w:start w:val="1"/>
      <w:numFmt w:val="decimal"/>
      <w:pStyle w:val="201"/>
      <w:suff w:val="nothing"/>
      <w:lvlText w:val=""/>
      <w:lvlJc w:val="left"/>
      <w:pPr>
        <w:ind w:left="0" w:firstLine="0"/>
      </w:pPr>
      <w:rPr>
        <w:rFonts w:hint="eastAsia"/>
      </w:rPr>
    </w:lvl>
    <w:lvl w:ilvl="8" w:tentative="0">
      <w:start w:val="1"/>
      <w:numFmt w:val="decimal"/>
      <w:pStyle w:val="202"/>
      <w:suff w:val="nothing"/>
      <w:lvlText w:val=""/>
      <w:lvlJc w:val="left"/>
      <w:pPr>
        <w:ind w:left="0" w:firstLine="0"/>
      </w:pPr>
      <w:rPr>
        <w:rFonts w:hint="eastAsia"/>
      </w:rPr>
    </w:lvl>
  </w:abstractNum>
  <w:abstractNum w:abstractNumId="7">
    <w:nsid w:val="4D4DC07F"/>
    <w:multiLevelType w:val="multilevel"/>
    <w:tmpl w:val="4D4DC07F"/>
    <w:lvl w:ilvl="0" w:tentative="0">
      <w:start w:val="1"/>
      <w:numFmt w:val="japaneseCounting"/>
      <w:lvlText w:val="第%1章"/>
      <w:lvlJc w:val="left"/>
      <w:pPr>
        <w:tabs>
          <w:tab w:val="left" w:pos="1440"/>
        </w:tabs>
        <w:ind w:left="1440" w:hanging="1440"/>
      </w:pPr>
      <w:rPr>
        <w:rFonts w:hint="eastAsia" w:ascii="宋体" w:hAnsi="宋体" w:eastAsia="宋体" w:cs="宋体"/>
        <w:b w:val="0"/>
        <w:sz w:val="36"/>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8">
    <w:nsid w:val="5A241D34"/>
    <w:multiLevelType w:val="multilevel"/>
    <w:tmpl w:val="5A241D34"/>
    <w:lvl w:ilvl="0" w:tentative="0">
      <w:start w:val="1"/>
      <w:numFmt w:val="upperLetter"/>
      <w:pStyle w:val="281"/>
      <w:lvlText w:val="附录%1."/>
      <w:lvlJc w:val="left"/>
      <w:pPr>
        <w:tabs>
          <w:tab w:val="left" w:pos="907"/>
        </w:tabs>
        <w:ind w:left="907" w:hanging="907"/>
      </w:pPr>
      <w:rPr>
        <w:rFonts w:hint="eastAsia"/>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num w:numId="1">
    <w:abstractNumId w:val="6"/>
  </w:num>
  <w:num w:numId="2">
    <w:abstractNumId w:val="8"/>
  </w:num>
  <w:num w:numId="3">
    <w:abstractNumId w:val="1"/>
  </w:num>
  <w:num w:numId="4">
    <w:abstractNumId w:val="7"/>
  </w:num>
  <w:num w:numId="5">
    <w:abstractNumId w:val="4"/>
  </w:num>
  <w:num w:numId="6">
    <w:abstractNumId w:val="5"/>
  </w:num>
  <w:num w:numId="7">
    <w:abstractNumId w:val="3"/>
  </w:num>
  <w:num w:numId="8">
    <w:abstractNumId w:val="2"/>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balanceSingleByteDoubleByteWidth/>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VlZjgyMTA5ZWI4MDZkMDU4ZjljYjE1OGRiMTE5ODQifQ=="/>
  </w:docVars>
  <w:rsids>
    <w:rsidRoot w:val="00000000"/>
    <w:rsid w:val="00C84172"/>
    <w:rsid w:val="01AC18A5"/>
    <w:rsid w:val="03A762C0"/>
    <w:rsid w:val="07A1396F"/>
    <w:rsid w:val="07EB0885"/>
    <w:rsid w:val="083D5445"/>
    <w:rsid w:val="0A0F50BF"/>
    <w:rsid w:val="0A1B7A08"/>
    <w:rsid w:val="0B792C38"/>
    <w:rsid w:val="0D417786"/>
    <w:rsid w:val="0DA80CAB"/>
    <w:rsid w:val="0E8B67DF"/>
    <w:rsid w:val="0F9635DB"/>
    <w:rsid w:val="103E61FE"/>
    <w:rsid w:val="11E41662"/>
    <w:rsid w:val="13D65560"/>
    <w:rsid w:val="15190FE8"/>
    <w:rsid w:val="152E4A94"/>
    <w:rsid w:val="1767603B"/>
    <w:rsid w:val="176A3428"/>
    <w:rsid w:val="177362B0"/>
    <w:rsid w:val="186C6D61"/>
    <w:rsid w:val="189604F3"/>
    <w:rsid w:val="1B862808"/>
    <w:rsid w:val="1E7B3FE6"/>
    <w:rsid w:val="1E937715"/>
    <w:rsid w:val="1F4D3D68"/>
    <w:rsid w:val="1FEB3581"/>
    <w:rsid w:val="20E92D57"/>
    <w:rsid w:val="23405992"/>
    <w:rsid w:val="246C012F"/>
    <w:rsid w:val="25494FD2"/>
    <w:rsid w:val="261868B0"/>
    <w:rsid w:val="2C4E050D"/>
    <w:rsid w:val="2C5F2E6D"/>
    <w:rsid w:val="2D2A6A5A"/>
    <w:rsid w:val="363C648D"/>
    <w:rsid w:val="364316D8"/>
    <w:rsid w:val="3CBB635D"/>
    <w:rsid w:val="3F926613"/>
    <w:rsid w:val="424B7E06"/>
    <w:rsid w:val="44C77061"/>
    <w:rsid w:val="47EC7B15"/>
    <w:rsid w:val="4812704D"/>
    <w:rsid w:val="48A562D1"/>
    <w:rsid w:val="4A7B1B6B"/>
    <w:rsid w:val="4ACA3C0F"/>
    <w:rsid w:val="4B6B60BC"/>
    <w:rsid w:val="4B863FDA"/>
    <w:rsid w:val="4D9C1893"/>
    <w:rsid w:val="4E7D123E"/>
    <w:rsid w:val="4E853E19"/>
    <w:rsid w:val="52FF4B3E"/>
    <w:rsid w:val="531243A6"/>
    <w:rsid w:val="5527238A"/>
    <w:rsid w:val="55DF2C65"/>
    <w:rsid w:val="56D93025"/>
    <w:rsid w:val="5818245E"/>
    <w:rsid w:val="58A02ACC"/>
    <w:rsid w:val="5A454934"/>
    <w:rsid w:val="5AB75F5E"/>
    <w:rsid w:val="5AE42ACB"/>
    <w:rsid w:val="5C2A6C04"/>
    <w:rsid w:val="5C8C1474"/>
    <w:rsid w:val="5D5251FE"/>
    <w:rsid w:val="5E343D6A"/>
    <w:rsid w:val="610B0DB2"/>
    <w:rsid w:val="622C5484"/>
    <w:rsid w:val="6618187B"/>
    <w:rsid w:val="66897B35"/>
    <w:rsid w:val="67A27113"/>
    <w:rsid w:val="685968A7"/>
    <w:rsid w:val="6AA67D9D"/>
    <w:rsid w:val="6BAC13E3"/>
    <w:rsid w:val="6E364527"/>
    <w:rsid w:val="717F6C52"/>
    <w:rsid w:val="72AA5E80"/>
    <w:rsid w:val="73AB1F81"/>
    <w:rsid w:val="755D254E"/>
    <w:rsid w:val="777D59E2"/>
    <w:rsid w:val="7D330651"/>
    <w:rsid w:val="7FE3173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qFormat="1" w:uiPriority="99" w:semiHidden="0" w:name="table of figures"/>
    <w:lsdException w:uiPriority="99" w:name="envelope address"/>
    <w:lsdException w:qFormat="1" w:unhideWhenUsed="0" w:uiPriority="99" w:semiHidden="0" w:name="envelope return"/>
    <w:lsdException w:qFormat="1" w:uiPriority="99" w:semiHidden="0" w:name="footnote reference"/>
    <w:lsdException w:qFormat="1" w:unhideWhenUsed="0" w:uiPriority="0" w:semiHidden="0"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307"/>
    <w:qFormat/>
    <w:uiPriority w:val="0"/>
    <w:pPr>
      <w:widowControl w:val="0"/>
      <w:jc w:val="both"/>
    </w:pPr>
    <w:rPr>
      <w:rFonts w:hint="default" w:ascii="Times New Roman" w:hAnsi="Times New Roman" w:eastAsia="宋体" w:cs="Times New Roman"/>
      <w:sz w:val="21"/>
      <w:szCs w:val="22"/>
      <w:lang w:val="en-US" w:eastAsia="zh-CN" w:bidi="ar-SA"/>
    </w:rPr>
  </w:style>
  <w:style w:type="paragraph" w:styleId="4">
    <w:name w:val="heading 1"/>
    <w:basedOn w:val="1"/>
    <w:next w:val="1"/>
    <w:link w:val="46"/>
    <w:qFormat/>
    <w:uiPriority w:val="9"/>
    <w:pPr>
      <w:keepNext/>
      <w:keepLines/>
      <w:spacing w:before="480" w:after="200"/>
      <w:outlineLvl w:val="0"/>
    </w:pPr>
    <w:rPr>
      <w:rFonts w:ascii="Arial" w:hAnsi="Arial" w:eastAsia="Arial" w:cs="Arial"/>
      <w:sz w:val="40"/>
      <w:szCs w:val="40"/>
    </w:rPr>
  </w:style>
  <w:style w:type="paragraph" w:styleId="5">
    <w:name w:val="heading 2"/>
    <w:basedOn w:val="1"/>
    <w:next w:val="1"/>
    <w:link w:val="47"/>
    <w:unhideWhenUsed/>
    <w:qFormat/>
    <w:uiPriority w:val="9"/>
    <w:pPr>
      <w:keepNext/>
      <w:keepLines/>
      <w:spacing w:before="360" w:after="200"/>
      <w:outlineLvl w:val="1"/>
    </w:pPr>
    <w:rPr>
      <w:rFonts w:ascii="Arial" w:hAnsi="Arial" w:eastAsia="Arial" w:cs="Arial"/>
      <w:sz w:val="34"/>
    </w:rPr>
  </w:style>
  <w:style w:type="paragraph" w:styleId="6">
    <w:name w:val="heading 3"/>
    <w:basedOn w:val="1"/>
    <w:next w:val="1"/>
    <w:link w:val="48"/>
    <w:unhideWhenUsed/>
    <w:qFormat/>
    <w:uiPriority w:val="9"/>
    <w:pPr>
      <w:keepNext/>
      <w:keepLines/>
      <w:spacing w:before="320" w:after="200"/>
      <w:outlineLvl w:val="2"/>
    </w:pPr>
    <w:rPr>
      <w:rFonts w:ascii="Arial" w:hAnsi="Arial" w:eastAsia="Arial" w:cs="Arial"/>
      <w:sz w:val="30"/>
      <w:szCs w:val="30"/>
    </w:rPr>
  </w:style>
  <w:style w:type="paragraph" w:styleId="7">
    <w:name w:val="heading 4"/>
    <w:basedOn w:val="1"/>
    <w:next w:val="1"/>
    <w:link w:val="49"/>
    <w:unhideWhenUsed/>
    <w:qFormat/>
    <w:uiPriority w:val="9"/>
    <w:pPr>
      <w:keepNext/>
      <w:keepLines/>
      <w:spacing w:before="320" w:after="200"/>
      <w:outlineLvl w:val="3"/>
    </w:pPr>
    <w:rPr>
      <w:rFonts w:ascii="Arial" w:hAnsi="Arial" w:eastAsia="Arial" w:cs="Arial"/>
      <w:b/>
      <w:bCs/>
      <w:sz w:val="26"/>
      <w:szCs w:val="26"/>
    </w:rPr>
  </w:style>
  <w:style w:type="paragraph" w:styleId="8">
    <w:name w:val="heading 5"/>
    <w:basedOn w:val="1"/>
    <w:next w:val="1"/>
    <w:link w:val="50"/>
    <w:unhideWhenUsed/>
    <w:qFormat/>
    <w:uiPriority w:val="9"/>
    <w:pPr>
      <w:keepNext/>
      <w:keepLines/>
      <w:spacing w:before="320" w:after="200"/>
      <w:outlineLvl w:val="4"/>
    </w:pPr>
    <w:rPr>
      <w:rFonts w:ascii="Arial" w:hAnsi="Arial" w:eastAsia="Arial" w:cs="Arial"/>
      <w:b/>
      <w:bCs/>
      <w:sz w:val="24"/>
      <w:szCs w:val="24"/>
    </w:rPr>
  </w:style>
  <w:style w:type="paragraph" w:styleId="9">
    <w:name w:val="heading 6"/>
    <w:basedOn w:val="1"/>
    <w:next w:val="1"/>
    <w:link w:val="51"/>
    <w:unhideWhenUsed/>
    <w:qFormat/>
    <w:uiPriority w:val="9"/>
    <w:pPr>
      <w:keepNext/>
      <w:keepLines/>
      <w:spacing w:before="320" w:after="200"/>
      <w:outlineLvl w:val="5"/>
    </w:pPr>
    <w:rPr>
      <w:rFonts w:ascii="Arial" w:hAnsi="Arial" w:eastAsia="Arial" w:cs="Arial"/>
      <w:b/>
      <w:bCs/>
      <w:sz w:val="22"/>
      <w:szCs w:val="22"/>
    </w:rPr>
  </w:style>
  <w:style w:type="paragraph" w:styleId="10">
    <w:name w:val="heading 7"/>
    <w:basedOn w:val="1"/>
    <w:next w:val="1"/>
    <w:link w:val="52"/>
    <w:unhideWhenUsed/>
    <w:qFormat/>
    <w:uiPriority w:val="9"/>
    <w:pPr>
      <w:keepNext/>
      <w:keepLines/>
      <w:spacing w:before="320" w:after="200"/>
      <w:outlineLvl w:val="6"/>
    </w:pPr>
    <w:rPr>
      <w:rFonts w:ascii="Arial" w:hAnsi="Arial" w:eastAsia="Arial" w:cs="Arial"/>
      <w:b/>
      <w:bCs/>
      <w:i/>
      <w:iCs/>
      <w:sz w:val="22"/>
      <w:szCs w:val="22"/>
    </w:rPr>
  </w:style>
  <w:style w:type="paragraph" w:styleId="11">
    <w:name w:val="heading 8"/>
    <w:basedOn w:val="1"/>
    <w:next w:val="1"/>
    <w:link w:val="53"/>
    <w:unhideWhenUsed/>
    <w:qFormat/>
    <w:uiPriority w:val="9"/>
    <w:pPr>
      <w:keepNext/>
      <w:keepLines/>
      <w:spacing w:before="320" w:after="200"/>
      <w:outlineLvl w:val="7"/>
    </w:pPr>
    <w:rPr>
      <w:rFonts w:ascii="Arial" w:hAnsi="Arial" w:eastAsia="Arial" w:cs="Arial"/>
      <w:i/>
      <w:iCs/>
      <w:sz w:val="22"/>
      <w:szCs w:val="22"/>
    </w:rPr>
  </w:style>
  <w:style w:type="paragraph" w:styleId="12">
    <w:name w:val="heading 9"/>
    <w:basedOn w:val="1"/>
    <w:next w:val="1"/>
    <w:link w:val="54"/>
    <w:unhideWhenUsed/>
    <w:qFormat/>
    <w:uiPriority w:val="9"/>
    <w:pPr>
      <w:keepNext/>
      <w:keepLines/>
      <w:spacing w:before="320" w:after="200"/>
      <w:outlineLvl w:val="8"/>
    </w:pPr>
    <w:rPr>
      <w:rFonts w:ascii="Arial" w:hAnsi="Arial" w:eastAsia="Arial" w:cs="Arial"/>
      <w:i/>
      <w:iCs/>
      <w:sz w:val="21"/>
      <w:szCs w:val="21"/>
    </w:rPr>
  </w:style>
  <w:style w:type="character" w:default="1" w:styleId="37">
    <w:name w:val="Default Paragraph Font"/>
    <w:semiHidden/>
    <w:unhideWhenUsed/>
    <w:qFormat/>
    <w:uiPriority w:val="1"/>
  </w:style>
  <w:style w:type="table" w:default="1" w:styleId="35">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rPr>
      <w:rFonts w:ascii="楷体_GB2312" w:hAnsi="Arial" w:eastAsia="楷体_GB2312" w:cs="Times New Roman"/>
      <w:sz w:val="28"/>
      <w:szCs w:val="28"/>
    </w:rPr>
  </w:style>
  <w:style w:type="paragraph" w:customStyle="1" w:styleId="3">
    <w:name w:val="Default"/>
    <w:qFormat/>
    <w:uiPriority w:val="0"/>
    <w:pPr>
      <w:widowControl w:val="0"/>
      <w:autoSpaceDE w:val="0"/>
      <w:autoSpaceDN w:val="0"/>
      <w:adjustRightInd w:val="0"/>
    </w:pPr>
    <w:rPr>
      <w:rFonts w:ascii="Times New Roman" w:hAnsi="Times New Roman" w:eastAsia="宋体" w:cs="Calibri"/>
      <w:color w:val="000000"/>
      <w:sz w:val="24"/>
      <w:szCs w:val="24"/>
      <w:lang w:val="en-US" w:eastAsia="zh-CN" w:bidi="ar-SA"/>
    </w:rPr>
  </w:style>
  <w:style w:type="paragraph" w:styleId="13">
    <w:name w:val="toc 7"/>
    <w:basedOn w:val="1"/>
    <w:next w:val="1"/>
    <w:unhideWhenUsed/>
    <w:qFormat/>
    <w:uiPriority w:val="39"/>
    <w:pPr>
      <w:spacing w:after="57"/>
      <w:ind w:left="1701" w:right="0" w:firstLine="0"/>
    </w:pPr>
  </w:style>
  <w:style w:type="paragraph" w:styleId="14">
    <w:name w:val="Normal Indent"/>
    <w:basedOn w:val="1"/>
    <w:next w:val="1"/>
    <w:qFormat/>
    <w:uiPriority w:val="0"/>
    <w:pPr>
      <w:ind w:firstLine="420"/>
    </w:pPr>
  </w:style>
  <w:style w:type="paragraph" w:styleId="15">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6">
    <w:name w:val="Body Text Indent"/>
    <w:basedOn w:val="1"/>
    <w:next w:val="17"/>
    <w:unhideWhenUsed/>
    <w:qFormat/>
    <w:uiPriority w:val="0"/>
    <w:pPr>
      <w:spacing w:after="120"/>
      <w:ind w:left="420"/>
    </w:pPr>
  </w:style>
  <w:style w:type="paragraph" w:styleId="17">
    <w:name w:val="envelope return"/>
    <w:basedOn w:val="1"/>
    <w:next w:val="13"/>
    <w:qFormat/>
    <w:uiPriority w:val="99"/>
    <w:rPr>
      <w:rFonts w:ascii="Arial" w:hAnsi="Arial" w:cs="Arial"/>
    </w:rPr>
  </w:style>
  <w:style w:type="paragraph" w:styleId="18">
    <w:name w:val="toc 5"/>
    <w:basedOn w:val="1"/>
    <w:next w:val="1"/>
    <w:unhideWhenUsed/>
    <w:qFormat/>
    <w:uiPriority w:val="39"/>
    <w:pPr>
      <w:spacing w:after="57"/>
      <w:ind w:left="1134" w:right="0" w:firstLine="0"/>
    </w:pPr>
  </w:style>
  <w:style w:type="paragraph" w:styleId="19">
    <w:name w:val="toc 3"/>
    <w:basedOn w:val="1"/>
    <w:next w:val="1"/>
    <w:unhideWhenUsed/>
    <w:qFormat/>
    <w:uiPriority w:val="39"/>
    <w:pPr>
      <w:spacing w:after="57"/>
      <w:ind w:left="567" w:right="0" w:firstLine="0"/>
    </w:pPr>
  </w:style>
  <w:style w:type="paragraph" w:styleId="20">
    <w:name w:val="toc 8"/>
    <w:basedOn w:val="1"/>
    <w:next w:val="1"/>
    <w:unhideWhenUsed/>
    <w:qFormat/>
    <w:uiPriority w:val="39"/>
    <w:pPr>
      <w:spacing w:after="57"/>
      <w:ind w:left="1984" w:right="0" w:firstLine="0"/>
    </w:pPr>
  </w:style>
  <w:style w:type="paragraph" w:styleId="21">
    <w:name w:val="endnote text"/>
    <w:basedOn w:val="1"/>
    <w:link w:val="192"/>
    <w:semiHidden/>
    <w:unhideWhenUsed/>
    <w:qFormat/>
    <w:uiPriority w:val="99"/>
    <w:pPr>
      <w:spacing w:after="0" w:line="240" w:lineRule="auto"/>
    </w:pPr>
    <w:rPr>
      <w:sz w:val="20"/>
    </w:rPr>
  </w:style>
  <w:style w:type="paragraph" w:styleId="22">
    <w:name w:val="footer"/>
    <w:basedOn w:val="1"/>
    <w:link w:val="65"/>
    <w:unhideWhenUsed/>
    <w:qFormat/>
    <w:uiPriority w:val="99"/>
    <w:pPr>
      <w:tabs>
        <w:tab w:val="center" w:pos="7143"/>
        <w:tab w:val="right" w:pos="14287"/>
      </w:tabs>
      <w:spacing w:after="0" w:line="240" w:lineRule="auto"/>
    </w:pPr>
  </w:style>
  <w:style w:type="paragraph" w:styleId="23">
    <w:name w:val="header"/>
    <w:basedOn w:val="1"/>
    <w:link w:val="63"/>
    <w:unhideWhenUsed/>
    <w:qFormat/>
    <w:uiPriority w:val="99"/>
    <w:pPr>
      <w:tabs>
        <w:tab w:val="center" w:pos="7143"/>
        <w:tab w:val="right" w:pos="14287"/>
      </w:tabs>
      <w:spacing w:after="0" w:line="240" w:lineRule="auto"/>
    </w:pPr>
  </w:style>
  <w:style w:type="paragraph" w:styleId="24">
    <w:name w:val="toc 1"/>
    <w:basedOn w:val="1"/>
    <w:next w:val="1"/>
    <w:unhideWhenUsed/>
    <w:qFormat/>
    <w:uiPriority w:val="39"/>
    <w:pPr>
      <w:spacing w:after="57"/>
      <w:ind w:left="0" w:right="0" w:firstLine="0"/>
    </w:pPr>
  </w:style>
  <w:style w:type="paragraph" w:styleId="25">
    <w:name w:val="toc 4"/>
    <w:basedOn w:val="1"/>
    <w:next w:val="1"/>
    <w:unhideWhenUsed/>
    <w:qFormat/>
    <w:uiPriority w:val="39"/>
    <w:pPr>
      <w:spacing w:after="57"/>
      <w:ind w:left="850" w:right="0" w:firstLine="0"/>
    </w:pPr>
  </w:style>
  <w:style w:type="paragraph" w:styleId="26">
    <w:name w:val="Subtitle"/>
    <w:basedOn w:val="1"/>
    <w:next w:val="1"/>
    <w:link w:val="58"/>
    <w:qFormat/>
    <w:uiPriority w:val="11"/>
    <w:pPr>
      <w:spacing w:before="200" w:after="200"/>
    </w:pPr>
    <w:rPr>
      <w:sz w:val="24"/>
      <w:szCs w:val="24"/>
    </w:rPr>
  </w:style>
  <w:style w:type="paragraph" w:styleId="27">
    <w:name w:val="footnote text"/>
    <w:basedOn w:val="1"/>
    <w:link w:val="191"/>
    <w:semiHidden/>
    <w:unhideWhenUsed/>
    <w:qFormat/>
    <w:uiPriority w:val="99"/>
    <w:pPr>
      <w:spacing w:after="40" w:line="240" w:lineRule="auto"/>
    </w:pPr>
    <w:rPr>
      <w:sz w:val="18"/>
    </w:rPr>
  </w:style>
  <w:style w:type="paragraph" w:styleId="28">
    <w:name w:val="toc 6"/>
    <w:basedOn w:val="1"/>
    <w:next w:val="1"/>
    <w:unhideWhenUsed/>
    <w:qFormat/>
    <w:uiPriority w:val="39"/>
    <w:pPr>
      <w:spacing w:after="57"/>
      <w:ind w:left="1417" w:right="0" w:firstLine="0"/>
    </w:pPr>
  </w:style>
  <w:style w:type="paragraph" w:styleId="29">
    <w:name w:val="table of figures"/>
    <w:basedOn w:val="1"/>
    <w:next w:val="1"/>
    <w:unhideWhenUsed/>
    <w:qFormat/>
    <w:uiPriority w:val="99"/>
    <w:pPr>
      <w:spacing w:after="0" w:afterAutospacing="0"/>
    </w:pPr>
  </w:style>
  <w:style w:type="paragraph" w:styleId="30">
    <w:name w:val="toc 2"/>
    <w:basedOn w:val="1"/>
    <w:next w:val="1"/>
    <w:unhideWhenUsed/>
    <w:qFormat/>
    <w:uiPriority w:val="39"/>
    <w:pPr>
      <w:spacing w:after="57"/>
      <w:ind w:left="283" w:right="0" w:firstLine="0"/>
    </w:pPr>
  </w:style>
  <w:style w:type="paragraph" w:styleId="31">
    <w:name w:val="toc 9"/>
    <w:basedOn w:val="1"/>
    <w:next w:val="1"/>
    <w:unhideWhenUsed/>
    <w:qFormat/>
    <w:uiPriority w:val="39"/>
    <w:pPr>
      <w:spacing w:after="57"/>
      <w:ind w:left="2268" w:right="0" w:firstLine="0"/>
    </w:pPr>
  </w:style>
  <w:style w:type="paragraph" w:styleId="32">
    <w:name w:val="Normal (Web)"/>
    <w:semiHidden/>
    <w:unhideWhenUsed/>
    <w:qFormat/>
    <w:uiPriority w:val="99"/>
    <w:pPr>
      <w:widowControl w:val="0"/>
      <w:spacing w:before="0" w:beforeAutospacing="1" w:after="0" w:afterAutospacing="1"/>
      <w:ind w:left="0" w:right="0"/>
      <w:jc w:val="left"/>
    </w:pPr>
    <w:rPr>
      <w:rFonts w:hint="default" w:ascii="Times New Roman" w:hAnsi="Times New Roman" w:eastAsia="宋体" w:cs="Times New Roman"/>
      <w:kern w:val="0"/>
      <w:sz w:val="24"/>
      <w:szCs w:val="22"/>
      <w:lang w:val="en-US" w:eastAsia="zh-CN" w:bidi="ar"/>
    </w:rPr>
  </w:style>
  <w:style w:type="paragraph" w:styleId="33">
    <w:name w:val="Title"/>
    <w:basedOn w:val="1"/>
    <w:next w:val="1"/>
    <w:link w:val="57"/>
    <w:qFormat/>
    <w:uiPriority w:val="10"/>
    <w:pPr>
      <w:spacing w:before="300" w:after="200"/>
      <w:contextualSpacing/>
    </w:pPr>
    <w:rPr>
      <w:sz w:val="48"/>
      <w:szCs w:val="48"/>
    </w:rPr>
  </w:style>
  <w:style w:type="paragraph" w:styleId="34">
    <w:name w:val="Body Text First Indent 2"/>
    <w:basedOn w:val="16"/>
    <w:qFormat/>
    <w:uiPriority w:val="0"/>
    <w:pPr>
      <w:spacing w:after="0" w:line="360" w:lineRule="auto"/>
      <w:ind w:left="0" w:firstLine="420"/>
    </w:pPr>
    <w:rPr>
      <w:rFonts w:ascii="宋体" w:hAnsi="宋体" w:eastAsia="宋体" w:cs="Times New Roman"/>
      <w:szCs w:val="20"/>
    </w:rPr>
  </w:style>
  <w:style w:type="table" w:styleId="36">
    <w:name w:val="Table Grid"/>
    <w:qFormat/>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38">
    <w:name w:val="Strong"/>
    <w:qFormat/>
    <w:uiPriority w:val="22"/>
    <w:rPr>
      <w:b/>
    </w:rPr>
  </w:style>
  <w:style w:type="character" w:styleId="39">
    <w:name w:val="endnote reference"/>
    <w:semiHidden/>
    <w:unhideWhenUsed/>
    <w:qFormat/>
    <w:uiPriority w:val="99"/>
    <w:rPr>
      <w:vertAlign w:val="superscript"/>
    </w:rPr>
  </w:style>
  <w:style w:type="character" w:styleId="40">
    <w:name w:val="FollowedHyperlink"/>
    <w:basedOn w:val="37"/>
    <w:semiHidden/>
    <w:unhideWhenUsed/>
    <w:qFormat/>
    <w:uiPriority w:val="99"/>
    <w:rPr>
      <w:color w:val="333333"/>
      <w:u w:val="none"/>
    </w:rPr>
  </w:style>
  <w:style w:type="character" w:styleId="41">
    <w:name w:val="Hyperlink"/>
    <w:unhideWhenUsed/>
    <w:qFormat/>
    <w:uiPriority w:val="99"/>
    <w:rPr>
      <w:color w:val="0000FF" w:themeColor="hyperlink"/>
      <w:u w:val="single"/>
      <w14:textFill>
        <w14:solidFill>
          <w14:schemeClr w14:val="hlink"/>
        </w14:solidFill>
      </w14:textFill>
    </w:rPr>
  </w:style>
  <w:style w:type="character" w:styleId="42">
    <w:name w:val="annotation reference"/>
    <w:qFormat/>
    <w:uiPriority w:val="0"/>
    <w:rPr>
      <w:sz w:val="21"/>
      <w:szCs w:val="21"/>
    </w:rPr>
  </w:style>
  <w:style w:type="character" w:styleId="43">
    <w:name w:val="footnote reference"/>
    <w:unhideWhenUsed/>
    <w:qFormat/>
    <w:uiPriority w:val="99"/>
    <w:rPr>
      <w:vertAlign w:val="superscript"/>
    </w:rPr>
  </w:style>
  <w:style w:type="paragraph" w:customStyle="1" w:styleId="44">
    <w:name w:val="标题 211"/>
    <w:next w:val="1"/>
    <w:qFormat/>
    <w:uiPriority w:val="99"/>
    <w:pPr>
      <w:keepNext/>
      <w:keepLines/>
      <w:widowControl w:val="0"/>
      <w:jc w:val="left"/>
      <w:outlineLvl w:val="1"/>
    </w:pPr>
    <w:rPr>
      <w:rFonts w:hint="default" w:ascii="宋体" w:hAnsi="宋体" w:eastAsia="楷体_GB2312" w:cs="宋体"/>
      <w:b/>
      <w:bCs/>
      <w:sz w:val="26"/>
      <w:szCs w:val="26"/>
      <w:lang w:val="en-US" w:eastAsia="zh-CN" w:bidi="ar-SA"/>
    </w:rPr>
  </w:style>
  <w:style w:type="paragraph" w:customStyle="1" w:styleId="45">
    <w:name w:val="标题 21"/>
    <w:basedOn w:val="1"/>
    <w:next w:val="1"/>
    <w:link w:val="208"/>
    <w:qFormat/>
    <w:uiPriority w:val="0"/>
    <w:pPr>
      <w:keepNext/>
      <w:keepLines/>
      <w:spacing w:before="260" w:after="260" w:line="416" w:lineRule="auto"/>
      <w:jc w:val="center"/>
      <w:outlineLvl w:val="1"/>
    </w:pPr>
    <w:rPr>
      <w:rFonts w:ascii="Arial" w:hAnsi="Arial" w:eastAsia="幼圆" w:cs="Arial"/>
      <w:b/>
      <w:bCs/>
      <w:sz w:val="44"/>
      <w:szCs w:val="44"/>
    </w:rPr>
  </w:style>
  <w:style w:type="character" w:customStyle="1" w:styleId="46">
    <w:name w:val="Heading 1 Char"/>
    <w:link w:val="4"/>
    <w:qFormat/>
    <w:uiPriority w:val="9"/>
    <w:rPr>
      <w:rFonts w:ascii="Arial" w:hAnsi="Arial" w:eastAsia="Arial" w:cs="Arial"/>
      <w:sz w:val="40"/>
      <w:szCs w:val="40"/>
    </w:rPr>
  </w:style>
  <w:style w:type="character" w:customStyle="1" w:styleId="47">
    <w:name w:val="Heading 2 Char"/>
    <w:link w:val="5"/>
    <w:qFormat/>
    <w:uiPriority w:val="9"/>
    <w:rPr>
      <w:rFonts w:ascii="Arial" w:hAnsi="Arial" w:eastAsia="Arial" w:cs="Arial"/>
      <w:sz w:val="34"/>
    </w:rPr>
  </w:style>
  <w:style w:type="character" w:customStyle="1" w:styleId="48">
    <w:name w:val="Heading 3 Char"/>
    <w:link w:val="6"/>
    <w:qFormat/>
    <w:uiPriority w:val="9"/>
    <w:rPr>
      <w:rFonts w:ascii="Arial" w:hAnsi="Arial" w:eastAsia="Arial" w:cs="Arial"/>
      <w:sz w:val="30"/>
      <w:szCs w:val="30"/>
    </w:rPr>
  </w:style>
  <w:style w:type="character" w:customStyle="1" w:styleId="49">
    <w:name w:val="Heading 4 Char"/>
    <w:link w:val="7"/>
    <w:qFormat/>
    <w:uiPriority w:val="9"/>
    <w:rPr>
      <w:rFonts w:ascii="Arial" w:hAnsi="Arial" w:eastAsia="Arial" w:cs="Arial"/>
      <w:b/>
      <w:bCs/>
      <w:sz w:val="26"/>
      <w:szCs w:val="26"/>
    </w:rPr>
  </w:style>
  <w:style w:type="character" w:customStyle="1" w:styleId="50">
    <w:name w:val="Heading 5 Char"/>
    <w:link w:val="8"/>
    <w:qFormat/>
    <w:uiPriority w:val="9"/>
    <w:rPr>
      <w:rFonts w:ascii="Arial" w:hAnsi="Arial" w:eastAsia="Arial" w:cs="Arial"/>
      <w:b/>
      <w:bCs/>
      <w:sz w:val="24"/>
      <w:szCs w:val="24"/>
    </w:rPr>
  </w:style>
  <w:style w:type="character" w:customStyle="1" w:styleId="51">
    <w:name w:val="Heading 6 Char"/>
    <w:link w:val="9"/>
    <w:qFormat/>
    <w:uiPriority w:val="9"/>
    <w:rPr>
      <w:rFonts w:ascii="Arial" w:hAnsi="Arial" w:eastAsia="Arial" w:cs="Arial"/>
      <w:b/>
      <w:bCs/>
      <w:sz w:val="22"/>
      <w:szCs w:val="22"/>
    </w:rPr>
  </w:style>
  <w:style w:type="character" w:customStyle="1" w:styleId="52">
    <w:name w:val="Heading 7 Char"/>
    <w:link w:val="10"/>
    <w:qFormat/>
    <w:uiPriority w:val="9"/>
    <w:rPr>
      <w:rFonts w:ascii="Arial" w:hAnsi="Arial" w:eastAsia="Arial" w:cs="Arial"/>
      <w:b/>
      <w:bCs/>
      <w:i/>
      <w:iCs/>
      <w:sz w:val="22"/>
      <w:szCs w:val="22"/>
    </w:rPr>
  </w:style>
  <w:style w:type="character" w:customStyle="1" w:styleId="53">
    <w:name w:val="Heading 8 Char"/>
    <w:link w:val="11"/>
    <w:qFormat/>
    <w:uiPriority w:val="9"/>
    <w:rPr>
      <w:rFonts w:ascii="Arial" w:hAnsi="Arial" w:eastAsia="Arial" w:cs="Arial"/>
      <w:i/>
      <w:iCs/>
      <w:sz w:val="22"/>
      <w:szCs w:val="22"/>
    </w:rPr>
  </w:style>
  <w:style w:type="character" w:customStyle="1" w:styleId="54">
    <w:name w:val="Heading 9 Char"/>
    <w:link w:val="12"/>
    <w:qFormat/>
    <w:uiPriority w:val="9"/>
    <w:rPr>
      <w:rFonts w:ascii="Arial" w:hAnsi="Arial" w:eastAsia="Arial" w:cs="Arial"/>
      <w:i/>
      <w:iCs/>
      <w:sz w:val="21"/>
      <w:szCs w:val="21"/>
    </w:rPr>
  </w:style>
  <w:style w:type="paragraph" w:styleId="55">
    <w:name w:val="List Paragraph"/>
    <w:basedOn w:val="1"/>
    <w:qFormat/>
    <w:uiPriority w:val="34"/>
    <w:pPr>
      <w:ind w:left="720"/>
      <w:contextualSpacing/>
    </w:pPr>
  </w:style>
  <w:style w:type="paragraph" w:styleId="56">
    <w:name w:val="No Spacing"/>
    <w:qFormat/>
    <w:uiPriority w:val="1"/>
    <w:pPr>
      <w:spacing w:before="0" w:after="0" w:line="240" w:lineRule="auto"/>
    </w:pPr>
    <w:rPr>
      <w:rFonts w:hint="default" w:ascii="Times New Roman" w:hAnsi="Times New Roman" w:eastAsia="宋体" w:cs="Times New Roman"/>
    </w:rPr>
  </w:style>
  <w:style w:type="character" w:customStyle="1" w:styleId="57">
    <w:name w:val="Title Char"/>
    <w:link w:val="33"/>
    <w:qFormat/>
    <w:uiPriority w:val="10"/>
    <w:rPr>
      <w:sz w:val="48"/>
      <w:szCs w:val="48"/>
    </w:rPr>
  </w:style>
  <w:style w:type="character" w:customStyle="1" w:styleId="58">
    <w:name w:val="Subtitle Char"/>
    <w:link w:val="26"/>
    <w:qFormat/>
    <w:uiPriority w:val="11"/>
    <w:rPr>
      <w:sz w:val="24"/>
      <w:szCs w:val="24"/>
    </w:rPr>
  </w:style>
  <w:style w:type="paragraph" w:styleId="59">
    <w:name w:val="Quote"/>
    <w:basedOn w:val="1"/>
    <w:next w:val="1"/>
    <w:link w:val="60"/>
    <w:qFormat/>
    <w:uiPriority w:val="29"/>
    <w:pPr>
      <w:ind w:left="720" w:right="720"/>
    </w:pPr>
    <w:rPr>
      <w:i/>
    </w:rPr>
  </w:style>
  <w:style w:type="character" w:customStyle="1" w:styleId="60">
    <w:name w:val="Quote Char"/>
    <w:link w:val="59"/>
    <w:qFormat/>
    <w:uiPriority w:val="29"/>
    <w:rPr>
      <w:i/>
    </w:rPr>
  </w:style>
  <w:style w:type="paragraph" w:styleId="61">
    <w:name w:val="Intense Quote"/>
    <w:basedOn w:val="1"/>
    <w:next w:val="1"/>
    <w:link w:val="62"/>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contextualSpacing w:val="0"/>
    </w:pPr>
    <w:rPr>
      <w:i/>
    </w:rPr>
  </w:style>
  <w:style w:type="character" w:customStyle="1" w:styleId="62">
    <w:name w:val="Intense Quote Char"/>
    <w:link w:val="61"/>
    <w:qFormat/>
    <w:uiPriority w:val="30"/>
    <w:rPr>
      <w:i/>
    </w:rPr>
  </w:style>
  <w:style w:type="character" w:customStyle="1" w:styleId="63">
    <w:name w:val="Header Char"/>
    <w:link w:val="23"/>
    <w:qFormat/>
    <w:uiPriority w:val="99"/>
  </w:style>
  <w:style w:type="character" w:customStyle="1" w:styleId="64">
    <w:name w:val="Footer Char"/>
    <w:link w:val="22"/>
    <w:qFormat/>
    <w:uiPriority w:val="99"/>
  </w:style>
  <w:style w:type="character" w:customStyle="1" w:styleId="65">
    <w:name w:val="Caption Char"/>
    <w:link w:val="22"/>
    <w:qFormat/>
    <w:uiPriority w:val="99"/>
  </w:style>
  <w:style w:type="table" w:customStyle="1" w:styleId="66">
    <w:name w:val="Table Grid Light"/>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style>
  <w:style w:type="table" w:customStyle="1" w:styleId="67">
    <w:name w:val="Plain Table 1"/>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68">
    <w:name w:val="Plain Table 2"/>
    <w:qFormat/>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69">
    <w:name w:val="Plain Table 3"/>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70">
    <w:name w:val="Plain Table 4"/>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71">
    <w:name w:val="Plain Table 5"/>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72">
    <w:name w:val="Grid Table 1 Light"/>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73">
    <w:name w:val="Grid Table 1 Light - Accent 1"/>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74">
    <w:name w:val="Grid Table 1 Light - Accent 2"/>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75">
    <w:name w:val="Grid Table 1 Light - Accent 3"/>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76">
    <w:name w:val="Grid Table 1 Light - Accent 4"/>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77">
    <w:name w:val="Grid Table 1 Light - Accent 5"/>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78">
    <w:name w:val="Grid Table 1 Light - Accent 6"/>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table" w:customStyle="1" w:styleId="79">
    <w:name w:val="Grid Table 2"/>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80">
    <w:name w:val="Grid Table 2 - Accent 1"/>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81">
    <w:name w:val="Grid Table 2 - Accent 2"/>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82">
    <w:name w:val="Grid Table 2 - Accent 3"/>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83">
    <w:name w:val="Grid Table 2 - Accent 4"/>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84">
    <w:name w:val="Grid Table 2 - Accent 5"/>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85">
    <w:name w:val="Grid Table 2 - Accent 6"/>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86">
    <w:name w:val="Grid Table 3"/>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87">
    <w:name w:val="Grid Table 3 - Accent 1"/>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88">
    <w:name w:val="Grid Table 3 - Accent 2"/>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89">
    <w:name w:val="Grid Table 3 - Accent 3"/>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90">
    <w:name w:val="Grid Table 3 - Accent 4"/>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91">
    <w:name w:val="Grid Table 3 - Accent 5"/>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92">
    <w:name w:val="Grid Table 3 - Accent 6"/>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93">
    <w:name w:val="Grid Table 4"/>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94">
    <w:name w:val="Grid Table 4 - Accent 1"/>
    <w:qFormat/>
    <w:uiPriority w:val="5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1Horz">
      <w:rPr>
        <w:rFonts w:ascii="Arial" w:hAnsi="Arial"/>
        <w:color w:val="404040"/>
        <w:sz w:val="22"/>
      </w:rPr>
      <w:tcPr>
        <w:shd w:val="clear" w:color="DCE6F2" w:themeColor="accent1" w:themeTint="32" w:fill="DCE6F2" w:themeFill="accent1" w:themeFillTint="32"/>
      </w:tcPr>
    </w:tblStylePr>
  </w:style>
  <w:style w:type="table" w:customStyle="1" w:styleId="95">
    <w:name w:val="Grid Table 4 - Accent 2"/>
    <w:qFormat/>
    <w:uiPriority w:val="5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96">
    <w:name w:val="Grid Table 4 - Accent 3"/>
    <w:qFormat/>
    <w:uiPriority w:val="5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97">
    <w:name w:val="Grid Table 4 - Accent 4"/>
    <w:qFormat/>
    <w:uiPriority w:val="5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98">
    <w:name w:val="Grid Table 4 - Accent 5"/>
    <w:qFormat/>
    <w:uiPriority w:val="5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99">
    <w:name w:val="Grid Table 4 - Accent 6"/>
    <w:qFormat/>
    <w:uiPriority w:val="5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100">
    <w:name w:val="Grid Table 5 Dark"/>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101">
    <w:name w:val="Grid Table 5 Dark- Accent 1"/>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1Horz">
      <w:tcPr>
        <w:shd w:val="clear" w:color="AEC5E0" w:themeColor="accent1" w:themeTint="75" w:fill="AEC5E0" w:themeFill="accent1" w:themeFillTint="75"/>
      </w:tcPr>
    </w:tblStylePr>
  </w:style>
  <w:style w:type="table" w:customStyle="1" w:styleId="102">
    <w:name w:val="Grid Table 5 Dark - Accent 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1Horz">
      <w:tcPr>
        <w:shd w:val="clear" w:color="E2AEAD" w:themeColor="accent2" w:themeTint="75" w:fill="E2AEAD" w:themeFill="accent2" w:themeFillTint="75"/>
      </w:tcPr>
    </w:tblStylePr>
  </w:style>
  <w:style w:type="table" w:customStyle="1" w:styleId="103">
    <w:name w:val="Grid Table 5 Dark - Accent 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1Horz">
      <w:tcPr>
        <w:shd w:val="clear" w:color="D1DFB2" w:themeColor="accent3" w:themeTint="75" w:fill="D1DFB2" w:themeFill="accent3" w:themeFillTint="75"/>
      </w:tcPr>
    </w:tblStylePr>
  </w:style>
  <w:style w:type="table" w:customStyle="1" w:styleId="104">
    <w:name w:val="Grid Table 5 Dark- Accent 4"/>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1Horz">
      <w:tcPr>
        <w:shd w:val="clear" w:color="C4B7D4" w:themeColor="accent4" w:themeTint="75" w:fill="C4B7D4" w:themeFill="accent4" w:themeFillTint="75"/>
      </w:tcPr>
    </w:tblStylePr>
  </w:style>
  <w:style w:type="table" w:customStyle="1" w:styleId="105">
    <w:name w:val="Grid Table 5 Dark - Accent 5"/>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1Horz">
      <w:tcPr>
        <w:shd w:val="clear" w:color="ACD8E4" w:themeColor="accent5" w:themeTint="75" w:fill="ACD8E4" w:themeFill="accent5" w:themeFillTint="75"/>
      </w:tcPr>
    </w:tblStylePr>
  </w:style>
  <w:style w:type="table" w:customStyle="1" w:styleId="106">
    <w:name w:val="Grid Table 5 Dark - Accent 6"/>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1Horz">
      <w:tcPr>
        <w:shd w:val="clear" w:color="FBCEAA" w:themeColor="accent6" w:themeTint="75" w:fill="FBCEAA" w:themeFill="accent6" w:themeFillTint="75"/>
      </w:tcPr>
    </w:tblStylePr>
  </w:style>
  <w:style w:type="table" w:customStyle="1" w:styleId="107">
    <w:name w:val="Grid Table 6 Colorful"/>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08">
    <w:name w:val="Grid Table 6 Colorful - Accent 1"/>
    <w:qFormat/>
    <w:uiPriority w:val="99"/>
    <w:pPr>
      <w:spacing w:after="0" w:line="240" w:lineRule="auto"/>
    </w:pPr>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09">
    <w:name w:val="Grid Table 6 Colorful - Accent 2"/>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10">
    <w:name w:val="Grid Table 6 Colorful - Accent 3"/>
    <w:qFormat/>
    <w:uiPriority w:val="99"/>
    <w:pPr>
      <w:spacing w:after="0" w:line="240" w:lineRule="auto"/>
    </w:pPr>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lastCol">
      <w:rPr>
        <w:b/>
        <w:color w:val="9BBB59" w:themeColor="accent3" w:themeTint="FF"/>
        <w14:textFill>
          <w14:solidFill>
            <w14:schemeClr w14:val="accent3">
              <w14:lumMod w14:val="100000"/>
              <w14:lumOff w14:val="0"/>
            </w14:schemeClr>
          </w14:solidFill>
        </w14:textFill>
      </w:rPr>
    </w:tblStylePr>
    <w:tblStylePr w:type="band1Vert">
      <w:tcPr>
        <w:shd w:val="clear" w:color="EAF1DD" w:themeColor="accent3" w:themeTint="34"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111">
    <w:name w:val="Grid Table 6 Colorful - Accent 4"/>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12">
    <w:name w:val="Grid Table 6 Colorful - Accent 5"/>
    <w:qFormat/>
    <w:uiPriority w:val="99"/>
    <w:pPr>
      <w:spacing w:after="0" w:line="240" w:lineRule="auto"/>
    </w:pPr>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13">
    <w:name w:val="Grid Table 6 Colorful - Accent 6"/>
    <w:qFormat/>
    <w:uiPriority w:val="99"/>
    <w:pPr>
      <w:spacing w:after="0" w:line="240" w:lineRule="auto"/>
    </w:pPr>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style>
  <w:style w:type="table" w:customStyle="1" w:styleId="114">
    <w:name w:val="Grid Table 7 Colorful"/>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15">
    <w:name w:val="Grid Table 7 Colorful - Accent 1"/>
    <w:qFormat/>
    <w:uiPriority w:val="99"/>
    <w:pPr>
      <w:spacing w:after="0" w:line="240" w:lineRule="auto"/>
    </w:pPr>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16">
    <w:name w:val="Grid Table 7 Colorful - Accent 2"/>
    <w:qFormat/>
    <w:uiPriority w:val="99"/>
    <w:pPr>
      <w:spacing w:after="0" w:line="240" w:lineRule="auto"/>
    </w:pPr>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17">
    <w:name w:val="Grid Table 7 Colorful - Accent 3"/>
    <w:qFormat/>
    <w:uiPriority w:val="99"/>
    <w:pPr>
      <w:spacing w:after="0" w:line="240" w:lineRule="auto"/>
    </w:pPr>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118">
    <w:name w:val="Grid Table 7 Colorful - Accent 4"/>
    <w:qFormat/>
    <w:uiPriority w:val="99"/>
    <w:pPr>
      <w:spacing w:after="0" w:line="240" w:lineRule="auto"/>
    </w:pPr>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19">
    <w:name w:val="Grid Table 7 Colorful - Accent 5"/>
    <w:qFormat/>
    <w:uiPriority w:val="99"/>
    <w:pPr>
      <w:spacing w:after="0" w:line="240" w:lineRule="auto"/>
    </w:pPr>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20">
    <w:name w:val="Grid Table 7 Colorful - Accent 6"/>
    <w:qFormat/>
    <w:uiPriority w:val="99"/>
    <w:pPr>
      <w:spacing w:after="0" w:line="240" w:lineRule="auto"/>
    </w:pPr>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style>
  <w:style w:type="table" w:customStyle="1" w:styleId="121">
    <w:name w:val="List Table 1 Light"/>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122">
    <w:name w:val="List Table 1 Light - Accent 1"/>
    <w:qFormat/>
    <w:uiPriority w:val="99"/>
    <w:pPr>
      <w:spacing w:after="0" w:line="240" w:lineRule="auto"/>
    </w:p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1Horz">
      <w:tcPr>
        <w:shd w:val="clear" w:color="D2DFEE" w:themeColor="accent1" w:themeTint="40" w:fill="D2DFEE" w:themeFill="accent1" w:themeFillTint="40"/>
      </w:tcPr>
    </w:tblStylePr>
  </w:style>
  <w:style w:type="table" w:customStyle="1" w:styleId="123">
    <w:name w:val="List Table 1 Light - Accent 2"/>
    <w:qFormat/>
    <w:uiPriority w:val="99"/>
    <w:pPr>
      <w:spacing w:after="0" w:line="240" w:lineRule="auto"/>
    </w:p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1Horz">
      <w:tcPr>
        <w:shd w:val="clear" w:color="EFD3D2" w:themeColor="accent2" w:themeTint="40" w:fill="EFD3D2" w:themeFill="accent2" w:themeFillTint="40"/>
      </w:tcPr>
    </w:tblStylePr>
  </w:style>
  <w:style w:type="table" w:customStyle="1" w:styleId="124">
    <w:name w:val="List Table 1 Light - Accent 3"/>
    <w:qFormat/>
    <w:uiPriority w:val="99"/>
    <w:pPr>
      <w:spacing w:after="0" w:line="240" w:lineRule="auto"/>
    </w:p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1Horz">
      <w:tcPr>
        <w:shd w:val="clear" w:color="E5EDD5" w:themeColor="accent3" w:themeTint="40" w:fill="E5EDD5" w:themeFill="accent3" w:themeFillTint="40"/>
      </w:tcPr>
    </w:tblStylePr>
  </w:style>
  <w:style w:type="table" w:customStyle="1" w:styleId="125">
    <w:name w:val="List Table 1 Light - Accent 4"/>
    <w:qFormat/>
    <w:uiPriority w:val="99"/>
    <w:pPr>
      <w:spacing w:after="0" w:line="240" w:lineRule="auto"/>
    </w:p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1Horz">
      <w:tcPr>
        <w:shd w:val="clear" w:color="DFD8E7" w:themeColor="accent4" w:themeTint="40" w:fill="DFD8E7" w:themeFill="accent4" w:themeFillTint="40"/>
      </w:tcPr>
    </w:tblStylePr>
  </w:style>
  <w:style w:type="table" w:customStyle="1" w:styleId="126">
    <w:name w:val="List Table 1 Light - Accent 5"/>
    <w:qFormat/>
    <w:uiPriority w:val="99"/>
    <w:pPr>
      <w:spacing w:after="0" w:line="240" w:lineRule="auto"/>
    </w:p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1Horz">
      <w:tcPr>
        <w:shd w:val="clear" w:color="D1EAF0" w:themeColor="accent5" w:themeTint="40" w:fill="D1EAF0" w:themeFill="accent5" w:themeFillTint="40"/>
      </w:tcPr>
    </w:tblStylePr>
  </w:style>
  <w:style w:type="table" w:customStyle="1" w:styleId="127">
    <w:name w:val="List Table 1 Light - Accent 6"/>
    <w:qFormat/>
    <w:uiPriority w:val="99"/>
    <w:pPr>
      <w:spacing w:after="0" w:line="240" w:lineRule="auto"/>
    </w:p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1Horz">
      <w:tcPr>
        <w:shd w:val="clear" w:color="FCE4D0" w:themeColor="accent6" w:themeTint="40" w:fill="FCE4D0" w:themeFill="accent6" w:themeFillTint="40"/>
      </w:tcPr>
    </w:tblStylePr>
  </w:style>
  <w:style w:type="table" w:customStyle="1" w:styleId="128">
    <w:name w:val="List Table 2"/>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29">
    <w:name w:val="List Table 2 - Accent 1"/>
    <w:qFormat/>
    <w:uiPriority w:val="99"/>
    <w:pPr>
      <w:spacing w:after="0" w:line="240" w:lineRule="auto"/>
    </w:pPr>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30">
    <w:name w:val="List Table 2 - Accent 2"/>
    <w:qFormat/>
    <w:uiPriority w:val="99"/>
    <w:pPr>
      <w:spacing w:after="0" w:line="240" w:lineRule="auto"/>
    </w:pPr>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31">
    <w:name w:val="List Table 2 - Accent 3"/>
    <w:qFormat/>
    <w:uiPriority w:val="99"/>
    <w:pPr>
      <w:spacing w:after="0" w:line="240" w:lineRule="auto"/>
    </w:pPr>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32">
    <w:name w:val="List Table 2 - Accent 4"/>
    <w:qFormat/>
    <w:uiPriority w:val="99"/>
    <w:pPr>
      <w:spacing w:after="0" w:line="240" w:lineRule="auto"/>
    </w:pPr>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33">
    <w:name w:val="List Table 2 - Accent 5"/>
    <w:qFormat/>
    <w:uiPriority w:val="99"/>
    <w:pPr>
      <w:spacing w:after="0" w:line="240" w:lineRule="auto"/>
    </w:pPr>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34">
    <w:name w:val="List Table 2 - Accent 6"/>
    <w:qFormat/>
    <w:uiPriority w:val="99"/>
    <w:pPr>
      <w:spacing w:after="0" w:line="240" w:lineRule="auto"/>
    </w:pPr>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35">
    <w:name w:val="List Table 3"/>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36">
    <w:name w:val="List Table 3 - Accent 1"/>
    <w:qFormat/>
    <w:uiPriority w:val="99"/>
    <w:pPr>
      <w:spacing w:after="0" w:line="240" w:lineRule="auto"/>
    </w:pPr>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1Horz">
      <w:rPr>
        <w:rFonts w:ascii="Arial" w:hAnsi="Arial"/>
        <w:color w:val="404040"/>
        <w:sz w:val="22"/>
      </w:rPr>
      <w:tcPr>
        <w:tcBorders>
          <w:top w:val="single" w:color="4F81BD" w:themeColor="accent1" w:sz="4" w:space="0"/>
          <w:bottom w:val="single" w:color="4F81BD" w:themeColor="accent1" w:sz="4" w:space="0"/>
        </w:tcBorders>
      </w:tcPr>
    </w:tblStylePr>
  </w:style>
  <w:style w:type="table" w:customStyle="1" w:styleId="137">
    <w:name w:val="List Table 3 - Accent 2"/>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style>
  <w:style w:type="table" w:customStyle="1" w:styleId="138">
    <w:name w:val="List Table 3 - Accent 3"/>
    <w:qFormat/>
    <w:uiPriority w:val="99"/>
    <w:pPr>
      <w:spacing w:after="0" w:line="240" w:lineRule="auto"/>
    </w:pPr>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style>
  <w:style w:type="table" w:customStyle="1" w:styleId="139">
    <w:name w:val="List Table 3 - Accent 4"/>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style>
  <w:style w:type="table" w:customStyle="1" w:styleId="140">
    <w:name w:val="List Table 3 - Accent 5"/>
    <w:qFormat/>
    <w:uiPriority w:val="99"/>
    <w:pPr>
      <w:spacing w:after="0" w:line="240" w:lineRule="auto"/>
    </w:pPr>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style>
  <w:style w:type="table" w:customStyle="1" w:styleId="141">
    <w:name w:val="List Table 3 - Accent 6"/>
    <w:qFormat/>
    <w:uiPriority w:val="99"/>
    <w:pPr>
      <w:spacing w:after="0" w:line="240" w:lineRule="auto"/>
    </w:pPr>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style>
  <w:style w:type="table" w:customStyle="1" w:styleId="142">
    <w:name w:val="List Table 4"/>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43">
    <w:name w:val="List Table 4 - Accent 1"/>
    <w:qFormat/>
    <w:uiPriority w:val="9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44">
    <w:name w:val="List Table 4 - Accent 2"/>
    <w:qFormat/>
    <w:uiPriority w:val="9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45">
    <w:name w:val="List Table 4 - Accent 3"/>
    <w:qFormat/>
    <w:uiPriority w:val="9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46">
    <w:name w:val="List Table 4 - Accent 4"/>
    <w:qFormat/>
    <w:uiPriority w:val="9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47">
    <w:name w:val="List Table 4 - Accent 5"/>
    <w:qFormat/>
    <w:uiPriority w:val="9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48">
    <w:name w:val="List Table 4 - Accent 6"/>
    <w:qFormat/>
    <w:uiPriority w:val="9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49">
    <w:name w:val="List Table 5 Dark"/>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150">
    <w:name w:val="List Table 5 Dark - Accent 1"/>
    <w:qFormat/>
    <w:uiPriority w:val="99"/>
    <w:pPr>
      <w:spacing w:after="0" w:line="240" w:lineRule="auto"/>
    </w:pPr>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style>
  <w:style w:type="table" w:customStyle="1" w:styleId="151">
    <w:name w:val="List Table 5 Dark - Accent 2"/>
    <w:qFormat/>
    <w:uiPriority w:val="99"/>
    <w:pPr>
      <w:spacing w:after="0" w:line="240" w:lineRule="auto"/>
    </w:pPr>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style>
  <w:style w:type="table" w:customStyle="1" w:styleId="152">
    <w:name w:val="List Table 5 Dark - Accent 3"/>
    <w:qFormat/>
    <w:uiPriority w:val="99"/>
    <w:pPr>
      <w:spacing w:after="0" w:line="240" w:lineRule="auto"/>
    </w:pPr>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style>
  <w:style w:type="table" w:customStyle="1" w:styleId="153">
    <w:name w:val="List Table 5 Dark - Accent 4"/>
    <w:qFormat/>
    <w:uiPriority w:val="99"/>
    <w:pPr>
      <w:spacing w:after="0" w:line="240" w:lineRule="auto"/>
    </w:pPr>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style>
  <w:style w:type="table" w:customStyle="1" w:styleId="154">
    <w:name w:val="List Table 5 Dark - Accent 5"/>
    <w:qFormat/>
    <w:uiPriority w:val="99"/>
    <w:pPr>
      <w:spacing w:after="0" w:line="240" w:lineRule="auto"/>
    </w:pPr>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style>
  <w:style w:type="table" w:customStyle="1" w:styleId="155">
    <w:name w:val="List Table 5 Dark - Accent 6"/>
    <w:qFormat/>
    <w:uiPriority w:val="99"/>
    <w:pPr>
      <w:spacing w:after="0" w:line="240" w:lineRule="auto"/>
    </w:pPr>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style>
  <w:style w:type="table" w:customStyle="1" w:styleId="156">
    <w:name w:val="List Table 6 Colorful"/>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57">
    <w:name w:val="List Table 6 Colorful - Accent 1"/>
    <w:qFormat/>
    <w:uiPriority w:val="99"/>
    <w:pPr>
      <w:spacing w:after="0" w:line="240" w:lineRule="auto"/>
    </w:pPr>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58">
    <w:name w:val="List Table 6 Colorful - Accent 2"/>
    <w:qFormat/>
    <w:uiPriority w:val="99"/>
    <w:pPr>
      <w:spacing w:after="0" w:line="240" w:lineRule="auto"/>
    </w:pPr>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59">
    <w:name w:val="List Table 6 Colorful - Accent 3"/>
    <w:qFormat/>
    <w:uiPriority w:val="99"/>
    <w:pPr>
      <w:spacing w:after="0" w:line="240" w:lineRule="auto"/>
    </w:pPr>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60">
    <w:name w:val="List Table 6 Colorful - Accent 4"/>
    <w:qFormat/>
    <w:uiPriority w:val="99"/>
    <w:pPr>
      <w:spacing w:after="0" w:line="240" w:lineRule="auto"/>
    </w:pPr>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61">
    <w:name w:val="List Table 6 Colorful - Accent 5"/>
    <w:qFormat/>
    <w:uiPriority w:val="99"/>
    <w:pPr>
      <w:spacing w:after="0" w:line="240" w:lineRule="auto"/>
    </w:pPr>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62">
    <w:name w:val="List Table 6 Colorful - Accent 6"/>
    <w:qFormat/>
    <w:uiPriority w:val="99"/>
    <w:pPr>
      <w:spacing w:after="0" w:line="240" w:lineRule="auto"/>
    </w:pPr>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63">
    <w:name w:val="List Table 7 Colorful"/>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64">
    <w:name w:val="List Table 7 Colorful - Accent 1"/>
    <w:qFormat/>
    <w:uiPriority w:val="99"/>
    <w:pPr>
      <w:spacing w:after="0" w:line="240" w:lineRule="auto"/>
    </w:pPr>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65">
    <w:name w:val="List Table 7 Colorful - Accent 2"/>
    <w:qFormat/>
    <w:uiPriority w:val="99"/>
    <w:pPr>
      <w:spacing w:after="0" w:line="240" w:lineRule="auto"/>
    </w:pPr>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66">
    <w:name w:val="List Table 7 Colorful - Accent 3"/>
    <w:qFormat/>
    <w:uiPriority w:val="99"/>
    <w:pPr>
      <w:spacing w:after="0" w:line="240" w:lineRule="auto"/>
    </w:pPr>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67">
    <w:name w:val="List Table 7 Colorful - Accent 4"/>
    <w:qFormat/>
    <w:uiPriority w:val="99"/>
    <w:pPr>
      <w:spacing w:after="0" w:line="240" w:lineRule="auto"/>
    </w:pPr>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68">
    <w:name w:val="List Table 7 Colorful - Accent 5"/>
    <w:qFormat/>
    <w:uiPriority w:val="99"/>
    <w:pPr>
      <w:spacing w:after="0" w:line="240" w:lineRule="auto"/>
    </w:pPr>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69">
    <w:name w:val="List Table 7 Colorful - Accent 6"/>
    <w:qFormat/>
    <w:uiPriority w:val="99"/>
    <w:pPr>
      <w:spacing w:after="0" w:line="240" w:lineRule="auto"/>
    </w:pPr>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70">
    <w:name w:val="Lined - Accent"/>
    <w:qFormat/>
    <w:uiPriority w:val="99"/>
    <w:pPr>
      <w:spacing w:after="0" w:line="240" w:lineRule="auto"/>
    </w:pPr>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71">
    <w:name w:val="Lined - Accent 1"/>
    <w:qFormat/>
    <w:uiPriority w:val="99"/>
    <w:pPr>
      <w:spacing w:after="0" w:line="240" w:lineRule="auto"/>
    </w:pPr>
    <w:rPr>
      <w:color w:val="404040"/>
    </w:r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72">
    <w:name w:val="Lined - Accent 2"/>
    <w:qFormat/>
    <w:uiPriority w:val="99"/>
    <w:pPr>
      <w:spacing w:after="0" w:line="240" w:lineRule="auto"/>
    </w:pPr>
    <w:rPr>
      <w:color w:val="404040"/>
    </w:r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73">
    <w:name w:val="Lined - Accent 3"/>
    <w:qFormat/>
    <w:uiPriority w:val="99"/>
    <w:pPr>
      <w:spacing w:after="0" w:line="240" w:lineRule="auto"/>
    </w:pPr>
    <w:rPr>
      <w:color w:val="404040"/>
    </w:r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74">
    <w:name w:val="Lined - Accent 4"/>
    <w:qFormat/>
    <w:uiPriority w:val="99"/>
    <w:pPr>
      <w:spacing w:after="0" w:line="240" w:lineRule="auto"/>
    </w:pPr>
    <w:rPr>
      <w:color w:val="404040"/>
    </w:r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75">
    <w:name w:val="Lined - Accent 5"/>
    <w:qFormat/>
    <w:uiPriority w:val="99"/>
    <w:pPr>
      <w:spacing w:after="0" w:line="240" w:lineRule="auto"/>
    </w:pPr>
    <w:rPr>
      <w:color w:val="404040"/>
    </w:r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76">
    <w:name w:val="Lined - Accent 6"/>
    <w:qFormat/>
    <w:uiPriority w:val="99"/>
    <w:pPr>
      <w:spacing w:after="0" w:line="240" w:lineRule="auto"/>
    </w:pPr>
    <w:rPr>
      <w:color w:val="404040"/>
    </w:r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77">
    <w:name w:val="Bordered &amp; Lined - Accent"/>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78">
    <w:name w:val="Bordered &amp; Lined - Accent 1"/>
    <w:qFormat/>
    <w:uiPriority w:val="99"/>
    <w:pPr>
      <w:spacing w:after="0" w:line="240" w:lineRule="auto"/>
    </w:pPr>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79">
    <w:name w:val="Bordered &amp; Lined - Accent 2"/>
    <w:qFormat/>
    <w:uiPriority w:val="99"/>
    <w:pPr>
      <w:spacing w:after="0" w:line="240" w:lineRule="auto"/>
    </w:pPr>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80">
    <w:name w:val="Bordered &amp; Lined - Accent 3"/>
    <w:qFormat/>
    <w:uiPriority w:val="99"/>
    <w:pPr>
      <w:spacing w:after="0" w:line="240" w:lineRule="auto"/>
    </w:pPr>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81">
    <w:name w:val="Bordered &amp; Lined - Accent 4"/>
    <w:qFormat/>
    <w:uiPriority w:val="99"/>
    <w:pPr>
      <w:spacing w:after="0" w:line="240" w:lineRule="auto"/>
    </w:pPr>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82">
    <w:name w:val="Bordered &amp; Lined - Accent 5"/>
    <w:qFormat/>
    <w:uiPriority w:val="99"/>
    <w:pPr>
      <w:spacing w:after="0" w:line="240" w:lineRule="auto"/>
    </w:pPr>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83">
    <w:name w:val="Bordered &amp; Lined - Accent 6"/>
    <w:qFormat/>
    <w:uiPriority w:val="99"/>
    <w:pPr>
      <w:spacing w:after="0" w:line="240" w:lineRule="auto"/>
    </w:pPr>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84">
    <w:name w:val="Bordered"/>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185">
    <w:name w:val="Bordered - Accent 1"/>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186">
    <w:name w:val="Bordered - Accent 2"/>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187">
    <w:name w:val="Bordered - Accent 3"/>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188">
    <w:name w:val="Bordered - Accent 4"/>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189">
    <w:name w:val="Bordered - Accent 5"/>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190">
    <w:name w:val="Bordered - Accent 6"/>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character" w:customStyle="1" w:styleId="191">
    <w:name w:val="Footnote Text Char"/>
    <w:link w:val="27"/>
    <w:qFormat/>
    <w:uiPriority w:val="99"/>
    <w:rPr>
      <w:sz w:val="18"/>
    </w:rPr>
  </w:style>
  <w:style w:type="character" w:customStyle="1" w:styleId="192">
    <w:name w:val="Endnote Text Char"/>
    <w:link w:val="21"/>
    <w:qFormat/>
    <w:uiPriority w:val="99"/>
    <w:rPr>
      <w:sz w:val="20"/>
    </w:rPr>
  </w:style>
  <w:style w:type="paragraph" w:customStyle="1" w:styleId="193">
    <w:name w:val="TOC Heading"/>
    <w:unhideWhenUsed/>
    <w:qFormat/>
    <w:uiPriority w:val="39"/>
    <w:rPr>
      <w:rFonts w:hint="default" w:ascii="Times New Roman" w:hAnsi="Times New Roman" w:eastAsia="宋体" w:cs="Times New Roman"/>
    </w:rPr>
  </w:style>
  <w:style w:type="paragraph" w:customStyle="1" w:styleId="194">
    <w:name w:val="标题 11"/>
    <w:basedOn w:val="1"/>
    <w:next w:val="1"/>
    <w:link w:val="207"/>
    <w:qFormat/>
    <w:uiPriority w:val="0"/>
    <w:pPr>
      <w:keepNext/>
      <w:jc w:val="center"/>
      <w:outlineLvl w:val="0"/>
    </w:pPr>
    <w:rPr>
      <w:rFonts w:ascii="楷体_GB2312" w:hAnsi="Times New Roman" w:eastAsia="楷体_GB2312" w:cs="Times New Roman"/>
      <w:sz w:val="28"/>
      <w:szCs w:val="28"/>
    </w:rPr>
  </w:style>
  <w:style w:type="paragraph" w:customStyle="1" w:styleId="195">
    <w:name w:val="正文缩进1"/>
    <w:basedOn w:val="1"/>
    <w:link w:val="209"/>
    <w:qFormat/>
    <w:uiPriority w:val="0"/>
    <w:pPr>
      <w:ind w:firstLine="420"/>
    </w:pPr>
    <w:rPr>
      <w:szCs w:val="21"/>
    </w:rPr>
  </w:style>
  <w:style w:type="paragraph" w:customStyle="1" w:styleId="196">
    <w:name w:val="标题 31"/>
    <w:basedOn w:val="1"/>
    <w:next w:val="195"/>
    <w:link w:val="210"/>
    <w:qFormat/>
    <w:uiPriority w:val="0"/>
    <w:pPr>
      <w:keepNext/>
      <w:keepLines/>
      <w:spacing w:before="260" w:after="260" w:line="416" w:lineRule="auto"/>
      <w:outlineLvl w:val="2"/>
    </w:pPr>
    <w:rPr>
      <w:rFonts w:ascii="Times New Roman" w:hAnsi="Times New Roman" w:eastAsia="宋体" w:cs="Times New Roman"/>
      <w:b/>
      <w:bCs/>
      <w:sz w:val="32"/>
      <w:szCs w:val="32"/>
    </w:rPr>
  </w:style>
  <w:style w:type="paragraph" w:customStyle="1" w:styleId="197">
    <w:name w:val="标题 41"/>
    <w:basedOn w:val="1"/>
    <w:next w:val="195"/>
    <w:link w:val="211"/>
    <w:qFormat/>
    <w:uiPriority w:val="0"/>
    <w:pPr>
      <w:keepNext/>
      <w:keepLines/>
      <w:spacing w:before="280" w:after="290" w:line="376" w:lineRule="auto"/>
      <w:outlineLvl w:val="3"/>
    </w:pPr>
    <w:rPr>
      <w:rFonts w:ascii="Arial" w:hAnsi="Arial" w:eastAsia="黑体" w:cs="Arial"/>
      <w:b/>
      <w:bCs/>
      <w:sz w:val="28"/>
      <w:szCs w:val="28"/>
    </w:rPr>
  </w:style>
  <w:style w:type="paragraph" w:customStyle="1" w:styleId="198">
    <w:name w:val="标题 51"/>
    <w:basedOn w:val="1"/>
    <w:next w:val="195"/>
    <w:link w:val="212"/>
    <w:qFormat/>
    <w:uiPriority w:val="0"/>
    <w:pPr>
      <w:keepNext/>
      <w:outlineLvl w:val="4"/>
    </w:pPr>
    <w:rPr>
      <w:rFonts w:ascii="宋体" w:hAnsi="Times New Roman" w:eastAsia="宋体" w:cs="Times New Roman"/>
      <w:color w:val="000000"/>
      <w:sz w:val="28"/>
      <w:szCs w:val="28"/>
    </w:rPr>
  </w:style>
  <w:style w:type="paragraph" w:customStyle="1" w:styleId="199">
    <w:name w:val="标题 61"/>
    <w:basedOn w:val="1"/>
    <w:next w:val="1"/>
    <w:link w:val="213"/>
    <w:qFormat/>
    <w:uiPriority w:val="0"/>
    <w:pPr>
      <w:keepNext/>
      <w:keepLines/>
      <w:numPr>
        <w:ilvl w:val="5"/>
        <w:numId w:val="1"/>
      </w:numPr>
      <w:spacing w:before="240" w:after="64" w:line="320" w:lineRule="auto"/>
      <w:outlineLvl w:val="5"/>
    </w:pPr>
    <w:rPr>
      <w:rFonts w:ascii="Arial" w:hAnsi="Arial" w:eastAsia="黑体" w:cs="Times New Roman"/>
      <w:b/>
      <w:bCs/>
      <w:sz w:val="24"/>
      <w:szCs w:val="24"/>
    </w:rPr>
  </w:style>
  <w:style w:type="paragraph" w:customStyle="1" w:styleId="200">
    <w:name w:val="标题 71"/>
    <w:basedOn w:val="1"/>
    <w:next w:val="1"/>
    <w:link w:val="214"/>
    <w:qFormat/>
    <w:uiPriority w:val="0"/>
    <w:pPr>
      <w:keepNext/>
      <w:keepLines/>
      <w:numPr>
        <w:ilvl w:val="6"/>
        <w:numId w:val="1"/>
      </w:numPr>
      <w:spacing w:before="240" w:after="64" w:line="320" w:lineRule="auto"/>
      <w:outlineLvl w:val="6"/>
    </w:pPr>
    <w:rPr>
      <w:rFonts w:ascii="Times New Roman" w:hAnsi="Times New Roman" w:eastAsia="宋体" w:cs="Times New Roman"/>
      <w:b/>
      <w:bCs/>
      <w:sz w:val="24"/>
      <w:szCs w:val="24"/>
    </w:rPr>
  </w:style>
  <w:style w:type="paragraph" w:customStyle="1" w:styleId="201">
    <w:name w:val="标题 81"/>
    <w:basedOn w:val="1"/>
    <w:next w:val="1"/>
    <w:link w:val="215"/>
    <w:qFormat/>
    <w:uiPriority w:val="0"/>
    <w:pPr>
      <w:keepNext/>
      <w:keepLines/>
      <w:numPr>
        <w:ilvl w:val="7"/>
        <w:numId w:val="1"/>
      </w:numPr>
      <w:spacing w:before="240" w:after="64" w:line="320" w:lineRule="auto"/>
      <w:outlineLvl w:val="7"/>
    </w:pPr>
    <w:rPr>
      <w:rFonts w:ascii="Arial" w:hAnsi="Arial" w:eastAsia="黑体" w:cs="Times New Roman"/>
      <w:sz w:val="24"/>
      <w:szCs w:val="24"/>
    </w:rPr>
  </w:style>
  <w:style w:type="paragraph" w:customStyle="1" w:styleId="202">
    <w:name w:val="标题 91"/>
    <w:basedOn w:val="1"/>
    <w:next w:val="1"/>
    <w:link w:val="216"/>
    <w:qFormat/>
    <w:uiPriority w:val="0"/>
    <w:pPr>
      <w:keepNext/>
      <w:keepLines/>
      <w:numPr>
        <w:ilvl w:val="8"/>
        <w:numId w:val="1"/>
      </w:numPr>
      <w:spacing w:before="240" w:after="64" w:line="320" w:lineRule="auto"/>
      <w:outlineLvl w:val="8"/>
    </w:pPr>
    <w:rPr>
      <w:rFonts w:ascii="Arial" w:hAnsi="Arial" w:eastAsia="黑体" w:cs="Times New Roman"/>
      <w:szCs w:val="21"/>
    </w:rPr>
  </w:style>
  <w:style w:type="character" w:customStyle="1" w:styleId="203">
    <w:name w:val="默认段落字体1"/>
    <w:link w:val="1"/>
    <w:unhideWhenUsed/>
    <w:qFormat/>
    <w:uiPriority w:val="1"/>
  </w:style>
  <w:style w:type="table" w:customStyle="1" w:styleId="204">
    <w:name w:val="普通表格1"/>
    <w:unhideWhenUsed/>
    <w:qFormat/>
    <w:uiPriority w:val="99"/>
  </w:style>
  <w:style w:type="paragraph" w:customStyle="1" w:styleId="205">
    <w:name w:val="正文文本11"/>
    <w:basedOn w:val="1"/>
    <w:next w:val="1"/>
    <w:link w:val="206"/>
    <w:qFormat/>
    <w:uiPriority w:val="0"/>
    <w:rPr>
      <w:rFonts w:ascii="楷体_GB2312" w:hAnsi="Arial" w:eastAsia="楷体_GB2312" w:cs="Times New Roman"/>
      <w:sz w:val="28"/>
      <w:szCs w:val="28"/>
    </w:rPr>
  </w:style>
  <w:style w:type="character" w:customStyle="1" w:styleId="206">
    <w:name w:val="正文文本 Char"/>
    <w:link w:val="205"/>
    <w:qFormat/>
    <w:uiPriority w:val="0"/>
    <w:rPr>
      <w:rFonts w:ascii="楷体_GB2312" w:hAnsi="Arial" w:eastAsia="楷体_GB2312" w:cs="Times New Roman"/>
      <w:sz w:val="28"/>
      <w:szCs w:val="28"/>
    </w:rPr>
  </w:style>
  <w:style w:type="character" w:customStyle="1" w:styleId="207">
    <w:name w:val="标题 1 Char"/>
    <w:link w:val="194"/>
    <w:qFormat/>
    <w:uiPriority w:val="0"/>
    <w:rPr>
      <w:rFonts w:ascii="楷体_GB2312" w:hAnsi="Times New Roman" w:eastAsia="楷体_GB2312" w:cs="Times New Roman"/>
      <w:sz w:val="28"/>
      <w:szCs w:val="28"/>
    </w:rPr>
  </w:style>
  <w:style w:type="character" w:customStyle="1" w:styleId="208">
    <w:name w:val="标题 2 Char"/>
    <w:link w:val="45"/>
    <w:qFormat/>
    <w:uiPriority w:val="0"/>
    <w:rPr>
      <w:rFonts w:ascii="Arial" w:hAnsi="Arial" w:eastAsia="幼圆" w:cs="Arial"/>
      <w:b/>
      <w:bCs/>
      <w:sz w:val="44"/>
      <w:szCs w:val="44"/>
    </w:rPr>
  </w:style>
  <w:style w:type="character" w:customStyle="1" w:styleId="209">
    <w:name w:val="正文缩进 Char"/>
    <w:link w:val="195"/>
    <w:qFormat/>
    <w:uiPriority w:val="0"/>
    <w:rPr>
      <w:szCs w:val="21"/>
    </w:rPr>
  </w:style>
  <w:style w:type="character" w:customStyle="1" w:styleId="210">
    <w:name w:val="标题 3 Char"/>
    <w:link w:val="196"/>
    <w:qFormat/>
    <w:uiPriority w:val="0"/>
    <w:rPr>
      <w:rFonts w:ascii="Times New Roman" w:hAnsi="Times New Roman" w:eastAsia="宋体" w:cs="Times New Roman"/>
      <w:b/>
      <w:bCs/>
      <w:sz w:val="32"/>
      <w:szCs w:val="32"/>
    </w:rPr>
  </w:style>
  <w:style w:type="character" w:customStyle="1" w:styleId="211">
    <w:name w:val="标题 4 Char"/>
    <w:link w:val="197"/>
    <w:qFormat/>
    <w:uiPriority w:val="0"/>
    <w:rPr>
      <w:rFonts w:ascii="Arial" w:hAnsi="Arial" w:eastAsia="黑体" w:cs="Arial"/>
      <w:b/>
      <w:bCs/>
      <w:sz w:val="28"/>
      <w:szCs w:val="28"/>
    </w:rPr>
  </w:style>
  <w:style w:type="character" w:customStyle="1" w:styleId="212">
    <w:name w:val="标题 5 Char"/>
    <w:link w:val="198"/>
    <w:qFormat/>
    <w:uiPriority w:val="0"/>
    <w:rPr>
      <w:rFonts w:ascii="宋体" w:hAnsi="Times New Roman" w:eastAsia="宋体" w:cs="Times New Roman"/>
      <w:color w:val="000000"/>
      <w:sz w:val="28"/>
      <w:szCs w:val="28"/>
    </w:rPr>
  </w:style>
  <w:style w:type="character" w:customStyle="1" w:styleId="213">
    <w:name w:val="标题 6 Char"/>
    <w:link w:val="199"/>
    <w:qFormat/>
    <w:uiPriority w:val="0"/>
    <w:rPr>
      <w:rFonts w:ascii="Arial" w:hAnsi="Arial" w:eastAsia="黑体" w:cs="Times New Roman"/>
      <w:b/>
      <w:bCs/>
      <w:sz w:val="24"/>
      <w:szCs w:val="24"/>
    </w:rPr>
  </w:style>
  <w:style w:type="character" w:customStyle="1" w:styleId="214">
    <w:name w:val="标题 7 Char"/>
    <w:link w:val="200"/>
    <w:qFormat/>
    <w:uiPriority w:val="0"/>
    <w:rPr>
      <w:rFonts w:ascii="Times New Roman" w:hAnsi="Times New Roman" w:eastAsia="宋体" w:cs="Times New Roman"/>
      <w:b/>
      <w:bCs/>
      <w:sz w:val="24"/>
      <w:szCs w:val="24"/>
    </w:rPr>
  </w:style>
  <w:style w:type="character" w:customStyle="1" w:styleId="215">
    <w:name w:val="标题 8 Char"/>
    <w:link w:val="201"/>
    <w:qFormat/>
    <w:uiPriority w:val="0"/>
    <w:rPr>
      <w:rFonts w:ascii="Arial" w:hAnsi="Arial" w:eastAsia="黑体" w:cs="Times New Roman"/>
      <w:sz w:val="24"/>
      <w:szCs w:val="24"/>
    </w:rPr>
  </w:style>
  <w:style w:type="character" w:customStyle="1" w:styleId="216">
    <w:name w:val="标题 9 Char"/>
    <w:link w:val="202"/>
    <w:qFormat/>
    <w:uiPriority w:val="0"/>
    <w:rPr>
      <w:rFonts w:ascii="Arial" w:hAnsi="Arial" w:eastAsia="黑体" w:cs="Times New Roman"/>
      <w:szCs w:val="21"/>
    </w:rPr>
  </w:style>
  <w:style w:type="paragraph" w:customStyle="1" w:styleId="217">
    <w:name w:val="列表 31"/>
    <w:basedOn w:val="1"/>
    <w:qFormat/>
    <w:uiPriority w:val="0"/>
    <w:pPr>
      <w:ind w:left="100" w:hanging="200"/>
    </w:pPr>
    <w:rPr>
      <w:rFonts w:ascii="Times New Roman" w:hAnsi="Times New Roman" w:eastAsia="宋体" w:cs="Times New Roman"/>
      <w:szCs w:val="21"/>
    </w:rPr>
  </w:style>
  <w:style w:type="paragraph" w:customStyle="1" w:styleId="218">
    <w:name w:val="目录 71"/>
    <w:basedOn w:val="1"/>
    <w:next w:val="1"/>
    <w:semiHidden/>
    <w:qFormat/>
    <w:uiPriority w:val="0"/>
    <w:pPr>
      <w:ind w:left="1260"/>
      <w:jc w:val="left"/>
    </w:pPr>
    <w:rPr>
      <w:rFonts w:ascii="Times New Roman" w:hAnsi="Times New Roman" w:eastAsia="宋体" w:cs="Times New Roman"/>
      <w:szCs w:val="21"/>
    </w:rPr>
  </w:style>
  <w:style w:type="paragraph" w:customStyle="1" w:styleId="219">
    <w:name w:val="文档结构图1"/>
    <w:basedOn w:val="1"/>
    <w:link w:val="220"/>
    <w:semiHidden/>
    <w:qFormat/>
    <w:uiPriority w:val="0"/>
    <w:pPr>
      <w:shd w:val="clear" w:color="auto" w:fill="000080"/>
    </w:pPr>
    <w:rPr>
      <w:rFonts w:ascii="Times New Roman" w:hAnsi="Times New Roman" w:eastAsia="宋体" w:cs="Times New Roman"/>
      <w:szCs w:val="21"/>
    </w:rPr>
  </w:style>
  <w:style w:type="character" w:customStyle="1" w:styleId="220">
    <w:name w:val="文档结构图 Char"/>
    <w:link w:val="219"/>
    <w:semiHidden/>
    <w:qFormat/>
    <w:uiPriority w:val="0"/>
    <w:rPr>
      <w:rFonts w:ascii="Times New Roman" w:hAnsi="Times New Roman" w:eastAsia="宋体" w:cs="Times New Roman"/>
      <w:szCs w:val="21"/>
      <w:shd w:val="clear" w:color="auto" w:fill="000080"/>
    </w:rPr>
  </w:style>
  <w:style w:type="paragraph" w:customStyle="1" w:styleId="221">
    <w:name w:val="批注文字1"/>
    <w:basedOn w:val="1"/>
    <w:link w:val="222"/>
    <w:unhideWhenUsed/>
    <w:qFormat/>
    <w:uiPriority w:val="0"/>
    <w:pPr>
      <w:jc w:val="left"/>
    </w:pPr>
  </w:style>
  <w:style w:type="character" w:customStyle="1" w:styleId="222">
    <w:name w:val="批注文字 Char"/>
    <w:basedOn w:val="203"/>
    <w:link w:val="221"/>
    <w:semiHidden/>
    <w:qFormat/>
    <w:uiPriority w:val="99"/>
  </w:style>
  <w:style w:type="paragraph" w:customStyle="1" w:styleId="223">
    <w:name w:val="正文文本 31"/>
    <w:basedOn w:val="1"/>
    <w:link w:val="224"/>
    <w:qFormat/>
    <w:uiPriority w:val="0"/>
    <w:rPr>
      <w:rFonts w:ascii="仿宋_GB2312" w:hAnsi="Arial" w:eastAsia="仿宋_GB2312" w:cs="Times New Roman"/>
      <w:sz w:val="32"/>
      <w:szCs w:val="32"/>
    </w:rPr>
  </w:style>
  <w:style w:type="character" w:customStyle="1" w:styleId="224">
    <w:name w:val="正文文本 3 Char"/>
    <w:link w:val="223"/>
    <w:qFormat/>
    <w:uiPriority w:val="0"/>
    <w:rPr>
      <w:rFonts w:ascii="仿宋_GB2312" w:hAnsi="Arial" w:eastAsia="仿宋_GB2312" w:cs="Times New Roman"/>
      <w:sz w:val="32"/>
      <w:szCs w:val="32"/>
    </w:rPr>
  </w:style>
  <w:style w:type="paragraph" w:customStyle="1" w:styleId="225">
    <w:name w:val="正文文本缩进1"/>
    <w:basedOn w:val="1"/>
    <w:next w:val="226"/>
    <w:link w:val="227"/>
    <w:unhideWhenUsed/>
    <w:qFormat/>
    <w:uiPriority w:val="0"/>
    <w:pPr>
      <w:spacing w:after="120"/>
      <w:ind w:left="420"/>
    </w:pPr>
  </w:style>
  <w:style w:type="paragraph" w:customStyle="1" w:styleId="226">
    <w:name w:val="寄信人地址1"/>
    <w:basedOn w:val="1"/>
    <w:unhideWhenUsed/>
    <w:qFormat/>
    <w:uiPriority w:val="99"/>
    <w:rPr>
      <w:rFonts w:ascii="Arial" w:hAnsi="Arial"/>
    </w:rPr>
  </w:style>
  <w:style w:type="character" w:customStyle="1" w:styleId="227">
    <w:name w:val="正文文本缩进 Char"/>
    <w:basedOn w:val="203"/>
    <w:link w:val="225"/>
    <w:semiHidden/>
    <w:qFormat/>
    <w:uiPriority w:val="99"/>
  </w:style>
  <w:style w:type="paragraph" w:customStyle="1" w:styleId="228">
    <w:name w:val="列表 21"/>
    <w:basedOn w:val="1"/>
    <w:qFormat/>
    <w:uiPriority w:val="0"/>
    <w:pPr>
      <w:ind w:left="100" w:hanging="200"/>
    </w:pPr>
    <w:rPr>
      <w:rFonts w:ascii="Times New Roman" w:hAnsi="Times New Roman" w:eastAsia="宋体" w:cs="Times New Roman"/>
      <w:szCs w:val="21"/>
    </w:rPr>
  </w:style>
  <w:style w:type="paragraph" w:customStyle="1" w:styleId="229">
    <w:name w:val="目录 51"/>
    <w:basedOn w:val="1"/>
    <w:next w:val="1"/>
    <w:semiHidden/>
    <w:qFormat/>
    <w:uiPriority w:val="0"/>
    <w:pPr>
      <w:ind w:left="840"/>
      <w:jc w:val="left"/>
    </w:pPr>
    <w:rPr>
      <w:rFonts w:ascii="Times New Roman" w:hAnsi="Times New Roman" w:eastAsia="宋体" w:cs="Times New Roman"/>
      <w:szCs w:val="21"/>
    </w:rPr>
  </w:style>
  <w:style w:type="paragraph" w:customStyle="1" w:styleId="230">
    <w:name w:val="目录 31"/>
    <w:basedOn w:val="1"/>
    <w:next w:val="1"/>
    <w:semiHidden/>
    <w:qFormat/>
    <w:uiPriority w:val="0"/>
    <w:pPr>
      <w:ind w:left="420"/>
      <w:jc w:val="left"/>
    </w:pPr>
    <w:rPr>
      <w:rFonts w:ascii="Times New Roman" w:hAnsi="Times New Roman" w:eastAsia="宋体" w:cs="Times New Roman"/>
      <w:i/>
      <w:iCs/>
      <w:szCs w:val="24"/>
    </w:rPr>
  </w:style>
  <w:style w:type="paragraph" w:customStyle="1" w:styleId="231">
    <w:name w:val="纯文本1"/>
    <w:basedOn w:val="1"/>
    <w:link w:val="232"/>
    <w:qFormat/>
    <w:uiPriority w:val="0"/>
    <w:rPr>
      <w:rFonts w:ascii="宋体" w:hAnsi="Courier New" w:eastAsia="宋体" w:cs="Courier New"/>
      <w:szCs w:val="21"/>
    </w:rPr>
  </w:style>
  <w:style w:type="character" w:customStyle="1" w:styleId="232">
    <w:name w:val="纯文本 Char"/>
    <w:link w:val="231"/>
    <w:qFormat/>
    <w:uiPriority w:val="0"/>
    <w:rPr>
      <w:rFonts w:ascii="宋体" w:hAnsi="Courier New" w:eastAsia="宋体" w:cs="Courier New"/>
      <w:szCs w:val="21"/>
    </w:rPr>
  </w:style>
  <w:style w:type="paragraph" w:customStyle="1" w:styleId="233">
    <w:name w:val="目录 81"/>
    <w:basedOn w:val="1"/>
    <w:next w:val="1"/>
    <w:semiHidden/>
    <w:qFormat/>
    <w:uiPriority w:val="0"/>
    <w:pPr>
      <w:ind w:left="1470"/>
      <w:jc w:val="left"/>
    </w:pPr>
    <w:rPr>
      <w:rFonts w:ascii="Times New Roman" w:hAnsi="Times New Roman" w:eastAsia="宋体" w:cs="Times New Roman"/>
      <w:szCs w:val="21"/>
    </w:rPr>
  </w:style>
  <w:style w:type="paragraph" w:customStyle="1" w:styleId="234">
    <w:name w:val="日期1"/>
    <w:basedOn w:val="1"/>
    <w:next w:val="1"/>
    <w:link w:val="235"/>
    <w:qFormat/>
    <w:uiPriority w:val="0"/>
    <w:rPr>
      <w:rFonts w:ascii="Times New Roman" w:hAnsi="Times New Roman" w:eastAsia="宋体" w:cs="Times New Roman"/>
      <w:sz w:val="24"/>
      <w:szCs w:val="24"/>
    </w:rPr>
  </w:style>
  <w:style w:type="character" w:customStyle="1" w:styleId="235">
    <w:name w:val="日期 Char"/>
    <w:link w:val="234"/>
    <w:qFormat/>
    <w:uiPriority w:val="0"/>
    <w:rPr>
      <w:rFonts w:ascii="Times New Roman" w:hAnsi="Times New Roman" w:eastAsia="宋体" w:cs="Times New Roman"/>
      <w:sz w:val="24"/>
      <w:szCs w:val="24"/>
    </w:rPr>
  </w:style>
  <w:style w:type="paragraph" w:customStyle="1" w:styleId="236">
    <w:name w:val="正文文本缩进 21"/>
    <w:basedOn w:val="1"/>
    <w:link w:val="237"/>
    <w:qFormat/>
    <w:uiPriority w:val="0"/>
    <w:pPr>
      <w:ind w:left="630" w:firstLine="645"/>
    </w:pPr>
    <w:rPr>
      <w:rFonts w:ascii="Arial" w:hAnsi="Arial" w:eastAsia="仿宋_GB2312" w:cs="Arial"/>
      <w:sz w:val="32"/>
      <w:szCs w:val="32"/>
    </w:rPr>
  </w:style>
  <w:style w:type="character" w:customStyle="1" w:styleId="237">
    <w:name w:val="正文文本缩进 2 Char"/>
    <w:link w:val="236"/>
    <w:qFormat/>
    <w:uiPriority w:val="0"/>
    <w:rPr>
      <w:rFonts w:ascii="Arial" w:hAnsi="Arial" w:eastAsia="仿宋_GB2312" w:cs="Arial"/>
      <w:sz w:val="32"/>
      <w:szCs w:val="32"/>
    </w:rPr>
  </w:style>
  <w:style w:type="paragraph" w:customStyle="1" w:styleId="238">
    <w:name w:val="批注框文本1"/>
    <w:basedOn w:val="1"/>
    <w:link w:val="239"/>
    <w:semiHidden/>
    <w:qFormat/>
    <w:uiPriority w:val="0"/>
    <w:rPr>
      <w:rFonts w:ascii="Times New Roman" w:hAnsi="Times New Roman" w:eastAsia="宋体" w:cs="Times New Roman"/>
      <w:sz w:val="18"/>
      <w:szCs w:val="18"/>
    </w:rPr>
  </w:style>
  <w:style w:type="character" w:customStyle="1" w:styleId="239">
    <w:name w:val="批注框文本 Char"/>
    <w:link w:val="238"/>
    <w:semiHidden/>
    <w:qFormat/>
    <w:uiPriority w:val="0"/>
    <w:rPr>
      <w:rFonts w:ascii="Times New Roman" w:hAnsi="Times New Roman" w:eastAsia="宋体" w:cs="Times New Roman"/>
      <w:sz w:val="18"/>
      <w:szCs w:val="18"/>
    </w:rPr>
  </w:style>
  <w:style w:type="paragraph" w:customStyle="1" w:styleId="240">
    <w:name w:val="页脚1"/>
    <w:basedOn w:val="1"/>
    <w:link w:val="241"/>
    <w:qFormat/>
    <w:uiPriority w:val="0"/>
    <w:pPr>
      <w:tabs>
        <w:tab w:val="center" w:pos="4153"/>
        <w:tab w:val="right" w:pos="8306"/>
      </w:tabs>
      <w:jc w:val="left"/>
    </w:pPr>
    <w:rPr>
      <w:rFonts w:ascii="Times New Roman" w:hAnsi="Times New Roman" w:eastAsia="宋体" w:cs="Times New Roman"/>
      <w:sz w:val="18"/>
      <w:szCs w:val="18"/>
    </w:rPr>
  </w:style>
  <w:style w:type="character" w:customStyle="1" w:styleId="241">
    <w:name w:val="页脚 Char"/>
    <w:link w:val="240"/>
    <w:qFormat/>
    <w:uiPriority w:val="0"/>
    <w:rPr>
      <w:rFonts w:ascii="Times New Roman" w:hAnsi="Times New Roman" w:eastAsia="宋体" w:cs="Times New Roman"/>
      <w:sz w:val="18"/>
      <w:szCs w:val="18"/>
    </w:rPr>
  </w:style>
  <w:style w:type="paragraph" w:customStyle="1" w:styleId="242">
    <w:name w:val="页眉1"/>
    <w:basedOn w:val="1"/>
    <w:link w:val="243"/>
    <w:qFormat/>
    <w:uiPriority w:val="0"/>
    <w:pPr>
      <w:pBdr>
        <w:bottom w:val="single" w:color="000000" w:sz="6" w:space="1"/>
      </w:pBdr>
      <w:tabs>
        <w:tab w:val="center" w:pos="4153"/>
        <w:tab w:val="right" w:pos="8306"/>
      </w:tabs>
      <w:jc w:val="center"/>
    </w:pPr>
    <w:rPr>
      <w:rFonts w:ascii="Times New Roman" w:hAnsi="Times New Roman" w:eastAsia="宋体" w:cs="Times New Roman"/>
      <w:sz w:val="18"/>
      <w:szCs w:val="18"/>
    </w:rPr>
  </w:style>
  <w:style w:type="character" w:customStyle="1" w:styleId="243">
    <w:name w:val="页眉 Char"/>
    <w:link w:val="242"/>
    <w:qFormat/>
    <w:uiPriority w:val="0"/>
    <w:rPr>
      <w:rFonts w:ascii="Times New Roman" w:hAnsi="Times New Roman" w:eastAsia="宋体" w:cs="Times New Roman"/>
      <w:sz w:val="18"/>
      <w:szCs w:val="18"/>
    </w:rPr>
  </w:style>
  <w:style w:type="paragraph" w:customStyle="1" w:styleId="244">
    <w:name w:val="目录 11"/>
    <w:basedOn w:val="1"/>
    <w:next w:val="1"/>
    <w:semiHidden/>
    <w:qFormat/>
    <w:uiPriority w:val="0"/>
    <w:pPr>
      <w:tabs>
        <w:tab w:val="right" w:leader="dot" w:pos="8720"/>
      </w:tabs>
      <w:spacing w:before="120" w:after="120" w:line="400" w:lineRule="exact"/>
      <w:jc w:val="left"/>
    </w:pPr>
    <w:rPr>
      <w:rFonts w:ascii="宋体" w:hAnsi="宋体" w:eastAsia="宋体" w:cs="Times New Roman"/>
      <w:caps/>
      <w:sz w:val="24"/>
      <w:szCs w:val="24"/>
    </w:rPr>
  </w:style>
  <w:style w:type="paragraph" w:customStyle="1" w:styleId="245">
    <w:name w:val="目录 41"/>
    <w:basedOn w:val="1"/>
    <w:next w:val="1"/>
    <w:semiHidden/>
    <w:qFormat/>
    <w:uiPriority w:val="0"/>
    <w:pPr>
      <w:ind w:left="630"/>
      <w:jc w:val="left"/>
    </w:pPr>
    <w:rPr>
      <w:rFonts w:ascii="Times New Roman" w:hAnsi="Times New Roman" w:eastAsia="宋体" w:cs="Times New Roman"/>
      <w:szCs w:val="21"/>
    </w:rPr>
  </w:style>
  <w:style w:type="paragraph" w:customStyle="1" w:styleId="246">
    <w:name w:val="列表1"/>
    <w:basedOn w:val="1"/>
    <w:qFormat/>
    <w:uiPriority w:val="0"/>
    <w:pPr>
      <w:ind w:left="200" w:hanging="200"/>
    </w:pPr>
    <w:rPr>
      <w:rFonts w:ascii="Times New Roman" w:hAnsi="Times New Roman" w:eastAsia="宋体" w:cs="Times New Roman"/>
      <w:szCs w:val="21"/>
    </w:rPr>
  </w:style>
  <w:style w:type="paragraph" w:customStyle="1" w:styleId="247">
    <w:name w:val="目录 61"/>
    <w:basedOn w:val="1"/>
    <w:next w:val="1"/>
    <w:semiHidden/>
    <w:qFormat/>
    <w:uiPriority w:val="0"/>
    <w:pPr>
      <w:ind w:left="1050"/>
      <w:jc w:val="left"/>
    </w:pPr>
    <w:rPr>
      <w:rFonts w:ascii="Times New Roman" w:hAnsi="Times New Roman" w:eastAsia="宋体" w:cs="Times New Roman"/>
      <w:szCs w:val="21"/>
    </w:rPr>
  </w:style>
  <w:style w:type="paragraph" w:customStyle="1" w:styleId="248">
    <w:name w:val="正文文本缩进 31"/>
    <w:basedOn w:val="1"/>
    <w:link w:val="249"/>
    <w:qFormat/>
    <w:uiPriority w:val="0"/>
    <w:pPr>
      <w:ind w:left="645" w:firstLine="645"/>
    </w:pPr>
    <w:rPr>
      <w:rFonts w:ascii="Arial" w:hAnsi="Arial" w:eastAsia="仿宋_GB2312" w:cs="Arial"/>
      <w:color w:val="FFFF00"/>
      <w:sz w:val="32"/>
      <w:szCs w:val="32"/>
    </w:rPr>
  </w:style>
  <w:style w:type="character" w:customStyle="1" w:styleId="249">
    <w:name w:val="正文文本缩进 3 Char"/>
    <w:link w:val="248"/>
    <w:qFormat/>
    <w:uiPriority w:val="0"/>
    <w:rPr>
      <w:rFonts w:ascii="Arial" w:hAnsi="Arial" w:eastAsia="仿宋_GB2312" w:cs="Arial"/>
      <w:color w:val="FFFF00"/>
      <w:sz w:val="32"/>
      <w:szCs w:val="32"/>
    </w:rPr>
  </w:style>
  <w:style w:type="paragraph" w:customStyle="1" w:styleId="250">
    <w:name w:val="图表目录1"/>
    <w:basedOn w:val="1"/>
    <w:next w:val="1"/>
    <w:semiHidden/>
    <w:qFormat/>
    <w:uiPriority w:val="0"/>
    <w:pPr>
      <w:ind w:left="840" w:hanging="420"/>
    </w:pPr>
    <w:rPr>
      <w:rFonts w:ascii="Times New Roman" w:hAnsi="Times New Roman" w:eastAsia="宋体" w:cs="Times New Roman"/>
      <w:szCs w:val="21"/>
    </w:rPr>
  </w:style>
  <w:style w:type="paragraph" w:customStyle="1" w:styleId="251">
    <w:name w:val="目录 21"/>
    <w:basedOn w:val="1"/>
    <w:next w:val="1"/>
    <w:semiHidden/>
    <w:qFormat/>
    <w:uiPriority w:val="0"/>
    <w:pPr>
      <w:ind w:left="210"/>
      <w:jc w:val="left"/>
    </w:pPr>
    <w:rPr>
      <w:rFonts w:ascii="Times New Roman" w:hAnsi="Times New Roman" w:eastAsia="宋体" w:cs="Times New Roman"/>
      <w:smallCaps/>
      <w:szCs w:val="24"/>
    </w:rPr>
  </w:style>
  <w:style w:type="paragraph" w:customStyle="1" w:styleId="252">
    <w:name w:val="目录 91"/>
    <w:basedOn w:val="1"/>
    <w:next w:val="1"/>
    <w:semiHidden/>
    <w:qFormat/>
    <w:uiPriority w:val="0"/>
    <w:pPr>
      <w:ind w:left="1680"/>
      <w:jc w:val="left"/>
    </w:pPr>
    <w:rPr>
      <w:rFonts w:ascii="Times New Roman" w:hAnsi="Times New Roman" w:eastAsia="宋体" w:cs="Times New Roman"/>
      <w:szCs w:val="21"/>
    </w:rPr>
  </w:style>
  <w:style w:type="paragraph" w:customStyle="1" w:styleId="253">
    <w:name w:val="正文文本 21"/>
    <w:basedOn w:val="1"/>
    <w:link w:val="254"/>
    <w:qFormat/>
    <w:uiPriority w:val="0"/>
    <w:pPr>
      <w:widowControl/>
      <w:jc w:val="center"/>
    </w:pPr>
    <w:rPr>
      <w:rFonts w:ascii="楷体_GB2312" w:hAnsi="Times New Roman" w:eastAsia="楷体_GB2312" w:cs="Times New Roman"/>
      <w:sz w:val="28"/>
      <w:szCs w:val="28"/>
    </w:rPr>
  </w:style>
  <w:style w:type="character" w:customStyle="1" w:styleId="254">
    <w:name w:val="正文文本 2 Char"/>
    <w:link w:val="253"/>
    <w:qFormat/>
    <w:uiPriority w:val="0"/>
    <w:rPr>
      <w:rFonts w:ascii="楷体_GB2312" w:hAnsi="Times New Roman" w:eastAsia="楷体_GB2312" w:cs="Times New Roman"/>
      <w:sz w:val="28"/>
      <w:szCs w:val="28"/>
    </w:rPr>
  </w:style>
  <w:style w:type="paragraph" w:customStyle="1" w:styleId="255">
    <w:name w:val="普通(网站)1"/>
    <w:basedOn w:val="1"/>
    <w:qFormat/>
    <w:uiPriority w:val="99"/>
    <w:pPr>
      <w:widowControl/>
      <w:spacing w:before="100" w:beforeAutospacing="1" w:after="100" w:afterAutospacing="1"/>
      <w:jc w:val="left"/>
    </w:pPr>
    <w:rPr>
      <w:rFonts w:ascii="宋体" w:hAnsi="宋体" w:eastAsia="宋体" w:cs="宋体"/>
      <w:sz w:val="24"/>
      <w:szCs w:val="24"/>
    </w:rPr>
  </w:style>
  <w:style w:type="paragraph" w:customStyle="1" w:styleId="256">
    <w:name w:val="索引 11"/>
    <w:basedOn w:val="1"/>
    <w:next w:val="1"/>
    <w:semiHidden/>
    <w:qFormat/>
    <w:uiPriority w:val="0"/>
    <w:pPr>
      <w:spacing w:line="240" w:lineRule="atLeast"/>
    </w:pPr>
    <w:rPr>
      <w:rFonts w:ascii="Times New Roman" w:hAnsi="Times New Roman" w:eastAsia="宋体" w:cs="Times New Roman"/>
      <w:b/>
      <w:bCs/>
      <w:szCs w:val="21"/>
    </w:rPr>
  </w:style>
  <w:style w:type="paragraph" w:customStyle="1" w:styleId="257">
    <w:name w:val="批注主题1"/>
    <w:basedOn w:val="221"/>
    <w:next w:val="221"/>
    <w:link w:val="258"/>
    <w:semiHidden/>
    <w:qFormat/>
    <w:uiPriority w:val="0"/>
    <w:rPr>
      <w:rFonts w:ascii="Times New Roman" w:hAnsi="Times New Roman" w:eastAsia="宋体" w:cs="Times New Roman"/>
      <w:b/>
      <w:bCs/>
      <w:szCs w:val="21"/>
    </w:rPr>
  </w:style>
  <w:style w:type="character" w:customStyle="1" w:styleId="258">
    <w:name w:val="批注主题 Char"/>
    <w:link w:val="257"/>
    <w:semiHidden/>
    <w:qFormat/>
    <w:uiPriority w:val="0"/>
    <w:rPr>
      <w:rFonts w:ascii="Times New Roman" w:hAnsi="Times New Roman" w:eastAsia="宋体" w:cs="Times New Roman"/>
      <w:b/>
      <w:bCs/>
      <w:szCs w:val="21"/>
    </w:rPr>
  </w:style>
  <w:style w:type="paragraph" w:customStyle="1" w:styleId="259">
    <w:name w:val="正文首行缩进1"/>
    <w:basedOn w:val="1"/>
    <w:link w:val="260"/>
    <w:qFormat/>
    <w:uiPriority w:val="0"/>
    <w:pPr>
      <w:spacing w:line="360" w:lineRule="auto"/>
      <w:ind w:firstLine="200"/>
    </w:pPr>
    <w:rPr>
      <w:rFonts w:ascii="仿宋_GB2312" w:hAnsi="Times New Roman" w:eastAsia="仿宋_GB2312" w:cs="Times New Roman"/>
      <w:sz w:val="30"/>
      <w:szCs w:val="30"/>
    </w:rPr>
  </w:style>
  <w:style w:type="character" w:customStyle="1" w:styleId="260">
    <w:name w:val="正文首行缩进 Char"/>
    <w:link w:val="259"/>
    <w:qFormat/>
    <w:uiPriority w:val="0"/>
    <w:rPr>
      <w:rFonts w:ascii="仿宋_GB2312" w:hAnsi="Times New Roman" w:eastAsia="仿宋_GB2312" w:cs="Times New Roman"/>
      <w:sz w:val="30"/>
      <w:szCs w:val="30"/>
    </w:rPr>
  </w:style>
  <w:style w:type="paragraph" w:customStyle="1" w:styleId="261">
    <w:name w:val="正文首行缩进 21"/>
    <w:basedOn w:val="225"/>
    <w:link w:val="262"/>
    <w:qFormat/>
    <w:uiPriority w:val="0"/>
    <w:pPr>
      <w:spacing w:after="0" w:line="360" w:lineRule="auto"/>
      <w:ind w:left="0" w:firstLine="420"/>
    </w:pPr>
    <w:rPr>
      <w:rFonts w:ascii="宋体" w:hAnsi="宋体" w:eastAsia="宋体" w:cs="Times New Roman"/>
      <w:szCs w:val="20"/>
    </w:rPr>
  </w:style>
  <w:style w:type="character" w:customStyle="1" w:styleId="262">
    <w:name w:val="正文首行缩进 2 Char"/>
    <w:link w:val="261"/>
    <w:qFormat/>
    <w:uiPriority w:val="0"/>
    <w:rPr>
      <w:rFonts w:ascii="宋体" w:hAnsi="宋体" w:eastAsia="宋体" w:cs="Times New Roman"/>
      <w:szCs w:val="20"/>
    </w:rPr>
  </w:style>
  <w:style w:type="table" w:customStyle="1" w:styleId="263">
    <w:name w:val="网格型1"/>
    <w:basedOn w:val="204"/>
    <w:qFormat/>
    <w:uiPriority w:val="0"/>
    <w:pPr>
      <w:widowControl w:val="0"/>
      <w:jc w:val="both"/>
    </w:pPr>
    <w:rPr>
      <w:rFonts w:ascii="Times New Roman" w:hAnsi="Times New Roman" w:eastAsia="宋体" w:cs="Times New Roman"/>
      <w:sz w:val="20"/>
      <w:szCs w:val="20"/>
    </w:rPr>
  </w:style>
  <w:style w:type="character" w:customStyle="1" w:styleId="264">
    <w:name w:val="要点1"/>
    <w:link w:val="1"/>
    <w:qFormat/>
    <w:uiPriority w:val="0"/>
    <w:rPr>
      <w:b/>
      <w:bCs/>
    </w:rPr>
  </w:style>
  <w:style w:type="character" w:customStyle="1" w:styleId="265">
    <w:name w:val="页码1"/>
    <w:link w:val="1"/>
    <w:qFormat/>
    <w:uiPriority w:val="0"/>
  </w:style>
  <w:style w:type="character" w:customStyle="1" w:styleId="266">
    <w:name w:val="已访问的超链接1"/>
    <w:link w:val="1"/>
    <w:qFormat/>
    <w:uiPriority w:val="0"/>
    <w:rPr>
      <w:color w:val="800080"/>
      <w:u w:val="single"/>
    </w:rPr>
  </w:style>
  <w:style w:type="character" w:customStyle="1" w:styleId="267">
    <w:name w:val="超链接1"/>
    <w:link w:val="1"/>
    <w:qFormat/>
    <w:uiPriority w:val="0"/>
    <w:rPr>
      <w:color w:val="0000FF"/>
      <w:u w:val="single"/>
    </w:rPr>
  </w:style>
  <w:style w:type="character" w:customStyle="1" w:styleId="268">
    <w:name w:val="批注引用1"/>
    <w:link w:val="1"/>
    <w:semiHidden/>
    <w:qFormat/>
    <w:uiPriority w:val="0"/>
    <w:rPr>
      <w:sz w:val="21"/>
      <w:szCs w:val="21"/>
    </w:rPr>
  </w:style>
  <w:style w:type="character" w:customStyle="1" w:styleId="269">
    <w:name w:val="font5 Char"/>
    <w:link w:val="1"/>
    <w:qFormat/>
    <w:uiPriority w:val="0"/>
    <w:rPr>
      <w:rFonts w:ascii="宋体" w:hAnsi="宋体" w:eastAsia="宋体"/>
      <w:sz w:val="28"/>
      <w:szCs w:val="28"/>
      <w:lang w:val="en-US" w:eastAsia="zh-CN" w:bidi="ar-SA"/>
    </w:rPr>
  </w:style>
  <w:style w:type="character" w:customStyle="1" w:styleId="270">
    <w:name w:val="二级目录 Char"/>
    <w:link w:val="271"/>
    <w:qFormat/>
    <w:uiPriority w:val="0"/>
    <w:rPr>
      <w:b/>
      <w:sz w:val="30"/>
      <w:szCs w:val="28"/>
    </w:rPr>
  </w:style>
  <w:style w:type="paragraph" w:customStyle="1" w:styleId="271">
    <w:name w:val="二级目录"/>
    <w:next w:val="1"/>
    <w:link w:val="270"/>
    <w:qFormat/>
    <w:uiPriority w:val="0"/>
    <w:pPr>
      <w:numPr>
        <w:ilvl w:val="0"/>
        <w:numId w:val="2"/>
      </w:numPr>
      <w:tabs>
        <w:tab w:val="left" w:pos="1145"/>
      </w:tabs>
      <w:outlineLvl w:val="1"/>
    </w:pPr>
    <w:rPr>
      <w:rFonts w:hint="default" w:ascii="Times New Roman" w:hAnsi="Times New Roman" w:eastAsia="宋体" w:cs="Times New Roman"/>
      <w:b/>
      <w:sz w:val="30"/>
      <w:szCs w:val="28"/>
      <w:lang w:val="en-US" w:eastAsia="zh-CN" w:bidi="ar-SA"/>
    </w:rPr>
  </w:style>
  <w:style w:type="character" w:customStyle="1" w:styleId="272">
    <w:name w:val="列出段落 Char"/>
    <w:link w:val="273"/>
    <w:qFormat/>
    <w:uiPriority w:val="0"/>
    <w:rPr>
      <w:rFonts w:ascii="Calibri" w:hAnsi="Calibri"/>
      <w:sz w:val="24"/>
      <w:szCs w:val="24"/>
      <w:lang w:eastAsia="en-US" w:bidi="en-US"/>
    </w:rPr>
  </w:style>
  <w:style w:type="paragraph" w:customStyle="1" w:styleId="273">
    <w:name w:val="列出段落1"/>
    <w:basedOn w:val="1"/>
    <w:link w:val="272"/>
    <w:qFormat/>
    <w:uiPriority w:val="0"/>
    <w:pPr>
      <w:widowControl/>
      <w:ind w:left="720"/>
      <w:contextualSpacing/>
      <w:jc w:val="left"/>
    </w:pPr>
    <w:rPr>
      <w:rFonts w:ascii="Calibri" w:hAnsi="Calibri"/>
      <w:sz w:val="24"/>
      <w:szCs w:val="24"/>
      <w:lang w:eastAsia="en-US" w:bidi="en-US"/>
    </w:rPr>
  </w:style>
  <w:style w:type="paragraph" w:customStyle="1" w:styleId="274">
    <w:name w:val="Body Text(ch)"/>
    <w:basedOn w:val="1"/>
    <w:next w:val="205"/>
    <w:qFormat/>
    <w:uiPriority w:val="0"/>
    <w:pPr>
      <w:spacing w:after="120"/>
    </w:pPr>
    <w:rPr>
      <w:rFonts w:ascii="宋体" w:hAnsi="Arial" w:eastAsia="宋体" w:cs="Times New Roman"/>
      <w:bCs/>
      <w:iCs/>
      <w:szCs w:val="24"/>
    </w:rPr>
  </w:style>
  <w:style w:type="paragraph" w:customStyle="1" w:styleId="275">
    <w:name w:val="xl27"/>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eastAsia="宋体" w:cs="Times New Roman"/>
      <w:sz w:val="24"/>
      <w:szCs w:val="24"/>
    </w:rPr>
  </w:style>
  <w:style w:type="paragraph" w:customStyle="1" w:styleId="276">
    <w:name w:val="xl2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eastAsia="宋体" w:cs="Times New Roman"/>
      <w:sz w:val="24"/>
      <w:szCs w:val="24"/>
    </w:rPr>
  </w:style>
  <w:style w:type="paragraph" w:customStyle="1" w:styleId="277">
    <w:name w:val="Char"/>
    <w:basedOn w:val="1"/>
    <w:qFormat/>
    <w:uiPriority w:val="0"/>
    <w:pPr>
      <w:tabs>
        <w:tab w:val="left" w:pos="360"/>
      </w:tabs>
      <w:ind w:firstLine="200"/>
    </w:pPr>
    <w:rPr>
      <w:rFonts w:ascii="Times New Roman" w:hAnsi="Times New Roman" w:eastAsia="宋体" w:cs="Times New Roman"/>
      <w:sz w:val="28"/>
      <w:szCs w:val="30"/>
    </w:rPr>
  </w:style>
  <w:style w:type="paragraph" w:customStyle="1" w:styleId="278">
    <w:name w:val=" Char"/>
    <w:basedOn w:val="219"/>
    <w:qFormat/>
    <w:uiPriority w:val="0"/>
    <w:rPr>
      <w:rFonts w:ascii="Tahoma" w:hAnsi="Tahoma"/>
      <w:sz w:val="24"/>
      <w:szCs w:val="24"/>
    </w:rPr>
  </w:style>
  <w:style w:type="paragraph" w:customStyle="1" w:styleId="279">
    <w:name w:val="普通正文"/>
    <w:basedOn w:val="1"/>
    <w:qFormat/>
    <w:uiPriority w:val="0"/>
    <w:pPr>
      <w:spacing w:before="120" w:after="120" w:line="360" w:lineRule="auto"/>
      <w:ind w:firstLine="480"/>
      <w:jc w:val="left"/>
    </w:pPr>
    <w:rPr>
      <w:rFonts w:ascii="Arial" w:hAnsi="Arial" w:eastAsia="宋体" w:cs="Times New Roman"/>
      <w:sz w:val="24"/>
      <w:szCs w:val="24"/>
    </w:rPr>
  </w:style>
  <w:style w:type="paragraph" w:customStyle="1" w:styleId="280">
    <w:name w:val="table_lines"/>
    <w:basedOn w:val="1"/>
    <w:qFormat/>
    <w:uiPriority w:val="0"/>
    <w:pPr>
      <w:widowControl/>
      <w:jc w:val="left"/>
    </w:pPr>
    <w:rPr>
      <w:rFonts w:ascii="Times New Roman" w:hAnsi="Times New Roman" w:eastAsia="宋体" w:cs="Times New Roman"/>
      <w:sz w:val="20"/>
      <w:szCs w:val="20"/>
      <w:lang w:val="de-DE" w:eastAsia="de-DE"/>
    </w:rPr>
  </w:style>
  <w:style w:type="paragraph" w:customStyle="1" w:styleId="281">
    <w:name w:val="附录1"/>
    <w:qFormat/>
    <w:uiPriority w:val="0"/>
    <w:pPr>
      <w:numPr>
        <w:ilvl w:val="0"/>
        <w:numId w:val="2"/>
      </w:numPr>
      <w:spacing w:before="240" w:line="600" w:lineRule="atLeast"/>
    </w:pPr>
    <w:rPr>
      <w:rFonts w:hint="default" w:ascii="Times New Roman" w:hAnsi="Times New Roman" w:eastAsia="宋体" w:cs="Times New Roman"/>
      <w:b/>
      <w:i/>
      <w:sz w:val="28"/>
      <w:lang w:val="en-US" w:eastAsia="zh-CN" w:bidi="ar-SA"/>
    </w:rPr>
  </w:style>
  <w:style w:type="paragraph" w:customStyle="1" w:styleId="282">
    <w:name w:val="font7"/>
    <w:basedOn w:val="1"/>
    <w:qFormat/>
    <w:uiPriority w:val="0"/>
    <w:pPr>
      <w:widowControl/>
      <w:spacing w:before="100" w:beforeAutospacing="1" w:after="100" w:afterAutospacing="1"/>
      <w:jc w:val="left"/>
    </w:pPr>
    <w:rPr>
      <w:rFonts w:hint="eastAsia" w:ascii="宋体" w:hAnsi="宋体" w:eastAsia="宋体" w:cs="Times New Roman"/>
      <w:sz w:val="18"/>
      <w:szCs w:val="18"/>
    </w:rPr>
  </w:style>
  <w:style w:type="paragraph" w:customStyle="1" w:styleId="283">
    <w:name w:val=" Char Char Char Char"/>
    <w:basedOn w:val="219"/>
    <w:qFormat/>
    <w:uiPriority w:val="0"/>
    <w:pPr>
      <w:spacing w:line="360" w:lineRule="auto"/>
    </w:pPr>
    <w:rPr>
      <w:rFonts w:ascii="Tahoma" w:hAnsi="Tahoma"/>
      <w:sz w:val="24"/>
      <w:szCs w:val="24"/>
    </w:rPr>
  </w:style>
  <w:style w:type="paragraph" w:customStyle="1" w:styleId="284">
    <w:name w:val="列出段落"/>
    <w:basedOn w:val="1"/>
    <w:qFormat/>
    <w:uiPriority w:val="0"/>
    <w:pPr>
      <w:widowControl/>
      <w:ind w:left="720"/>
      <w:contextualSpacing/>
      <w:jc w:val="left"/>
    </w:pPr>
    <w:rPr>
      <w:rFonts w:ascii="Calibri" w:hAnsi="Calibri" w:eastAsia="宋体" w:cs="Times New Roman"/>
      <w:sz w:val="24"/>
      <w:szCs w:val="24"/>
      <w:lang w:eastAsia="en-US" w:bidi="en-US"/>
    </w:rPr>
  </w:style>
  <w:style w:type="paragraph" w:customStyle="1" w:styleId="285">
    <w:name w:val="4"/>
    <w:basedOn w:val="1"/>
    <w:next w:val="248"/>
    <w:qFormat/>
    <w:uiPriority w:val="0"/>
    <w:pPr>
      <w:spacing w:line="360" w:lineRule="auto"/>
      <w:ind w:firstLine="420"/>
    </w:pPr>
    <w:rPr>
      <w:rFonts w:ascii="Times New Roman" w:hAnsi="Times New Roman" w:eastAsia="宋体" w:cs="Times New Roman"/>
      <w:color w:val="FF0000"/>
      <w:sz w:val="24"/>
      <w:szCs w:val="24"/>
    </w:rPr>
  </w:style>
  <w:style w:type="paragraph" w:customStyle="1" w:styleId="286">
    <w:name w:val="普通 (Web)"/>
    <w:basedOn w:val="1"/>
    <w:qFormat/>
    <w:uiPriority w:val="0"/>
    <w:pPr>
      <w:widowControl/>
      <w:spacing w:before="100" w:beforeAutospacing="1" w:after="100" w:afterAutospacing="1"/>
      <w:jc w:val="left"/>
    </w:pPr>
    <w:rPr>
      <w:rFonts w:ascii="宋体" w:hAnsi="宋体" w:eastAsia="宋体" w:cs="Times New Roman"/>
      <w:sz w:val="24"/>
      <w:szCs w:val="24"/>
    </w:rPr>
  </w:style>
  <w:style w:type="paragraph" w:customStyle="1" w:styleId="287">
    <w:name w:val=" Char Char Char Char Char Char Char Char Char Char"/>
    <w:basedOn w:val="1"/>
    <w:qFormat/>
    <w:uiPriority w:val="0"/>
    <w:pPr>
      <w:spacing w:line="360" w:lineRule="auto"/>
    </w:pPr>
    <w:rPr>
      <w:rFonts w:ascii="Times New Roman" w:hAnsi="Times New Roman" w:eastAsia="宋体" w:cs="Times New Roman"/>
      <w:sz w:val="24"/>
      <w:szCs w:val="20"/>
    </w:rPr>
  </w:style>
  <w:style w:type="paragraph" w:customStyle="1" w:styleId="288">
    <w:name w:val="样式1"/>
    <w:basedOn w:val="1"/>
    <w:qFormat/>
    <w:uiPriority w:val="0"/>
    <w:pPr>
      <w:numPr>
        <w:ilvl w:val="0"/>
        <w:numId w:val="3"/>
      </w:numPr>
    </w:pPr>
    <w:rPr>
      <w:rFonts w:ascii="宋体" w:hAnsi="宋体" w:eastAsia="宋体" w:cs="Times New Roman"/>
      <w:szCs w:val="21"/>
    </w:rPr>
  </w:style>
  <w:style w:type="paragraph" w:customStyle="1" w:styleId="289">
    <w:name w:val="font6"/>
    <w:basedOn w:val="1"/>
    <w:qFormat/>
    <w:uiPriority w:val="0"/>
    <w:pPr>
      <w:widowControl/>
      <w:spacing w:before="100" w:beforeAutospacing="1" w:after="100" w:afterAutospacing="1"/>
      <w:jc w:val="left"/>
    </w:pPr>
    <w:rPr>
      <w:rFonts w:hint="eastAsia" w:ascii="宋体" w:hAnsi="宋体" w:eastAsia="宋体" w:cs="Times New Roman"/>
      <w:sz w:val="28"/>
      <w:szCs w:val="28"/>
      <w:u w:val="single"/>
    </w:rPr>
  </w:style>
  <w:style w:type="paragraph" w:customStyle="1" w:styleId="290">
    <w:name w:val="xl25"/>
    <w:basedOn w:val="1"/>
    <w:qFormat/>
    <w:uiPriority w:val="0"/>
    <w:pPr>
      <w:widowControl/>
      <w:spacing w:before="100" w:beforeAutospacing="1" w:after="100" w:afterAutospacing="1"/>
      <w:jc w:val="center"/>
    </w:pPr>
    <w:rPr>
      <w:rFonts w:ascii="Arial Unicode MS" w:hAnsi="Arial Unicode MS" w:eastAsia="Arial Unicode MS" w:cs="Arial Unicode MS"/>
      <w:sz w:val="24"/>
      <w:szCs w:val="24"/>
    </w:rPr>
  </w:style>
  <w:style w:type="paragraph" w:customStyle="1" w:styleId="291">
    <w:name w:val="图标"/>
    <w:basedOn w:val="1"/>
    <w:next w:val="1"/>
    <w:qFormat/>
    <w:uiPriority w:val="0"/>
    <w:pPr>
      <w:tabs>
        <w:tab w:val="left" w:pos="567"/>
        <w:tab w:val="left" w:pos="840"/>
      </w:tabs>
      <w:spacing w:before="120" w:after="120" w:line="320" w:lineRule="atLeast"/>
      <w:ind w:left="840" w:hanging="420"/>
      <w:jc w:val="center"/>
    </w:pPr>
    <w:rPr>
      <w:rFonts w:ascii="Times New Roman" w:hAnsi="Times New Roman" w:eastAsia="仿宋_GB2312" w:cs="Times New Roman"/>
      <w:sz w:val="24"/>
      <w:szCs w:val="20"/>
    </w:rPr>
  </w:style>
  <w:style w:type="paragraph" w:customStyle="1" w:styleId="292">
    <w:name w:val="标题3"/>
    <w:basedOn w:val="1"/>
    <w:next w:val="1"/>
    <w:qFormat/>
    <w:uiPriority w:val="0"/>
    <w:pPr>
      <w:spacing w:line="590" w:lineRule="atLeast"/>
      <w:ind w:firstLine="624"/>
    </w:pPr>
    <w:rPr>
      <w:rFonts w:ascii="方正黑体_GBK" w:hAnsi="Times New Roman" w:eastAsia="方正黑体_GBK" w:cs="Times New Roman"/>
      <w:sz w:val="32"/>
      <w:szCs w:val="32"/>
    </w:rPr>
  </w:style>
  <w:style w:type="paragraph" w:customStyle="1" w:styleId="293">
    <w:name w:val="xl24"/>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eastAsia="宋体" w:cs="Times New Roman"/>
      <w:sz w:val="24"/>
      <w:szCs w:val="24"/>
    </w:rPr>
  </w:style>
  <w:style w:type="paragraph" w:customStyle="1" w:styleId="294">
    <w:name w:val="xl29"/>
    <w:basedOn w:val="1"/>
    <w:qFormat/>
    <w:uiPriority w:val="0"/>
    <w:pPr>
      <w:widowControl/>
      <w:pBdr>
        <w:left w:val="single" w:color="000000" w:sz="4" w:space="0"/>
        <w:bottom w:val="single" w:color="000000" w:sz="4" w:space="0"/>
      </w:pBdr>
      <w:spacing w:before="100" w:beforeAutospacing="1" w:after="100" w:afterAutospacing="1"/>
      <w:jc w:val="left"/>
    </w:pPr>
    <w:rPr>
      <w:rFonts w:ascii="宋体" w:hAnsi="宋体" w:eastAsia="宋体" w:cs="Times New Roman"/>
      <w:sz w:val="24"/>
      <w:szCs w:val="24"/>
    </w:rPr>
  </w:style>
  <w:style w:type="paragraph" w:customStyle="1" w:styleId="295">
    <w:name w:val="Char Char Char Char Char Char Char Char"/>
    <w:basedOn w:val="1"/>
    <w:qFormat/>
    <w:uiPriority w:val="0"/>
    <w:pPr>
      <w:widowControl/>
      <w:spacing w:after="160" w:line="240" w:lineRule="exact"/>
      <w:jc w:val="left"/>
    </w:pPr>
    <w:rPr>
      <w:rFonts w:ascii="Verdana" w:hAnsi="Verdana" w:eastAsia="宋体" w:cs="Times New Roman"/>
      <w:sz w:val="20"/>
      <w:szCs w:val="20"/>
      <w:lang w:eastAsia="en-US"/>
    </w:rPr>
  </w:style>
  <w:style w:type="paragraph" w:customStyle="1" w:styleId="296">
    <w:name w:val="xl28"/>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left"/>
    </w:pPr>
    <w:rPr>
      <w:rFonts w:ascii="宋体" w:hAnsi="宋体" w:eastAsia="宋体" w:cs="Times New Roman"/>
      <w:sz w:val="24"/>
      <w:szCs w:val="24"/>
    </w:rPr>
  </w:style>
  <w:style w:type="paragraph" w:customStyle="1" w:styleId="297">
    <w:name w:val=" Char Char Char Char Char Char Char Char"/>
    <w:basedOn w:val="1"/>
    <w:qFormat/>
    <w:uiPriority w:val="0"/>
    <w:pPr>
      <w:widowControl/>
      <w:spacing w:after="160" w:line="240" w:lineRule="exact"/>
      <w:jc w:val="left"/>
    </w:pPr>
    <w:rPr>
      <w:rFonts w:ascii="Verdana" w:hAnsi="Verdana" w:eastAsia="宋体" w:cs="Times New Roman"/>
      <w:sz w:val="20"/>
      <w:szCs w:val="20"/>
      <w:lang w:eastAsia="en-US"/>
    </w:rPr>
  </w:style>
  <w:style w:type="paragraph" w:customStyle="1" w:styleId="298">
    <w:name w:val="xl30"/>
    <w:basedOn w:val="1"/>
    <w:qFormat/>
    <w:uiPriority w:val="0"/>
    <w:pPr>
      <w:widowControl/>
      <w:spacing w:before="100" w:beforeAutospacing="1" w:after="100" w:afterAutospacing="1"/>
      <w:jc w:val="center"/>
    </w:pPr>
    <w:rPr>
      <w:rFonts w:ascii="宋体" w:hAnsi="宋体" w:eastAsia="宋体" w:cs="Times New Roman"/>
      <w:b/>
      <w:bCs/>
      <w:sz w:val="36"/>
      <w:szCs w:val="36"/>
    </w:rPr>
  </w:style>
  <w:style w:type="paragraph" w:customStyle="1" w:styleId="299">
    <w:name w:val="Char Char Char Char"/>
    <w:basedOn w:val="219"/>
    <w:qFormat/>
    <w:uiPriority w:val="0"/>
    <w:pPr>
      <w:spacing w:line="360" w:lineRule="auto"/>
    </w:pPr>
    <w:rPr>
      <w:rFonts w:ascii="Tahoma" w:hAnsi="Tahoma"/>
      <w:sz w:val="24"/>
      <w:szCs w:val="24"/>
    </w:rPr>
  </w:style>
  <w:style w:type="paragraph" w:customStyle="1" w:styleId="300">
    <w:name w:val="table_1stline"/>
    <w:basedOn w:val="1"/>
    <w:qFormat/>
    <w:uiPriority w:val="0"/>
    <w:pPr>
      <w:widowControl/>
      <w:spacing w:before="120"/>
      <w:jc w:val="left"/>
    </w:pPr>
    <w:rPr>
      <w:rFonts w:ascii="Times New Roman" w:hAnsi="Times New Roman" w:eastAsia="宋体" w:cs="Times New Roman"/>
      <w:bCs/>
      <w:sz w:val="20"/>
      <w:szCs w:val="20"/>
      <w:lang w:val="de-DE" w:eastAsia="de-DE"/>
    </w:rPr>
  </w:style>
  <w:style w:type="paragraph" w:customStyle="1" w:styleId="301">
    <w:name w:val="font5"/>
    <w:basedOn w:val="1"/>
    <w:qFormat/>
    <w:uiPriority w:val="0"/>
    <w:pPr>
      <w:widowControl/>
      <w:spacing w:before="100" w:beforeAutospacing="1" w:after="100" w:afterAutospacing="1"/>
      <w:jc w:val="left"/>
    </w:pPr>
    <w:rPr>
      <w:rFonts w:hint="eastAsia" w:ascii="宋体" w:hAnsi="宋体" w:eastAsia="宋体" w:cs="Times New Roman"/>
      <w:sz w:val="28"/>
      <w:szCs w:val="28"/>
    </w:rPr>
  </w:style>
  <w:style w:type="paragraph" w:customStyle="1" w:styleId="302">
    <w:name w:val="标题1"/>
    <w:basedOn w:val="1"/>
    <w:next w:val="1"/>
    <w:qFormat/>
    <w:uiPriority w:val="0"/>
    <w:pPr>
      <w:tabs>
        <w:tab w:val="left" w:pos="9193"/>
        <w:tab w:val="left" w:pos="9827"/>
      </w:tabs>
      <w:spacing w:line="700" w:lineRule="atLeast"/>
      <w:jc w:val="center"/>
    </w:pPr>
    <w:rPr>
      <w:rFonts w:ascii="方正小标宋_GBK" w:hAnsi="Times New Roman" w:eastAsia="方正小标宋_GBK" w:cs="Times New Roman"/>
      <w:sz w:val="44"/>
      <w:szCs w:val="20"/>
    </w:rPr>
  </w:style>
  <w:style w:type="paragraph" w:customStyle="1" w:styleId="303">
    <w:name w:val="修订"/>
    <w:semiHidden/>
    <w:qFormat/>
    <w:uiPriority w:val="99"/>
    <w:rPr>
      <w:rFonts w:hint="default" w:ascii="Times New Roman" w:hAnsi="Times New Roman" w:eastAsia="宋体" w:cs="Times New Roman"/>
      <w:sz w:val="21"/>
      <w:szCs w:val="21"/>
      <w:lang w:val="en-US" w:eastAsia="zh-CN" w:bidi="ar-SA"/>
    </w:rPr>
  </w:style>
  <w:style w:type="paragraph" w:customStyle="1" w:styleId="304">
    <w:name w:val="无间隔"/>
    <w:qFormat/>
    <w:uiPriority w:val="99"/>
    <w:pPr>
      <w:widowControl w:val="0"/>
      <w:jc w:val="both"/>
    </w:pPr>
    <w:rPr>
      <w:rFonts w:hint="default" w:ascii="Times New Roman" w:hAnsi="Times New Roman" w:eastAsia="宋体" w:cs="Times New Roman"/>
      <w:sz w:val="21"/>
      <w:szCs w:val="21"/>
      <w:lang w:val="en-US" w:eastAsia="zh-CN" w:bidi="ar-SA"/>
    </w:rPr>
  </w:style>
  <w:style w:type="paragraph" w:customStyle="1" w:styleId="305">
    <w:name w:val="正文文本1"/>
    <w:basedOn w:val="1"/>
    <w:next w:val="1"/>
    <w:qFormat/>
    <w:uiPriority w:val="0"/>
    <w:rPr>
      <w:rFonts w:ascii="仿宋_GB2312" w:eastAsia="仿宋_GB2312"/>
      <w:sz w:val="24"/>
      <w:szCs w:val="20"/>
    </w:rPr>
  </w:style>
  <w:style w:type="paragraph" w:customStyle="1" w:styleId="306">
    <w:name w:val="正文缩进2格"/>
    <w:basedOn w:val="1"/>
    <w:unhideWhenUsed/>
    <w:qFormat/>
    <w:uiPriority w:val="0"/>
    <w:pPr>
      <w:spacing w:line="600" w:lineRule="exact"/>
      <w:ind w:firstLine="639"/>
    </w:pPr>
    <w:rPr>
      <w:rFonts w:hint="eastAsia" w:ascii="仿宋_GB2312" w:hAnsi="宋体" w:eastAsia="仿宋_GB2312"/>
      <w:sz w:val="31"/>
      <w:szCs w:val="24"/>
    </w:rPr>
  </w:style>
  <w:style w:type="character" w:customStyle="1" w:styleId="307">
    <w:name w:val="Variable"/>
    <w:link w:val="1"/>
    <w:qFormat/>
    <w:uiPriority w:val="0"/>
    <w:rPr>
      <w:i/>
    </w:rPr>
  </w:style>
  <w:style w:type="character" w:customStyle="1" w:styleId="308">
    <w:name w:val="fontstyle11"/>
    <w:qFormat/>
    <w:uiPriority w:val="0"/>
    <w:rPr>
      <w:rFonts w:hint="eastAsia" w:ascii="宋体" w:hAnsi="宋体" w:eastAsia="宋体"/>
      <w:color w:val="000000"/>
      <w:sz w:val="22"/>
      <w:szCs w:val="22"/>
    </w:rPr>
  </w:style>
  <w:style w:type="character" w:customStyle="1" w:styleId="309">
    <w:name w:val="fontstyle01"/>
    <w:qFormat/>
    <w:uiPriority w:val="0"/>
    <w:rPr>
      <w:rFonts w:hint="default" w:ascii="Calibri-Bold" w:hAnsi="Calibri-Bold"/>
      <w:b/>
      <w:bCs/>
      <w:color w:val="000000"/>
      <w:sz w:val="22"/>
      <w:szCs w:val="22"/>
    </w:rPr>
  </w:style>
  <w:style w:type="paragraph" w:customStyle="1" w:styleId="310">
    <w:name w:val="正文_1_0"/>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311">
    <w:name w:val="正文_0_0"/>
    <w:qFormat/>
    <w:uiPriority w:val="0"/>
    <w:pPr>
      <w:widowControl w:val="0"/>
      <w:jc w:val="both"/>
    </w:pPr>
    <w:rPr>
      <w:rFonts w:hint="default" w:ascii="Times New Roman" w:hAnsi="Times New Roman" w:eastAsia="宋体" w:cs="Times New Roman"/>
      <w:sz w:val="21"/>
      <w:szCs w:val="24"/>
      <w:lang w:val="en-US" w:eastAsia="zh-CN" w:bidi="ar-SA"/>
    </w:rPr>
  </w:style>
  <w:style w:type="character" w:customStyle="1" w:styleId="312">
    <w:name w:val="active16"/>
    <w:basedOn w:val="37"/>
    <w:qFormat/>
    <w:uiPriority w:val="0"/>
    <w:rPr>
      <w:color w:val="FFFFFF"/>
      <w:shd w:val="clear" w:color="auto" w:fill="0F5BB9"/>
    </w:rPr>
  </w:style>
  <w:style w:type="paragraph" w:customStyle="1" w:styleId="313">
    <w:name w:val="sh4"/>
    <w:basedOn w:val="1"/>
    <w:qFormat/>
    <w:uiPriority w:val="0"/>
    <w:pPr>
      <w:spacing w:line="460" w:lineRule="exact"/>
      <w:ind w:firstLine="420"/>
    </w:pPr>
    <w:rPr>
      <w:rFonts w:ascii="宋体" w:hAnsi="宋体"/>
      <w:sz w:val="21"/>
      <w:szCs w:val="21"/>
    </w:rPr>
  </w:style>
  <w:style w:type="character" w:customStyle="1" w:styleId="314">
    <w:name w:val="NormalCharacter"/>
    <w:semiHidden/>
    <w:qFormat/>
    <w:uiPriority w:val="99"/>
  </w:style>
  <w:style w:type="paragraph" w:customStyle="1" w:styleId="315">
    <w:name w:val="正文缩进111"/>
    <w:basedOn w:val="1"/>
    <w:next w:val="1"/>
    <w:qFormat/>
    <w:uiPriority w:val="0"/>
    <w:pPr>
      <w:ind w:firstLine="420"/>
    </w:pPr>
    <w:rPr>
      <w:szCs w:val="21"/>
    </w:rPr>
  </w:style>
  <w:style w:type="paragraph" w:customStyle="1" w:styleId="316">
    <w:name w:val="首行缩进"/>
    <w:qFormat/>
    <w:uiPriority w:val="0"/>
    <w:pPr>
      <w:widowControl w:val="0"/>
      <w:ind w:firstLine="480"/>
      <w:jc w:val="both"/>
    </w:pPr>
    <w:rPr>
      <w:rFonts w:hint="default" w:ascii="Times New Roman" w:hAnsi="Times New Roman" w:eastAsia="宋体" w:cs="Times New Roman"/>
      <w:sz w:val="21"/>
      <w:lang w:val="zh-CN"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1.wmf"/><Relationship Id="rId12" Type="http://schemas.openxmlformats.org/officeDocument/2006/relationships/theme" Target="theme/theme1.xml"/><Relationship Id="rId11" Type="http://schemas.openxmlformats.org/officeDocument/2006/relationships/footer" Target="footer8.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solidFill>
          <a:srgbClr val="FFFFFF"/>
        </a:solidFill>
        <a:solidFill>
          <a:srgbClr val="FFFFFF"/>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Template>
  <Company>Micro</Company>
  <Pages>88</Pages>
  <Words>245</Words>
  <Characters>301</Characters>
  <TotalTime>2</TotalTime>
  <ScaleCrop>false</ScaleCrop>
  <LinksUpToDate>false</LinksUpToDate>
  <CharactersWithSpaces>348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2023-03-27T07:28:00Z</dcterms:created>
  <dc:creator>赵国</dc:creator>
  <cp:lastModifiedBy>Administrator</cp:lastModifiedBy>
  <cp:lastPrinted>2026-01-23T06:51:00Z</cp:lastPrinted>
  <dcterms:modified xsi:type="dcterms:W3CDTF">2026-10-23T08:49:29Z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968F5DE59D414A92B209BC528AD901BC_13</vt:lpwstr>
  </property>
  <property fmtid="{D5CDD505-2E9C-101B-9397-08002B2CF9AE}" pid="4" name="KSOTemplateDocerSaveRecord">
    <vt:lpwstr>eyJoZGlkIjoiZTVlZjgyMTA5ZWI4MDZkMDU4ZjljYjE1OGRiMTE5ODQiLCJ1c2VySWQiOiIxMDE5Nzk0ODc0In0=</vt:lpwstr>
  </property>
</Properties>
</file>