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0E52DA">
      <w:pPr>
        <w:pStyle w:val="333"/>
        <w:ind w:firstLine="0"/>
        <w:rPr>
          <w:rFonts w:eastAsia="黑体"/>
          <w:b/>
          <w:bCs/>
          <w:color w:val="auto"/>
          <w:sz w:val="84"/>
          <w:highlight w:val="none"/>
        </w:rPr>
      </w:pPr>
    </w:p>
    <w:p w14:paraId="71E126FB">
      <w:pPr>
        <w:pStyle w:val="333"/>
        <w:ind w:firstLine="0"/>
        <w:jc w:val="center"/>
        <w:rPr>
          <w:rFonts w:eastAsia="黑体"/>
          <w:b/>
          <w:bCs/>
          <w:color w:val="auto"/>
          <w:sz w:val="84"/>
          <w:highlight w:val="none"/>
        </w:rPr>
      </w:pPr>
      <w:r>
        <w:rPr>
          <w:rFonts w:hint="eastAsia" w:eastAsia="黑体"/>
          <w:b/>
          <w:bCs/>
          <w:color w:val="auto"/>
          <w:sz w:val="84"/>
          <w:highlight w:val="none"/>
        </w:rPr>
        <w:t>招　标　文　件</w:t>
      </w:r>
    </w:p>
    <w:p w14:paraId="7EA1DAA0">
      <w:pPr>
        <w:pStyle w:val="333"/>
        <w:ind w:firstLine="2249"/>
        <w:rPr>
          <w:b/>
          <w:bCs/>
          <w:color w:val="auto"/>
          <w:sz w:val="32"/>
          <w:highlight w:val="none"/>
        </w:rPr>
      </w:pPr>
    </w:p>
    <w:p w14:paraId="008F78B4">
      <w:pPr>
        <w:pStyle w:val="333"/>
        <w:ind w:firstLine="2249"/>
        <w:rPr>
          <w:b/>
          <w:bCs/>
          <w:color w:val="auto"/>
          <w:spacing w:val="-20"/>
          <w:sz w:val="32"/>
          <w:highlight w:val="none"/>
        </w:rPr>
      </w:pPr>
    </w:p>
    <w:p w14:paraId="198FB871">
      <w:pPr>
        <w:pStyle w:val="333"/>
        <w:ind w:left="0" w:firstLine="643"/>
        <w:rPr>
          <w:rFonts w:hint="default" w:eastAsia="宋体" w:cs="Times New Roman"/>
          <w:b/>
          <w:bCs/>
          <w:color w:val="auto"/>
          <w:spacing w:val="0"/>
          <w:sz w:val="32"/>
          <w:highlight w:val="none"/>
          <w:lang w:val="en-US" w:eastAsia="zh-CN"/>
        </w:rPr>
      </w:pPr>
      <w:bookmarkStart w:id="90" w:name="_GoBack"/>
      <w:r>
        <w:rPr>
          <w:rFonts w:hint="eastAsia"/>
          <w:b/>
          <w:bCs/>
          <w:color w:val="auto"/>
          <w:spacing w:val="0"/>
          <w:sz w:val="32"/>
          <w:highlight w:val="none"/>
        </w:rPr>
        <w:t>项目名称：</w:t>
      </w:r>
      <w:r>
        <w:rPr>
          <w:rFonts w:hint="eastAsia"/>
          <w:b/>
          <w:bCs/>
          <w:color w:val="auto"/>
          <w:spacing w:val="0"/>
          <w:sz w:val="32"/>
          <w:highlight w:val="none"/>
          <w:lang w:val="en-US" w:eastAsia="zh-CN"/>
        </w:rPr>
        <w:t>扬州市妇幼保健院辅医与物流服务项目</w:t>
      </w:r>
    </w:p>
    <w:p w14:paraId="6DA7A07F">
      <w:pPr>
        <w:pStyle w:val="333"/>
        <w:ind w:left="0" w:firstLine="643"/>
        <w:rPr>
          <w:rFonts w:hint="eastAsia" w:cs="Times New Roman"/>
          <w:b/>
          <w:bCs/>
          <w:color w:val="auto"/>
          <w:spacing w:val="0"/>
          <w:sz w:val="32"/>
          <w:highlight w:val="none"/>
          <w:lang w:val="en-US" w:eastAsia="zh-CN"/>
        </w:rPr>
      </w:pPr>
      <w:r>
        <w:rPr>
          <w:rFonts w:hint="eastAsia" w:ascii="宋体" w:hAnsi="宋体" w:eastAsia="宋体" w:cs="宋体"/>
          <w:b/>
          <w:bCs/>
          <w:color w:val="auto"/>
          <w:spacing w:val="0"/>
          <w:sz w:val="32"/>
          <w:highlight w:val="none"/>
          <w:lang w:val="en-US" w:eastAsia="zh-CN"/>
        </w:rPr>
        <w:t>项目编号：JSZC-321000-JITC-G2026-0331</w:t>
      </w:r>
    </w:p>
    <w:p w14:paraId="20D6DCF2">
      <w:pPr>
        <w:pStyle w:val="333"/>
        <w:spacing w:before="0" w:after="0"/>
        <w:ind w:firstLine="0"/>
        <w:rPr>
          <w:rFonts w:ascii="宋体" w:hAnsi="宋体"/>
          <w:color w:val="auto"/>
          <w:highlight w:val="none"/>
        </w:rPr>
      </w:pPr>
    </w:p>
    <w:p w14:paraId="1EADEF77">
      <w:pPr>
        <w:pStyle w:val="333"/>
        <w:spacing w:before="0" w:after="0"/>
        <w:ind w:firstLine="0"/>
        <w:rPr>
          <w:rFonts w:ascii="宋体" w:hAnsi="宋体"/>
          <w:color w:val="auto"/>
          <w:highlight w:val="none"/>
        </w:rPr>
      </w:pPr>
    </w:p>
    <w:p w14:paraId="0392D7A6">
      <w:pPr>
        <w:pStyle w:val="333"/>
        <w:spacing w:before="0" w:after="0"/>
        <w:ind w:firstLine="0"/>
        <w:rPr>
          <w:rFonts w:ascii="宋体" w:hAnsi="宋体"/>
          <w:color w:val="auto"/>
          <w:highlight w:val="none"/>
        </w:rPr>
      </w:pPr>
    </w:p>
    <w:p w14:paraId="2550089D">
      <w:pPr>
        <w:pStyle w:val="333"/>
        <w:spacing w:before="0" w:after="0"/>
        <w:ind w:firstLine="0"/>
        <w:rPr>
          <w:rFonts w:ascii="宋体" w:hAnsi="宋体"/>
          <w:color w:val="auto"/>
          <w:highlight w:val="none"/>
        </w:rPr>
      </w:pPr>
    </w:p>
    <w:p w14:paraId="470CE81E">
      <w:pPr>
        <w:pStyle w:val="333"/>
        <w:spacing w:before="0" w:after="0"/>
        <w:ind w:firstLine="0"/>
        <w:rPr>
          <w:rFonts w:ascii="宋体" w:hAnsi="宋体"/>
          <w:color w:val="auto"/>
          <w:highlight w:val="none"/>
        </w:rPr>
      </w:pPr>
    </w:p>
    <w:p w14:paraId="610A6233">
      <w:pPr>
        <w:pStyle w:val="333"/>
        <w:ind w:firstLine="0"/>
        <w:jc w:val="center"/>
        <w:rPr>
          <w:rFonts w:hint="eastAsia" w:eastAsia="宋体"/>
          <w:b/>
          <w:bCs/>
          <w:color w:val="auto"/>
          <w:sz w:val="32"/>
          <w:highlight w:val="none"/>
          <w:lang w:eastAsia="zh-CN"/>
        </w:rPr>
      </w:pPr>
      <w:r>
        <w:rPr>
          <w:rFonts w:hint="eastAsia"/>
          <w:b/>
          <w:bCs/>
          <w:color w:val="auto"/>
          <w:sz w:val="32"/>
          <w:highlight w:val="none"/>
          <w:lang w:val="en-US" w:eastAsia="zh-CN"/>
        </w:rPr>
        <w:t>江苏省招标中心有限公司</w:t>
      </w:r>
    </w:p>
    <w:p w14:paraId="669C3845">
      <w:pPr>
        <w:pStyle w:val="333"/>
        <w:ind w:firstLine="0"/>
        <w:jc w:val="center"/>
        <w:rPr>
          <w:b/>
          <w:bCs/>
          <w:color w:val="auto"/>
          <w:sz w:val="32"/>
          <w:highlight w:val="none"/>
        </w:rPr>
      </w:pPr>
      <w:r>
        <w:rPr>
          <w:rFonts w:hint="eastAsia"/>
          <w:b/>
          <w:bCs/>
          <w:color w:val="auto"/>
          <w:sz w:val="32"/>
          <w:highlight w:val="none"/>
          <w:lang w:val="en-US" w:eastAsia="zh-CN"/>
        </w:rPr>
        <w:t>2026</w:t>
      </w:r>
      <w:r>
        <w:rPr>
          <w:rFonts w:hint="eastAsia"/>
          <w:b/>
          <w:bCs/>
          <w:color w:val="auto"/>
          <w:sz w:val="32"/>
          <w:highlight w:val="none"/>
        </w:rPr>
        <w:t>年</w:t>
      </w:r>
      <w:r>
        <w:rPr>
          <w:rFonts w:hint="eastAsia"/>
          <w:b/>
          <w:bCs/>
          <w:color w:val="auto"/>
          <w:sz w:val="32"/>
          <w:highlight w:val="none"/>
          <w:lang w:val="en-US" w:eastAsia="zh-CN"/>
        </w:rPr>
        <w:t>9</w:t>
      </w:r>
      <w:r>
        <w:rPr>
          <w:rFonts w:hint="eastAsia"/>
          <w:b/>
          <w:bCs/>
          <w:color w:val="auto"/>
          <w:sz w:val="32"/>
          <w:highlight w:val="none"/>
        </w:rPr>
        <w:t>月</w:t>
      </w:r>
    </w:p>
    <w:bookmarkEnd w:id="90"/>
    <w:p w14:paraId="70715040">
      <w:pPr>
        <w:pStyle w:val="333"/>
        <w:ind w:firstLine="0"/>
        <w:rPr>
          <w:color w:val="auto"/>
          <w:highlight w:val="none"/>
          <w:u w:val="single"/>
        </w:rPr>
      </w:pPr>
      <w:r>
        <w:rPr>
          <w:rFonts w:hint="eastAsia"/>
          <w:color w:val="auto"/>
          <w:highlight w:val="none"/>
        </w:rPr>
        <w:t xml:space="preserve">                        </w:t>
      </w:r>
    </w:p>
    <w:p w14:paraId="588E784F">
      <w:pPr>
        <w:pStyle w:val="333"/>
        <w:ind w:firstLine="0"/>
        <w:jc w:val="center"/>
        <w:rPr>
          <w:color w:val="auto"/>
          <w:highlight w:val="none"/>
        </w:rPr>
      </w:pPr>
    </w:p>
    <w:p w14:paraId="41D7098C">
      <w:pPr>
        <w:rPr>
          <w:color w:val="auto"/>
        </w:rPr>
      </w:pPr>
    </w:p>
    <w:p w14:paraId="1842B370">
      <w:pPr>
        <w:spacing w:line="480" w:lineRule="auto"/>
        <w:jc w:val="center"/>
        <w:outlineLvl w:val="9"/>
        <w:rPr>
          <w:color w:val="auto"/>
          <w:highlight w:val="none"/>
        </w:rPr>
      </w:pPr>
      <w:r>
        <w:rPr>
          <w:color w:val="auto"/>
          <w:highlight w:val="none"/>
        </w:rPr>
        <w:br w:type="page" w:clear="all"/>
      </w:r>
      <w:bookmarkStart w:id="0" w:name="_Toc120614210"/>
      <w:bookmarkStart w:id="1" w:name="_Toc479757206"/>
      <w:bookmarkStart w:id="2" w:name="_Toc523127445"/>
      <w:bookmarkStart w:id="3" w:name="_Toc16938516"/>
      <w:bookmarkStart w:id="4" w:name="_Toc513029200"/>
      <w:bookmarkStart w:id="5" w:name="_Toc20823272"/>
    </w:p>
    <w:sdt>
      <w:sdtPr>
        <w:rPr>
          <w:rFonts w:hint="default" w:ascii="宋体" w:hAnsi="宋体" w:eastAsia="宋体" w:cs="Times New Roman"/>
          <w:color w:val="auto"/>
          <w:sz w:val="21"/>
          <w:szCs w:val="21"/>
          <w:lang w:val="en-US" w:eastAsia="zh-CN" w:bidi="ar-SA"/>
        </w:rPr>
        <w:id w:val="147464013"/>
        <w15:color w:val="DBDBDB"/>
        <w:docPartObj>
          <w:docPartGallery w:val="Table of Contents"/>
          <w:docPartUnique/>
        </w:docPartObj>
      </w:sdtPr>
      <w:sdtEndPr>
        <w:rPr>
          <w:rFonts w:hint="default" w:ascii="宋体" w:hAnsi="宋体" w:eastAsia="宋体" w:cs="Times New Roman"/>
          <w:color w:val="auto"/>
          <w:sz w:val="21"/>
          <w:szCs w:val="21"/>
          <w:lang w:val="en-US" w:eastAsia="zh-CN" w:bidi="ar-SA"/>
        </w:rPr>
      </w:sdtEndPr>
      <w:sdtContent>
        <w:p w14:paraId="351395DD">
          <w:pPr>
            <w:spacing w:before="0" w:beforeLines="0" w:after="0" w:afterLines="0" w:line="240" w:lineRule="auto"/>
            <w:ind w:left="0" w:leftChars="0" w:right="0" w:rightChars="0" w:firstLine="0" w:firstLineChars="0"/>
            <w:jc w:val="center"/>
            <w:rPr>
              <w:rFonts w:hint="eastAsia" w:ascii="宋体" w:hAnsi="宋体" w:eastAsia="宋体" w:cs="宋体"/>
              <w:color w:val="auto"/>
              <w:sz w:val="30"/>
              <w:szCs w:val="30"/>
            </w:rPr>
          </w:pPr>
          <w:r>
            <w:rPr>
              <w:rFonts w:hint="eastAsia" w:ascii="宋体" w:hAnsi="宋体" w:eastAsia="宋体" w:cs="宋体"/>
              <w:b/>
              <w:bCs/>
              <w:color w:val="auto"/>
              <w:sz w:val="44"/>
              <w:szCs w:val="44"/>
            </w:rPr>
            <w:t>目录</w:t>
          </w:r>
        </w:p>
        <w:p w14:paraId="50AF145D">
          <w:pPr>
            <w:pStyle w:val="27"/>
            <w:tabs>
              <w:tab w:val="right" w:leader="dot" w:pos="8306"/>
            </w:tabs>
            <w:rPr>
              <w:rFonts w:hint="eastAsia" w:ascii="宋体" w:hAnsi="宋体" w:eastAsia="宋体" w:cs="宋体"/>
              <w:sz w:val="30"/>
              <w:szCs w:val="30"/>
            </w:rPr>
          </w:pPr>
          <w:r>
            <w:rPr>
              <w:rFonts w:hint="eastAsia" w:ascii="宋体" w:hAnsi="宋体" w:eastAsia="宋体" w:cs="宋体"/>
              <w:color w:val="auto"/>
              <w:sz w:val="30"/>
              <w:szCs w:val="30"/>
            </w:rPr>
            <w:fldChar w:fldCharType="begin"/>
          </w:r>
          <w:r>
            <w:rPr>
              <w:rFonts w:hint="eastAsia" w:ascii="宋体" w:hAnsi="宋体" w:eastAsia="宋体" w:cs="宋体"/>
              <w:color w:val="auto"/>
              <w:sz w:val="30"/>
              <w:szCs w:val="30"/>
            </w:rPr>
            <w:instrText xml:space="preserve">TOC \o "1-1" \h \u </w:instrText>
          </w:r>
          <w:r>
            <w:rPr>
              <w:rFonts w:hint="eastAsia" w:ascii="宋体" w:hAnsi="宋体" w:eastAsia="宋体" w:cs="宋体"/>
              <w:color w:val="auto"/>
              <w:sz w:val="30"/>
              <w:szCs w:val="30"/>
            </w:rPr>
            <w:fldChar w:fldCharType="separate"/>
          </w:r>
          <w:r>
            <w:rPr>
              <w:rFonts w:hint="eastAsia" w:ascii="宋体" w:hAnsi="宋体" w:eastAsia="宋体" w:cs="宋体"/>
              <w:color w:val="auto"/>
              <w:sz w:val="30"/>
              <w:szCs w:val="30"/>
            </w:rPr>
            <w:fldChar w:fldCharType="begin"/>
          </w:r>
          <w:r>
            <w:rPr>
              <w:rFonts w:hint="eastAsia" w:ascii="宋体" w:hAnsi="宋体" w:eastAsia="宋体" w:cs="宋体"/>
              <w:sz w:val="30"/>
              <w:szCs w:val="30"/>
            </w:rPr>
            <w:instrText xml:space="preserve"> HYPERLINK \l _Toc13602 </w:instrText>
          </w:r>
          <w:r>
            <w:rPr>
              <w:rFonts w:hint="eastAsia" w:ascii="宋体" w:hAnsi="宋体" w:eastAsia="宋体" w:cs="宋体"/>
              <w:sz w:val="30"/>
              <w:szCs w:val="30"/>
            </w:rPr>
            <w:fldChar w:fldCharType="separate"/>
          </w:r>
          <w:r>
            <w:rPr>
              <w:rFonts w:hint="eastAsia" w:ascii="宋体" w:hAnsi="宋体" w:eastAsia="宋体" w:cs="宋体"/>
              <w:bCs w:val="0"/>
              <w:sz w:val="30"/>
              <w:szCs w:val="30"/>
              <w:highlight w:val="none"/>
            </w:rPr>
            <w:t xml:space="preserve">第一章 </w:t>
          </w:r>
          <w:r>
            <w:rPr>
              <w:rFonts w:hint="eastAsia" w:ascii="宋体" w:hAnsi="宋体" w:eastAsia="宋体" w:cs="宋体"/>
              <w:bCs w:val="0"/>
              <w:sz w:val="30"/>
              <w:szCs w:val="30"/>
              <w:highlight w:val="none"/>
              <w:lang w:val="en-US" w:eastAsia="zh-CN"/>
            </w:rPr>
            <w:t>招标公告</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_Toc13602 \h </w:instrText>
          </w:r>
          <w:r>
            <w:rPr>
              <w:rFonts w:hint="eastAsia" w:ascii="宋体" w:hAnsi="宋体" w:eastAsia="宋体" w:cs="宋体"/>
              <w:sz w:val="30"/>
              <w:szCs w:val="30"/>
            </w:rPr>
            <w:fldChar w:fldCharType="separate"/>
          </w:r>
          <w:r>
            <w:rPr>
              <w:rFonts w:hint="eastAsia" w:ascii="宋体" w:hAnsi="宋体" w:eastAsia="宋体" w:cs="宋体"/>
              <w:sz w:val="30"/>
              <w:szCs w:val="30"/>
            </w:rPr>
            <w:t>3</w:t>
          </w:r>
          <w:r>
            <w:rPr>
              <w:rFonts w:hint="eastAsia" w:ascii="宋体" w:hAnsi="宋体" w:eastAsia="宋体" w:cs="宋体"/>
              <w:sz w:val="30"/>
              <w:szCs w:val="30"/>
            </w:rPr>
            <w:fldChar w:fldCharType="end"/>
          </w:r>
          <w:r>
            <w:rPr>
              <w:rFonts w:hint="eastAsia" w:ascii="宋体" w:hAnsi="宋体" w:eastAsia="宋体" w:cs="宋体"/>
              <w:color w:val="auto"/>
              <w:sz w:val="30"/>
              <w:szCs w:val="30"/>
            </w:rPr>
            <w:fldChar w:fldCharType="end"/>
          </w:r>
        </w:p>
        <w:p w14:paraId="4F6E82F0">
          <w:pPr>
            <w:pStyle w:val="27"/>
            <w:tabs>
              <w:tab w:val="right" w:leader="dot" w:pos="8306"/>
            </w:tabs>
            <w:rPr>
              <w:rFonts w:hint="eastAsia" w:ascii="宋体" w:hAnsi="宋体" w:eastAsia="宋体" w:cs="宋体"/>
              <w:sz w:val="30"/>
              <w:szCs w:val="30"/>
            </w:rPr>
          </w:pPr>
          <w:r>
            <w:rPr>
              <w:rFonts w:hint="eastAsia" w:ascii="宋体" w:hAnsi="宋体" w:eastAsia="宋体" w:cs="宋体"/>
              <w:color w:val="auto"/>
              <w:sz w:val="30"/>
              <w:szCs w:val="30"/>
            </w:rPr>
            <w:fldChar w:fldCharType="begin"/>
          </w:r>
          <w:r>
            <w:rPr>
              <w:rFonts w:hint="eastAsia" w:ascii="宋体" w:hAnsi="宋体" w:eastAsia="宋体" w:cs="宋体"/>
              <w:sz w:val="30"/>
              <w:szCs w:val="30"/>
            </w:rPr>
            <w:instrText xml:space="preserve"> HYPERLINK \l _Toc16069 </w:instrText>
          </w:r>
          <w:r>
            <w:rPr>
              <w:rFonts w:hint="eastAsia" w:ascii="宋体" w:hAnsi="宋体" w:eastAsia="宋体" w:cs="宋体"/>
              <w:sz w:val="30"/>
              <w:szCs w:val="30"/>
            </w:rPr>
            <w:fldChar w:fldCharType="separate"/>
          </w:r>
          <w:r>
            <w:rPr>
              <w:rFonts w:hint="eastAsia" w:ascii="宋体" w:hAnsi="宋体" w:eastAsia="宋体" w:cs="宋体"/>
              <w:sz w:val="30"/>
              <w:szCs w:val="30"/>
              <w:highlight w:val="none"/>
            </w:rPr>
            <w:t>第二章 投标人须知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_Toc16069 \h </w:instrText>
          </w:r>
          <w:r>
            <w:rPr>
              <w:rFonts w:hint="eastAsia" w:ascii="宋体" w:hAnsi="宋体" w:eastAsia="宋体" w:cs="宋体"/>
              <w:sz w:val="30"/>
              <w:szCs w:val="30"/>
            </w:rPr>
            <w:fldChar w:fldCharType="separate"/>
          </w:r>
          <w:r>
            <w:rPr>
              <w:rFonts w:hint="eastAsia" w:ascii="宋体" w:hAnsi="宋体" w:eastAsia="宋体" w:cs="宋体"/>
              <w:sz w:val="30"/>
              <w:szCs w:val="30"/>
            </w:rPr>
            <w:t>9</w:t>
          </w:r>
          <w:r>
            <w:rPr>
              <w:rFonts w:hint="eastAsia" w:ascii="宋体" w:hAnsi="宋体" w:eastAsia="宋体" w:cs="宋体"/>
              <w:sz w:val="30"/>
              <w:szCs w:val="30"/>
            </w:rPr>
            <w:fldChar w:fldCharType="end"/>
          </w:r>
          <w:r>
            <w:rPr>
              <w:rFonts w:hint="eastAsia" w:ascii="宋体" w:hAnsi="宋体" w:eastAsia="宋体" w:cs="宋体"/>
              <w:color w:val="auto"/>
              <w:sz w:val="30"/>
              <w:szCs w:val="30"/>
            </w:rPr>
            <w:fldChar w:fldCharType="end"/>
          </w:r>
        </w:p>
        <w:p w14:paraId="7ECA841E">
          <w:pPr>
            <w:pStyle w:val="27"/>
            <w:tabs>
              <w:tab w:val="right" w:leader="dot" w:pos="8306"/>
            </w:tabs>
            <w:rPr>
              <w:rFonts w:hint="eastAsia" w:ascii="宋体" w:hAnsi="宋体" w:eastAsia="宋体" w:cs="宋体"/>
              <w:sz w:val="30"/>
              <w:szCs w:val="30"/>
            </w:rPr>
          </w:pPr>
          <w:r>
            <w:rPr>
              <w:rFonts w:hint="eastAsia" w:ascii="宋体" w:hAnsi="宋体" w:eastAsia="宋体" w:cs="宋体"/>
              <w:color w:val="auto"/>
              <w:sz w:val="30"/>
              <w:szCs w:val="30"/>
            </w:rPr>
            <w:fldChar w:fldCharType="begin"/>
          </w:r>
          <w:r>
            <w:rPr>
              <w:rFonts w:hint="eastAsia" w:ascii="宋体" w:hAnsi="宋体" w:eastAsia="宋体" w:cs="宋体"/>
              <w:sz w:val="30"/>
              <w:szCs w:val="30"/>
            </w:rPr>
            <w:instrText xml:space="preserve"> HYPERLINK \l _Toc19303 </w:instrText>
          </w:r>
          <w:r>
            <w:rPr>
              <w:rFonts w:hint="eastAsia" w:ascii="宋体" w:hAnsi="宋体" w:eastAsia="宋体" w:cs="宋体"/>
              <w:sz w:val="30"/>
              <w:szCs w:val="30"/>
            </w:rPr>
            <w:fldChar w:fldCharType="separate"/>
          </w:r>
          <w:r>
            <w:rPr>
              <w:rFonts w:hint="eastAsia" w:ascii="宋体" w:hAnsi="宋体" w:eastAsia="宋体" w:cs="宋体"/>
              <w:bCs w:val="0"/>
              <w:sz w:val="30"/>
              <w:szCs w:val="30"/>
              <w:highlight w:val="none"/>
            </w:rPr>
            <w:t>第三章 合同文本</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_Toc19303 \h </w:instrText>
          </w:r>
          <w:r>
            <w:rPr>
              <w:rFonts w:hint="eastAsia" w:ascii="宋体" w:hAnsi="宋体" w:eastAsia="宋体" w:cs="宋体"/>
              <w:sz w:val="30"/>
              <w:szCs w:val="30"/>
            </w:rPr>
            <w:fldChar w:fldCharType="separate"/>
          </w:r>
          <w:r>
            <w:rPr>
              <w:rFonts w:hint="eastAsia" w:ascii="宋体" w:hAnsi="宋体" w:eastAsia="宋体" w:cs="宋体"/>
              <w:sz w:val="30"/>
              <w:szCs w:val="30"/>
            </w:rPr>
            <w:t>21</w:t>
          </w:r>
          <w:r>
            <w:rPr>
              <w:rFonts w:hint="eastAsia" w:ascii="宋体" w:hAnsi="宋体" w:eastAsia="宋体" w:cs="宋体"/>
              <w:sz w:val="30"/>
              <w:szCs w:val="30"/>
            </w:rPr>
            <w:fldChar w:fldCharType="end"/>
          </w:r>
          <w:r>
            <w:rPr>
              <w:rFonts w:hint="eastAsia" w:ascii="宋体" w:hAnsi="宋体" w:eastAsia="宋体" w:cs="宋体"/>
              <w:color w:val="auto"/>
              <w:sz w:val="30"/>
              <w:szCs w:val="30"/>
            </w:rPr>
            <w:fldChar w:fldCharType="end"/>
          </w:r>
        </w:p>
        <w:p w14:paraId="6240DBA3">
          <w:pPr>
            <w:pStyle w:val="27"/>
            <w:tabs>
              <w:tab w:val="right" w:leader="dot" w:pos="8306"/>
            </w:tabs>
            <w:rPr>
              <w:rFonts w:hint="eastAsia" w:ascii="宋体" w:hAnsi="宋体" w:eastAsia="宋体" w:cs="宋体"/>
              <w:sz w:val="30"/>
              <w:szCs w:val="30"/>
            </w:rPr>
          </w:pPr>
          <w:r>
            <w:rPr>
              <w:rFonts w:hint="eastAsia" w:ascii="宋体" w:hAnsi="宋体" w:eastAsia="宋体" w:cs="宋体"/>
              <w:color w:val="auto"/>
              <w:sz w:val="30"/>
              <w:szCs w:val="30"/>
            </w:rPr>
            <w:fldChar w:fldCharType="begin"/>
          </w:r>
          <w:r>
            <w:rPr>
              <w:rFonts w:hint="eastAsia" w:ascii="宋体" w:hAnsi="宋体" w:eastAsia="宋体" w:cs="宋体"/>
              <w:sz w:val="30"/>
              <w:szCs w:val="30"/>
            </w:rPr>
            <w:instrText xml:space="preserve"> HYPERLINK \l _Toc18007 </w:instrText>
          </w:r>
          <w:r>
            <w:rPr>
              <w:rFonts w:hint="eastAsia" w:ascii="宋体" w:hAnsi="宋体" w:eastAsia="宋体" w:cs="宋体"/>
              <w:sz w:val="30"/>
              <w:szCs w:val="30"/>
            </w:rPr>
            <w:fldChar w:fldCharType="separate"/>
          </w:r>
          <w:r>
            <w:rPr>
              <w:rFonts w:hint="eastAsia" w:ascii="宋体" w:hAnsi="宋体" w:eastAsia="宋体" w:cs="宋体"/>
              <w:bCs w:val="0"/>
              <w:sz w:val="30"/>
              <w:szCs w:val="30"/>
              <w:highlight w:val="none"/>
            </w:rPr>
            <w:t>第四章</w:t>
          </w:r>
          <w:r>
            <w:rPr>
              <w:rFonts w:hint="eastAsia" w:ascii="宋体" w:hAnsi="宋体" w:eastAsia="宋体" w:cs="宋体"/>
              <w:bCs w:val="0"/>
              <w:sz w:val="30"/>
              <w:szCs w:val="30"/>
              <w:highlight w:val="none"/>
              <w:lang w:val="en-US" w:eastAsia="zh-CN"/>
            </w:rPr>
            <w:t xml:space="preserve"> </w:t>
          </w:r>
          <w:r>
            <w:rPr>
              <w:rFonts w:hint="eastAsia" w:ascii="宋体" w:hAnsi="宋体" w:eastAsia="宋体" w:cs="宋体"/>
              <w:bCs w:val="0"/>
              <w:sz w:val="30"/>
              <w:szCs w:val="30"/>
              <w:highlight w:val="none"/>
            </w:rPr>
            <w:t>采购需求</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_Toc18007 \h </w:instrText>
          </w:r>
          <w:r>
            <w:rPr>
              <w:rFonts w:hint="eastAsia" w:ascii="宋体" w:hAnsi="宋体" w:eastAsia="宋体" w:cs="宋体"/>
              <w:sz w:val="30"/>
              <w:szCs w:val="30"/>
            </w:rPr>
            <w:fldChar w:fldCharType="separate"/>
          </w:r>
          <w:r>
            <w:rPr>
              <w:rFonts w:hint="eastAsia" w:ascii="宋体" w:hAnsi="宋体" w:eastAsia="宋体" w:cs="宋体"/>
              <w:sz w:val="30"/>
              <w:szCs w:val="30"/>
            </w:rPr>
            <w:t>26</w:t>
          </w:r>
          <w:r>
            <w:rPr>
              <w:rFonts w:hint="eastAsia" w:ascii="宋体" w:hAnsi="宋体" w:eastAsia="宋体" w:cs="宋体"/>
              <w:sz w:val="30"/>
              <w:szCs w:val="30"/>
            </w:rPr>
            <w:fldChar w:fldCharType="end"/>
          </w:r>
          <w:r>
            <w:rPr>
              <w:rFonts w:hint="eastAsia" w:ascii="宋体" w:hAnsi="宋体" w:eastAsia="宋体" w:cs="宋体"/>
              <w:color w:val="auto"/>
              <w:sz w:val="30"/>
              <w:szCs w:val="30"/>
            </w:rPr>
            <w:fldChar w:fldCharType="end"/>
          </w:r>
        </w:p>
        <w:p w14:paraId="057FD93E">
          <w:pPr>
            <w:pStyle w:val="27"/>
            <w:tabs>
              <w:tab w:val="right" w:leader="dot" w:pos="8306"/>
            </w:tabs>
            <w:rPr>
              <w:rFonts w:hint="eastAsia" w:ascii="宋体" w:hAnsi="宋体" w:eastAsia="宋体" w:cs="宋体"/>
              <w:sz w:val="30"/>
              <w:szCs w:val="30"/>
            </w:rPr>
          </w:pPr>
          <w:r>
            <w:rPr>
              <w:rFonts w:hint="eastAsia" w:ascii="宋体" w:hAnsi="宋体" w:eastAsia="宋体" w:cs="宋体"/>
              <w:color w:val="auto"/>
              <w:sz w:val="30"/>
              <w:szCs w:val="30"/>
            </w:rPr>
            <w:fldChar w:fldCharType="begin"/>
          </w:r>
          <w:r>
            <w:rPr>
              <w:rFonts w:hint="eastAsia" w:ascii="宋体" w:hAnsi="宋体" w:eastAsia="宋体" w:cs="宋体"/>
              <w:sz w:val="30"/>
              <w:szCs w:val="30"/>
            </w:rPr>
            <w:instrText xml:space="preserve"> HYPERLINK \l _Toc23220 </w:instrText>
          </w:r>
          <w:r>
            <w:rPr>
              <w:rFonts w:hint="eastAsia" w:ascii="宋体" w:hAnsi="宋体" w:eastAsia="宋体" w:cs="宋体"/>
              <w:sz w:val="30"/>
              <w:szCs w:val="30"/>
            </w:rPr>
            <w:fldChar w:fldCharType="separate"/>
          </w:r>
          <w:r>
            <w:rPr>
              <w:rFonts w:hint="eastAsia" w:ascii="宋体" w:hAnsi="宋体" w:eastAsia="宋体" w:cs="宋体"/>
              <w:bCs w:val="0"/>
              <w:sz w:val="30"/>
              <w:szCs w:val="30"/>
              <w:highlight w:val="none"/>
            </w:rPr>
            <w:t>第五章 评标方法与评标标准</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_Toc23220 \h </w:instrText>
          </w:r>
          <w:r>
            <w:rPr>
              <w:rFonts w:hint="eastAsia" w:ascii="宋体" w:hAnsi="宋体" w:eastAsia="宋体" w:cs="宋体"/>
              <w:sz w:val="30"/>
              <w:szCs w:val="30"/>
            </w:rPr>
            <w:fldChar w:fldCharType="separate"/>
          </w:r>
          <w:r>
            <w:rPr>
              <w:rFonts w:hint="eastAsia" w:ascii="宋体" w:hAnsi="宋体" w:eastAsia="宋体" w:cs="宋体"/>
              <w:sz w:val="30"/>
              <w:szCs w:val="30"/>
            </w:rPr>
            <w:t>52</w:t>
          </w:r>
          <w:r>
            <w:rPr>
              <w:rFonts w:hint="eastAsia" w:ascii="宋体" w:hAnsi="宋体" w:eastAsia="宋体" w:cs="宋体"/>
              <w:sz w:val="30"/>
              <w:szCs w:val="30"/>
            </w:rPr>
            <w:fldChar w:fldCharType="end"/>
          </w:r>
          <w:r>
            <w:rPr>
              <w:rFonts w:hint="eastAsia" w:ascii="宋体" w:hAnsi="宋体" w:eastAsia="宋体" w:cs="宋体"/>
              <w:color w:val="auto"/>
              <w:sz w:val="30"/>
              <w:szCs w:val="30"/>
            </w:rPr>
            <w:fldChar w:fldCharType="end"/>
          </w:r>
        </w:p>
        <w:p w14:paraId="34E085FE">
          <w:pPr>
            <w:pStyle w:val="27"/>
            <w:tabs>
              <w:tab w:val="right" w:leader="dot" w:pos="8306"/>
            </w:tabs>
            <w:rPr>
              <w:rFonts w:hint="eastAsia" w:ascii="宋体" w:hAnsi="宋体" w:eastAsia="宋体" w:cs="宋体"/>
              <w:sz w:val="30"/>
              <w:szCs w:val="30"/>
            </w:rPr>
          </w:pPr>
          <w:r>
            <w:rPr>
              <w:rFonts w:hint="eastAsia" w:ascii="宋体" w:hAnsi="宋体" w:eastAsia="宋体" w:cs="宋体"/>
              <w:color w:val="auto"/>
              <w:sz w:val="30"/>
              <w:szCs w:val="30"/>
            </w:rPr>
            <w:fldChar w:fldCharType="begin"/>
          </w:r>
          <w:r>
            <w:rPr>
              <w:rFonts w:hint="eastAsia" w:ascii="宋体" w:hAnsi="宋体" w:eastAsia="宋体" w:cs="宋体"/>
              <w:sz w:val="30"/>
              <w:szCs w:val="30"/>
            </w:rPr>
            <w:instrText xml:space="preserve"> HYPERLINK \l _Toc5892 </w:instrText>
          </w:r>
          <w:r>
            <w:rPr>
              <w:rFonts w:hint="eastAsia" w:ascii="宋体" w:hAnsi="宋体" w:eastAsia="宋体" w:cs="宋体"/>
              <w:sz w:val="30"/>
              <w:szCs w:val="30"/>
            </w:rPr>
            <w:fldChar w:fldCharType="separate"/>
          </w:r>
          <w:r>
            <w:rPr>
              <w:rFonts w:hint="eastAsia" w:ascii="宋体" w:hAnsi="宋体" w:eastAsia="宋体" w:cs="宋体"/>
              <w:bCs w:val="0"/>
              <w:sz w:val="30"/>
              <w:szCs w:val="30"/>
              <w:highlight w:val="none"/>
            </w:rPr>
            <w:t>第六章 投标文件格式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_Toc5892 \h </w:instrText>
          </w:r>
          <w:r>
            <w:rPr>
              <w:rFonts w:hint="eastAsia" w:ascii="宋体" w:hAnsi="宋体" w:eastAsia="宋体" w:cs="宋体"/>
              <w:sz w:val="30"/>
              <w:szCs w:val="30"/>
            </w:rPr>
            <w:fldChar w:fldCharType="separate"/>
          </w:r>
          <w:r>
            <w:rPr>
              <w:rFonts w:hint="eastAsia" w:ascii="宋体" w:hAnsi="宋体" w:eastAsia="宋体" w:cs="宋体"/>
              <w:sz w:val="30"/>
              <w:szCs w:val="30"/>
            </w:rPr>
            <w:t>57</w:t>
          </w:r>
          <w:r>
            <w:rPr>
              <w:rFonts w:hint="eastAsia" w:ascii="宋体" w:hAnsi="宋体" w:eastAsia="宋体" w:cs="宋体"/>
              <w:sz w:val="30"/>
              <w:szCs w:val="30"/>
            </w:rPr>
            <w:fldChar w:fldCharType="end"/>
          </w:r>
          <w:r>
            <w:rPr>
              <w:rFonts w:hint="eastAsia" w:ascii="宋体" w:hAnsi="宋体" w:eastAsia="宋体" w:cs="宋体"/>
              <w:color w:val="auto"/>
              <w:sz w:val="30"/>
              <w:szCs w:val="30"/>
            </w:rPr>
            <w:fldChar w:fldCharType="end"/>
          </w:r>
        </w:p>
        <w:p w14:paraId="0C7E72D9">
          <w:pPr>
            <w:spacing w:line="360" w:lineRule="auto"/>
            <w:rPr>
              <w:color w:val="auto"/>
            </w:rPr>
          </w:pPr>
          <w:r>
            <w:rPr>
              <w:rFonts w:hint="eastAsia" w:ascii="宋体" w:hAnsi="宋体" w:eastAsia="宋体" w:cs="宋体"/>
              <w:color w:val="auto"/>
              <w:sz w:val="30"/>
              <w:szCs w:val="30"/>
            </w:rPr>
            <w:fldChar w:fldCharType="end"/>
          </w:r>
        </w:p>
      </w:sdtContent>
    </w:sdt>
    <w:p w14:paraId="76BF94EC">
      <w:pPr>
        <w:spacing w:line="480" w:lineRule="auto"/>
        <w:rPr>
          <w:rFonts w:ascii="仿宋_GB2312" w:hAnsi="Arial" w:eastAsia="仿宋_GB2312"/>
          <w:b/>
          <w:color w:val="auto"/>
          <w:sz w:val="28"/>
          <w:highlight w:val="none"/>
        </w:rPr>
      </w:pPr>
    </w:p>
    <w:p w14:paraId="34262097">
      <w:pPr>
        <w:rPr>
          <w:color w:val="auto"/>
          <w:highlight w:val="none"/>
        </w:rPr>
      </w:pPr>
    </w:p>
    <w:p w14:paraId="542C7EFF">
      <w:pPr>
        <w:rPr>
          <w:color w:val="auto"/>
          <w:highlight w:val="none"/>
        </w:rPr>
      </w:pPr>
    </w:p>
    <w:p w14:paraId="5E9DB9EB">
      <w:pPr>
        <w:rPr>
          <w:color w:val="auto"/>
          <w:highlight w:val="none"/>
        </w:rPr>
      </w:pPr>
    </w:p>
    <w:p w14:paraId="0576FC07">
      <w:pPr>
        <w:rPr>
          <w:color w:val="auto"/>
          <w:highlight w:val="none"/>
        </w:rPr>
      </w:pPr>
    </w:p>
    <w:p w14:paraId="02401B75">
      <w:pPr>
        <w:rPr>
          <w:color w:val="auto"/>
          <w:highlight w:val="none"/>
        </w:rPr>
      </w:pPr>
    </w:p>
    <w:p w14:paraId="1956606F">
      <w:pPr>
        <w:rPr>
          <w:color w:val="auto"/>
          <w:highlight w:val="none"/>
        </w:rPr>
      </w:pPr>
    </w:p>
    <w:p w14:paraId="788DD6FA">
      <w:pPr>
        <w:rPr>
          <w:color w:val="auto"/>
          <w:highlight w:val="none"/>
        </w:rPr>
      </w:pPr>
    </w:p>
    <w:p w14:paraId="6C30B7E1">
      <w:pPr>
        <w:rPr>
          <w:color w:val="auto"/>
          <w:highlight w:val="none"/>
        </w:rPr>
      </w:pPr>
    </w:p>
    <w:p w14:paraId="6C6F6EF4">
      <w:pPr>
        <w:rPr>
          <w:color w:val="auto"/>
          <w:highlight w:val="none"/>
        </w:rPr>
      </w:pPr>
    </w:p>
    <w:p w14:paraId="62A2D81B">
      <w:pPr>
        <w:rPr>
          <w:color w:val="auto"/>
          <w:highlight w:val="none"/>
        </w:rPr>
      </w:pPr>
    </w:p>
    <w:p w14:paraId="478DFF50">
      <w:pPr>
        <w:rPr>
          <w:color w:val="auto"/>
          <w:highlight w:val="none"/>
        </w:rPr>
      </w:pPr>
    </w:p>
    <w:p w14:paraId="0087243B">
      <w:pPr>
        <w:rPr>
          <w:color w:val="auto"/>
          <w:highlight w:val="none"/>
        </w:rPr>
      </w:pPr>
    </w:p>
    <w:p w14:paraId="0941119E">
      <w:pPr>
        <w:rPr>
          <w:color w:val="auto"/>
          <w:highlight w:val="none"/>
        </w:rPr>
      </w:pPr>
    </w:p>
    <w:p w14:paraId="6D9028B3">
      <w:pPr>
        <w:rPr>
          <w:color w:val="auto"/>
          <w:highlight w:val="none"/>
        </w:rPr>
      </w:pPr>
    </w:p>
    <w:p w14:paraId="03AE15D1">
      <w:pPr>
        <w:rPr>
          <w:color w:val="auto"/>
          <w:highlight w:val="none"/>
        </w:rPr>
      </w:pPr>
    </w:p>
    <w:p w14:paraId="68DDB449">
      <w:pPr>
        <w:rPr>
          <w:color w:val="auto"/>
          <w:highlight w:val="none"/>
        </w:rPr>
      </w:pPr>
    </w:p>
    <w:p w14:paraId="711CA800">
      <w:pPr>
        <w:rPr>
          <w:color w:val="auto"/>
          <w:highlight w:val="none"/>
        </w:rPr>
      </w:pPr>
    </w:p>
    <w:p w14:paraId="574B452E">
      <w:pPr>
        <w:rPr>
          <w:color w:val="auto"/>
          <w:highlight w:val="none"/>
        </w:rPr>
      </w:pPr>
    </w:p>
    <w:p w14:paraId="5BDCB755">
      <w:pPr>
        <w:rPr>
          <w:color w:val="auto"/>
          <w:highlight w:val="none"/>
        </w:rPr>
      </w:pPr>
    </w:p>
    <w:p w14:paraId="21666891">
      <w:pPr>
        <w:rPr>
          <w:color w:val="auto"/>
          <w:highlight w:val="none"/>
        </w:rPr>
      </w:pPr>
    </w:p>
    <w:p w14:paraId="6E32F67E">
      <w:pPr>
        <w:rPr>
          <w:color w:val="auto"/>
          <w:highlight w:val="none"/>
        </w:rPr>
      </w:pPr>
    </w:p>
    <w:p w14:paraId="52321683">
      <w:pPr>
        <w:rPr>
          <w:color w:val="auto"/>
          <w:highlight w:val="none"/>
        </w:rPr>
      </w:pPr>
    </w:p>
    <w:p w14:paraId="3152AD3B">
      <w:pPr>
        <w:rPr>
          <w:color w:val="auto"/>
          <w:highlight w:val="none"/>
        </w:rPr>
      </w:pPr>
    </w:p>
    <w:p w14:paraId="595A1C94">
      <w:pPr>
        <w:rPr>
          <w:color w:val="auto"/>
          <w:highlight w:val="none"/>
        </w:rPr>
      </w:pPr>
    </w:p>
    <w:p w14:paraId="2A8722FF">
      <w:pPr>
        <w:rPr>
          <w:color w:val="auto"/>
          <w:highlight w:val="none"/>
        </w:rPr>
      </w:pPr>
    </w:p>
    <w:p w14:paraId="18808546">
      <w:pPr>
        <w:rPr>
          <w:color w:val="auto"/>
          <w:highlight w:val="none"/>
        </w:rPr>
      </w:pPr>
    </w:p>
    <w:p w14:paraId="51303E53">
      <w:pPr>
        <w:pStyle w:val="290"/>
        <w:spacing w:before="120" w:after="120" w:line="0" w:lineRule="atLeast"/>
        <w:jc w:val="center"/>
        <w:outlineLvl w:val="0"/>
        <w:rPr>
          <w:rFonts w:hint="eastAsia" w:ascii="黑体" w:eastAsia="宋体"/>
          <w:bCs/>
          <w:color w:val="auto"/>
          <w:sz w:val="44"/>
          <w:szCs w:val="44"/>
          <w:highlight w:val="none"/>
          <w:lang w:eastAsia="zh-CN"/>
        </w:rPr>
      </w:pPr>
      <w:bookmarkStart w:id="6" w:name="_Toc13602"/>
      <w:r>
        <w:rPr>
          <w:rFonts w:hint="eastAsia" w:ascii="宋体" w:hAnsi="宋体" w:eastAsia="宋体" w:cs="宋体"/>
          <w:b/>
          <w:bCs w:val="0"/>
          <w:color w:val="auto"/>
          <w:sz w:val="44"/>
          <w:highlight w:val="none"/>
        </w:rPr>
        <w:t xml:space="preserve">第一章 </w:t>
      </w:r>
      <w:bookmarkEnd w:id="0"/>
      <w:r>
        <w:rPr>
          <w:rFonts w:hint="eastAsia" w:hAnsi="宋体" w:cs="宋体"/>
          <w:b/>
          <w:bCs w:val="0"/>
          <w:color w:val="auto"/>
          <w:sz w:val="44"/>
          <w:highlight w:val="none"/>
          <w:lang w:val="en-US" w:eastAsia="zh-CN"/>
        </w:rPr>
        <w:t>招标公告</w:t>
      </w:r>
      <w:bookmarkEnd w:id="6"/>
    </w:p>
    <w:p w14:paraId="5D2DD05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lang w:val="en-US" w:eastAsia="zh-CN"/>
        </w:rPr>
        <w:t>扬州市妇幼保健院</w:t>
      </w:r>
      <w:r>
        <w:rPr>
          <w:rFonts w:hint="eastAsia" w:ascii="宋体" w:hAnsi="宋体"/>
          <w:color w:val="auto"/>
          <w:sz w:val="24"/>
          <w:szCs w:val="24"/>
          <w:highlight w:val="none"/>
        </w:rPr>
        <w:t>的委托，</w:t>
      </w:r>
      <w:r>
        <w:rPr>
          <w:rFonts w:hint="eastAsia" w:ascii="宋体" w:hAnsi="宋体"/>
          <w:color w:val="auto"/>
          <w:sz w:val="24"/>
          <w:szCs w:val="24"/>
          <w:highlight w:val="none"/>
          <w:lang w:eastAsia="zh-CN"/>
        </w:rPr>
        <w:t>江苏省招标中心有限公司</w:t>
      </w:r>
      <w:r>
        <w:rPr>
          <w:rFonts w:hint="eastAsia" w:ascii="宋体" w:hAnsi="宋体"/>
          <w:color w:val="auto"/>
          <w:sz w:val="24"/>
          <w:szCs w:val="24"/>
          <w:highlight w:val="none"/>
        </w:rPr>
        <w:t>就[</w:t>
      </w:r>
      <w:r>
        <w:rPr>
          <w:rFonts w:hint="eastAsia" w:ascii="宋体" w:hAnsi="宋体"/>
          <w:color w:val="auto"/>
          <w:sz w:val="24"/>
          <w:szCs w:val="24"/>
          <w:highlight w:val="none"/>
          <w:lang w:val="en-US" w:eastAsia="zh-CN"/>
        </w:rPr>
        <w:t>扬州市妇幼保健院辅医与物流服务项目</w:t>
      </w:r>
      <w:r>
        <w:rPr>
          <w:rFonts w:hint="eastAsia" w:ascii="宋体" w:hAnsi="宋体"/>
          <w:color w:val="auto"/>
          <w:sz w:val="24"/>
          <w:szCs w:val="24"/>
          <w:highlight w:val="none"/>
        </w:rPr>
        <w:t>](JSZC-321000-JITC-G2026-0331)项目进行公开招标采购，欢迎符合条件的供应商投标。</w:t>
      </w:r>
    </w:p>
    <w:p w14:paraId="4B151502">
      <w:pPr>
        <w:pBdr>
          <w:top w:val="single" w:color="000000" w:sz="4" w:space="0"/>
          <w:left w:val="single" w:color="000000" w:sz="4" w:space="3"/>
          <w:bottom w:val="single" w:color="000000" w:sz="4" w:space="0"/>
          <w:right w:val="single" w:color="000000" w:sz="4" w:space="3"/>
        </w:pBd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项目概况</w:t>
      </w:r>
    </w:p>
    <w:p w14:paraId="2AD0E965">
      <w:pPr>
        <w:pBdr>
          <w:top w:val="single" w:color="000000" w:sz="4" w:space="0"/>
          <w:left w:val="single" w:color="000000" w:sz="4" w:space="3"/>
          <w:bottom w:val="single" w:color="000000" w:sz="4" w:space="0"/>
          <w:right w:val="single" w:color="000000" w:sz="4" w:space="3"/>
        </w:pBd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扬州市妇幼保健院辅医与物流服务项目</w:t>
      </w:r>
      <w:r>
        <w:rPr>
          <w:rFonts w:hint="eastAsia" w:ascii="宋体" w:hAnsi="宋体"/>
          <w:color w:val="auto"/>
          <w:sz w:val="24"/>
          <w:szCs w:val="24"/>
          <w:highlight w:val="none"/>
        </w:rPr>
        <w:t>的潜在投标人可在</w:t>
      </w:r>
      <w:r>
        <w:rPr>
          <w:rFonts w:hint="eastAsia" w:ascii="宋体" w:hAnsi="宋体"/>
          <w:color w:val="auto"/>
          <w:sz w:val="24"/>
          <w:szCs w:val="24"/>
          <w:highlight w:val="none"/>
          <w:u w:val="single"/>
        </w:rPr>
        <w:t>“江苏政府采购网、扬州市政府采购网”自行免费下载</w:t>
      </w:r>
      <w:r>
        <w:rPr>
          <w:rFonts w:hint="eastAsia" w:ascii="宋体" w:hAnsi="宋体"/>
          <w:color w:val="auto"/>
          <w:sz w:val="24"/>
          <w:szCs w:val="24"/>
          <w:highlight w:val="none"/>
        </w:rPr>
        <w:t>招标文件，并于</w:t>
      </w:r>
      <w:r>
        <w:rPr>
          <w:rFonts w:hint="eastAsia" w:ascii="宋体" w:hAnsi="宋体"/>
          <w:color w:val="auto"/>
          <w:sz w:val="24"/>
          <w:szCs w:val="24"/>
          <w:highlight w:val="none"/>
          <w:u w:val="single"/>
          <w:lang w:val="en-US" w:eastAsia="zh-CN"/>
        </w:rPr>
        <w:t>2026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10</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08</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14</w:t>
      </w:r>
      <w:r>
        <w:rPr>
          <w:rFonts w:hint="eastAsia" w:ascii="宋体" w:hAnsi="宋体"/>
          <w:bCs/>
          <w:color w:val="auto"/>
          <w:sz w:val="24"/>
          <w:szCs w:val="24"/>
          <w:highlight w:val="none"/>
          <w:u w:val="single"/>
        </w:rPr>
        <w:t>点</w:t>
      </w:r>
      <w:r>
        <w:rPr>
          <w:rFonts w:hint="eastAsia" w:ascii="宋体" w:hAnsi="宋体"/>
          <w:bCs/>
          <w:color w:val="auto"/>
          <w:sz w:val="24"/>
          <w:szCs w:val="24"/>
          <w:highlight w:val="none"/>
          <w:u w:val="single"/>
          <w:lang w:val="en-US" w:eastAsia="zh-CN"/>
        </w:rPr>
        <w:t>00</w:t>
      </w:r>
      <w:r>
        <w:rPr>
          <w:rFonts w:hint="eastAsia" w:ascii="宋体" w:hAnsi="宋体"/>
          <w:bCs/>
          <w:color w:val="auto"/>
          <w:sz w:val="24"/>
          <w:szCs w:val="24"/>
          <w:highlight w:val="none"/>
          <w:u w:val="single"/>
        </w:rPr>
        <w:t>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4D142E22">
      <w:pPr>
        <w:pStyle w:val="243"/>
        <w:spacing w:before="145" w:after="145" w:line="360" w:lineRule="auto"/>
        <w:ind w:firstLine="498"/>
        <w:rPr>
          <w:color w:val="auto"/>
          <w:highlight w:val="none"/>
        </w:rPr>
      </w:pPr>
      <w:bookmarkStart w:id="7" w:name="_Toc28359002"/>
      <w:bookmarkStart w:id="8" w:name="_Toc28359079"/>
      <w:bookmarkStart w:id="9" w:name="_Toc35393790"/>
      <w:bookmarkStart w:id="10" w:name="_Toc35393621"/>
      <w:bookmarkStart w:id="11" w:name="_Toc38985263"/>
      <w:bookmarkStart w:id="12" w:name="_Hlk24379207"/>
      <w:r>
        <w:rPr>
          <w:rFonts w:hint="eastAsia"/>
          <w:color w:val="auto"/>
          <w:highlight w:val="none"/>
        </w:rPr>
        <w:t>一、项目基本情况</w:t>
      </w:r>
      <w:bookmarkEnd w:id="7"/>
      <w:bookmarkEnd w:id="8"/>
      <w:bookmarkEnd w:id="9"/>
      <w:bookmarkEnd w:id="10"/>
      <w:bookmarkEnd w:id="11"/>
    </w:p>
    <w:p w14:paraId="03C341E2">
      <w:pPr>
        <w:spacing w:line="360" w:lineRule="auto"/>
        <w:ind w:firstLine="48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1.项目编号：JSZC-321000-JITC-G2026-0331</w:t>
      </w:r>
    </w:p>
    <w:p w14:paraId="3F8C60C5">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2.项目名称：</w:t>
      </w:r>
      <w:bookmarkEnd w:id="12"/>
      <w:r>
        <w:rPr>
          <w:rFonts w:hint="eastAsia" w:ascii="宋体" w:hAnsi="宋体"/>
          <w:color w:val="auto"/>
          <w:sz w:val="24"/>
          <w:szCs w:val="24"/>
          <w:highlight w:val="none"/>
          <w:lang w:eastAsia="zh-CN"/>
        </w:rPr>
        <w:t>扬州市妇幼保健院辅医与物流服务项目</w:t>
      </w:r>
    </w:p>
    <w:p w14:paraId="736C63DB">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3.预算金额</w:t>
      </w:r>
      <w:r>
        <w:rPr>
          <w:rFonts w:hint="eastAsia" w:ascii="宋体" w:hAnsi="宋体" w:eastAsia="宋体"/>
          <w:color w:val="auto"/>
          <w:sz w:val="24"/>
          <w:szCs w:val="24"/>
          <w:highlight w:val="none"/>
        </w:rPr>
        <w:t>：</w:t>
      </w:r>
      <w:r>
        <w:rPr>
          <w:rFonts w:hint="eastAsia" w:ascii="宋体" w:hAnsi="宋体"/>
          <w:color w:val="auto"/>
          <w:sz w:val="24"/>
          <w:szCs w:val="24"/>
          <w:highlight w:val="none"/>
          <w:lang w:val="en-US" w:eastAsia="zh-CN"/>
        </w:rPr>
        <w:t>2100</w:t>
      </w:r>
      <w:r>
        <w:rPr>
          <w:rFonts w:hint="eastAsia" w:ascii="宋体" w:hAnsi="宋体" w:eastAsia="宋体"/>
          <w:color w:val="auto"/>
          <w:sz w:val="24"/>
          <w:szCs w:val="24"/>
          <w:highlight w:val="none"/>
        </w:rPr>
        <w:t>万元/3年（</w:t>
      </w:r>
      <w:r>
        <w:rPr>
          <w:rFonts w:hint="eastAsia" w:ascii="宋体" w:hAnsi="宋体"/>
          <w:color w:val="auto"/>
          <w:sz w:val="24"/>
          <w:szCs w:val="24"/>
          <w:highlight w:val="none"/>
          <w:lang w:val="en-US" w:eastAsia="zh-CN"/>
        </w:rPr>
        <w:t>700</w:t>
      </w:r>
      <w:r>
        <w:rPr>
          <w:rFonts w:hint="eastAsia" w:ascii="宋体" w:hAnsi="宋体" w:eastAsia="宋体"/>
          <w:color w:val="auto"/>
          <w:sz w:val="24"/>
          <w:szCs w:val="24"/>
          <w:highlight w:val="none"/>
        </w:rPr>
        <w:t>万元/年）</w:t>
      </w:r>
    </w:p>
    <w:p w14:paraId="3EDE56E3">
      <w:pPr>
        <w:spacing w:line="360" w:lineRule="auto"/>
        <w:ind w:firstLine="480" w:firstLineChars="200"/>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4</w:t>
      </w:r>
      <w:r>
        <w:rPr>
          <w:rFonts w:hint="eastAsia" w:ascii="宋体" w:hAnsi="宋体" w:eastAsia="宋体"/>
          <w:color w:val="auto"/>
          <w:sz w:val="24"/>
          <w:szCs w:val="24"/>
          <w:highlight w:val="none"/>
        </w:rPr>
        <w:t>.最高限价</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lang w:val="en-US" w:eastAsia="zh-CN"/>
        </w:rPr>
        <w:t>2100</w:t>
      </w:r>
      <w:r>
        <w:rPr>
          <w:rFonts w:hint="eastAsia" w:ascii="宋体" w:hAnsi="宋体" w:eastAsia="宋体"/>
          <w:color w:val="auto"/>
          <w:sz w:val="24"/>
          <w:szCs w:val="24"/>
          <w:highlight w:val="none"/>
        </w:rPr>
        <w:t>万元/3年（</w:t>
      </w:r>
      <w:r>
        <w:rPr>
          <w:rFonts w:hint="eastAsia" w:ascii="宋体" w:hAnsi="宋体"/>
          <w:color w:val="auto"/>
          <w:sz w:val="24"/>
          <w:szCs w:val="24"/>
          <w:highlight w:val="none"/>
          <w:lang w:val="en-US" w:eastAsia="zh-CN"/>
        </w:rPr>
        <w:t>700</w:t>
      </w:r>
      <w:r>
        <w:rPr>
          <w:rFonts w:hint="eastAsia" w:ascii="宋体" w:hAnsi="宋体" w:eastAsia="宋体"/>
          <w:color w:val="auto"/>
          <w:sz w:val="24"/>
          <w:szCs w:val="24"/>
          <w:highlight w:val="none"/>
        </w:rPr>
        <w:t>万元/年），报价超过最高限价按无效响应文件处理</w:t>
      </w:r>
    </w:p>
    <w:p w14:paraId="56C0AF12">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5.采购需求：</w:t>
      </w:r>
      <w:r>
        <w:rPr>
          <w:rFonts w:hint="eastAsia" w:ascii="宋体" w:hAnsi="宋体" w:eastAsia="宋体"/>
          <w:color w:val="auto"/>
          <w:sz w:val="24"/>
          <w:szCs w:val="24"/>
          <w:highlight w:val="none"/>
        </w:rPr>
        <w:t>详见招标文件第四章</w:t>
      </w:r>
    </w:p>
    <w:p w14:paraId="546B50A7">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6.服务期限：</w:t>
      </w:r>
      <w:r>
        <w:rPr>
          <w:rFonts w:hint="eastAsia" w:ascii="宋体" w:hAnsi="宋体" w:eastAsia="宋体"/>
          <w:color w:val="auto"/>
          <w:sz w:val="24"/>
          <w:szCs w:val="24"/>
          <w:highlight w:val="none"/>
        </w:rPr>
        <w:t>本项目服务期叁年（自合同签订之日起计），合同首签壹年，考核合格的情况下，采购人与中标人可续签订下一年合同。</w:t>
      </w:r>
    </w:p>
    <w:p w14:paraId="5A017519">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7.本项目不接受联合体投标</w:t>
      </w:r>
    </w:p>
    <w:p w14:paraId="6462BE27">
      <w:pPr>
        <w:pStyle w:val="243"/>
        <w:spacing w:before="145" w:after="145" w:line="360" w:lineRule="auto"/>
        <w:ind w:firstLine="498"/>
        <w:rPr>
          <w:color w:val="auto"/>
          <w:highlight w:val="none"/>
        </w:rPr>
      </w:pPr>
      <w:bookmarkStart w:id="13" w:name="_Toc38985264"/>
      <w:bookmarkStart w:id="14" w:name="_Toc35393622"/>
      <w:bookmarkStart w:id="15" w:name="_Toc35393791"/>
      <w:bookmarkStart w:id="16" w:name="_Toc28359080"/>
      <w:bookmarkStart w:id="17" w:name="_Toc28359003"/>
      <w:r>
        <w:rPr>
          <w:rFonts w:hint="eastAsia"/>
          <w:color w:val="auto"/>
          <w:highlight w:val="none"/>
        </w:rPr>
        <w:t>二、申请人的资格要求：</w:t>
      </w:r>
      <w:bookmarkEnd w:id="13"/>
      <w:bookmarkEnd w:id="14"/>
      <w:bookmarkEnd w:id="15"/>
      <w:bookmarkEnd w:id="16"/>
      <w:bookmarkEnd w:id="17"/>
    </w:p>
    <w:p w14:paraId="36399BEF">
      <w:pPr>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bookmarkStart w:id="18" w:name="_Toc28359004"/>
      <w:bookmarkStart w:id="19" w:name="_Toc28359081"/>
      <w:bookmarkStart w:id="20" w:name="_Toc38985265"/>
      <w:bookmarkStart w:id="21" w:name="_Toc35393792"/>
      <w:bookmarkStart w:id="22" w:name="_Toc35393623"/>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满足《中华人民共和国政府采购法》第二十二条规定，并提供下列材料：</w:t>
      </w:r>
    </w:p>
    <w:p w14:paraId="0E55FE3E">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Cs/>
          <w:i/>
          <w:iCs w:val="0"/>
          <w:color w:val="auto"/>
          <w:sz w:val="24"/>
          <w:szCs w:val="24"/>
          <w:highlight w:val="none"/>
          <w:u w:val="single"/>
          <w:lang w:eastAsia="zh-CN"/>
        </w:rPr>
      </w:pPr>
      <w:r>
        <w:rPr>
          <w:rFonts w:hint="eastAsia" w:ascii="宋体" w:hAnsi="宋体" w:eastAsia="宋体" w:cs="宋体"/>
          <w:bCs/>
          <w:i/>
          <w:iCs w:val="0"/>
          <w:color w:val="auto"/>
          <w:sz w:val="24"/>
          <w:szCs w:val="24"/>
          <w:highlight w:val="none"/>
          <w:u w:val="single"/>
        </w:rPr>
        <w:t>1.</w:t>
      </w:r>
      <w:r>
        <w:rPr>
          <w:rFonts w:hint="eastAsia" w:ascii="宋体" w:hAnsi="宋体" w:eastAsia="宋体" w:cs="宋体"/>
          <w:bCs/>
          <w:i/>
          <w:color w:val="auto"/>
          <w:sz w:val="24"/>
          <w:szCs w:val="24"/>
          <w:highlight w:val="none"/>
          <w:u w:val="single"/>
        </w:rPr>
        <w:t>具有独立承担民事责任的能力（提供法人或者其他组织的营业执照等证明文件，自然人的身份证明复印件）</w:t>
      </w:r>
      <w:r>
        <w:rPr>
          <w:rFonts w:hint="eastAsia" w:ascii="宋体" w:hAnsi="宋体" w:eastAsia="宋体" w:cs="宋体"/>
          <w:bCs/>
          <w:i/>
          <w:iCs w:val="0"/>
          <w:color w:val="auto"/>
          <w:sz w:val="24"/>
          <w:szCs w:val="24"/>
          <w:highlight w:val="none"/>
          <w:u w:val="single"/>
          <w:lang w:eastAsia="zh-CN"/>
        </w:rPr>
        <w:t>。</w:t>
      </w:r>
    </w:p>
    <w:p w14:paraId="16B0D377">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Cs/>
          <w:i/>
          <w:iCs w:val="0"/>
          <w:color w:val="auto"/>
          <w:sz w:val="24"/>
          <w:szCs w:val="24"/>
          <w:highlight w:val="none"/>
          <w:u w:val="single"/>
          <w:lang w:eastAsia="zh-CN"/>
        </w:rPr>
      </w:pPr>
      <w:r>
        <w:rPr>
          <w:rFonts w:hint="eastAsia" w:ascii="宋体" w:hAnsi="宋体" w:eastAsia="宋体" w:cs="宋体"/>
          <w:bCs/>
          <w:i/>
          <w:iCs w:val="0"/>
          <w:color w:val="auto"/>
          <w:sz w:val="24"/>
          <w:szCs w:val="24"/>
          <w:highlight w:val="none"/>
          <w:u w:val="single"/>
          <w:lang w:val="en-US" w:eastAsia="zh-CN"/>
        </w:rPr>
        <w:t>2.</w:t>
      </w:r>
      <w:r>
        <w:rPr>
          <w:rFonts w:hint="eastAsia" w:ascii="宋体" w:hAnsi="宋体" w:eastAsia="宋体" w:cs="宋体"/>
          <w:bCs/>
          <w:i/>
          <w:color w:val="auto"/>
          <w:sz w:val="24"/>
          <w:szCs w:val="24"/>
          <w:highlight w:val="none"/>
          <w:u w:val="single"/>
        </w:rPr>
        <w:t>具有良好的商业信誉和健全的财务会计制度</w:t>
      </w:r>
      <w:r>
        <w:rPr>
          <w:rFonts w:hint="eastAsia" w:ascii="宋体" w:hAnsi="宋体" w:eastAsia="宋体" w:cs="宋体"/>
          <w:bCs/>
          <w:i/>
          <w:color w:val="auto"/>
          <w:sz w:val="24"/>
          <w:szCs w:val="24"/>
          <w:highlight w:val="none"/>
          <w:u w:val="single"/>
          <w:lang w:eastAsia="zh-CN"/>
        </w:rPr>
        <w:t>（</w:t>
      </w:r>
      <w:r>
        <w:rPr>
          <w:rFonts w:hint="eastAsia" w:ascii="宋体" w:hAnsi="宋体" w:eastAsia="宋体" w:cs="宋体"/>
          <w:bCs/>
          <w:i/>
          <w:color w:val="auto"/>
          <w:sz w:val="24"/>
          <w:szCs w:val="24"/>
          <w:highlight w:val="none"/>
          <w:u w:val="single"/>
        </w:rPr>
        <w:t>提供开标</w:t>
      </w:r>
      <w:r>
        <w:rPr>
          <w:rFonts w:hint="eastAsia" w:ascii="宋体" w:hAnsi="宋体" w:eastAsia="宋体" w:cs="宋体"/>
          <w:bCs/>
          <w:i/>
          <w:color w:val="auto"/>
          <w:sz w:val="24"/>
          <w:szCs w:val="24"/>
          <w:highlight w:val="none"/>
          <w:u w:val="single"/>
          <w:lang w:val="en-US" w:eastAsia="zh-CN"/>
        </w:rPr>
        <w:t>时间</w:t>
      </w:r>
      <w:r>
        <w:rPr>
          <w:rFonts w:hint="eastAsia" w:ascii="宋体" w:hAnsi="宋体" w:eastAsia="宋体" w:cs="宋体"/>
          <w:bCs/>
          <w:i/>
          <w:color w:val="auto"/>
          <w:sz w:val="24"/>
          <w:szCs w:val="24"/>
          <w:highlight w:val="none"/>
          <w:u w:val="single"/>
        </w:rPr>
        <w:t>前</w:t>
      </w:r>
      <w:r>
        <w:rPr>
          <w:rFonts w:hint="eastAsia" w:ascii="宋体" w:hAnsi="宋体" w:eastAsia="宋体" w:cs="宋体"/>
          <w:bCs/>
          <w:i/>
          <w:color w:val="auto"/>
          <w:sz w:val="24"/>
          <w:szCs w:val="24"/>
          <w:highlight w:val="none"/>
          <w:u w:val="single"/>
          <w:lang w:val="en-US" w:eastAsia="zh-CN"/>
        </w:rPr>
        <w:t>12</w:t>
      </w:r>
      <w:r>
        <w:rPr>
          <w:rFonts w:hint="eastAsia" w:ascii="宋体" w:hAnsi="宋体" w:eastAsia="宋体" w:cs="宋体"/>
          <w:bCs/>
          <w:i/>
          <w:color w:val="auto"/>
          <w:sz w:val="24"/>
          <w:szCs w:val="24"/>
          <w:highlight w:val="none"/>
          <w:u w:val="single"/>
        </w:rPr>
        <w:t>个月内任意</w:t>
      </w:r>
      <w:r>
        <w:rPr>
          <w:rFonts w:hint="eastAsia" w:ascii="宋体" w:hAnsi="宋体" w:eastAsia="宋体" w:cs="宋体"/>
          <w:bCs/>
          <w:i/>
          <w:color w:val="auto"/>
          <w:sz w:val="24"/>
          <w:szCs w:val="24"/>
          <w:highlight w:val="none"/>
          <w:u w:val="single"/>
          <w:lang w:val="en-US" w:eastAsia="zh-CN"/>
        </w:rPr>
        <w:t>1</w:t>
      </w:r>
      <w:r>
        <w:rPr>
          <w:rFonts w:hint="eastAsia" w:ascii="宋体" w:hAnsi="宋体" w:eastAsia="宋体" w:cs="宋体"/>
          <w:bCs/>
          <w:i/>
          <w:color w:val="auto"/>
          <w:sz w:val="24"/>
          <w:szCs w:val="24"/>
          <w:highlight w:val="none"/>
          <w:u w:val="single"/>
        </w:rPr>
        <w:t>个月的财务状况报告(至少包括资产负债表和利润表)（法人或者其他组织成立未满</w:t>
      </w:r>
      <w:r>
        <w:rPr>
          <w:rFonts w:hint="eastAsia" w:ascii="宋体" w:hAnsi="宋体" w:eastAsia="宋体" w:cs="宋体"/>
          <w:bCs/>
          <w:i/>
          <w:color w:val="auto"/>
          <w:sz w:val="24"/>
          <w:szCs w:val="24"/>
          <w:highlight w:val="none"/>
          <w:u w:val="single"/>
          <w:lang w:val="en-US" w:eastAsia="zh-CN"/>
        </w:rPr>
        <w:t>3</w:t>
      </w:r>
      <w:r>
        <w:rPr>
          <w:rFonts w:hint="eastAsia" w:ascii="宋体" w:hAnsi="宋体" w:eastAsia="宋体" w:cs="宋体"/>
          <w:bCs/>
          <w:i/>
          <w:color w:val="auto"/>
          <w:sz w:val="24"/>
          <w:szCs w:val="24"/>
          <w:highlight w:val="none"/>
          <w:u w:val="single"/>
        </w:rPr>
        <w:t>个月的可以不提供）</w:t>
      </w:r>
      <w:r>
        <w:rPr>
          <w:rFonts w:hint="eastAsia" w:ascii="宋体" w:hAnsi="宋体" w:eastAsia="宋体" w:cs="宋体"/>
          <w:bCs/>
          <w:i/>
          <w:color w:val="auto"/>
          <w:sz w:val="24"/>
          <w:szCs w:val="24"/>
          <w:highlight w:val="none"/>
          <w:u w:val="single"/>
          <w:lang w:eastAsia="zh-CN"/>
        </w:rPr>
        <w:t>、</w:t>
      </w:r>
      <w:r>
        <w:rPr>
          <w:rFonts w:hint="eastAsia" w:ascii="宋体" w:hAnsi="宋体" w:eastAsia="宋体" w:cs="宋体"/>
          <w:bCs/>
          <w:i/>
          <w:color w:val="auto"/>
          <w:sz w:val="24"/>
          <w:szCs w:val="24"/>
          <w:highlight w:val="none"/>
          <w:u w:val="single"/>
        </w:rPr>
        <w:t>或开标</w:t>
      </w:r>
      <w:r>
        <w:rPr>
          <w:rFonts w:hint="eastAsia" w:ascii="宋体" w:hAnsi="宋体" w:eastAsia="宋体" w:cs="宋体"/>
          <w:bCs/>
          <w:i/>
          <w:color w:val="auto"/>
          <w:sz w:val="24"/>
          <w:szCs w:val="24"/>
          <w:highlight w:val="none"/>
          <w:u w:val="single"/>
          <w:lang w:val="en-US" w:eastAsia="zh-CN"/>
        </w:rPr>
        <w:t>时间</w:t>
      </w:r>
      <w:r>
        <w:rPr>
          <w:rFonts w:hint="eastAsia" w:ascii="宋体" w:hAnsi="宋体" w:eastAsia="宋体" w:cs="宋体"/>
          <w:bCs/>
          <w:i/>
          <w:color w:val="auto"/>
          <w:sz w:val="24"/>
          <w:szCs w:val="24"/>
          <w:highlight w:val="none"/>
          <w:u w:val="single"/>
        </w:rPr>
        <w:t>前</w:t>
      </w:r>
      <w:r>
        <w:rPr>
          <w:rFonts w:hint="eastAsia" w:ascii="宋体" w:hAnsi="宋体" w:eastAsia="宋体" w:cs="宋体"/>
          <w:bCs/>
          <w:i/>
          <w:color w:val="auto"/>
          <w:sz w:val="24"/>
          <w:szCs w:val="24"/>
          <w:highlight w:val="none"/>
          <w:u w:val="single"/>
          <w:lang w:val="en-US" w:eastAsia="zh-CN"/>
        </w:rPr>
        <w:t>12</w:t>
      </w:r>
      <w:r>
        <w:rPr>
          <w:rFonts w:hint="eastAsia" w:ascii="宋体" w:hAnsi="宋体" w:eastAsia="宋体" w:cs="宋体"/>
          <w:bCs/>
          <w:i/>
          <w:color w:val="auto"/>
          <w:sz w:val="24"/>
          <w:szCs w:val="24"/>
          <w:highlight w:val="none"/>
          <w:u w:val="single"/>
        </w:rPr>
        <w:t>个月内银行出具的资信证书复印件</w:t>
      </w:r>
      <w:r>
        <w:rPr>
          <w:rFonts w:hint="eastAsia" w:ascii="宋体" w:hAnsi="宋体" w:eastAsia="宋体" w:cs="宋体"/>
          <w:bCs/>
          <w:i/>
          <w:color w:val="auto"/>
          <w:sz w:val="24"/>
          <w:szCs w:val="24"/>
          <w:highlight w:val="none"/>
          <w:u w:val="single"/>
          <w:lang w:eastAsia="zh-CN"/>
        </w:rPr>
        <w:t>、</w:t>
      </w:r>
      <w:r>
        <w:rPr>
          <w:rFonts w:hint="eastAsia" w:ascii="宋体" w:hAnsi="宋体" w:eastAsia="宋体" w:cs="宋体"/>
          <w:bCs/>
          <w:i/>
          <w:color w:val="auto"/>
          <w:sz w:val="24"/>
          <w:szCs w:val="24"/>
          <w:highlight w:val="none"/>
          <w:u w:val="single"/>
        </w:rPr>
        <w:t>或其</w:t>
      </w:r>
      <w:r>
        <w:rPr>
          <w:rFonts w:hint="eastAsia" w:ascii="宋体" w:hAnsi="宋体" w:eastAsia="宋体" w:cs="宋体"/>
          <w:bCs/>
          <w:i/>
          <w:color w:val="auto"/>
          <w:sz w:val="24"/>
          <w:szCs w:val="24"/>
          <w:highlight w:val="none"/>
          <w:u w:val="single"/>
          <w:lang w:val="en-US" w:eastAsia="zh-CN"/>
        </w:rPr>
        <w:t>2024</w:t>
      </w:r>
      <w:r>
        <w:rPr>
          <w:rFonts w:hint="eastAsia" w:ascii="宋体" w:hAnsi="宋体" w:eastAsia="宋体" w:cs="宋体"/>
          <w:bCs/>
          <w:i/>
          <w:color w:val="auto"/>
          <w:sz w:val="24"/>
          <w:szCs w:val="24"/>
          <w:highlight w:val="none"/>
          <w:u w:val="single"/>
        </w:rPr>
        <w:t>年度</w:t>
      </w:r>
      <w:r>
        <w:rPr>
          <w:rFonts w:hint="eastAsia" w:ascii="宋体" w:hAnsi="宋体" w:eastAsia="宋体" w:cs="宋体"/>
          <w:bCs/>
          <w:i/>
          <w:color w:val="auto"/>
          <w:sz w:val="24"/>
          <w:szCs w:val="24"/>
          <w:highlight w:val="none"/>
          <w:u w:val="single"/>
          <w:lang w:val="en-US" w:eastAsia="zh-CN"/>
        </w:rPr>
        <w:t>或2025年度</w:t>
      </w:r>
      <w:r>
        <w:rPr>
          <w:rFonts w:hint="eastAsia" w:ascii="宋体" w:hAnsi="宋体" w:eastAsia="宋体" w:cs="宋体"/>
          <w:bCs/>
          <w:i/>
          <w:color w:val="auto"/>
          <w:sz w:val="24"/>
          <w:szCs w:val="24"/>
          <w:highlight w:val="none"/>
          <w:u w:val="single"/>
        </w:rPr>
        <w:t>经审计的财务报告(至少</w:t>
      </w:r>
      <w:r>
        <w:rPr>
          <w:rFonts w:hint="eastAsia" w:ascii="宋体" w:hAnsi="宋体" w:eastAsia="宋体" w:cs="宋体"/>
          <w:bCs/>
          <w:i/>
          <w:color w:val="auto"/>
          <w:sz w:val="24"/>
          <w:szCs w:val="24"/>
          <w:highlight w:val="none"/>
          <w:u w:val="single"/>
          <w:lang w:val="en-US" w:eastAsia="zh-CN"/>
        </w:rPr>
        <w:t>同时</w:t>
      </w:r>
      <w:r>
        <w:rPr>
          <w:rFonts w:hint="eastAsia" w:ascii="宋体" w:hAnsi="宋体" w:eastAsia="宋体" w:cs="宋体"/>
          <w:bCs/>
          <w:i/>
          <w:color w:val="auto"/>
          <w:sz w:val="24"/>
          <w:szCs w:val="24"/>
          <w:highlight w:val="none"/>
          <w:u w:val="single"/>
        </w:rPr>
        <w:t>包括资产负债表</w:t>
      </w:r>
      <w:r>
        <w:rPr>
          <w:rFonts w:hint="eastAsia" w:ascii="宋体" w:hAnsi="宋体" w:eastAsia="宋体" w:cs="宋体"/>
          <w:bCs/>
          <w:i/>
          <w:color w:val="auto"/>
          <w:sz w:val="24"/>
          <w:szCs w:val="24"/>
          <w:highlight w:val="none"/>
          <w:u w:val="single"/>
          <w:lang w:eastAsia="zh-CN"/>
        </w:rPr>
        <w:t>、</w:t>
      </w:r>
      <w:r>
        <w:rPr>
          <w:rFonts w:hint="eastAsia" w:ascii="宋体" w:hAnsi="宋体" w:eastAsia="宋体" w:cs="宋体"/>
          <w:bCs/>
          <w:i/>
          <w:color w:val="auto"/>
          <w:sz w:val="24"/>
          <w:szCs w:val="24"/>
          <w:highlight w:val="none"/>
          <w:u w:val="single"/>
        </w:rPr>
        <w:t>利润表</w:t>
      </w:r>
      <w:r>
        <w:rPr>
          <w:rFonts w:hint="eastAsia" w:ascii="宋体" w:hAnsi="宋体" w:eastAsia="宋体" w:cs="宋体"/>
          <w:bCs/>
          <w:i/>
          <w:color w:val="auto"/>
          <w:sz w:val="24"/>
          <w:szCs w:val="24"/>
          <w:highlight w:val="none"/>
          <w:u w:val="single"/>
          <w:lang w:eastAsia="zh-CN"/>
        </w:rPr>
        <w:t>、</w:t>
      </w:r>
      <w:r>
        <w:rPr>
          <w:rFonts w:hint="eastAsia" w:ascii="宋体" w:hAnsi="宋体" w:eastAsia="宋体" w:cs="宋体"/>
          <w:bCs/>
          <w:i/>
          <w:color w:val="auto"/>
          <w:sz w:val="24"/>
          <w:szCs w:val="24"/>
          <w:highlight w:val="none"/>
          <w:u w:val="single"/>
          <w:lang w:val="en-US" w:eastAsia="zh-CN"/>
        </w:rPr>
        <w:t>现金流量表</w:t>
      </w:r>
      <w:r>
        <w:rPr>
          <w:rFonts w:hint="eastAsia" w:ascii="宋体" w:hAnsi="宋体" w:eastAsia="宋体" w:cs="宋体"/>
          <w:bCs/>
          <w:i/>
          <w:color w:val="auto"/>
          <w:sz w:val="24"/>
          <w:szCs w:val="24"/>
          <w:highlight w:val="none"/>
          <w:u w:val="single"/>
        </w:rPr>
        <w:t>)复印件</w:t>
      </w:r>
      <w:r>
        <w:rPr>
          <w:rFonts w:hint="eastAsia" w:ascii="宋体" w:hAnsi="宋体" w:eastAsia="宋体" w:cs="宋体"/>
          <w:bCs/>
          <w:i/>
          <w:color w:val="auto"/>
          <w:sz w:val="24"/>
          <w:szCs w:val="24"/>
          <w:highlight w:val="none"/>
          <w:u w:val="single"/>
          <w:lang w:eastAsia="zh-CN"/>
        </w:rPr>
        <w:t>）。</w:t>
      </w:r>
    </w:p>
    <w:p w14:paraId="23A0BF1A">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val="0"/>
          <w:bCs/>
          <w:i/>
          <w:iCs w:val="0"/>
          <w:color w:val="auto"/>
          <w:sz w:val="24"/>
          <w:szCs w:val="24"/>
          <w:highlight w:val="none"/>
          <w:u w:val="single"/>
          <w:lang w:eastAsia="zh-CN"/>
        </w:rPr>
      </w:pPr>
      <w:r>
        <w:rPr>
          <w:rFonts w:hint="eastAsia" w:ascii="宋体" w:hAnsi="宋体" w:eastAsia="宋体" w:cs="宋体"/>
          <w:bCs/>
          <w:i/>
          <w:iCs w:val="0"/>
          <w:color w:val="auto"/>
          <w:sz w:val="24"/>
          <w:szCs w:val="24"/>
          <w:highlight w:val="none"/>
          <w:u w:val="single"/>
        </w:rPr>
        <w:t>3</w:t>
      </w:r>
      <w:r>
        <w:rPr>
          <w:rFonts w:hint="eastAsia" w:ascii="宋体" w:hAnsi="宋体" w:eastAsia="宋体" w:cs="宋体"/>
          <w:bCs/>
          <w:i/>
          <w:iCs w:val="0"/>
          <w:color w:val="auto"/>
          <w:sz w:val="24"/>
          <w:szCs w:val="24"/>
          <w:highlight w:val="none"/>
          <w:u w:val="single"/>
          <w:lang w:val="en-US" w:eastAsia="zh-CN"/>
        </w:rPr>
        <w:t>.</w:t>
      </w:r>
      <w:r>
        <w:rPr>
          <w:rFonts w:hint="eastAsia" w:ascii="宋体" w:hAnsi="宋体" w:eastAsia="宋体" w:cs="宋体"/>
          <w:bCs/>
          <w:i/>
          <w:color w:val="auto"/>
          <w:sz w:val="24"/>
          <w:szCs w:val="24"/>
          <w:highlight w:val="none"/>
          <w:u w:val="single"/>
        </w:rPr>
        <w:t>具有履行合同所必需的设备和专业技术能力（根据项目需求提供履行合同所必需的设备和专业技术能力的证明材料复印件或</w:t>
      </w:r>
      <w:r>
        <w:rPr>
          <w:rFonts w:hint="eastAsia" w:ascii="宋体" w:hAnsi="宋体" w:eastAsia="宋体" w:cs="宋体"/>
          <w:bCs/>
          <w:i/>
          <w:color w:val="auto"/>
          <w:sz w:val="24"/>
          <w:szCs w:val="24"/>
          <w:highlight w:val="none"/>
          <w:u w:val="single"/>
          <w:lang w:val="en-US" w:eastAsia="zh-CN"/>
        </w:rPr>
        <w:t>声明函</w:t>
      </w:r>
      <w:r>
        <w:rPr>
          <w:rFonts w:hint="eastAsia" w:ascii="宋体" w:hAnsi="宋体" w:eastAsia="宋体" w:cs="宋体"/>
          <w:bCs/>
          <w:i/>
          <w:color w:val="auto"/>
          <w:sz w:val="24"/>
          <w:szCs w:val="24"/>
          <w:highlight w:val="none"/>
          <w:u w:val="single"/>
        </w:rPr>
        <w:t>）</w:t>
      </w:r>
      <w:r>
        <w:rPr>
          <w:rFonts w:hint="eastAsia" w:ascii="宋体" w:hAnsi="宋体" w:eastAsia="宋体" w:cs="宋体"/>
          <w:bCs/>
          <w:i/>
          <w:color w:val="auto"/>
          <w:sz w:val="24"/>
          <w:szCs w:val="24"/>
          <w:highlight w:val="none"/>
          <w:u w:val="single"/>
          <w:lang w:eastAsia="zh-CN"/>
        </w:rPr>
        <w:t>。</w:t>
      </w:r>
    </w:p>
    <w:p w14:paraId="55BAF561">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val="0"/>
          <w:bCs/>
          <w:i/>
          <w:iCs w:val="0"/>
          <w:color w:val="auto"/>
          <w:sz w:val="24"/>
          <w:szCs w:val="24"/>
          <w:highlight w:val="none"/>
          <w:u w:val="single"/>
          <w:lang w:val="en-US"/>
        </w:rPr>
      </w:pPr>
      <w:r>
        <w:rPr>
          <w:rFonts w:hint="eastAsia" w:ascii="宋体" w:hAnsi="宋体" w:eastAsia="宋体" w:cs="宋体"/>
          <w:bCs/>
          <w:i/>
          <w:iCs w:val="0"/>
          <w:color w:val="auto"/>
          <w:sz w:val="24"/>
          <w:szCs w:val="24"/>
          <w:highlight w:val="none"/>
          <w:u w:val="single"/>
          <w:lang w:val="en-US" w:eastAsia="zh-CN"/>
        </w:rPr>
        <w:t>4.</w:t>
      </w:r>
      <w:r>
        <w:rPr>
          <w:rFonts w:hint="eastAsia" w:ascii="宋体" w:hAnsi="宋体" w:eastAsia="宋体" w:cs="宋体"/>
          <w:bCs/>
          <w:i/>
          <w:color w:val="auto"/>
          <w:sz w:val="24"/>
          <w:szCs w:val="24"/>
          <w:highlight w:val="none"/>
          <w:u w:val="single"/>
        </w:rPr>
        <w:t>有依法缴纳税收和社会保障资金的良好记录（提供开标</w:t>
      </w:r>
      <w:r>
        <w:rPr>
          <w:rFonts w:hint="eastAsia" w:ascii="宋体" w:hAnsi="宋体" w:eastAsia="宋体" w:cs="宋体"/>
          <w:bCs/>
          <w:i/>
          <w:color w:val="auto"/>
          <w:sz w:val="24"/>
          <w:szCs w:val="24"/>
          <w:highlight w:val="none"/>
          <w:u w:val="single"/>
          <w:lang w:val="en-US" w:eastAsia="zh-CN"/>
        </w:rPr>
        <w:t>时间</w:t>
      </w:r>
      <w:r>
        <w:rPr>
          <w:rFonts w:hint="eastAsia" w:ascii="宋体" w:hAnsi="宋体" w:eastAsia="宋体" w:cs="宋体"/>
          <w:bCs/>
          <w:i/>
          <w:color w:val="auto"/>
          <w:sz w:val="24"/>
          <w:szCs w:val="24"/>
          <w:highlight w:val="none"/>
          <w:u w:val="single"/>
        </w:rPr>
        <w:t>前</w:t>
      </w:r>
      <w:r>
        <w:rPr>
          <w:rFonts w:hint="eastAsia" w:ascii="宋体" w:hAnsi="宋体" w:eastAsia="宋体" w:cs="宋体"/>
          <w:bCs/>
          <w:i/>
          <w:color w:val="auto"/>
          <w:sz w:val="24"/>
          <w:szCs w:val="24"/>
          <w:highlight w:val="none"/>
          <w:u w:val="single"/>
          <w:lang w:val="en-US" w:eastAsia="zh-CN"/>
        </w:rPr>
        <w:t>6</w:t>
      </w:r>
      <w:r>
        <w:rPr>
          <w:rFonts w:hint="eastAsia" w:ascii="宋体" w:hAnsi="宋体" w:eastAsia="宋体" w:cs="宋体"/>
          <w:bCs/>
          <w:i/>
          <w:color w:val="auto"/>
          <w:sz w:val="24"/>
          <w:szCs w:val="24"/>
          <w:highlight w:val="none"/>
          <w:u w:val="single"/>
        </w:rPr>
        <w:t>个月内任意</w:t>
      </w:r>
      <w:r>
        <w:rPr>
          <w:rFonts w:hint="eastAsia" w:ascii="宋体" w:hAnsi="宋体" w:eastAsia="宋体" w:cs="宋体"/>
          <w:bCs/>
          <w:i/>
          <w:color w:val="auto"/>
          <w:sz w:val="24"/>
          <w:szCs w:val="24"/>
          <w:highlight w:val="none"/>
          <w:u w:val="single"/>
          <w:lang w:val="en-US" w:eastAsia="zh-CN"/>
        </w:rPr>
        <w:t>1</w:t>
      </w:r>
      <w:r>
        <w:rPr>
          <w:rFonts w:hint="eastAsia" w:ascii="宋体" w:hAnsi="宋体" w:eastAsia="宋体" w:cs="宋体"/>
          <w:bCs/>
          <w:i/>
          <w:color w:val="auto"/>
          <w:sz w:val="24"/>
          <w:szCs w:val="24"/>
          <w:highlight w:val="none"/>
          <w:u w:val="single"/>
        </w:rPr>
        <w:t>个月依法缴纳税收和社会保障资金的相关材料复印件，依法享受免缴、缓缴的提供证明材料复印件）</w:t>
      </w:r>
      <w:r>
        <w:rPr>
          <w:rFonts w:hint="eastAsia" w:ascii="宋体" w:hAnsi="宋体" w:eastAsia="宋体" w:cs="宋体"/>
          <w:bCs/>
          <w:i/>
          <w:iCs w:val="0"/>
          <w:color w:val="auto"/>
          <w:sz w:val="24"/>
          <w:szCs w:val="24"/>
          <w:highlight w:val="none"/>
          <w:u w:val="single"/>
          <w:lang w:val="en-US" w:eastAsia="zh-CN"/>
        </w:rPr>
        <w:t>。</w:t>
      </w:r>
    </w:p>
    <w:p w14:paraId="7B78D28D">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Cs/>
          <w:i/>
          <w:iCs w:val="0"/>
          <w:color w:val="auto"/>
          <w:sz w:val="24"/>
          <w:szCs w:val="24"/>
          <w:highlight w:val="none"/>
          <w:u w:val="single"/>
        </w:rPr>
      </w:pPr>
      <w:r>
        <w:rPr>
          <w:rFonts w:hint="eastAsia" w:ascii="宋体" w:hAnsi="宋体" w:eastAsia="宋体" w:cs="宋体"/>
          <w:bCs/>
          <w:i/>
          <w:iCs w:val="0"/>
          <w:color w:val="auto"/>
          <w:sz w:val="24"/>
          <w:szCs w:val="24"/>
          <w:highlight w:val="none"/>
          <w:u w:val="single"/>
          <w:lang w:val="en-US" w:eastAsia="zh-CN"/>
        </w:rPr>
        <w:t>5.</w:t>
      </w:r>
      <w:r>
        <w:rPr>
          <w:rFonts w:hint="eastAsia" w:ascii="宋体" w:hAnsi="宋体" w:eastAsia="宋体" w:cs="宋体"/>
          <w:bCs/>
          <w:i/>
          <w:color w:val="auto"/>
          <w:sz w:val="24"/>
          <w:szCs w:val="24"/>
          <w:highlight w:val="none"/>
          <w:u w:val="single"/>
        </w:rPr>
        <w:t>参加政府采购活动前</w:t>
      </w:r>
      <w:r>
        <w:rPr>
          <w:rFonts w:hint="eastAsia" w:ascii="宋体" w:hAnsi="宋体" w:eastAsia="宋体" w:cs="宋体"/>
          <w:bCs/>
          <w:i/>
          <w:color w:val="auto"/>
          <w:sz w:val="24"/>
          <w:szCs w:val="24"/>
          <w:highlight w:val="none"/>
          <w:u w:val="single"/>
          <w:lang w:val="en-US" w:eastAsia="zh-CN"/>
        </w:rPr>
        <w:t>3</w:t>
      </w:r>
      <w:r>
        <w:rPr>
          <w:rFonts w:hint="eastAsia" w:ascii="宋体" w:hAnsi="宋体" w:eastAsia="宋体" w:cs="宋体"/>
          <w:bCs/>
          <w:i/>
          <w:color w:val="auto"/>
          <w:sz w:val="24"/>
          <w:szCs w:val="24"/>
          <w:highlight w:val="none"/>
          <w:u w:val="single"/>
        </w:rPr>
        <w:t>年内，在经营活动中没有重大违法记录（提供声明函原件（重大违法记录是指供应商因违法经营受到刑事处罚或责令停产停业、吊销许可证或者执照、较大数额罚款等行政处罚））。</w:t>
      </w:r>
    </w:p>
    <w:p w14:paraId="5C0F690A">
      <w:pPr>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i/>
          <w:iCs/>
          <w:color w:val="auto"/>
          <w:sz w:val="24"/>
          <w:szCs w:val="24"/>
          <w:highlight w:val="none"/>
          <w:u w:val="single"/>
        </w:rPr>
      </w:pPr>
      <w:r>
        <w:rPr>
          <w:rFonts w:hint="eastAsia" w:ascii="宋体" w:hAnsi="宋体" w:eastAsia="宋体" w:cs="宋体"/>
          <w:bCs/>
          <w:i/>
          <w:iCs w:val="0"/>
          <w:color w:val="auto"/>
          <w:sz w:val="24"/>
          <w:szCs w:val="24"/>
          <w:highlight w:val="none"/>
          <w:u w:val="single"/>
          <w:lang w:val="en-US" w:eastAsia="zh-CN"/>
        </w:rPr>
        <w:t>6.</w:t>
      </w:r>
      <w:r>
        <w:rPr>
          <w:rFonts w:hint="eastAsia" w:ascii="宋体" w:hAnsi="宋体" w:eastAsia="宋体" w:cs="宋体"/>
          <w:bCs/>
          <w:i/>
          <w:color w:val="auto"/>
          <w:sz w:val="24"/>
          <w:szCs w:val="24"/>
          <w:highlight w:val="none"/>
          <w:u w:val="single"/>
        </w:rPr>
        <w:t>法律、行政法规规定的其他条件。</w:t>
      </w:r>
    </w:p>
    <w:p w14:paraId="194E6F68">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i/>
          <w:color w:val="auto"/>
          <w:sz w:val="24"/>
          <w:szCs w:val="24"/>
          <w:highlight w:val="none"/>
          <w:u w:val="singl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lang w:eastAsia="zh-CN"/>
        </w:rPr>
        <w:t>）</w:t>
      </w:r>
      <w:r>
        <w:rPr>
          <w:rFonts w:hint="eastAsia" w:ascii="宋体" w:hAnsi="宋体" w:eastAsia="宋体" w:cs="宋体"/>
          <w:b/>
          <w:i/>
          <w:color w:val="auto"/>
          <w:sz w:val="24"/>
          <w:szCs w:val="24"/>
          <w:highlight w:val="none"/>
          <w:u w:val="single"/>
        </w:rPr>
        <w:t>落实政府采购政策需满足的资格要求：</w:t>
      </w:r>
    </w:p>
    <w:p w14:paraId="074A7781">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val="0"/>
          <w:bCs/>
          <w:i/>
          <w:color w:val="auto"/>
          <w:sz w:val="24"/>
          <w:szCs w:val="24"/>
          <w:highlight w:val="none"/>
          <w:u w:val="single"/>
        </w:rPr>
      </w:pPr>
      <w:r>
        <w:rPr>
          <w:rFonts w:hint="eastAsia" w:ascii="宋体" w:hAnsi="宋体" w:eastAsia="宋体" w:cs="宋体"/>
          <w:b w:val="0"/>
          <w:bCs/>
          <w:i/>
          <w:color w:val="auto"/>
          <w:sz w:val="24"/>
          <w:szCs w:val="24"/>
          <w:highlight w:val="none"/>
          <w:u w:val="single"/>
          <w:lang w:val="en-US" w:eastAsia="zh-CN"/>
        </w:rPr>
        <w:t>1.</w:t>
      </w:r>
      <w:r>
        <w:rPr>
          <w:rFonts w:hint="eastAsia" w:ascii="宋体" w:hAnsi="宋体" w:eastAsia="宋体" w:cs="宋体"/>
          <w:b w:val="0"/>
          <w:bCs/>
          <w:i/>
          <w:color w:val="auto"/>
          <w:sz w:val="24"/>
          <w:szCs w:val="24"/>
          <w:highlight w:val="none"/>
          <w:u w:val="single"/>
        </w:rPr>
        <w:t>本项目为专门面向中小企业</w:t>
      </w:r>
      <w:r>
        <w:rPr>
          <w:rFonts w:hint="eastAsia" w:ascii="宋体" w:hAnsi="宋体" w:cs="宋体"/>
          <w:b w:val="0"/>
          <w:bCs/>
          <w:i/>
          <w:color w:val="auto"/>
          <w:sz w:val="24"/>
          <w:szCs w:val="24"/>
          <w:highlight w:val="none"/>
          <w:u w:val="single"/>
          <w:lang w:val="en-US" w:eastAsia="zh-CN"/>
        </w:rPr>
        <w:t>采购</w:t>
      </w:r>
      <w:r>
        <w:rPr>
          <w:rFonts w:hint="eastAsia" w:ascii="宋体" w:hAnsi="宋体" w:eastAsia="宋体" w:cs="宋体"/>
          <w:b w:val="0"/>
          <w:bCs/>
          <w:i/>
          <w:color w:val="auto"/>
          <w:sz w:val="24"/>
          <w:szCs w:val="24"/>
          <w:highlight w:val="none"/>
          <w:u w:val="single"/>
        </w:rPr>
        <w:t>项目。</w:t>
      </w:r>
    </w:p>
    <w:p w14:paraId="2A96A3E7">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i/>
          <w:color w:val="auto"/>
          <w:sz w:val="24"/>
          <w:szCs w:val="24"/>
          <w:highlight w:val="none"/>
          <w:u w:val="single"/>
        </w:rPr>
        <w:t>2.本项目属于</w:t>
      </w:r>
      <w:r>
        <w:rPr>
          <w:rFonts w:hint="eastAsia" w:ascii="宋体" w:hAnsi="宋体" w:cs="宋体"/>
          <w:b w:val="0"/>
          <w:bCs/>
          <w:i/>
          <w:color w:val="auto"/>
          <w:sz w:val="24"/>
          <w:szCs w:val="24"/>
          <w:highlight w:val="none"/>
          <w:u w:val="single"/>
          <w:lang w:val="en-US" w:eastAsia="zh-CN"/>
        </w:rPr>
        <w:t>服务</w:t>
      </w:r>
      <w:r>
        <w:rPr>
          <w:rFonts w:hint="eastAsia" w:ascii="宋体" w:hAnsi="宋体" w:eastAsia="宋体" w:cs="宋体"/>
          <w:b w:val="0"/>
          <w:bCs/>
          <w:i/>
          <w:color w:val="auto"/>
          <w:sz w:val="24"/>
          <w:szCs w:val="24"/>
          <w:highlight w:val="none"/>
          <w:u w:val="single"/>
        </w:rPr>
        <w:t>类采购。根据《政府采购促进中小企业发展管理办法》（财库〔2020〕46号）、《关于做好政府采购支持企业发展有关事项的通知》(苏财购(2020)52号)的要求，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p>
    <w:p w14:paraId="4F449005">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i/>
          <w:color w:val="auto"/>
          <w:sz w:val="24"/>
          <w:szCs w:val="24"/>
          <w:highlight w:val="none"/>
          <w:u w:val="single"/>
          <w:lang w:val="en-US" w:eastAsia="zh-CN"/>
        </w:rPr>
        <w:t>3</w:t>
      </w:r>
      <w:r>
        <w:rPr>
          <w:rFonts w:hint="eastAsia" w:ascii="宋体" w:hAnsi="宋体" w:eastAsia="宋体" w:cs="宋体"/>
          <w:b w:val="0"/>
          <w:bCs/>
          <w:i/>
          <w:color w:val="auto"/>
          <w:sz w:val="24"/>
          <w:szCs w:val="24"/>
          <w:highlight w:val="none"/>
          <w:u w:val="single"/>
        </w:rPr>
        <w:t>.中小微企业划型标准请对照《关于印发中小企业划型标准规定的通知》（工信部联企业〔2011〕300号）（详见格式）。本项目采购标的对应的行业主要为</w:t>
      </w:r>
      <w:r>
        <w:rPr>
          <w:rFonts w:hint="eastAsia" w:ascii="宋体" w:hAnsi="宋体" w:eastAsia="宋体" w:cs="宋体"/>
          <w:b w:val="0"/>
          <w:bCs/>
          <w:i/>
          <w:color w:val="auto"/>
          <w:sz w:val="24"/>
          <w:szCs w:val="24"/>
          <w:highlight w:val="none"/>
          <w:u w:val="single"/>
          <w:lang w:eastAsia="zh-CN"/>
        </w:rPr>
        <w:t>“</w:t>
      </w:r>
      <w:r>
        <w:rPr>
          <w:rFonts w:hint="eastAsia" w:ascii="宋体" w:hAnsi="宋体" w:eastAsia="宋体" w:cs="宋体"/>
          <w:b w:val="0"/>
          <w:bCs/>
          <w:i/>
          <w:color w:val="auto"/>
          <w:sz w:val="24"/>
          <w:szCs w:val="24"/>
          <w:highlight w:val="none"/>
          <w:u w:val="single"/>
        </w:rPr>
        <w:t>租赁和商务服务业</w:t>
      </w:r>
      <w:r>
        <w:rPr>
          <w:rFonts w:hint="eastAsia" w:ascii="宋体" w:hAnsi="宋体" w:eastAsia="宋体" w:cs="宋体"/>
          <w:b w:val="0"/>
          <w:bCs/>
          <w:i/>
          <w:color w:val="auto"/>
          <w:sz w:val="24"/>
          <w:szCs w:val="24"/>
          <w:highlight w:val="none"/>
          <w:u w:val="single"/>
          <w:lang w:eastAsia="zh-CN"/>
        </w:rPr>
        <w:t>”</w:t>
      </w:r>
      <w:r>
        <w:rPr>
          <w:rFonts w:hint="eastAsia" w:ascii="宋体" w:hAnsi="宋体" w:eastAsia="宋体" w:cs="宋体"/>
          <w:b w:val="0"/>
          <w:bCs/>
          <w:i/>
          <w:color w:val="auto"/>
          <w:sz w:val="24"/>
          <w:szCs w:val="24"/>
          <w:highlight w:val="none"/>
          <w:u w:val="single"/>
        </w:rPr>
        <w:t>。</w:t>
      </w:r>
    </w:p>
    <w:p w14:paraId="4A1EFF23">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本项目的特定资格要求：</w:t>
      </w:r>
    </w:p>
    <w:p w14:paraId="546384D1">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val="0"/>
          <w:bCs/>
          <w:i/>
          <w:color w:val="auto"/>
          <w:sz w:val="24"/>
          <w:szCs w:val="24"/>
          <w:highlight w:val="none"/>
          <w:u w:val="single"/>
          <w:lang w:val="en-US" w:eastAsia="zh-CN"/>
        </w:rPr>
      </w:pPr>
      <w:r>
        <w:rPr>
          <w:rFonts w:hint="eastAsia" w:ascii="宋体" w:hAnsi="宋体" w:eastAsia="宋体" w:cs="宋体"/>
          <w:b w:val="0"/>
          <w:bCs/>
          <w:i/>
          <w:color w:val="auto"/>
          <w:sz w:val="24"/>
          <w:szCs w:val="24"/>
          <w:highlight w:val="none"/>
          <w:u w:val="single"/>
          <w:lang w:val="en-US" w:eastAsia="zh-CN"/>
        </w:rPr>
        <w:t>1.供应商存在下列情形的不得参加本次采购活动：</w:t>
      </w:r>
    </w:p>
    <w:p w14:paraId="6FEBC334">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val="0"/>
          <w:bCs/>
          <w:i/>
          <w:color w:val="auto"/>
          <w:sz w:val="24"/>
          <w:szCs w:val="24"/>
          <w:highlight w:val="none"/>
          <w:u w:val="single"/>
          <w:lang w:val="en-US" w:eastAsia="zh-CN"/>
        </w:rPr>
      </w:pPr>
      <w:r>
        <w:rPr>
          <w:rFonts w:hint="eastAsia" w:ascii="宋体" w:hAnsi="宋体" w:eastAsia="宋体" w:cs="宋体"/>
          <w:b w:val="0"/>
          <w:bCs/>
          <w:i/>
          <w:color w:val="auto"/>
          <w:sz w:val="24"/>
          <w:szCs w:val="24"/>
          <w:highlight w:val="none"/>
          <w:u w:val="single"/>
          <w:lang w:val="en-US" w:eastAsia="zh-CN"/>
        </w:rPr>
        <w:t>（1）单位负责人为同一人或者存在直接控股、管理关系的不同供应商，不得参加同一合同项下的政府采购活动。</w:t>
      </w:r>
    </w:p>
    <w:p w14:paraId="3EFB3040">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val="0"/>
          <w:bCs/>
          <w:i/>
          <w:color w:val="auto"/>
          <w:sz w:val="24"/>
          <w:szCs w:val="24"/>
          <w:highlight w:val="none"/>
          <w:u w:val="single"/>
          <w:lang w:val="en-US" w:eastAsia="zh-CN"/>
        </w:rPr>
      </w:pPr>
      <w:r>
        <w:rPr>
          <w:rFonts w:hint="eastAsia" w:ascii="宋体" w:hAnsi="宋体" w:eastAsia="宋体" w:cs="宋体"/>
          <w:b w:val="0"/>
          <w:bCs/>
          <w:i/>
          <w:color w:val="auto"/>
          <w:sz w:val="24"/>
          <w:szCs w:val="24"/>
          <w:highlight w:val="none"/>
          <w:u w:val="single"/>
          <w:lang w:val="en-US" w:eastAsia="zh-CN"/>
        </w:rPr>
        <w:t>（2）除单一来源项目外，凡为采购项目提供整体设计、规范编制或者项目管理、检测等服务的供应商不得再参加本项目的采购活动。</w:t>
      </w:r>
    </w:p>
    <w:p w14:paraId="1577BAB8">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22"/>
        <w:textAlignment w:val="auto"/>
        <w:rPr>
          <w:rFonts w:hint="eastAsia" w:ascii="宋体" w:hAnsi="宋体" w:eastAsia="宋体" w:cs="宋体"/>
          <w:b w:val="0"/>
          <w:bCs/>
          <w:i/>
          <w:color w:val="auto"/>
          <w:sz w:val="24"/>
          <w:szCs w:val="24"/>
          <w:highlight w:val="none"/>
          <w:u w:val="single"/>
          <w:lang w:val="en-US" w:eastAsia="zh-CN"/>
        </w:rPr>
      </w:pPr>
      <w:r>
        <w:rPr>
          <w:rFonts w:hint="eastAsia" w:ascii="宋体" w:hAnsi="宋体" w:eastAsia="宋体" w:cs="宋体"/>
          <w:b w:val="0"/>
          <w:bCs/>
          <w:i/>
          <w:color w:val="auto"/>
          <w:sz w:val="24"/>
          <w:szCs w:val="24"/>
          <w:highlight w:val="none"/>
          <w:u w:val="single"/>
          <w:lang w:val="en-US" w:eastAsia="zh-CN"/>
        </w:rPr>
        <w:t>（3）通过“信用中国”网站（http://www.creditchina.gov.cn）、“中国政府采购网”（http://www.ccgp.gov.cn）查询供应商的信用记录，通过以上查询渠道，供应商被列入失信被执行人、重大税收违法失信主体、政府采购严重违法失信行为记录。（查询时间为投标截止时间以后、资格审查阶段采购人或采购代理机构的实际查询时间）</w:t>
      </w:r>
    </w:p>
    <w:p w14:paraId="09ABB97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 w:val="0"/>
          <w:bCs/>
          <w:i/>
          <w:color w:val="auto"/>
          <w:sz w:val="24"/>
          <w:szCs w:val="24"/>
          <w:highlight w:val="none"/>
          <w:u w:val="single"/>
          <w:lang w:val="en-US" w:eastAsia="zh-CN"/>
        </w:rPr>
        <w:t>2.投标人信用承诺函（注：采购人、采购代理机构、投标人实际控制人为同一人或者存在直接控股、管理关系的，不得参加同一合同项下的采购活动。采购代理机构及其分支机构不得在所代理的招标项目中投标或代理投标。）</w:t>
      </w:r>
    </w:p>
    <w:p w14:paraId="62CBF6EF">
      <w:pPr>
        <w:pStyle w:val="243"/>
        <w:spacing w:before="145" w:after="145" w:line="360" w:lineRule="auto"/>
        <w:ind w:firstLine="498"/>
        <w:rPr>
          <w:color w:val="auto"/>
          <w:highlight w:val="none"/>
        </w:rPr>
      </w:pPr>
      <w:r>
        <w:rPr>
          <w:rFonts w:hint="eastAsia"/>
          <w:color w:val="auto"/>
          <w:highlight w:val="none"/>
        </w:rPr>
        <w:t>三、获取招标文件</w:t>
      </w:r>
      <w:bookmarkEnd w:id="18"/>
      <w:bookmarkEnd w:id="19"/>
      <w:bookmarkEnd w:id="20"/>
      <w:bookmarkEnd w:id="21"/>
      <w:bookmarkEnd w:id="22"/>
    </w:p>
    <w:p w14:paraId="268B5D5C">
      <w:pPr>
        <w:spacing w:line="360" w:lineRule="auto"/>
        <w:ind w:firstLine="540"/>
        <w:rPr>
          <w:rFonts w:hint="eastAsia" w:ascii="宋体" w:hAnsi="宋体" w:cs="宋体"/>
          <w:color w:val="auto"/>
          <w:sz w:val="24"/>
          <w:szCs w:val="24"/>
          <w:highlight w:val="none"/>
        </w:rPr>
      </w:pPr>
      <w:bookmarkStart w:id="23" w:name="_Toc28359082"/>
      <w:bookmarkStart w:id="24" w:name="_Toc28359005"/>
      <w:bookmarkStart w:id="25" w:name="_Toc35393624"/>
      <w:bookmarkStart w:id="26" w:name="_Toc35393793"/>
      <w:bookmarkStart w:id="27" w:name="_Toc38985266"/>
      <w:r>
        <w:rPr>
          <w:rFonts w:hint="eastAsia" w:ascii="宋体" w:hAnsi="宋体" w:cs="宋体"/>
          <w:color w:val="auto"/>
          <w:sz w:val="24"/>
          <w:szCs w:val="24"/>
          <w:highlight w:val="none"/>
        </w:rPr>
        <w:t>1.时间：自招标文件公告发布之日起5个工作日。</w:t>
      </w:r>
    </w:p>
    <w:p w14:paraId="30748C73">
      <w:pPr>
        <w:spacing w:line="360" w:lineRule="auto"/>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2.地点:“苏采云”政府采购一体化平台</w:t>
      </w:r>
    </w:p>
    <w:p w14:paraId="79DED666">
      <w:pPr>
        <w:spacing w:line="360" w:lineRule="auto"/>
        <w:ind w:firstLine="540"/>
        <w:rPr>
          <w:rFonts w:hint="eastAsia" w:ascii="宋体" w:hAnsi="宋体" w:cs="宋体"/>
          <w:color w:val="auto"/>
          <w:sz w:val="24"/>
          <w:szCs w:val="24"/>
          <w:highlight w:val="none"/>
        </w:rPr>
      </w:pPr>
      <w:r>
        <w:rPr>
          <w:rFonts w:hint="eastAsia" w:ascii="宋体" w:hAnsi="宋体" w:cs="宋体"/>
          <w:color w:val="auto"/>
          <w:sz w:val="24"/>
          <w:szCs w:val="24"/>
          <w:highlight w:val="none"/>
        </w:rPr>
        <w:t>3.方式:“苏采云”政府采购一体化平台自行免费下载</w:t>
      </w:r>
    </w:p>
    <w:p w14:paraId="7D88F1C3">
      <w:pPr>
        <w:spacing w:line="360" w:lineRule="auto"/>
        <w:ind w:firstLine="540"/>
        <w:rPr>
          <w:rFonts w:ascii="宋体" w:hAnsi="宋体" w:cs="宋体"/>
          <w:color w:val="auto"/>
          <w:sz w:val="24"/>
          <w:szCs w:val="24"/>
          <w:highlight w:val="none"/>
          <w:u w:val="single"/>
        </w:rPr>
      </w:pPr>
      <w:r>
        <w:rPr>
          <w:rFonts w:hint="eastAsia" w:ascii="宋体" w:hAnsi="宋体" w:cs="宋体"/>
          <w:color w:val="auto"/>
          <w:sz w:val="24"/>
          <w:szCs w:val="24"/>
          <w:highlight w:val="none"/>
        </w:rPr>
        <w:t>4.售价:0.00元</w:t>
      </w:r>
    </w:p>
    <w:p w14:paraId="29FC67FF">
      <w:pPr>
        <w:pStyle w:val="243"/>
        <w:spacing w:before="145" w:after="145" w:line="360" w:lineRule="auto"/>
        <w:ind w:firstLine="498"/>
        <w:rPr>
          <w:color w:val="auto"/>
          <w:highlight w:val="none"/>
        </w:rPr>
      </w:pPr>
      <w:r>
        <w:rPr>
          <w:rFonts w:hint="eastAsia"/>
          <w:color w:val="auto"/>
          <w:highlight w:val="none"/>
        </w:rPr>
        <w:t>四、提交投标文件</w:t>
      </w:r>
      <w:bookmarkEnd w:id="23"/>
      <w:bookmarkEnd w:id="24"/>
      <w:r>
        <w:rPr>
          <w:rFonts w:hint="eastAsia"/>
          <w:color w:val="auto"/>
          <w:highlight w:val="none"/>
        </w:rPr>
        <w:t>截止时间、开标时间和地点</w:t>
      </w:r>
      <w:bookmarkEnd w:id="25"/>
      <w:bookmarkEnd w:id="26"/>
      <w:bookmarkEnd w:id="27"/>
    </w:p>
    <w:p w14:paraId="527F2B65">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u w:val="single"/>
        </w:rPr>
        <w:t>2026-</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 xml:space="preserve">08 </w:t>
      </w:r>
      <w:r>
        <w:rPr>
          <w:rFonts w:hint="eastAsia" w:ascii="宋体" w:hAnsi="宋体" w:eastAsia="宋体" w:cs="宋体"/>
          <w:color w:val="auto"/>
          <w:sz w:val="24"/>
          <w:szCs w:val="24"/>
          <w:highlight w:val="none"/>
          <w:u w:val="single"/>
          <w:lang w:val="en-US" w:eastAsia="zh-CN"/>
        </w:rPr>
        <w:t>14</w:t>
      </w:r>
      <w:r>
        <w:rPr>
          <w:rFonts w:hint="eastAsia" w:ascii="宋体" w:hAnsi="宋体" w:eastAsia="宋体" w:cs="宋体"/>
          <w:color w:val="auto"/>
          <w:sz w:val="24"/>
          <w:szCs w:val="24"/>
          <w:highlight w:val="none"/>
          <w:u w:val="single"/>
        </w:rPr>
        <w:t>:00</w:t>
      </w:r>
      <w:r>
        <w:rPr>
          <w:rFonts w:hint="eastAsia" w:ascii="宋体" w:hAnsi="宋体" w:eastAsia="宋体" w:cs="宋体"/>
          <w:color w:val="auto"/>
          <w:sz w:val="24"/>
          <w:szCs w:val="24"/>
          <w:highlight w:val="none"/>
        </w:rPr>
        <w:t>（北京时间）</w:t>
      </w:r>
    </w:p>
    <w:p w14:paraId="72FE813A">
      <w:pPr>
        <w:spacing w:line="360" w:lineRule="auto"/>
        <w:ind w:firstLine="480" w:firstLineChars="20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2.开标地点：</w:t>
      </w:r>
      <w:r>
        <w:rPr>
          <w:rFonts w:hint="eastAsia" w:ascii="宋体" w:hAnsi="宋体" w:eastAsia="宋体" w:cs="宋体"/>
          <w:b/>
          <w:color w:val="auto"/>
          <w:sz w:val="24"/>
          <w:szCs w:val="24"/>
          <w:highlight w:val="none"/>
        </w:rPr>
        <w:t>“苏采云”系统（网址：http://jszfcg.jsczt.cn/）“开标大厅”</w:t>
      </w:r>
      <w:r>
        <w:rPr>
          <w:rFonts w:hint="eastAsia" w:ascii="宋体" w:hAnsi="宋体" w:eastAsia="宋体" w:cs="宋体"/>
          <w:color w:val="auto"/>
          <w:sz w:val="24"/>
          <w:szCs w:val="24"/>
          <w:highlight w:val="none"/>
        </w:rPr>
        <w:t>。</w:t>
      </w:r>
    </w:p>
    <w:p w14:paraId="4E6C4F9C">
      <w:pPr>
        <w:pStyle w:val="243"/>
        <w:spacing w:before="145" w:after="145" w:line="360" w:lineRule="auto"/>
        <w:ind w:firstLine="498"/>
        <w:rPr>
          <w:color w:val="auto"/>
          <w:highlight w:val="none"/>
        </w:rPr>
      </w:pPr>
      <w:bookmarkStart w:id="28" w:name="_Toc38985267"/>
      <w:bookmarkStart w:id="29" w:name="_Toc35393625"/>
      <w:bookmarkStart w:id="30" w:name="_Toc28359007"/>
      <w:bookmarkStart w:id="31" w:name="_Toc28359084"/>
      <w:bookmarkStart w:id="32" w:name="_Toc35393794"/>
      <w:r>
        <w:rPr>
          <w:rFonts w:hint="eastAsia"/>
          <w:color w:val="auto"/>
          <w:highlight w:val="none"/>
        </w:rPr>
        <w:t>五、公告期限</w:t>
      </w:r>
      <w:bookmarkEnd w:id="28"/>
      <w:bookmarkEnd w:id="29"/>
      <w:bookmarkEnd w:id="30"/>
      <w:bookmarkEnd w:id="31"/>
      <w:bookmarkEnd w:id="32"/>
    </w:p>
    <w:p w14:paraId="49BC0856">
      <w:pPr>
        <w:spacing w:line="360" w:lineRule="auto"/>
        <w:ind w:firstLine="480"/>
        <w:rPr>
          <w:rFonts w:ascii="宋体" w:hAnsi="宋体" w:cs="宋体"/>
          <w:color w:val="auto"/>
          <w:sz w:val="24"/>
          <w:szCs w:val="24"/>
          <w:highlight w:val="none"/>
        </w:rPr>
      </w:pPr>
      <w:bookmarkStart w:id="33" w:name="_Toc38985268"/>
      <w:bookmarkStart w:id="34" w:name="_Toc35393626"/>
      <w:bookmarkStart w:id="35" w:name="_Toc35393795"/>
      <w:r>
        <w:rPr>
          <w:rFonts w:hint="eastAsia" w:ascii="宋体" w:hAnsi="宋体" w:cs="宋体"/>
          <w:color w:val="auto"/>
          <w:sz w:val="24"/>
          <w:szCs w:val="24"/>
          <w:highlight w:val="none"/>
        </w:rPr>
        <w:t>自本公告发布之日起5个工作日。</w:t>
      </w:r>
    </w:p>
    <w:p w14:paraId="5DC77A6D">
      <w:pPr>
        <w:pStyle w:val="243"/>
        <w:spacing w:before="145" w:after="145" w:line="360" w:lineRule="auto"/>
        <w:ind w:firstLine="498"/>
        <w:rPr>
          <w:color w:val="auto"/>
          <w:highlight w:val="none"/>
        </w:rPr>
      </w:pPr>
      <w:r>
        <w:rPr>
          <w:rFonts w:hint="eastAsia"/>
          <w:color w:val="auto"/>
          <w:highlight w:val="none"/>
        </w:rPr>
        <w:t>六、其他补充事宜</w:t>
      </w:r>
      <w:bookmarkEnd w:id="33"/>
      <w:bookmarkEnd w:id="34"/>
      <w:bookmarkEnd w:id="35"/>
    </w:p>
    <w:p w14:paraId="6C09E409">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（一）潜在投标人访问政府采购管理交易系统（苏采云）的网络地址和方法：</w:t>
      </w:r>
    </w:p>
    <w:p w14:paraId="591E80EC">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49AD48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2.“CA数字证书”的获取：供应商需办理CA锁，“苏采云”系统目前仅支持“苏采云”系统下的政务CA，省内各地区办理的“苏采云”系统下的政务CA全省通用。</w:t>
      </w:r>
    </w:p>
    <w:p w14:paraId="42086F7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3.“CA数字证书”的办理材料以及供应商操作手册详见：</w:t>
      </w:r>
    </w:p>
    <w:p w14:paraId="6A0F613A">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http://zfcg.yangzhou.gov.cn/xzzx/art/2023/art_4d7de1f7865f4a2894fc22bc452f94d8.html。</w:t>
      </w:r>
    </w:p>
    <w:p w14:paraId="4806248A">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4.潜在供应商访问“苏采云”系统的网络地址和方法：“苏采云”系统的网址：http://jszfcg.jsczt.cn/。</w:t>
      </w:r>
    </w:p>
    <w:p w14:paraId="4A7E6EA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5.采购文件（后缀名为“.kedt”）、供应商操作手册及政府采购客户端工具也可通过“苏采云”系统--已报名项目--报名详情页面内相应链接进行下载。</w:t>
      </w:r>
    </w:p>
    <w:p w14:paraId="72D8EED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6.招标代理机构（采购代理机构）将数据电文形式的采购文件加载至“苏采云”系统，供潜在供应商下载或者查阅。</w:t>
      </w:r>
    </w:p>
    <w:p w14:paraId="7201304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7.苏采云系统使用谷歌浏览器参与不见面开标。</w:t>
      </w:r>
    </w:p>
    <w:p w14:paraId="6CDED17B">
      <w:pPr>
        <w:pStyle w:val="243"/>
        <w:spacing w:before="145" w:after="145" w:line="360" w:lineRule="auto"/>
        <w:ind w:firstLine="498"/>
        <w:rPr>
          <w:color w:val="auto"/>
          <w:highlight w:val="none"/>
        </w:rPr>
      </w:pPr>
      <w:bookmarkStart w:id="36" w:name="_Toc28359008"/>
      <w:bookmarkStart w:id="37" w:name="_Toc35393796"/>
      <w:bookmarkStart w:id="38" w:name="_Toc38985269"/>
      <w:bookmarkStart w:id="39" w:name="_Toc28359085"/>
      <w:bookmarkStart w:id="40" w:name="_Toc35393627"/>
      <w:r>
        <w:rPr>
          <w:rFonts w:hint="eastAsia"/>
          <w:color w:val="auto"/>
          <w:highlight w:val="none"/>
        </w:rPr>
        <w:t>七、本次招标联系方式</w:t>
      </w:r>
      <w:bookmarkEnd w:id="36"/>
      <w:bookmarkEnd w:id="37"/>
      <w:bookmarkEnd w:id="38"/>
      <w:bookmarkEnd w:id="39"/>
      <w:bookmarkEnd w:id="40"/>
    </w:p>
    <w:p w14:paraId="0675FAE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3C5B338F">
      <w:pPr>
        <w:spacing w:line="360" w:lineRule="auto"/>
        <w:ind w:firstLine="480"/>
        <w:rPr>
          <w:rFonts w:hint="eastAsia" w:ascii="宋体" w:hAnsi="宋体" w:eastAsia="宋体" w:cs="宋体"/>
          <w:color w:val="auto"/>
          <w:sz w:val="24"/>
          <w:szCs w:val="24"/>
          <w:highlight w:val="none"/>
          <w:lang w:val="en-US"/>
        </w:rPr>
      </w:pPr>
      <w:bookmarkStart w:id="41" w:name="_Toc28359009"/>
      <w:bookmarkStart w:id="42" w:name="_Toc28359086"/>
      <w:r>
        <w:rPr>
          <w:rFonts w:hint="eastAsia" w:ascii="宋体" w:hAnsi="宋体" w:eastAsia="宋体" w:cs="宋体"/>
          <w:color w:val="auto"/>
          <w:sz w:val="24"/>
          <w:szCs w:val="24"/>
          <w:highlight w:val="none"/>
          <w:lang w:val="en-US"/>
        </w:rPr>
        <w:t>名 称：扬州市妇幼保健院</w:t>
      </w:r>
    </w:p>
    <w:p w14:paraId="6988E2F8">
      <w:pPr>
        <w:spacing w:line="360" w:lineRule="auto"/>
        <w:ind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地 址：扬州市广陵区京杭北路50号</w:t>
      </w:r>
    </w:p>
    <w:p w14:paraId="0BAFB1E8">
      <w:pPr>
        <w:spacing w:line="360" w:lineRule="auto"/>
        <w:ind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联系人：田老师</w:t>
      </w:r>
    </w:p>
    <w:p w14:paraId="1BD51FD1">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联系方式：0514-80828096</w:t>
      </w:r>
    </w:p>
    <w:p w14:paraId="08EFD416">
      <w:pPr>
        <w:spacing w:line="360" w:lineRule="auto"/>
        <w:ind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采购代理机构信息</w:t>
      </w:r>
      <w:bookmarkEnd w:id="41"/>
      <w:bookmarkEnd w:id="42"/>
    </w:p>
    <w:p w14:paraId="15AA8404">
      <w:pPr>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名称：江苏省招标中心有限公司</w:t>
      </w:r>
    </w:p>
    <w:p w14:paraId="4D4F2B31">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地址：扬州市邗江区文昌西路456号（华城科技广场）2幢703室</w:t>
      </w:r>
    </w:p>
    <w:p w14:paraId="73F5808D">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联系人：池昊15862877288、谢慧玲、王芳（采购代理机构）025-83200601、18362980687</w:t>
      </w:r>
    </w:p>
    <w:p w14:paraId="2E12E08B">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联系方式：15862877288</w:t>
      </w:r>
    </w:p>
    <w:p w14:paraId="708CD0DA">
      <w:pPr>
        <w:pageBreakBefore w:val="0"/>
        <w:tabs>
          <w:tab w:val="left" w:pos="266"/>
        </w:tabs>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32608654">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九、其他</w:t>
      </w:r>
    </w:p>
    <w:p w14:paraId="430CDADB">
      <w:pPr>
        <w:pageBreakBefore w:val="0"/>
        <w:widowControl/>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539FD344">
      <w:pPr>
        <w:pageBreakBefore w:val="0"/>
        <w:widowControl/>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2.供应商如确定参加投标，可自行下载采购文件及有关资料，按照《操作手册》进行注册，领取CA和办理电子签章，并按《操作手册》要求制作、上传电子投标文件，技术支持联系方式：13813140731。</w:t>
      </w:r>
    </w:p>
    <w:p w14:paraId="2881C896">
      <w:pPr>
        <w:pageBreakBefore w:val="0"/>
        <w:widowControl/>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3.潜在投标人对招标文件项目需求部分的询问、质疑请向采购人提出，由采购人负责答复。</w:t>
      </w:r>
    </w:p>
    <w:p w14:paraId="60C5A38B">
      <w:pPr>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4.本次招标不收取投标保证金。</w:t>
      </w:r>
    </w:p>
    <w:p w14:paraId="3AF54A5D">
      <w:pPr>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5.有关本次招标的事项若存在变动或修改，敬请及时关注“扬州市政府采购网”、“江苏省政府采购网”发布的信息。</w:t>
      </w:r>
    </w:p>
    <w:p w14:paraId="1251C392">
      <w:pPr>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t>6.本项目招标文件中所有斜体下划线部分为实质性条款，如不满足，则为无效投标。</w:t>
      </w:r>
    </w:p>
    <w:p w14:paraId="52DA12A7">
      <w:pPr>
        <w:pStyle w:val="307"/>
        <w:pageBreakBefore w:val="0"/>
        <w:widowControl/>
        <w:shd w:val="clear" w:color="auto" w:fill="FFFFFF"/>
        <w:kinsoku/>
        <w:wordWrap/>
        <w:overflowPunct/>
        <w:topLinePunct w:val="0"/>
        <w:autoSpaceDE/>
        <w:autoSpaceDN/>
        <w:bidi w:val="0"/>
        <w:adjustRightInd/>
        <w:snapToGrid/>
        <w:spacing w:line="360" w:lineRule="auto"/>
        <w:ind w:firstLine="402"/>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7.落实好政府采购履约资金扶持政策。中标/成交投标人可凭政府采购合同办理融资贷款，详见江苏政府采购网“政采贷”专栏。</w:t>
      </w:r>
    </w:p>
    <w:p w14:paraId="45F09C2F">
      <w:pPr>
        <w:pageBreakBefore w:val="0"/>
        <w:widowControl/>
        <w:shd w:val="clear" w:color="auto" w:fill="FFFFFF"/>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lang w:bidi="ar"/>
        </w:rPr>
        <w:t>8.投标人对于投标产品的包装应按照“财办库〔2020〕123号《关于印发《商品包装政府采购需求标准（试行）》、《快递包装政府采购需求标准（试行）》的通知》”执行。</w:t>
      </w:r>
    </w:p>
    <w:p w14:paraId="0112ECFC">
      <w:pPr>
        <w:pageBreakBefore w:val="0"/>
        <w:widowControl/>
        <w:shd w:val="clear" w:color="auto" w:fill="FFFFFF"/>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shd w:val="clear" w:color="auto" w:fill="FFFFFF"/>
          <w:lang w:bidi="ar"/>
        </w:rPr>
      </w:pPr>
      <w:r>
        <w:rPr>
          <w:rFonts w:hint="eastAsia" w:ascii="宋体" w:hAnsi="宋体" w:eastAsia="宋体" w:cs="宋体"/>
          <w:b w:val="0"/>
          <w:bCs w:val="0"/>
          <w:color w:val="auto"/>
          <w:sz w:val="24"/>
          <w:szCs w:val="24"/>
          <w:highlight w:val="none"/>
          <w:shd w:val="clear" w:color="auto" w:fill="FFFFFF"/>
          <w:lang w:bidi="ar"/>
        </w:rPr>
        <w:t>9.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6D77B87">
      <w:pPr>
        <w:pageBreakBefore w:val="0"/>
        <w:widowControl/>
        <w:shd w:val="clear" w:color="auto" w:fill="FFFFFF"/>
        <w:kinsoku/>
        <w:wordWrap/>
        <w:overflowPunct/>
        <w:topLinePunct w:val="0"/>
        <w:autoSpaceDE/>
        <w:autoSpaceDN/>
        <w:bidi w:val="0"/>
        <w:adjustRightInd/>
        <w:snapToGrid/>
        <w:spacing w:line="360" w:lineRule="auto"/>
        <w:ind w:firstLine="422"/>
        <w:jc w:val="left"/>
        <w:textAlignment w:val="auto"/>
        <w:rPr>
          <w:rFonts w:hint="eastAsia" w:ascii="宋体" w:hAnsi="宋体" w:eastAsia="宋体" w:cs="宋体"/>
          <w:b w:val="0"/>
          <w:bCs w:val="0"/>
          <w:color w:val="auto"/>
          <w:sz w:val="24"/>
          <w:szCs w:val="24"/>
          <w:highlight w:val="none"/>
          <w:shd w:val="clear" w:color="auto" w:fill="FFFFFF"/>
          <w:lang w:val="en-US" w:eastAsia="zh-CN" w:bidi="ar"/>
        </w:rPr>
      </w:pPr>
      <w:r>
        <w:rPr>
          <w:rFonts w:hint="eastAsia" w:ascii="宋体" w:hAnsi="宋体" w:eastAsia="宋体" w:cs="宋体"/>
          <w:b w:val="0"/>
          <w:bCs w:val="0"/>
          <w:color w:val="auto"/>
          <w:sz w:val="24"/>
          <w:szCs w:val="24"/>
          <w:highlight w:val="none"/>
          <w:shd w:val="clear" w:color="auto" w:fill="FFFFFF"/>
          <w:lang w:val="en-US" w:eastAsia="zh-CN" w:bidi="ar"/>
        </w:rPr>
        <w:t>10.根据《国务院办公厅关于在政府采购中实施本国产品标准及相关政策的通知》（国办发〔2025〕34号）落实本国产品标准及相关政策。（①标准适用于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本项目不适用）</w:t>
      </w:r>
    </w:p>
    <w:p w14:paraId="1117B2B4">
      <w:pPr>
        <w:ind w:right="840"/>
        <w:rPr>
          <w:rFonts w:ascii="宋体" w:hAnsi="宋体"/>
          <w:color w:val="auto"/>
          <w:sz w:val="24"/>
          <w:szCs w:val="24"/>
          <w:highlight w:val="none"/>
        </w:rPr>
      </w:pPr>
    </w:p>
    <w:p w14:paraId="5BACBCC2">
      <w:pPr>
        <w:jc w:val="both"/>
        <w:rPr>
          <w:rFonts w:hint="eastAsia" w:ascii="黑体" w:eastAsia="黑体"/>
          <w:color w:val="auto"/>
          <w:highlight w:val="none"/>
        </w:rPr>
      </w:pPr>
      <w:bookmarkStart w:id="43" w:name="_Toc120614211"/>
      <w:r>
        <w:rPr>
          <w:rFonts w:hint="eastAsia" w:ascii="黑体" w:eastAsia="黑体"/>
          <w:color w:val="auto"/>
          <w:highlight w:val="none"/>
        </w:rPr>
        <w:br w:type="page"/>
      </w:r>
    </w:p>
    <w:p w14:paraId="5A712045">
      <w:pPr>
        <w:pStyle w:val="242"/>
        <w:ind w:firstLine="2429"/>
        <w:jc w:val="both"/>
        <w:outlineLvl w:val="0"/>
        <w:rPr>
          <w:rFonts w:ascii="黑体" w:eastAsia="黑体"/>
          <w:b w:val="0"/>
          <w:bCs w:val="0"/>
          <w:color w:val="auto"/>
          <w:highlight w:val="none"/>
        </w:rPr>
      </w:pPr>
      <w:bookmarkStart w:id="44" w:name="_Toc16069"/>
      <w:r>
        <w:rPr>
          <w:rFonts w:hint="eastAsia" w:ascii="宋体" w:hAnsi="宋体" w:eastAsia="宋体" w:cs="宋体"/>
          <w:color w:val="auto"/>
          <w:highlight w:val="none"/>
        </w:rPr>
        <w:t xml:space="preserve">第二章 </w:t>
      </w:r>
      <w:bookmarkEnd w:id="1"/>
      <w:bookmarkEnd w:id="2"/>
      <w:bookmarkEnd w:id="3"/>
      <w:bookmarkEnd w:id="4"/>
      <w:bookmarkEnd w:id="5"/>
      <w:bookmarkEnd w:id="43"/>
      <w:bookmarkStart w:id="45" w:name="_Toc16938518"/>
      <w:bookmarkStart w:id="46" w:name="_Toc120614213"/>
      <w:bookmarkStart w:id="47" w:name="_Toc20823274"/>
      <w:bookmarkStart w:id="48" w:name="_Toc513029202"/>
      <w:r>
        <w:rPr>
          <w:rFonts w:hint="eastAsia" w:ascii="宋体" w:hAnsi="宋体" w:eastAsia="宋体" w:cs="宋体"/>
          <w:color w:val="auto"/>
          <w:highlight w:val="none"/>
        </w:rPr>
        <w:t>投标人须知</w:t>
      </w:r>
      <w:bookmarkEnd w:id="44"/>
      <w:bookmarkEnd w:id="45"/>
      <w:bookmarkEnd w:id="46"/>
      <w:bookmarkEnd w:id="47"/>
      <w:bookmarkEnd w:id="48"/>
    </w:p>
    <w:p w14:paraId="30E4CEB7">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bookmarkStart w:id="49" w:name="_Hlt16619350"/>
      <w:bookmarkStart w:id="50" w:name="_Toc20823346"/>
      <w:bookmarkStart w:id="51" w:name="_Toc120614244"/>
      <w:bookmarkStart w:id="52" w:name="_Toc16938590"/>
      <w:bookmarkStart w:id="53" w:name="_Toc462564139"/>
      <w:bookmarkStart w:id="54" w:name="_Toc479757211"/>
      <w:r>
        <w:rPr>
          <w:rFonts w:hint="eastAsia" w:ascii="宋体" w:hAnsi="宋体"/>
          <w:b/>
          <w:color w:val="auto"/>
          <w:szCs w:val="21"/>
          <w:highlight w:val="none"/>
        </w:rPr>
        <w:t>1、招标方式</w:t>
      </w:r>
    </w:p>
    <w:p w14:paraId="75278979">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 本次招标采取公开招标方式，本采购文件仅适用于</w:t>
      </w:r>
      <w:r>
        <w:rPr>
          <w:rFonts w:hint="eastAsia" w:ascii="宋体" w:hAnsi="宋体"/>
          <w:bCs/>
          <w:color w:val="auto"/>
          <w:szCs w:val="21"/>
          <w:highlight w:val="none"/>
          <w:lang w:val="en-US" w:eastAsia="zh-CN"/>
        </w:rPr>
        <w:t>此</w:t>
      </w:r>
      <w:r>
        <w:rPr>
          <w:rFonts w:hint="eastAsia" w:ascii="宋体" w:hAnsi="宋体"/>
          <w:bCs/>
          <w:color w:val="auto"/>
          <w:szCs w:val="21"/>
          <w:highlight w:val="none"/>
        </w:rPr>
        <w:t>项目。</w:t>
      </w:r>
    </w:p>
    <w:p w14:paraId="32D369B3">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2、投标人</w:t>
      </w:r>
    </w:p>
    <w:p w14:paraId="1480B390">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 本采购文件中“投标人”，即“投标人”，是指参加投标竞争，并符合采购文件规定资格条件的法人、其他组织或者自然人。</w:t>
      </w:r>
    </w:p>
    <w:p w14:paraId="67CC81C6">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2.2合格的投标人</w:t>
      </w:r>
    </w:p>
    <w:p w14:paraId="3F5C5A9A">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2.2.1 满足招标公告中投标人的资格条件要求的规定。</w:t>
      </w:r>
    </w:p>
    <w:p w14:paraId="3BA77BFB">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2.2.2 满足本文件实质性条款的规定。</w:t>
      </w:r>
    </w:p>
    <w:p w14:paraId="567E980D">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3、适用法律</w:t>
      </w:r>
    </w:p>
    <w:p w14:paraId="2B145D2F">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3.1 本次招标及由此产生的合同受中华人民共和国有关的法律法规制约和保护。</w:t>
      </w:r>
    </w:p>
    <w:p w14:paraId="2A1C16D0">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4、投标费用</w:t>
      </w:r>
    </w:p>
    <w:p w14:paraId="726F0CB3">
      <w:pPr>
        <w:pageBreakBefore w:val="0"/>
        <w:kinsoku/>
        <w:wordWrap/>
        <w:overflowPunct/>
        <w:topLinePunct w:val="0"/>
        <w:autoSpaceDE/>
        <w:autoSpaceDN/>
        <w:bidi w:val="0"/>
        <w:spacing w:line="300" w:lineRule="auto"/>
        <w:ind w:firstLine="420"/>
        <w:textAlignment w:val="auto"/>
        <w:rPr>
          <w:rFonts w:ascii="宋体" w:hAnsi="宋体"/>
          <w:color w:val="auto"/>
          <w:highlight w:val="none"/>
        </w:rPr>
      </w:pPr>
      <w:r>
        <w:rPr>
          <w:rFonts w:ascii="宋体" w:hAnsi="宋体"/>
          <w:color w:val="auto"/>
          <w:highlight w:val="none"/>
        </w:rPr>
        <w:t xml:space="preserve">4.1 投标人应自行承担所有与参加投标有关的费用，无论投标过程中的做法和结果如何，代理机构在任何情况下均无义务和责任承担这些费用。 </w:t>
      </w:r>
    </w:p>
    <w:p w14:paraId="5CE80915">
      <w:pPr>
        <w:pageBreakBefore w:val="0"/>
        <w:kinsoku/>
        <w:wordWrap/>
        <w:overflowPunct/>
        <w:topLinePunct w:val="0"/>
        <w:autoSpaceDE/>
        <w:autoSpaceDN/>
        <w:bidi w:val="0"/>
        <w:spacing w:line="300" w:lineRule="auto"/>
        <w:ind w:firstLine="420"/>
        <w:textAlignment w:val="auto"/>
        <w:rPr>
          <w:rFonts w:ascii="宋体" w:hAnsi="宋体"/>
          <w:color w:val="auto"/>
          <w:highlight w:val="none"/>
        </w:rPr>
      </w:pPr>
      <w:r>
        <w:rPr>
          <w:rFonts w:ascii="宋体" w:hAnsi="宋体"/>
          <w:color w:val="auto"/>
          <w:highlight w:val="none"/>
        </w:rPr>
        <w:t>4.</w:t>
      </w:r>
      <w:r>
        <w:rPr>
          <w:rFonts w:hint="eastAsia" w:ascii="宋体" w:hAnsi="宋体"/>
          <w:color w:val="auto"/>
          <w:highlight w:val="none"/>
        </w:rPr>
        <w:t>2代理服务费：领取中标通知书前，以</w:t>
      </w:r>
      <w:r>
        <w:rPr>
          <w:rFonts w:hint="eastAsia" w:ascii="宋体" w:hAnsi="宋体"/>
          <w:color w:val="auto"/>
          <w:highlight w:val="none"/>
          <w:lang w:val="en-US" w:eastAsia="zh-CN"/>
        </w:rPr>
        <w:t>三年总计</w:t>
      </w:r>
      <w:r>
        <w:rPr>
          <w:rFonts w:hint="eastAsia" w:ascii="宋体" w:hAnsi="宋体"/>
          <w:color w:val="auto"/>
          <w:highlight w:val="none"/>
        </w:rPr>
        <w:t>中标金额为</w:t>
      </w:r>
      <w:r>
        <w:rPr>
          <w:rFonts w:hint="eastAsia" w:ascii="宋体" w:hAnsi="宋体"/>
          <w:color w:val="auto"/>
          <w:highlight w:val="none"/>
          <w:lang w:val="en-US" w:eastAsia="zh-CN"/>
        </w:rPr>
        <w:t>计算依据</w:t>
      </w:r>
      <w:r>
        <w:rPr>
          <w:rFonts w:hint="eastAsia" w:ascii="宋体" w:hAnsi="宋体"/>
          <w:color w:val="auto"/>
          <w:highlight w:val="none"/>
        </w:rPr>
        <w:t>，中标人按照</w:t>
      </w:r>
      <w:r>
        <w:rPr>
          <w:rFonts w:hint="eastAsia" w:ascii="宋体" w:hAnsi="宋体"/>
          <w:color w:val="auto"/>
          <w:highlight w:val="none"/>
          <w:lang w:eastAsia="zh-CN"/>
        </w:rPr>
        <w:t>《</w:t>
      </w:r>
      <w:r>
        <w:rPr>
          <w:rFonts w:hint="eastAsia" w:ascii="宋体" w:hAnsi="宋体"/>
          <w:color w:val="auto"/>
          <w:highlight w:val="none"/>
        </w:rPr>
        <w:t>江苏省招标代理服务收费的指导意见》(苏招协</w:t>
      </w:r>
      <w:r>
        <w:rPr>
          <w:rFonts w:hint="eastAsia" w:ascii="宋体" w:hAnsi="宋体"/>
          <w:color w:val="auto"/>
          <w:highlight w:val="none"/>
          <w:lang w:val="en-US" w:eastAsia="zh-CN"/>
        </w:rPr>
        <w:t>【2022】002号)</w:t>
      </w:r>
      <w:r>
        <w:rPr>
          <w:rFonts w:hint="eastAsia" w:ascii="宋体" w:hAnsi="宋体"/>
          <w:color w:val="auto"/>
          <w:highlight w:val="none"/>
        </w:rPr>
        <w:t>收费指导价标准</w:t>
      </w:r>
      <w:r>
        <w:rPr>
          <w:rFonts w:hint="eastAsia" w:ascii="宋体" w:hAnsi="宋体"/>
          <w:color w:val="auto"/>
          <w:highlight w:val="none"/>
          <w:lang w:val="en-US" w:eastAsia="zh-CN"/>
        </w:rPr>
        <w:t>的60%</w:t>
      </w:r>
      <w:r>
        <w:rPr>
          <w:rFonts w:hint="eastAsia" w:ascii="宋体" w:hAnsi="宋体"/>
          <w:color w:val="auto"/>
          <w:highlight w:val="none"/>
        </w:rPr>
        <w:t>一次性支付给招标代理机构。</w:t>
      </w:r>
      <w:r>
        <w:rPr>
          <w:rFonts w:ascii="宋体" w:hAnsi="宋体"/>
          <w:color w:val="auto"/>
          <w:highlight w:val="none"/>
        </w:rPr>
        <w:t xml:space="preserve"> </w:t>
      </w:r>
    </w:p>
    <w:p w14:paraId="5E9208C2">
      <w:pPr>
        <w:pageBreakBefore w:val="0"/>
        <w:kinsoku/>
        <w:wordWrap/>
        <w:overflowPunct/>
        <w:topLinePunct w:val="0"/>
        <w:autoSpaceDE/>
        <w:autoSpaceDN/>
        <w:bidi w:val="0"/>
        <w:spacing w:line="300" w:lineRule="auto"/>
        <w:ind w:firstLine="420"/>
        <w:textAlignment w:val="auto"/>
        <w:rPr>
          <w:rFonts w:ascii="宋体" w:hAnsi="宋体"/>
          <w:color w:val="auto"/>
          <w:highlight w:val="none"/>
        </w:rPr>
      </w:pPr>
      <w:r>
        <w:rPr>
          <w:rFonts w:ascii="宋体" w:hAnsi="宋体"/>
          <w:color w:val="auto"/>
          <w:highlight w:val="none"/>
        </w:rPr>
        <w:t xml:space="preserve">（1）代理服务费以人民币支付； </w:t>
      </w:r>
    </w:p>
    <w:p w14:paraId="3B3CF54F">
      <w:pPr>
        <w:pageBreakBefore w:val="0"/>
        <w:kinsoku/>
        <w:wordWrap/>
        <w:overflowPunct/>
        <w:topLinePunct w:val="0"/>
        <w:autoSpaceDE/>
        <w:autoSpaceDN/>
        <w:bidi w:val="0"/>
        <w:spacing w:line="300" w:lineRule="auto"/>
        <w:ind w:firstLine="420"/>
        <w:textAlignment w:val="auto"/>
        <w:rPr>
          <w:rFonts w:ascii="宋体" w:hAnsi="宋体"/>
          <w:color w:val="auto"/>
          <w:highlight w:val="none"/>
        </w:rPr>
      </w:pPr>
      <w:r>
        <w:rPr>
          <w:rFonts w:ascii="宋体" w:hAnsi="宋体"/>
          <w:color w:val="auto"/>
          <w:highlight w:val="none"/>
        </w:rPr>
        <w:t xml:space="preserve">（2）代理服务费一次性以电汇、转账等非现金形式支付； </w:t>
      </w:r>
    </w:p>
    <w:p w14:paraId="4BE4806F">
      <w:pPr>
        <w:pageBreakBefore w:val="0"/>
        <w:kinsoku/>
        <w:wordWrap/>
        <w:overflowPunct/>
        <w:topLinePunct w:val="0"/>
        <w:autoSpaceDE/>
        <w:autoSpaceDN/>
        <w:bidi w:val="0"/>
        <w:spacing w:line="300" w:lineRule="auto"/>
        <w:ind w:firstLine="420"/>
        <w:textAlignment w:val="auto"/>
        <w:rPr>
          <w:rFonts w:ascii="宋体" w:hAnsi="宋体"/>
          <w:color w:val="auto"/>
          <w:highlight w:val="none"/>
        </w:rPr>
      </w:pPr>
      <w:r>
        <w:rPr>
          <w:rFonts w:ascii="宋体" w:hAnsi="宋体"/>
          <w:color w:val="auto"/>
          <w:highlight w:val="none"/>
        </w:rPr>
        <w:t xml:space="preserve">（3）招标代理服务费不在投标报价中单列，包含在投标总价中，由中标单位支付给代理机构。 </w:t>
      </w:r>
    </w:p>
    <w:p w14:paraId="662CDE32">
      <w:pPr>
        <w:pageBreakBefore w:val="0"/>
        <w:kinsoku/>
        <w:wordWrap/>
        <w:overflowPunct/>
        <w:topLinePunct w:val="0"/>
        <w:autoSpaceDE/>
        <w:autoSpaceDN/>
        <w:bidi w:val="0"/>
        <w:spacing w:line="300" w:lineRule="auto"/>
        <w:ind w:firstLine="420"/>
        <w:textAlignment w:val="auto"/>
        <w:rPr>
          <w:rFonts w:hint="eastAsia" w:ascii="宋体" w:hAnsi="宋体"/>
          <w:color w:val="auto"/>
          <w:highlight w:val="none"/>
        </w:rPr>
      </w:pPr>
      <w:r>
        <w:rPr>
          <w:rFonts w:hint="eastAsia" w:ascii="宋体" w:hAnsi="宋体"/>
          <w:color w:val="auto"/>
          <w:highlight w:val="none"/>
        </w:rPr>
        <w:t>户名：江苏省招标中心有限公司</w:t>
      </w:r>
    </w:p>
    <w:p w14:paraId="6339DDFD">
      <w:pPr>
        <w:pageBreakBefore w:val="0"/>
        <w:kinsoku/>
        <w:wordWrap/>
        <w:overflowPunct/>
        <w:topLinePunct w:val="0"/>
        <w:autoSpaceDE/>
        <w:autoSpaceDN/>
        <w:bidi w:val="0"/>
        <w:spacing w:line="300" w:lineRule="auto"/>
        <w:ind w:firstLine="420"/>
        <w:textAlignment w:val="auto"/>
        <w:rPr>
          <w:rFonts w:hint="eastAsia" w:ascii="宋体" w:hAnsi="宋体"/>
          <w:color w:val="auto"/>
          <w:highlight w:val="none"/>
        </w:rPr>
      </w:pPr>
      <w:r>
        <w:rPr>
          <w:rFonts w:hint="eastAsia" w:ascii="宋体" w:hAnsi="宋体"/>
          <w:color w:val="auto"/>
          <w:highlight w:val="none"/>
        </w:rPr>
        <w:t>开户银行：中信银行江苏路支行</w:t>
      </w:r>
    </w:p>
    <w:p w14:paraId="0B86E023">
      <w:pPr>
        <w:pageBreakBefore w:val="0"/>
        <w:kinsoku/>
        <w:wordWrap/>
        <w:overflowPunct/>
        <w:topLinePunct w:val="0"/>
        <w:autoSpaceDE/>
        <w:autoSpaceDN/>
        <w:bidi w:val="0"/>
        <w:spacing w:line="300" w:lineRule="auto"/>
        <w:ind w:firstLine="420"/>
        <w:textAlignment w:val="auto"/>
        <w:rPr>
          <w:rFonts w:ascii="宋体" w:hAnsi="宋体"/>
          <w:color w:val="auto"/>
          <w:highlight w:val="none"/>
        </w:rPr>
      </w:pPr>
      <w:r>
        <w:rPr>
          <w:rFonts w:hint="eastAsia" w:ascii="宋体" w:hAnsi="宋体"/>
          <w:color w:val="auto"/>
          <w:highlight w:val="none"/>
        </w:rPr>
        <w:t>银行账号：7321810182600023404</w:t>
      </w:r>
      <w:r>
        <w:rPr>
          <w:rFonts w:ascii="宋体" w:hAnsi="宋体"/>
          <w:color w:val="auto"/>
          <w:highlight w:val="none"/>
        </w:rPr>
        <w:t xml:space="preserve"> </w:t>
      </w:r>
    </w:p>
    <w:p w14:paraId="6C9C165E">
      <w:pPr>
        <w:pageBreakBefore w:val="0"/>
        <w:kinsoku/>
        <w:wordWrap/>
        <w:overflowPunct/>
        <w:topLinePunct w:val="0"/>
        <w:autoSpaceDE/>
        <w:autoSpaceDN/>
        <w:bidi w:val="0"/>
        <w:spacing w:line="300" w:lineRule="auto"/>
        <w:ind w:firstLine="420"/>
        <w:textAlignment w:val="auto"/>
        <w:rPr>
          <w:rFonts w:ascii="宋体" w:hAnsi="宋体"/>
          <w:color w:val="auto"/>
          <w:highlight w:val="none"/>
        </w:rPr>
      </w:pPr>
      <w:r>
        <w:rPr>
          <w:rFonts w:ascii="宋体" w:hAnsi="宋体"/>
          <w:color w:val="auto"/>
          <w:highlight w:val="none"/>
        </w:rPr>
        <w:t>4.</w:t>
      </w:r>
      <w:r>
        <w:rPr>
          <w:rFonts w:hint="eastAsia" w:ascii="宋体" w:hAnsi="宋体"/>
          <w:color w:val="auto"/>
          <w:highlight w:val="none"/>
        </w:rPr>
        <w:t>3</w:t>
      </w:r>
      <w:r>
        <w:rPr>
          <w:rFonts w:ascii="宋体" w:hAnsi="宋体"/>
          <w:color w:val="auto"/>
          <w:highlight w:val="none"/>
        </w:rPr>
        <w:t>专家评审费按扬财购【2020】40 号文《关于</w:t>
      </w:r>
      <w:r>
        <w:rPr>
          <w:rFonts w:hint="eastAsia" w:ascii="宋体" w:hAnsi="宋体"/>
          <w:color w:val="auto"/>
          <w:highlight w:val="none"/>
        </w:rPr>
        <w:t>进一步</w:t>
      </w:r>
      <w:r>
        <w:rPr>
          <w:rFonts w:ascii="宋体" w:hAnsi="宋体"/>
          <w:color w:val="auto"/>
          <w:highlight w:val="none"/>
        </w:rPr>
        <w:t>规范扬州市政府采购专家评审费标准的通知》执行。</w:t>
      </w:r>
    </w:p>
    <w:p w14:paraId="4FFA490E">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5、采购文件的约束力</w:t>
      </w:r>
    </w:p>
    <w:p w14:paraId="287B944A">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5.1 投标人一旦参加本项目采购活动，即被认为接受了本采购文件的规定和约束。</w:t>
      </w:r>
    </w:p>
    <w:p w14:paraId="3379CD0A">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6、采购文件构成</w:t>
      </w:r>
    </w:p>
    <w:p w14:paraId="618B154B">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6.1 采购文件有以下部分组成：</w:t>
      </w:r>
    </w:p>
    <w:p w14:paraId="461E9E22">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（1）招标公告</w:t>
      </w:r>
    </w:p>
    <w:p w14:paraId="6EAF9171">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（2）投标人须知</w:t>
      </w:r>
      <w:r>
        <w:rPr>
          <w:rFonts w:hint="eastAsia" w:ascii="宋体" w:hAnsi="宋体"/>
          <w:bCs/>
          <w:color w:val="auto"/>
          <w:szCs w:val="21"/>
          <w:highlight w:val="none"/>
        </w:rPr>
        <w:tab/>
      </w:r>
    </w:p>
    <w:p w14:paraId="1E8D0118">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（3）合同条款及格式</w:t>
      </w:r>
    </w:p>
    <w:p w14:paraId="53CCB4A0">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（4）项目需求</w:t>
      </w:r>
    </w:p>
    <w:p w14:paraId="0188EF15">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（5）评标方法与评标标准</w:t>
      </w:r>
    </w:p>
    <w:p w14:paraId="171A874D">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（6）投标文件格式</w:t>
      </w:r>
    </w:p>
    <w:p w14:paraId="21267BC1">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请仔细检查采购文件是否齐全，如有缺漏请立即与代理机构联系解决。</w:t>
      </w:r>
    </w:p>
    <w:p w14:paraId="46E83F14">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6.2 招标的最小单位是包。招标服务数量及技术要求中未分包的，投标人对要求提供的服务不得部分投标；招标服务数量及技术要求中已经分包的，应当以包为单位投标。</w:t>
      </w:r>
    </w:p>
    <w:p w14:paraId="3B82847E">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6.3 采购文件如果要求投标人提交备选投标方案的，投标人可以提交备选方案；否则，备选方案将被拒绝。</w:t>
      </w:r>
    </w:p>
    <w:p w14:paraId="1E76260F">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6.4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755EB23A">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7、采购文件的澄清</w:t>
      </w:r>
    </w:p>
    <w:p w14:paraId="53BB9122">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7.1 任何要求对采购文件进行澄清的投标人，应在投标截止日期的十日前按招标公告中的通讯地址，以书面形式通知代理机构。</w:t>
      </w:r>
    </w:p>
    <w:p w14:paraId="191E54C2">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8、采购文件的修改</w:t>
      </w:r>
    </w:p>
    <w:p w14:paraId="5D50F2A4">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8.1 在投标截止时间前，代理机构可以对采购文件进行修改。</w:t>
      </w:r>
    </w:p>
    <w:p w14:paraId="05865826">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8.2代理机构在采购文件要求提交投标文件截止时间前，有权按照法定要求推迟投标截止时间和开标时间。</w:t>
      </w:r>
    </w:p>
    <w:p w14:paraId="5721DA6E">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8.3采购文件的修改将在“扬州市政府采购网”、“江苏省政府采购网”公布，补充文件将作为采购文件的组成部分，并对投标人具有约束力。</w:t>
      </w:r>
    </w:p>
    <w:p w14:paraId="32BE76CF">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9、投标文件的语言、度量衡单位、货币</w:t>
      </w:r>
    </w:p>
    <w:p w14:paraId="005376FC">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9.1投标人提交的投标文件以及投标人与代理机构就有关投标的所有来往通知、函件和文件均应使用简体中文。</w:t>
      </w:r>
    </w:p>
    <w:p w14:paraId="1A8615AC">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9.2 除技术性能另有规定外，投标文件所使用的度量衡单位，均须采用国家法定计量单位。</w:t>
      </w:r>
    </w:p>
    <w:p w14:paraId="12ADB76B">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9.3投标人应使用人民币报价。</w:t>
      </w:r>
    </w:p>
    <w:p w14:paraId="7070B097">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10、投标文件构成</w:t>
      </w:r>
    </w:p>
    <w:p w14:paraId="5A4900F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10.1投标文件由以下部分组成</w:t>
      </w:r>
    </w:p>
    <w:p w14:paraId="65F309D1">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（1）资格审查响应对照表</w:t>
      </w:r>
    </w:p>
    <w:p w14:paraId="698E045A">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（2）符合性审查响应对照表</w:t>
      </w:r>
    </w:p>
    <w:p w14:paraId="60C5F810">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（3）非实质性响应对照表</w:t>
      </w:r>
    </w:p>
    <w:p w14:paraId="0ECF515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（4）开标一览表 </w:t>
      </w:r>
    </w:p>
    <w:p w14:paraId="0F6A08BA">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（5）分项报价表 </w:t>
      </w:r>
    </w:p>
    <w:p w14:paraId="36BFDAB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p>
    <w:p w14:paraId="21165558">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p>
    <w:p w14:paraId="4C8C8737">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（8）其他 （投标人认为有必要提供的声明和文件，如有自拟并自行添加）</w:t>
      </w:r>
    </w:p>
    <w:p w14:paraId="69642F18">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10.2投标人应当根据采购文件要求编制投标文件，投标文件应对采购文件提出的要求和条件作出响应，并在相应的投标文件中逐条标明满足与否。</w:t>
      </w:r>
    </w:p>
    <w:p w14:paraId="6E98F292">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11、证明投标人资格及符合采购文件规定的文件</w:t>
      </w:r>
    </w:p>
    <w:p w14:paraId="619A5E1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11.1投标人应按要求提交资格证明文件及符合采购文件规定的文件。</w:t>
      </w:r>
    </w:p>
    <w:p w14:paraId="55FAADD1">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11.2投标人应提交证明其有资格参加投标和中标后有能力独立履行合同的文件。</w:t>
      </w:r>
    </w:p>
    <w:p w14:paraId="772AE63E">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11.3投标人除必须具有履行合同所需提供的产品或服务的能力外，还必须具备相应的财务、技术方面的能力。</w:t>
      </w:r>
    </w:p>
    <w:p w14:paraId="1D63A7C7">
      <w:pPr>
        <w:pageBreakBefore w:val="0"/>
        <w:kinsoku/>
        <w:wordWrap/>
        <w:overflowPunct/>
        <w:topLinePunct w:val="0"/>
        <w:autoSpaceDE/>
        <w:autoSpaceDN/>
        <w:bidi w:val="0"/>
        <w:spacing w:line="300" w:lineRule="auto"/>
        <w:textAlignment w:val="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11.4投标人应提交根据合同要求提供的证明服务质量合格以及符合采购文件规定的证明文件。</w:t>
      </w:r>
    </w:p>
    <w:p w14:paraId="43CF4B04">
      <w:pPr>
        <w:pageBreakBefore w:val="0"/>
        <w:kinsoku/>
        <w:wordWrap/>
        <w:overflowPunct/>
        <w:topLinePunct w:val="0"/>
        <w:autoSpaceDE/>
        <w:autoSpaceDN/>
        <w:bidi w:val="0"/>
        <w:spacing w:line="300" w:lineRule="auto"/>
        <w:textAlignment w:val="auto"/>
        <w:rPr>
          <w:rFonts w:hint="eastAsia" w:ascii="宋体" w:hAnsi="宋体"/>
          <w:bCs/>
          <w:color w:val="auto"/>
          <w:szCs w:val="21"/>
          <w:highlight w:val="none"/>
        </w:rPr>
      </w:pPr>
      <w:r>
        <w:rPr>
          <w:rFonts w:hint="eastAsia" w:ascii="宋体" w:hAnsi="宋体"/>
          <w:bCs/>
          <w:color w:val="auto"/>
          <w:szCs w:val="21"/>
          <w:highlight w:val="none"/>
        </w:rPr>
        <w:t xml:space="preserve">    11.5证明投标人所提供货物和服务都符合招标文件要求的文件应该是鉴定书、样本、说明书、图样和资料，并须提供：</w:t>
      </w:r>
    </w:p>
    <w:p w14:paraId="26CB2A8B">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 xml:space="preserve">① 货物的主要技术数据和性能的详细描述，服务的履约能力、功能需求实现等应以正式印刷的样本、使用手册、说明书、检测报告、或网上公开发布的数据来证实。 </w:t>
      </w:r>
    </w:p>
    <w:p w14:paraId="36A456E0">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② 根据招标文件的技术需求逐条说明货物或服务对技术需求的适合性，如有不符之处，应说明其差别之所在；</w:t>
      </w:r>
    </w:p>
    <w:p w14:paraId="08532321">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③ 对上述②条的说明，请投标人注意：</w:t>
      </w:r>
    </w:p>
    <w:p w14:paraId="4B479362">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321DDE1E">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12、投标配置与分项报价表</w:t>
      </w:r>
    </w:p>
    <w:p w14:paraId="463546EE">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12.1 投标人应按照采购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6C996412">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12.2 标的物</w:t>
      </w:r>
    </w:p>
    <w:p w14:paraId="5E964277">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采购人需求的服务供应、安装，调试及有关技术服务等。</w:t>
      </w:r>
    </w:p>
    <w:p w14:paraId="23200FF0">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12.3有关费用处理</w:t>
      </w:r>
    </w:p>
    <w:p w14:paraId="410F84A4">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p>
    <w:p w14:paraId="7CD138D7">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12.4其它费用处理</w:t>
      </w:r>
    </w:p>
    <w:p w14:paraId="1148625B">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采购文件未列明，而投标人认为必需的费用也需列入报价。</w:t>
      </w:r>
    </w:p>
    <w:p w14:paraId="0FF98272">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12.5投标货币</w:t>
      </w:r>
    </w:p>
    <w:p w14:paraId="4D2719B4">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投标文件中的服务单价和总价无特殊规定的采用人民币报价，以元为单位标注。采购文件中另有规定的按规定执行。</w:t>
      </w:r>
    </w:p>
    <w:p w14:paraId="096F2951">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12.6 投标配置与分项报价表上的价格应按下列方式分开填写：</w:t>
      </w:r>
    </w:p>
    <w:p w14:paraId="46719DF7">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1</w:t>
      </w:r>
      <w:r>
        <w:rPr>
          <w:rFonts w:hint="eastAsia" w:ascii="宋体" w:hAnsi="宋体"/>
          <w:bCs/>
          <w:color w:val="auto"/>
          <w:szCs w:val="21"/>
          <w:highlight w:val="none"/>
          <w:lang w:eastAsia="zh-CN"/>
        </w:rPr>
        <w:t>）</w:t>
      </w:r>
      <w:r>
        <w:rPr>
          <w:rFonts w:hint="eastAsia" w:ascii="宋体" w:hAnsi="宋体"/>
          <w:bCs/>
          <w:color w:val="auto"/>
          <w:szCs w:val="21"/>
          <w:highlight w:val="none"/>
        </w:rPr>
        <w:t>项目总价：包括采购人需求的产品价格、质量保证费用、培训费用及售后服务费用，项目在指定地点、环境交付、安装、调试、验收所需费用和所有相关税金费用及为完成整个项目所产生的其他所有费用。</w:t>
      </w:r>
    </w:p>
    <w:p w14:paraId="04BD1A3F">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2</w:t>
      </w:r>
      <w:r>
        <w:rPr>
          <w:rFonts w:hint="eastAsia" w:ascii="宋体" w:hAnsi="宋体"/>
          <w:bCs/>
          <w:color w:val="auto"/>
          <w:szCs w:val="21"/>
          <w:highlight w:val="none"/>
          <w:lang w:eastAsia="zh-CN"/>
        </w:rPr>
        <w:t>）</w:t>
      </w:r>
      <w:r>
        <w:rPr>
          <w:rFonts w:hint="eastAsia" w:ascii="宋体" w:hAnsi="宋体"/>
          <w:bCs/>
          <w:color w:val="auto"/>
          <w:szCs w:val="21"/>
          <w:highlight w:val="none"/>
        </w:rPr>
        <w:t>项目单价按投标配置及分项报价表中要求填报。</w:t>
      </w:r>
    </w:p>
    <w:p w14:paraId="2D2C55FC">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13、技术参数响应及偏离表、商务条款响应及偏离表及投标货物说明</w:t>
      </w:r>
    </w:p>
    <w:p w14:paraId="1B586054">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13.1 对采购文件中的技术与商务条款要求逐项作出响应或偏离，并说明原因；</w:t>
      </w:r>
    </w:p>
    <w:p w14:paraId="572B6F9C">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13.2 提供参加本项目类似案例简介；</w:t>
      </w:r>
    </w:p>
    <w:p w14:paraId="27320384">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13.3 培训计划；</w:t>
      </w:r>
    </w:p>
    <w:p w14:paraId="2A8C9807">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13.4 详细阐述所投货物的主要组成部分、功能设计、实现思路及关键技术；</w:t>
      </w:r>
    </w:p>
    <w:p w14:paraId="69D946A6">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13.5 投标人认为需要的其他技术文件或说明。</w:t>
      </w:r>
    </w:p>
    <w:p w14:paraId="3DB328FB">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14、服务承诺及售后服务机构、人员的情况介绍</w:t>
      </w:r>
    </w:p>
    <w:p w14:paraId="38EF6B8B">
      <w:pPr>
        <w:pageBreakBefore w:val="0"/>
        <w:kinsoku/>
        <w:wordWrap/>
        <w:overflowPunct/>
        <w:topLinePunct w:val="0"/>
        <w:autoSpaceDE/>
        <w:autoSpaceDN/>
        <w:bidi w:val="0"/>
        <w:spacing w:line="300" w:lineRule="auto"/>
        <w:textAlignment w:val="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14.1投标人的服务承诺应按不低于采购文件中商务要求的标准。</w:t>
      </w:r>
    </w:p>
    <w:p w14:paraId="47A0E6AD">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14.2提供投标人有关售后服务的管理制度、售后服务机构的分布情况、售后服务人员的数量、素质、技术水平及售后服务的反应能力。</w:t>
      </w:r>
    </w:p>
    <w:p w14:paraId="5C926121">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15、投标函和开标一览表</w:t>
      </w:r>
    </w:p>
    <w:p w14:paraId="5CC36FF4">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15.1 投标人应按照采购文件中提供的格式完整、正确填写投标函、开标一览表。</w:t>
      </w:r>
    </w:p>
    <w:p w14:paraId="38400728">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15.2 开标一览表中的价格应与投标文件中分项报价表中的价格一致，如不一致，不作为无效投标处理，但评标时按开标一览表中价格为准。</w:t>
      </w:r>
    </w:p>
    <w:p w14:paraId="20FCFE39">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16、投标有效期</w:t>
      </w:r>
    </w:p>
    <w:p w14:paraId="1477F3CA">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16.1 投标有效期为开标之日起九十（90）天。投标有效期比规定短的将被视为非响应性投标而予以拒绝。</w:t>
      </w:r>
    </w:p>
    <w:p w14:paraId="33D1D49C">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p>
    <w:p w14:paraId="6BF86E53">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bookmarkStart w:id="55" w:name="_Toc462564084"/>
      <w:bookmarkStart w:id="56" w:name="_Toc20823297"/>
      <w:bookmarkStart w:id="57" w:name="_Toc16938541"/>
      <w:bookmarkStart w:id="58" w:name="_Toc513029225"/>
      <w:r>
        <w:rPr>
          <w:rFonts w:hint="eastAsia" w:ascii="宋体" w:hAnsi="宋体"/>
          <w:b/>
          <w:color w:val="auto"/>
          <w:szCs w:val="21"/>
          <w:highlight w:val="none"/>
        </w:rPr>
        <w:t>17、投标文件</w:t>
      </w:r>
      <w:bookmarkEnd w:id="55"/>
      <w:bookmarkEnd w:id="56"/>
      <w:bookmarkEnd w:id="57"/>
      <w:bookmarkEnd w:id="58"/>
      <w:r>
        <w:rPr>
          <w:rFonts w:hint="eastAsia" w:ascii="宋体" w:hAnsi="宋体"/>
          <w:b/>
          <w:color w:val="auto"/>
          <w:szCs w:val="21"/>
          <w:highlight w:val="none"/>
        </w:rPr>
        <w:t>的递交</w:t>
      </w:r>
    </w:p>
    <w:p w14:paraId="295B462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17.1 电子投标文件的递交投标人应当按照《操作手册》规定，在投标截止时间前制作并上传电子投标文件。</w:t>
      </w:r>
      <w:bookmarkStart w:id="59" w:name="_Toc16938542"/>
      <w:bookmarkStart w:id="60" w:name="_Toc20823298"/>
      <w:bookmarkStart w:id="61" w:name="_Toc513029226"/>
    </w:p>
    <w:p w14:paraId="22A084D4">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17.2</w:t>
      </w:r>
      <w:r>
        <w:rPr>
          <w:rFonts w:hint="eastAsia" w:ascii="宋体" w:hAnsi="宋体"/>
          <w:b/>
          <w:bCs/>
          <w:color w:val="auto"/>
          <w:szCs w:val="21"/>
          <w:highlight w:val="none"/>
        </w:rPr>
        <w:t>政府采购管理交易系统（苏采云）</w:t>
      </w:r>
      <w:r>
        <w:rPr>
          <w:rFonts w:hint="eastAsia" w:ascii="宋体" w:hAnsi="宋体"/>
          <w:b/>
          <w:color w:val="auto"/>
          <w:szCs w:val="21"/>
          <w:highlight w:val="none"/>
        </w:rPr>
        <w:t>相关要求是本采购文件的组成部分。</w:t>
      </w:r>
    </w:p>
    <w:p w14:paraId="47B114D6">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17.3投标人应对 CA 证书妥善保管，如被他人盗用投标，因此带来的结果均由投标人自行承担。</w:t>
      </w:r>
    </w:p>
    <w:p w14:paraId="5323FB85">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17.4投标人应当对采购文件提出的要求和条件作出实质性响应，并在电子投标系统逐条应答。</w:t>
      </w:r>
    </w:p>
    <w:p w14:paraId="2E65A12B">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17.5投标人应对要求提供的资格证明文件（如资质证书、资格证书）、技术资料（如白皮书、彩页、手册、检测报告等）扫描上传至投标系统。</w:t>
      </w:r>
    </w:p>
    <w:p w14:paraId="3A20847A">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17.6投标人应当在采购文件要求提交投标文件的截止时间前，将投标文件提交至“苏采云”系统，逾期提交的投标文件，“苏采云”系统将自动拒收。</w:t>
      </w:r>
    </w:p>
    <w:p w14:paraId="2F2EC543">
      <w:pPr>
        <w:pageBreakBefore w:val="0"/>
        <w:kinsoku/>
        <w:wordWrap/>
        <w:overflowPunct/>
        <w:topLinePunct w:val="0"/>
        <w:autoSpaceDE/>
        <w:autoSpaceDN/>
        <w:bidi w:val="0"/>
        <w:spacing w:line="300" w:lineRule="auto"/>
        <w:ind w:firstLine="422"/>
        <w:textAlignment w:val="auto"/>
        <w:rPr>
          <w:color w:val="auto"/>
          <w:highlight w:val="none"/>
        </w:rPr>
      </w:pPr>
      <w:r>
        <w:rPr>
          <w:rFonts w:hint="eastAsia" w:ascii="宋体" w:hAnsi="宋体"/>
          <w:b/>
          <w:color w:val="auto"/>
          <w:szCs w:val="21"/>
          <w:highlight w:val="none"/>
        </w:rPr>
        <w:t>17.7各投标人应在规定时间内凭CA证书进行网上解密。</w:t>
      </w:r>
    </w:p>
    <w:p w14:paraId="5D0BD802">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18、投标截止日期</w:t>
      </w:r>
      <w:bookmarkEnd w:id="59"/>
      <w:bookmarkEnd w:id="60"/>
      <w:bookmarkEnd w:id="61"/>
    </w:p>
    <w:p w14:paraId="0D1436F5">
      <w:pPr>
        <w:pageBreakBefore w:val="0"/>
        <w:kinsoku/>
        <w:wordWrap/>
        <w:overflowPunct/>
        <w:topLinePunct w:val="0"/>
        <w:autoSpaceDE/>
        <w:autoSpaceDN/>
        <w:bidi w:val="0"/>
        <w:spacing w:line="300" w:lineRule="auto"/>
        <w:ind w:firstLine="420"/>
        <w:textAlignment w:val="auto"/>
        <w:rPr>
          <w:rFonts w:ascii="宋体" w:hAnsi="宋体"/>
          <w:b/>
          <w:bCs w:val="0"/>
          <w:i/>
          <w:iCs/>
          <w:color w:val="auto"/>
          <w:szCs w:val="21"/>
          <w:highlight w:val="none"/>
          <w:u w:val="single"/>
        </w:rPr>
      </w:pPr>
      <w:r>
        <w:rPr>
          <w:rFonts w:hint="eastAsia" w:ascii="宋体" w:hAnsi="宋体"/>
          <w:b/>
          <w:bCs w:val="0"/>
          <w:i/>
          <w:iCs/>
          <w:color w:val="auto"/>
          <w:szCs w:val="21"/>
          <w:highlight w:val="none"/>
          <w:u w:val="single"/>
        </w:rPr>
        <w:t>18.1 投标人上传电子投标文件的时间不得迟于招标公告中规定的投标截止时间。</w:t>
      </w:r>
    </w:p>
    <w:p w14:paraId="7FA057C0">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投标人应充分考虑到网络环境、网络带宽等风险因素，如因投标人自身原因造成的电子投标文件上传不成功由投标人自行承担全部责任。</w:t>
      </w:r>
    </w:p>
    <w:p w14:paraId="3B6507BC">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18.2 代理机构可以按照规定，通过修改采购文件延长投标截止日期，在此情况下，投标人的所有权利和义务以及投标人受制的截止日期均应以延长后新的截止日期为准。</w:t>
      </w:r>
    </w:p>
    <w:p w14:paraId="490FCF5D">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bookmarkStart w:id="62" w:name="_Toc513029227"/>
      <w:bookmarkStart w:id="63" w:name="_Toc20823299"/>
      <w:bookmarkStart w:id="64" w:name="_Toc16938543"/>
      <w:r>
        <w:rPr>
          <w:rFonts w:hint="eastAsia" w:ascii="宋体" w:hAnsi="宋体"/>
          <w:b/>
          <w:color w:val="auto"/>
          <w:szCs w:val="21"/>
          <w:highlight w:val="none"/>
        </w:rPr>
        <w:t>19、投标文件</w:t>
      </w:r>
      <w:bookmarkEnd w:id="62"/>
      <w:bookmarkEnd w:id="63"/>
      <w:bookmarkEnd w:id="64"/>
      <w:r>
        <w:rPr>
          <w:rFonts w:hint="eastAsia" w:ascii="宋体" w:hAnsi="宋体"/>
          <w:b/>
          <w:color w:val="auto"/>
          <w:szCs w:val="21"/>
          <w:highlight w:val="none"/>
        </w:rPr>
        <w:t>的拒收</w:t>
      </w:r>
    </w:p>
    <w:p w14:paraId="0EBAC7B9">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19.1代理机构拒绝接收在其规定的投标截止时间后上传的任何投标文件。</w:t>
      </w:r>
    </w:p>
    <w:p w14:paraId="75339D85">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bookmarkStart w:id="65" w:name="_Toc16938544"/>
      <w:bookmarkStart w:id="66" w:name="_Toc20823300"/>
      <w:bookmarkStart w:id="67" w:name="_Toc513029228"/>
      <w:r>
        <w:rPr>
          <w:rFonts w:hint="eastAsia" w:ascii="宋体" w:hAnsi="宋体"/>
          <w:b/>
          <w:color w:val="auto"/>
          <w:szCs w:val="21"/>
          <w:highlight w:val="none"/>
        </w:rPr>
        <w:t>20、投标文件的撤回和修改</w:t>
      </w:r>
      <w:bookmarkEnd w:id="65"/>
      <w:bookmarkEnd w:id="66"/>
      <w:bookmarkEnd w:id="67"/>
    </w:p>
    <w:p w14:paraId="31BF3EE0">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20.1 投标文件的撤回</w:t>
      </w:r>
    </w:p>
    <w:p w14:paraId="6381255D">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20.1.1 电子投标文件的撤回</w:t>
      </w:r>
    </w:p>
    <w:p w14:paraId="1440412B">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投标人可在投标截止时间前，撤回其电子投标文件，具体操作方法见《操作手册》。</w:t>
      </w:r>
    </w:p>
    <w:p w14:paraId="4EF9586A">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20.1.2 投标人撤回电子投标文件，则认为其不再参与本项目投标活动。</w:t>
      </w:r>
    </w:p>
    <w:p w14:paraId="3A60E0A0">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20.2 投标文件的修改</w:t>
      </w:r>
    </w:p>
    <w:p w14:paraId="0DC91DAB">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投标人可在投标截止时间前，对其电子投标文件进行修改，具体操作方法见《操作手册》。</w:t>
      </w:r>
    </w:p>
    <w:p w14:paraId="4E9664CB">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20.3 在投标截止时间之后，投标人不得对其电子投标文件作任何修改。</w:t>
      </w:r>
    </w:p>
    <w:p w14:paraId="16E28196">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20.4 在投标截止时间至采购文件中规定的投标有效期满之间的这段时间内，投标人不得撤回其投标。</w:t>
      </w:r>
    </w:p>
    <w:p w14:paraId="1740E208">
      <w:pPr>
        <w:keepNext w:val="0"/>
        <w:keepLines w:val="0"/>
        <w:pageBreakBefore w:val="0"/>
        <w:widowControl w:val="0"/>
        <w:kinsoku/>
        <w:wordWrap/>
        <w:overflowPunct/>
        <w:topLinePunct w:val="0"/>
        <w:autoSpaceDE/>
        <w:autoSpaceDN/>
        <w:bidi w:val="0"/>
        <w:adjustRightInd/>
        <w:snapToGrid/>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21、开标</w:t>
      </w:r>
    </w:p>
    <w:p w14:paraId="629078CC">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21.1 代理机构将在招标公告中规定的时间和地点组织公开开标。投标人应当按照《操作手册》规定，参加开标活动。投标人未参加开标的，视同认可开标结果。</w:t>
      </w:r>
    </w:p>
    <w:p w14:paraId="32F845D1">
      <w:pPr>
        <w:keepNext w:val="0"/>
        <w:keepLines w:val="0"/>
        <w:pageBreakBefore w:val="0"/>
        <w:widowControl w:val="0"/>
        <w:kinsoku/>
        <w:wordWrap/>
        <w:overflowPunct/>
        <w:topLinePunct w:val="0"/>
        <w:autoSpaceDE/>
        <w:autoSpaceDN/>
        <w:bidi w:val="0"/>
        <w:adjustRightInd/>
        <w:snapToGrid/>
        <w:spacing w:line="300" w:lineRule="auto"/>
        <w:textAlignment w:val="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21.2开标仪式由代理机构组织。“政府采购管理交易系统（苏采云）”将自动对项目进行开标，并宣读各投标人的《开标一览表》。</w:t>
      </w:r>
    </w:p>
    <w:p w14:paraId="63363C49">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21.3投标人在开标过程中涉及到的投标文件解密、开标结果确认等工作，应按照《操作手册》规定执行。</w:t>
      </w:r>
    </w:p>
    <w:p w14:paraId="671C232A">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22、评标委员会</w:t>
      </w:r>
    </w:p>
    <w:p w14:paraId="2F24EAD1">
      <w:pPr>
        <w:pageBreakBefore w:val="0"/>
        <w:kinsoku/>
        <w:wordWrap/>
        <w:overflowPunct/>
        <w:topLinePunct w:val="0"/>
        <w:autoSpaceDE/>
        <w:autoSpaceDN/>
        <w:bidi w:val="0"/>
        <w:spacing w:line="300" w:lineRule="auto"/>
        <w:textAlignment w:val="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p>
    <w:p w14:paraId="5ED74359">
      <w:pPr>
        <w:pageBreakBefore w:val="0"/>
        <w:kinsoku/>
        <w:wordWrap/>
        <w:overflowPunct/>
        <w:topLinePunct w:val="0"/>
        <w:autoSpaceDE/>
        <w:autoSpaceDN/>
        <w:bidi w:val="0"/>
        <w:spacing w:line="300" w:lineRule="auto"/>
        <w:textAlignment w:val="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p>
    <w:p w14:paraId="6A174B1C">
      <w:pPr>
        <w:pageBreakBefore w:val="0"/>
        <w:kinsoku/>
        <w:wordWrap/>
        <w:overflowPunct/>
        <w:topLinePunct w:val="0"/>
        <w:autoSpaceDE/>
        <w:autoSpaceDN/>
        <w:bidi w:val="0"/>
        <w:spacing w:line="300" w:lineRule="auto"/>
        <w:textAlignment w:val="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p>
    <w:p w14:paraId="07087A72">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23、评标过程的保密与公正</w:t>
      </w:r>
    </w:p>
    <w:p w14:paraId="2E7C84E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23.1公开开标后，直至签订合同之日止，凡是与审查、澄清、评价和比较投标的有关资料以及授标建议等，采购人、评委、代理机构工作人员均不得向投标人或与评标无关的其他人员透露。</w:t>
      </w:r>
    </w:p>
    <w:p w14:paraId="051D35A2">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23.2在评标过程中，投标人不得以任何行为影响评标过程，否则其投标文件将被作为无效投标文件。</w:t>
      </w:r>
    </w:p>
    <w:p w14:paraId="01EBE256">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23.3 在评标期间，代理机构将设专门工作人员与投标人联系。</w:t>
      </w:r>
    </w:p>
    <w:p w14:paraId="77AE682C">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23.4 代理机构和评委会不向未中标的投标人解释未中标原因，也不公布评标过程中的相关细节。</w:t>
      </w:r>
    </w:p>
    <w:p w14:paraId="3C23DBD2">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23.5 采用综合评分法的项目，未中标的投标人可于中标结果公告期限届满之日起通过“政府采购管理交易系统（苏采云）”查看自己的评审得分及排序情况。</w:t>
      </w:r>
    </w:p>
    <w:p w14:paraId="532DFA52">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24、投标的澄清</w:t>
      </w:r>
    </w:p>
    <w:p w14:paraId="3652595E">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24.1评标期间，为有助于对投标文件的审查、评价和比较，评委会有权以电子函件形式要求投标人对其投标文件进行澄清，但并非对每个投标人都作澄清要求。</w:t>
      </w:r>
    </w:p>
    <w:p w14:paraId="6EE201BE">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5EE5241E">
      <w:pPr>
        <w:pageBreakBefore w:val="0"/>
        <w:kinsoku/>
        <w:wordWrap/>
        <w:overflowPunct/>
        <w:topLinePunct w:val="0"/>
        <w:autoSpaceDE/>
        <w:autoSpaceDN/>
        <w:bidi w:val="0"/>
        <w:spacing w:line="300" w:lineRule="auto"/>
        <w:textAlignment w:val="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p>
    <w:p w14:paraId="02D90F83">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25、对投标文件的初审</w:t>
      </w:r>
    </w:p>
    <w:p w14:paraId="4E28894A">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25.1投标文件初审分为资格审查和符合性审查。</w:t>
      </w:r>
    </w:p>
    <w:p w14:paraId="4CC04BAF">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25.1.1资格审查：依据法律法规和采购文件的规定，由采购人对投标文件中的资格证明文件进行审查。并将审查结论以书面形式向评委会反馈。</w:t>
      </w:r>
    </w:p>
    <w:p w14:paraId="6355805B">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p>
    <w:p w14:paraId="2267EC97">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若接受联合体投标的项目，两个以上的自然人、法人或者其他组织组成一个联合体，以一个投标人的身份共同参加政府采购活动的,联合体成员存在不良信用记录的，视同联合体存在不良信用记录。</w:t>
      </w:r>
    </w:p>
    <w:p w14:paraId="51A13C43">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25.1.2符合性检查：依据采购文件的规定，由评委会从投标文件的有效性、完整性和对采购文件的响应程度进行审查，以确定是否对采购文件的实质性要求作出响应。</w:t>
      </w:r>
    </w:p>
    <w:p w14:paraId="40323DD0">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（一）评审中出现下列情形之一的，评审委员会应当启动异常低价投标（响应）审查程序：</w:t>
      </w:r>
    </w:p>
    <w:p w14:paraId="4CB2C3CF">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1.投标（响应）报价低于全部通过符合性审查供应商投标（响应）报价平均值</w:t>
      </w:r>
      <w:r>
        <w:rPr>
          <w:rFonts w:hint="eastAsia" w:ascii="宋体" w:hAnsi="宋体"/>
          <w:bCs/>
          <w:color w:val="auto"/>
          <w:szCs w:val="21"/>
          <w:highlight w:val="none"/>
          <w:lang w:val="en-US" w:eastAsia="zh-CN"/>
        </w:rPr>
        <w:t>65</w:t>
      </w:r>
      <w:r>
        <w:rPr>
          <w:rFonts w:hint="eastAsia" w:ascii="宋体" w:hAnsi="宋体"/>
          <w:bCs/>
          <w:color w:val="auto"/>
          <w:szCs w:val="21"/>
          <w:highlight w:val="none"/>
        </w:rPr>
        <w:t>%的，即投标（响应）报价&lt;全部通过符合性审查供应商投标（响应）报价平均值×</w:t>
      </w:r>
      <w:r>
        <w:rPr>
          <w:rFonts w:hint="eastAsia" w:ascii="宋体" w:hAnsi="宋体"/>
          <w:bCs/>
          <w:color w:val="auto"/>
          <w:szCs w:val="21"/>
          <w:highlight w:val="none"/>
          <w:lang w:val="en-US" w:eastAsia="zh-CN"/>
        </w:rPr>
        <w:t>65</w:t>
      </w:r>
      <w:r>
        <w:rPr>
          <w:rFonts w:hint="eastAsia" w:ascii="宋体" w:hAnsi="宋体"/>
          <w:bCs/>
          <w:color w:val="auto"/>
          <w:szCs w:val="21"/>
          <w:highlight w:val="none"/>
        </w:rPr>
        <w:t>%；</w:t>
      </w:r>
    </w:p>
    <w:p w14:paraId="6299B633">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2.投标（响应）报价低于通过符合性审查的次低报价供应商投标（响应）报价</w:t>
      </w:r>
      <w:r>
        <w:rPr>
          <w:rFonts w:hint="eastAsia" w:ascii="宋体" w:hAnsi="宋体"/>
          <w:bCs/>
          <w:color w:val="auto"/>
          <w:szCs w:val="21"/>
          <w:highlight w:val="none"/>
          <w:lang w:val="en-US" w:eastAsia="zh-CN"/>
        </w:rPr>
        <w:t>65</w:t>
      </w:r>
      <w:r>
        <w:rPr>
          <w:rFonts w:hint="eastAsia" w:ascii="宋体" w:hAnsi="宋体"/>
          <w:bCs/>
          <w:color w:val="auto"/>
          <w:szCs w:val="21"/>
          <w:highlight w:val="none"/>
        </w:rPr>
        <w:t>%的，即投标（响应）报价&lt;通过符合性审查的次低报价供应商投标（响应）报价×</w:t>
      </w:r>
      <w:r>
        <w:rPr>
          <w:rFonts w:hint="eastAsia" w:ascii="宋体" w:hAnsi="宋体"/>
          <w:bCs/>
          <w:color w:val="auto"/>
          <w:szCs w:val="21"/>
          <w:highlight w:val="none"/>
          <w:lang w:val="en-US" w:eastAsia="zh-CN"/>
        </w:rPr>
        <w:t>65</w:t>
      </w:r>
      <w:r>
        <w:rPr>
          <w:rFonts w:hint="eastAsia" w:ascii="宋体" w:hAnsi="宋体"/>
          <w:bCs/>
          <w:color w:val="auto"/>
          <w:szCs w:val="21"/>
          <w:highlight w:val="none"/>
        </w:rPr>
        <w:t>%；</w:t>
      </w:r>
    </w:p>
    <w:p w14:paraId="57B30787">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3.投标（响应）报价低于采购项目最高限价</w:t>
      </w:r>
      <w:r>
        <w:rPr>
          <w:rFonts w:hint="eastAsia" w:ascii="宋体" w:hAnsi="宋体"/>
          <w:bCs/>
          <w:color w:val="auto"/>
          <w:szCs w:val="21"/>
          <w:highlight w:val="none"/>
          <w:lang w:val="en-US" w:eastAsia="zh-CN"/>
        </w:rPr>
        <w:t>65</w:t>
      </w:r>
      <w:r>
        <w:rPr>
          <w:rFonts w:hint="eastAsia" w:ascii="宋体" w:hAnsi="宋体"/>
          <w:bCs/>
          <w:color w:val="auto"/>
          <w:szCs w:val="21"/>
          <w:highlight w:val="none"/>
        </w:rPr>
        <w:t>%的，即投标（响应）报价&lt;采购项目最高限价×</w:t>
      </w:r>
      <w:r>
        <w:rPr>
          <w:rFonts w:hint="eastAsia" w:ascii="宋体" w:hAnsi="宋体"/>
          <w:bCs/>
          <w:color w:val="auto"/>
          <w:szCs w:val="21"/>
          <w:highlight w:val="none"/>
          <w:lang w:val="en-US" w:eastAsia="zh-CN"/>
        </w:rPr>
        <w:t>65</w:t>
      </w:r>
      <w:r>
        <w:rPr>
          <w:rFonts w:hint="eastAsia" w:ascii="宋体" w:hAnsi="宋体"/>
          <w:bCs/>
          <w:color w:val="auto"/>
          <w:szCs w:val="21"/>
          <w:highlight w:val="none"/>
        </w:rPr>
        <w:t>%；</w:t>
      </w:r>
    </w:p>
    <w:p w14:paraId="70CD6B23">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4.评审委员会基于专业判断，认为供应商报价过低，有可能影响产品质量或者不能诚信履约的其他情形。</w:t>
      </w:r>
    </w:p>
    <w:p w14:paraId="11D1E874">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B7F94C5">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FF7966C">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04241B2C">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25.2在详细评标之前，评委会将首先审查每份投标文件是否实质性响应了采购文件的要求。实质性响应的投标应该是与采购文件要求的全部条款、条件和规格相符，没有重大偏离或保留的投标。</w:t>
      </w:r>
    </w:p>
    <w:p w14:paraId="2BBF47E0">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所谓重大偏离或保留是指与采购文件规定的实质性要求存在负偏离，或者在实质上与采购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442B653E">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25.3如果投标文件实质上没有响应采购文件的要求，评委会将予以拒绝，投标人不得通过修改或撤销不合要求的偏离或保留而使其投标成为实质性响应的投标。</w:t>
      </w:r>
    </w:p>
    <w:p w14:paraId="6E3F0ED2">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25.4评委会将对确定为实质性响应的投标进行进一步审核，看其是否有计算上或累加上的算术错误，修正错误的原则如下：</w:t>
      </w:r>
    </w:p>
    <w:p w14:paraId="4FF684F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（1）投标文件中开标一览表内容与投标文件中相应内容不一致的，以开标一览表为准。</w:t>
      </w:r>
    </w:p>
    <w:p w14:paraId="5B13CAD8">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（2）大写金额与小写金额不一致的，以大写金额为准。</w:t>
      </w:r>
    </w:p>
    <w:p w14:paraId="43AAE764">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（3）单价金额小数点或者百分比有明显错位的，以开标一览表的总价为准，并修改单价。</w:t>
      </w:r>
    </w:p>
    <w:p w14:paraId="7C7D61EA">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（4）总价金额与按单价汇总金额不一致的，以单价金额计算结果为准。</w:t>
      </w:r>
    </w:p>
    <w:p w14:paraId="0CBFBA42">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同时出现两种以上错误的，按照前款规定的顺序修正。</w:t>
      </w:r>
    </w:p>
    <w:p w14:paraId="4C139065">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67A1EF80">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25.6评委会将允许修正投标文件中不构成重大偏离的、微小的、非正规的、不一致的或不规则的地方，但这些修改不能影响任何投标人相应的名次排列。</w:t>
      </w:r>
    </w:p>
    <w:p w14:paraId="176D4F7F">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25.7采用最低评标价法的采购项目，提供相同品牌产品的不同投标人参加同一合同项下投标的，以其中通过资格审查、符合性审查且报价最低的参加评标；报价相同的，由评委会按照采购文件规定的方式确定，采购文件未规定的通过随机抽取的方式确定一个参加评标的投标人，其他投标无效。</w:t>
      </w:r>
    </w:p>
    <w:p w14:paraId="1A77BDA9">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p>
    <w:p w14:paraId="239EA9F7">
      <w:pPr>
        <w:spacing w:line="360" w:lineRule="auto"/>
        <w:ind w:firstLine="420"/>
        <w:rPr>
          <w:rFonts w:ascii="宋体" w:hAnsi="宋体"/>
          <w:bCs/>
          <w:color w:val="auto"/>
          <w:szCs w:val="21"/>
          <w:highlight w:val="none"/>
        </w:rPr>
      </w:pPr>
      <w:r>
        <w:rPr>
          <w:rFonts w:hint="eastAsia" w:ascii="宋体" w:hAnsi="宋体"/>
          <w:bCs/>
          <w:color w:val="auto"/>
          <w:szCs w:val="21"/>
          <w:highlight w:val="none"/>
        </w:rPr>
        <w:t>非单一产品采购项目，采购文件中将载明其中的核心产品。多家投标人提供的核心产品品牌相同的，按前两款规定处理。</w:t>
      </w:r>
      <w:r>
        <w:rPr>
          <w:rFonts w:hint="eastAsia" w:ascii="宋体" w:hAnsi="宋体"/>
          <w:b/>
          <w:color w:val="auto"/>
          <w:szCs w:val="21"/>
          <w:highlight w:val="none"/>
        </w:rPr>
        <w:t>本项目核心产品为：</w:t>
      </w:r>
      <w:r>
        <w:rPr>
          <w:rFonts w:hint="eastAsia" w:ascii="宋体" w:hAnsi="宋体"/>
          <w:b/>
          <w:color w:val="auto"/>
          <w:szCs w:val="21"/>
          <w:highlight w:val="none"/>
          <w:u w:val="single"/>
          <w:lang w:val="en-US" w:eastAsia="zh-CN"/>
        </w:rPr>
        <w:t>/</w:t>
      </w:r>
      <w:r>
        <w:rPr>
          <w:rFonts w:hint="eastAsia" w:ascii="宋体" w:hAnsi="宋体"/>
          <w:b/>
          <w:color w:val="auto"/>
          <w:szCs w:val="21"/>
          <w:highlight w:val="none"/>
        </w:rPr>
        <w:t>。</w:t>
      </w:r>
    </w:p>
    <w:p w14:paraId="13BBAA2D">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25.8 投标人在开、评标全过程中应保持通讯畅通，并安排专人与代理机构及评委会联系。</w:t>
      </w:r>
    </w:p>
    <w:p w14:paraId="5C510674">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26、无效投标、废标及投标人不足三家的处理</w:t>
      </w:r>
    </w:p>
    <w:p w14:paraId="54B12A9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26.1无效投标条款</w:t>
      </w:r>
    </w:p>
    <w:p w14:paraId="0003769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 投标人未成功解密电子投标文件的。</w:t>
      </w:r>
    </w:p>
    <w:p w14:paraId="3A9F1B1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26.1.2 投标人未按照采购文件要求上传电子投标文件的。</w:t>
      </w:r>
    </w:p>
    <w:p w14:paraId="6FE744ED">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26.1.3投标人在报价时采用选择性报价的。</w:t>
      </w:r>
    </w:p>
    <w:p w14:paraId="383308B5">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26.1.4投标人不具备采购文件中规定资格要求的。</w:t>
      </w:r>
    </w:p>
    <w:p w14:paraId="61F18279">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26.1.5投标人的报价超过了采购预算或最高限价的。</w:t>
      </w:r>
    </w:p>
    <w:p w14:paraId="79ACC59C">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26.1.6未通过符合性审查的。</w:t>
      </w:r>
    </w:p>
    <w:p w14:paraId="5B74CD06">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26.1.7不符合采购文件中规定的其他实质性要求和条件的（</w:t>
      </w:r>
      <w:r>
        <w:rPr>
          <w:rFonts w:hint="eastAsia" w:ascii="宋体" w:hAnsi="宋体"/>
          <w:b/>
          <w:bCs w:val="0"/>
          <w:i/>
          <w:iCs/>
          <w:color w:val="auto"/>
          <w:szCs w:val="21"/>
          <w:highlight w:val="none"/>
          <w:u w:val="single"/>
        </w:rPr>
        <w:t>本采购文件中斜体且有下划线部分为实质性要求和条件</w:t>
      </w:r>
      <w:r>
        <w:rPr>
          <w:rFonts w:hint="eastAsia" w:ascii="宋体" w:hAnsi="宋体"/>
          <w:bCs/>
          <w:color w:val="auto"/>
          <w:szCs w:val="21"/>
          <w:highlight w:val="none"/>
        </w:rPr>
        <w:t>）。</w:t>
      </w:r>
    </w:p>
    <w:p w14:paraId="29211757">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投标人的身份共同参加政府采购活动的，联合体成员存在不良信用记录的，视同联合体存在不良</w:t>
      </w:r>
      <w:r>
        <w:rPr>
          <w:rFonts w:hint="eastAsia" w:ascii="宋体" w:hAnsi="宋体"/>
          <w:bCs/>
          <w:color w:val="auto"/>
          <w:szCs w:val="21"/>
          <w:highlight w:val="none"/>
          <w:lang w:val="en-US" w:eastAsia="zh-CN"/>
        </w:rPr>
        <w:t>信</w:t>
      </w:r>
      <w:r>
        <w:rPr>
          <w:rFonts w:hint="eastAsia" w:ascii="宋体" w:hAnsi="宋体"/>
          <w:bCs/>
          <w:color w:val="auto"/>
          <w:szCs w:val="21"/>
          <w:highlight w:val="none"/>
        </w:rPr>
        <w:t>用记录。</w:t>
      </w:r>
    </w:p>
    <w:p w14:paraId="1021D2BF">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26.1.9  投标文件含有采购人不能接受的附加条件的。</w:t>
      </w:r>
    </w:p>
    <w:p w14:paraId="1A31784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14:paraId="7CB3C0C0">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26.1.11 投标文件未按照采购文件要求加盖电子签章。</w:t>
      </w:r>
    </w:p>
    <w:p w14:paraId="1BC35B48">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26.1.12 其他法律、法规及本采购文件规定的属无效投标的情形。</w:t>
      </w:r>
    </w:p>
    <w:p w14:paraId="3BD69584">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26.2废标条款：</w:t>
      </w:r>
    </w:p>
    <w:p w14:paraId="5BA84622">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26.2.1符合专业条件的投标人或者对采购文件作实质响应的投标人不足三家的。26.2.2出现影响采购公正的违法、违规行为的。</w:t>
      </w:r>
    </w:p>
    <w:p w14:paraId="713FD678">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26.2.3因重大变故，采购任务取消的。</w:t>
      </w:r>
    </w:p>
    <w:p w14:paraId="210A5E58">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26.2.4评委会认定采购文件存在歧义、重大缺陷导致评审工作无法进行。</w:t>
      </w:r>
    </w:p>
    <w:p w14:paraId="5019DCAA">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26.3 投标截止时间结束后参加投标的投标人不足三家的处理：</w:t>
      </w:r>
    </w:p>
    <w:p w14:paraId="458E19B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26.3.1如出现投标截止时间结束后参加投标的投标人或者在评标期间对采购文件做出实质性响应的投标人不足三家情况，按政府采购相关规定执行。</w:t>
      </w:r>
    </w:p>
    <w:p w14:paraId="3231CE3C">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27、确定中标单位</w:t>
      </w:r>
    </w:p>
    <w:p w14:paraId="6D2C2719">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27.1评委会根据本采购文件规定评标方法与评标标准向采购人推荐出中标候选人。</w:t>
      </w:r>
    </w:p>
    <w:p w14:paraId="4C7DCB3C">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27.2 采购人应根据评委会推荐的中标候选人确定中标人。</w:t>
      </w:r>
    </w:p>
    <w:p w14:paraId="4B6D9BF0">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27.3代理机构将在“扬州市政府采购网”、“江苏省政府采购网”发布中标公告，公告期限为1个工作日。</w:t>
      </w:r>
    </w:p>
    <w:p w14:paraId="2E133002">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27.4若有充分证据证明，中标人出现下列情况之一的，一经查实，将被取消中标资格：</w:t>
      </w:r>
    </w:p>
    <w:p w14:paraId="4081E129">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27.4.1提供虚假材料谋取中标的；</w:t>
      </w:r>
    </w:p>
    <w:p w14:paraId="77187859">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27.4.2向采购人、代理机构行贿或者提供其他不正当利益的；</w:t>
      </w:r>
    </w:p>
    <w:p w14:paraId="0346A0D7">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27.4.3恶意竞争，投标总报价明显低于其自身合理成本且又无法提供证明的；</w:t>
      </w:r>
    </w:p>
    <w:p w14:paraId="75803F45">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27.4.4属于本文件规定的无效条件，但在评标过程中又未被评委会发现的；</w:t>
      </w:r>
    </w:p>
    <w:p w14:paraId="4E84B52A">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27.4.5与采购人或者其他投标人恶意串通的；</w:t>
      </w:r>
    </w:p>
    <w:p w14:paraId="21D8B318">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27.4.6采取不正当手段诋毁、排挤其他投标人的；</w:t>
      </w:r>
    </w:p>
    <w:p w14:paraId="2BD4EC4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27.4.7不符合法律、法规的规定的。</w:t>
      </w:r>
    </w:p>
    <w:p w14:paraId="7B44BBC9">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 有下列情形之一的，视为投标人串通投标，投标无效：</w:t>
      </w:r>
    </w:p>
    <w:p w14:paraId="2C743370">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27.5.1不同投标人的投标文件由同一单位或者个人编制。</w:t>
      </w:r>
    </w:p>
    <w:p w14:paraId="05807D8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27.5.2不同投标人委托同一单位或者个人办理投标事宜。</w:t>
      </w:r>
    </w:p>
    <w:p w14:paraId="34D4E670">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27.5.3 不同投标人的投标文件载明的项目管理成员或者联系人员为同一人。</w:t>
      </w:r>
    </w:p>
    <w:p w14:paraId="6DEB7A55">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27.5.4不同投标人的投标文件异常一致或者投标报价呈规律性差异。</w:t>
      </w:r>
    </w:p>
    <w:p w14:paraId="13C4E46A">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27.5.5不同投标人的投标文件相互混装。</w:t>
      </w:r>
    </w:p>
    <w:p w14:paraId="31B07709">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28、质疑处理</w:t>
      </w:r>
    </w:p>
    <w:p w14:paraId="79CA0069">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28.1提出质疑的投标人应当是参与所质疑项目采购活动的投标人。潜在投标人依法获取其可质疑的采购文件的，可以对采购文件提出质疑。</w:t>
      </w:r>
    </w:p>
    <w:p w14:paraId="32499A6F">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对项目需求部分的质疑，潜在投标人应向采购人提出，由采购人负责答复。</w:t>
      </w:r>
    </w:p>
    <w:p w14:paraId="60E18DEC">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28.2投标人认为采购文件、采购过程和中标或成交结果使自己的权益受到损害的，可以在知道或应知其权益受到损害之日起7个工作日内，以书面形式向采购人或代理机构提出质疑。</w:t>
      </w:r>
    </w:p>
    <w:p w14:paraId="63B9D8E7">
      <w:pPr>
        <w:pageBreakBefore w:val="0"/>
        <w:kinsoku/>
        <w:wordWrap/>
        <w:overflowPunct/>
        <w:topLinePunct w:val="0"/>
        <w:autoSpaceDE/>
        <w:autoSpaceDN/>
        <w:bidi w:val="0"/>
        <w:spacing w:line="300" w:lineRule="auto"/>
        <w:ind w:firstLine="420"/>
        <w:jc w:val="left"/>
        <w:textAlignment w:val="auto"/>
        <w:rPr>
          <w:rFonts w:ascii="宋体" w:hAnsi="宋体"/>
          <w:bCs/>
          <w:color w:val="auto"/>
          <w:szCs w:val="21"/>
          <w:highlight w:val="none"/>
        </w:rPr>
      </w:pPr>
      <w:r>
        <w:rPr>
          <w:rFonts w:hint="eastAsia" w:ascii="宋体" w:hAnsi="宋体"/>
          <w:bCs/>
          <w:color w:val="auto"/>
          <w:szCs w:val="21"/>
          <w:highlight w:val="none"/>
        </w:rPr>
        <w:t>28.2.1对采购文件提出质疑的，应当在获取采购文件之日或者采购文件公告期限届满之日起7个工作日内提出。</w:t>
      </w:r>
      <w:r>
        <w:rPr>
          <w:rFonts w:hint="eastAsia" w:ascii="宋体" w:hAnsi="宋体"/>
          <w:bCs/>
          <w:color w:val="auto"/>
          <w:szCs w:val="21"/>
          <w:highlight w:val="none"/>
        </w:rPr>
        <w:br w:type="textWrapping" w:clear="all"/>
      </w:r>
      <w:r>
        <w:rPr>
          <w:rFonts w:hint="eastAsia" w:ascii="宋体" w:hAnsi="宋体"/>
          <w:bCs/>
          <w:color w:val="auto"/>
          <w:szCs w:val="21"/>
          <w:highlight w:val="none"/>
        </w:rPr>
        <w:t xml:space="preserve">    28.2.2对采购过程提出质疑的，为各采购程序环节结束之日起7个工作日内提出。</w:t>
      </w:r>
      <w:r>
        <w:rPr>
          <w:rFonts w:hint="eastAsia" w:ascii="宋体" w:hAnsi="宋体"/>
          <w:bCs/>
          <w:color w:val="auto"/>
          <w:szCs w:val="21"/>
          <w:highlight w:val="none"/>
        </w:rPr>
        <w:br w:type="textWrapping" w:clear="all"/>
      </w:r>
      <w:r>
        <w:rPr>
          <w:rFonts w:hint="eastAsia" w:ascii="宋体" w:hAnsi="宋体"/>
          <w:bCs/>
          <w:color w:val="auto"/>
          <w:szCs w:val="21"/>
          <w:highlight w:val="none"/>
        </w:rPr>
        <w:t xml:space="preserve">    28.2.3对中标结果提出质疑的，为中标结果公告期限届满之日起7个工作日内提出。</w:t>
      </w:r>
    </w:p>
    <w:p w14:paraId="33532014">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28.3投标人应在法定质疑期内一次性提出针对同一采购程序环节的质疑。投标人如在法定期限内对同一采购程序环节提出多次质疑的，代理机构、采购人将只对投标人第一次质疑作出答复。</w:t>
      </w:r>
    </w:p>
    <w:p w14:paraId="6ED3FB0D">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p>
    <w:p w14:paraId="3479664B">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28.5 代理机构及采购人只接收以纸质原件形式送达的质疑。</w:t>
      </w:r>
    </w:p>
    <w:p w14:paraId="5806491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采购人质疑接收人及联系方式见采购文件第一章。</w:t>
      </w:r>
    </w:p>
    <w:p w14:paraId="163224C0">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28.6代理机构收到质疑申请后，将对质疑的形式和内容进行审查，如质疑内容、格式不符合规定，代理机构将告知质疑人进行补正。</w:t>
      </w:r>
    </w:p>
    <w:p w14:paraId="3224B000">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28.7质疑人应当在法定质疑期限内进行补正并重新提交质疑函。</w:t>
      </w:r>
    </w:p>
    <w:p w14:paraId="395108AE">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 以下情形的质疑不予受理</w:t>
      </w:r>
    </w:p>
    <w:p w14:paraId="0AD29499">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28.8.1 内容不符合《政府采购质疑和投诉办法》第十二条规定的质疑。</w:t>
      </w:r>
    </w:p>
    <w:p w14:paraId="767CEE19">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28.8.2 超出政府采购法定期限的质疑。</w:t>
      </w:r>
    </w:p>
    <w:p w14:paraId="4CC8853D">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28.8.3 以传真、电子邮件等方式递交的非原件形式的质疑。</w:t>
      </w:r>
    </w:p>
    <w:p w14:paraId="4997BF25">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28.8.4 未参加投标活动的投标人或在投标活动中自身权益未受到损害的投标人所提出的质疑。</w:t>
      </w:r>
    </w:p>
    <w:p w14:paraId="0D53C2B5">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28.8.5投标人组成联合体参加投标，联合体中任何一方或多方未按要求签字、盖章、加盖公章的质疑。</w:t>
      </w:r>
    </w:p>
    <w:p w14:paraId="2169595D">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p>
    <w:p w14:paraId="79408F54">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28.10代理机构应当在收到投标人的书面质疑后7个工作日内作出答复，并以书面形式通知质疑投标人和其他有关投标人，但答复的内容不得涉及商业秘密。</w:t>
      </w:r>
    </w:p>
    <w:p w14:paraId="1CB864E4">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29、中标通知书</w:t>
      </w:r>
    </w:p>
    <w:p w14:paraId="35D1336F">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29.l 中标结果确定后，代理机构将向中标人发出中标通知书。</w:t>
      </w:r>
    </w:p>
    <w:p w14:paraId="44DD629F">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29.2 中标人可在“政府采购管理交易系统（苏采云）”中标通知书下载模块中自行下载中标通知书。</w:t>
      </w:r>
    </w:p>
    <w:p w14:paraId="29FCB87F">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29.3中标通知书将是合同的一个组成部分。对采购人和中标人均具有法律效力。中标通知书发出后，采购人改变中标结果的，或者中标人放弃中标项目的，应当依法承担法律责任。</w:t>
      </w:r>
    </w:p>
    <w:p w14:paraId="5DCD40AD">
      <w:pPr>
        <w:pageBreakBefore w:val="0"/>
        <w:kinsoku/>
        <w:wordWrap/>
        <w:overflowPunct/>
        <w:topLinePunct w:val="0"/>
        <w:autoSpaceDE/>
        <w:autoSpaceDN/>
        <w:bidi w:val="0"/>
        <w:spacing w:line="300" w:lineRule="auto"/>
        <w:ind w:firstLine="422"/>
        <w:textAlignment w:val="auto"/>
        <w:rPr>
          <w:rFonts w:ascii="宋体" w:hAnsi="宋体"/>
          <w:b/>
          <w:color w:val="auto"/>
          <w:szCs w:val="21"/>
          <w:highlight w:val="none"/>
        </w:rPr>
      </w:pPr>
      <w:r>
        <w:rPr>
          <w:rFonts w:hint="eastAsia" w:ascii="宋体" w:hAnsi="宋体"/>
          <w:b/>
          <w:color w:val="auto"/>
          <w:szCs w:val="21"/>
          <w:highlight w:val="none"/>
        </w:rPr>
        <w:t>30、 签订合同</w:t>
      </w:r>
    </w:p>
    <w:p w14:paraId="50ED0F6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30.l中标人应在中标通知书发出之日起十五日内，按照采购文件确定的事项与采购人签订政府采购合同。</w:t>
      </w:r>
    </w:p>
    <w:p w14:paraId="4BB79D37">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30.2 采购文件、中标人的投标文件及招标过程中有关澄清、承诺文件均应作为合同附件。</w:t>
      </w:r>
    </w:p>
    <w:p w14:paraId="33D33363">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30.3 合同在“政府采购管理交易系统（苏采云）”中签订，签订合同后，</w:t>
      </w:r>
      <w:r>
        <w:rPr>
          <w:rFonts w:hint="eastAsia" w:ascii="宋体" w:hAnsi="宋体"/>
          <w:b/>
          <w:bCs w:val="0"/>
          <w:i/>
          <w:iCs/>
          <w:color w:val="auto"/>
          <w:szCs w:val="21"/>
          <w:highlight w:val="none"/>
          <w:u w:val="single"/>
        </w:rPr>
        <w:t>中标人不得将货物或服务及其他服务进行转包</w:t>
      </w:r>
      <w:r>
        <w:rPr>
          <w:rFonts w:hint="eastAsia" w:ascii="宋体" w:hAnsi="宋体"/>
          <w:bCs/>
          <w:color w:val="auto"/>
          <w:szCs w:val="21"/>
          <w:highlight w:val="none"/>
        </w:rPr>
        <w:t>。未经采购人同意，中标人也不得采用分包的形式履行合同，否则采购人有权终止合同，中标人的履约保证金将不予退还。转包或分包造成采购人损失的，中标人应承担赔偿责任。</w:t>
      </w:r>
    </w:p>
    <w:p w14:paraId="0F5779F5">
      <w:pPr>
        <w:pageBreakBefore w:val="0"/>
        <w:kinsoku/>
        <w:wordWrap/>
        <w:overflowPunct/>
        <w:topLinePunct w:val="0"/>
        <w:autoSpaceDE/>
        <w:autoSpaceDN/>
        <w:bidi w:val="0"/>
        <w:spacing w:line="30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30.4采购人不得向中标人提出任何不合理的要求作为签订合同的条件，不得与中标人私下订立背离合同实质性内容的协议。所签订的合同不得对采购文件确定事项和中标人投标文件作实质性修改。</w:t>
      </w:r>
    </w:p>
    <w:p w14:paraId="4D81C72D">
      <w:pPr>
        <w:pageBreakBefore w:val="0"/>
        <w:kinsoku/>
        <w:wordWrap/>
        <w:overflowPunct/>
        <w:topLinePunct w:val="0"/>
        <w:autoSpaceDE/>
        <w:autoSpaceDN/>
        <w:bidi w:val="0"/>
        <w:spacing w:line="300" w:lineRule="auto"/>
        <w:ind w:firstLine="422"/>
        <w:textAlignment w:val="auto"/>
        <w:rPr>
          <w:rFonts w:ascii="宋体" w:hAnsi="宋体"/>
          <w:b w:val="0"/>
          <w:bCs/>
          <w:color w:val="auto"/>
          <w:szCs w:val="21"/>
          <w:highlight w:val="none"/>
        </w:rPr>
      </w:pPr>
      <w:r>
        <w:rPr>
          <w:rFonts w:hint="eastAsia" w:ascii="宋体" w:hAnsi="宋体"/>
          <w:b w:val="0"/>
          <w:bCs/>
          <w:color w:val="auto"/>
          <w:szCs w:val="21"/>
          <w:highlight w:val="none"/>
        </w:rPr>
        <w:t>31、电子投标文件要求</w:t>
      </w:r>
    </w:p>
    <w:p w14:paraId="67F20FDE">
      <w:pPr>
        <w:pageBreakBefore w:val="0"/>
        <w:kinsoku/>
        <w:wordWrap/>
        <w:overflowPunct/>
        <w:topLinePunct w:val="0"/>
        <w:autoSpaceDE/>
        <w:autoSpaceDN/>
        <w:bidi w:val="0"/>
        <w:spacing w:line="300" w:lineRule="auto"/>
        <w:ind w:firstLine="422"/>
        <w:textAlignment w:val="auto"/>
        <w:rPr>
          <w:rFonts w:ascii="宋体" w:hAnsi="宋体"/>
          <w:b w:val="0"/>
          <w:bCs/>
          <w:color w:val="auto"/>
          <w:szCs w:val="21"/>
          <w:highlight w:val="none"/>
        </w:rPr>
      </w:pPr>
      <w:r>
        <w:rPr>
          <w:rFonts w:hint="eastAsia" w:ascii="宋体" w:hAnsi="宋体"/>
          <w:b w:val="0"/>
          <w:bCs/>
          <w:color w:val="auto"/>
          <w:szCs w:val="21"/>
          <w:highlight w:val="none"/>
        </w:rPr>
        <w:t>31.1政府采购管理交易系统（苏采云）相关要求是本采购文件的组成部分。</w:t>
      </w:r>
    </w:p>
    <w:p w14:paraId="609A670D">
      <w:pPr>
        <w:pageBreakBefore w:val="0"/>
        <w:kinsoku/>
        <w:wordWrap/>
        <w:overflowPunct/>
        <w:topLinePunct w:val="0"/>
        <w:autoSpaceDE/>
        <w:autoSpaceDN/>
        <w:bidi w:val="0"/>
        <w:spacing w:line="300" w:lineRule="auto"/>
        <w:ind w:firstLine="422"/>
        <w:textAlignment w:val="auto"/>
        <w:rPr>
          <w:rFonts w:ascii="宋体" w:hAnsi="宋体"/>
          <w:b w:val="0"/>
          <w:bCs/>
          <w:color w:val="auto"/>
          <w:szCs w:val="21"/>
          <w:highlight w:val="none"/>
        </w:rPr>
      </w:pPr>
      <w:r>
        <w:rPr>
          <w:rFonts w:hint="eastAsia" w:ascii="宋体" w:hAnsi="宋体"/>
          <w:b w:val="0"/>
          <w:bCs/>
          <w:color w:val="auto"/>
          <w:szCs w:val="21"/>
          <w:highlight w:val="none"/>
        </w:rPr>
        <w:t>31.2投标人应对 CA 证书妥善保管，如被他人盗用投标，因此带来的结果均由投标人自行承担。</w:t>
      </w:r>
    </w:p>
    <w:p w14:paraId="574F5CCD">
      <w:pPr>
        <w:pageBreakBefore w:val="0"/>
        <w:kinsoku/>
        <w:wordWrap/>
        <w:overflowPunct/>
        <w:topLinePunct w:val="0"/>
        <w:autoSpaceDE/>
        <w:autoSpaceDN/>
        <w:bidi w:val="0"/>
        <w:spacing w:line="300" w:lineRule="auto"/>
        <w:ind w:firstLine="422"/>
        <w:textAlignment w:val="auto"/>
        <w:rPr>
          <w:rFonts w:ascii="宋体" w:hAnsi="宋体"/>
          <w:b w:val="0"/>
          <w:bCs/>
          <w:color w:val="auto"/>
          <w:szCs w:val="21"/>
          <w:highlight w:val="none"/>
        </w:rPr>
      </w:pPr>
      <w:r>
        <w:rPr>
          <w:rFonts w:hint="eastAsia" w:ascii="宋体" w:hAnsi="宋体"/>
          <w:b w:val="0"/>
          <w:bCs/>
          <w:color w:val="auto"/>
          <w:szCs w:val="21"/>
          <w:highlight w:val="none"/>
        </w:rPr>
        <w:t>31.3投标人应当对采购文件提出的要求和条件作出实质性响应，并在电子投标系统逐条应答。</w:t>
      </w:r>
    </w:p>
    <w:p w14:paraId="6349DD19">
      <w:pPr>
        <w:pageBreakBefore w:val="0"/>
        <w:kinsoku/>
        <w:wordWrap/>
        <w:overflowPunct/>
        <w:topLinePunct w:val="0"/>
        <w:autoSpaceDE/>
        <w:autoSpaceDN/>
        <w:bidi w:val="0"/>
        <w:spacing w:line="300" w:lineRule="auto"/>
        <w:ind w:firstLine="422"/>
        <w:textAlignment w:val="auto"/>
        <w:rPr>
          <w:rFonts w:ascii="宋体" w:hAnsi="宋体"/>
          <w:b w:val="0"/>
          <w:bCs/>
          <w:color w:val="auto"/>
          <w:szCs w:val="21"/>
          <w:highlight w:val="none"/>
        </w:rPr>
      </w:pPr>
      <w:r>
        <w:rPr>
          <w:rFonts w:hint="eastAsia" w:ascii="宋体" w:hAnsi="宋体"/>
          <w:b w:val="0"/>
          <w:bCs/>
          <w:color w:val="auto"/>
          <w:szCs w:val="21"/>
          <w:highlight w:val="none"/>
        </w:rPr>
        <w:t>31.4投标人应对要求提供的资格证明文件（如资质证书、资格证书）、技术资料（如白皮书、彩页、手册、检测报告等）扫描上传至投标系统。</w:t>
      </w:r>
    </w:p>
    <w:p w14:paraId="1889DB65">
      <w:pPr>
        <w:pageBreakBefore w:val="0"/>
        <w:numPr>
          <w:ilvl w:val="0"/>
          <w:numId w:val="1"/>
        </w:numPr>
        <w:kinsoku/>
        <w:wordWrap/>
        <w:overflowPunct/>
        <w:topLinePunct w:val="0"/>
        <w:autoSpaceDE/>
        <w:autoSpaceDN/>
        <w:bidi w:val="0"/>
        <w:spacing w:line="300" w:lineRule="auto"/>
        <w:ind w:firstLine="422"/>
        <w:textAlignment w:val="auto"/>
        <w:rPr>
          <w:rFonts w:ascii="宋体" w:hAnsi="宋体"/>
          <w:b w:val="0"/>
          <w:bCs/>
          <w:color w:val="auto"/>
          <w:szCs w:val="21"/>
          <w:highlight w:val="none"/>
        </w:rPr>
      </w:pPr>
      <w:r>
        <w:rPr>
          <w:rFonts w:hint="eastAsia" w:ascii="宋体" w:hAnsi="宋体"/>
          <w:b w:val="0"/>
          <w:bCs/>
          <w:color w:val="auto"/>
          <w:szCs w:val="21"/>
          <w:highlight w:val="none"/>
        </w:rPr>
        <w:t>提交投标文件的截止时间（投标截止时间）</w:t>
      </w:r>
    </w:p>
    <w:p w14:paraId="0A84F853">
      <w:pPr>
        <w:pageBreakBefore w:val="0"/>
        <w:kinsoku/>
        <w:wordWrap/>
        <w:overflowPunct/>
        <w:topLinePunct w:val="0"/>
        <w:autoSpaceDE/>
        <w:autoSpaceDN/>
        <w:bidi w:val="0"/>
        <w:spacing w:line="300" w:lineRule="auto"/>
        <w:ind w:firstLine="422"/>
        <w:textAlignment w:val="auto"/>
        <w:rPr>
          <w:rFonts w:ascii="宋体" w:hAnsi="宋体"/>
          <w:b w:val="0"/>
          <w:bCs/>
          <w:color w:val="auto"/>
          <w:szCs w:val="21"/>
          <w:highlight w:val="none"/>
        </w:rPr>
      </w:pPr>
      <w:r>
        <w:rPr>
          <w:rFonts w:hint="eastAsia" w:ascii="宋体" w:hAnsi="宋体"/>
          <w:b w:val="0"/>
          <w:bCs/>
          <w:color w:val="auto"/>
          <w:szCs w:val="21"/>
          <w:highlight w:val="none"/>
        </w:rPr>
        <w:t>32.1投标人应当在采购文件要求提交投标文件的截止时间前，将投标文件提交至“苏采云”系统，逾期提交的投标文件，“苏采云”系统将自动拒收。</w:t>
      </w:r>
    </w:p>
    <w:p w14:paraId="7806CC1C">
      <w:pPr>
        <w:pageBreakBefore w:val="0"/>
        <w:kinsoku/>
        <w:wordWrap/>
        <w:overflowPunct/>
        <w:topLinePunct w:val="0"/>
        <w:autoSpaceDE/>
        <w:autoSpaceDN/>
        <w:bidi w:val="0"/>
        <w:spacing w:line="300" w:lineRule="auto"/>
        <w:ind w:firstLine="422"/>
        <w:textAlignment w:val="auto"/>
        <w:rPr>
          <w:b w:val="0"/>
          <w:bCs/>
          <w:color w:val="auto"/>
          <w:highlight w:val="none"/>
        </w:rPr>
      </w:pPr>
      <w:r>
        <w:rPr>
          <w:rFonts w:hint="eastAsia" w:ascii="宋体" w:hAnsi="宋体"/>
          <w:b w:val="0"/>
          <w:bCs/>
          <w:color w:val="auto"/>
          <w:szCs w:val="21"/>
          <w:highlight w:val="none"/>
        </w:rPr>
        <w:t>32.2各投标人应在规定时间内凭CA证书进行网上解密。</w:t>
      </w:r>
    </w:p>
    <w:p w14:paraId="136877A0">
      <w:pPr>
        <w:pageBreakBefore w:val="0"/>
        <w:kinsoku/>
        <w:wordWrap/>
        <w:overflowPunct/>
        <w:topLinePunct w:val="0"/>
        <w:autoSpaceDE/>
        <w:autoSpaceDN/>
        <w:bidi w:val="0"/>
        <w:spacing w:line="300" w:lineRule="auto"/>
        <w:ind w:firstLine="422"/>
        <w:jc w:val="left"/>
        <w:textAlignment w:val="auto"/>
        <w:rPr>
          <w:rFonts w:ascii="宋体" w:hAnsi="宋体"/>
          <w:bCs/>
          <w:color w:val="auto"/>
          <w:szCs w:val="21"/>
          <w:highlight w:val="none"/>
        </w:rPr>
      </w:pPr>
      <w:r>
        <w:rPr>
          <w:rFonts w:hint="eastAsia" w:ascii="宋体" w:hAnsi="宋体"/>
          <w:b w:val="0"/>
          <w:bCs/>
          <w:color w:val="auto"/>
          <w:szCs w:val="21"/>
          <w:highlight w:val="none"/>
        </w:rPr>
        <w:t>33、其他</w:t>
      </w:r>
      <w:r>
        <w:rPr>
          <w:b w:val="0"/>
          <w:bCs/>
          <w:color w:val="auto"/>
          <w:highlight w:val="none"/>
        </w:rPr>
        <w:br w:type="textWrapping" w:clear="all"/>
      </w:r>
      <w:r>
        <w:rPr>
          <w:b w:val="0"/>
          <w:bCs/>
          <w:color w:val="auto"/>
          <w:highlight w:val="none"/>
        </w:rPr>
        <w:t xml:space="preserve"> </w:t>
      </w:r>
      <w:r>
        <w:rPr>
          <w:rFonts w:hint="eastAsia" w:ascii="宋体" w:hAnsi="宋体"/>
          <w:b w:val="0"/>
          <w:bCs/>
          <w:color w:val="auto"/>
          <w:szCs w:val="21"/>
          <w:highlight w:val="none"/>
        </w:rPr>
        <w:t xml:space="preserve">   33.1 </w:t>
      </w:r>
      <w:r>
        <w:rPr>
          <w:rFonts w:hint="eastAsia"/>
          <w:b w:val="0"/>
          <w:bCs/>
          <w:color w:val="auto"/>
          <w:highlight w:val="none"/>
        </w:rPr>
        <w:t>依据《政府采购促进中小企业发展管理办法》享受扶持政策获得政府采购合同的，小微企业不得将合同分包给大中型企</w:t>
      </w:r>
      <w:r>
        <w:rPr>
          <w:rFonts w:hint="eastAsia"/>
          <w:color w:val="auto"/>
          <w:highlight w:val="none"/>
        </w:rPr>
        <w:t>业，中型企业不得将合同分包给大型企业。</w:t>
      </w:r>
    </w:p>
    <w:p w14:paraId="22041299">
      <w:pPr>
        <w:rPr>
          <w:rFonts w:hint="eastAsia"/>
          <w:color w:val="auto"/>
          <w:highlight w:val="none"/>
        </w:rPr>
      </w:pPr>
    </w:p>
    <w:p w14:paraId="6E856B74">
      <w:pPr>
        <w:rPr>
          <w:rFonts w:hint="eastAsia"/>
          <w:color w:val="auto"/>
          <w:highlight w:val="none"/>
        </w:rPr>
      </w:pPr>
    </w:p>
    <w:p w14:paraId="23D727DC">
      <w:pPr>
        <w:pStyle w:val="290"/>
        <w:spacing w:before="120" w:after="120" w:line="0" w:lineRule="atLeast"/>
        <w:jc w:val="center"/>
        <w:outlineLvl w:val="0"/>
        <w:rPr>
          <w:rFonts w:hint="eastAsia" w:ascii="黑体" w:eastAsia="黑体"/>
          <w:bCs/>
          <w:color w:val="auto"/>
          <w:sz w:val="44"/>
          <w:highlight w:val="none"/>
        </w:rPr>
      </w:pPr>
      <w:bookmarkStart w:id="68" w:name="_Toc19303"/>
      <w:r>
        <w:rPr>
          <w:rFonts w:hint="eastAsia" w:ascii="宋体" w:hAnsi="宋体" w:eastAsia="宋体" w:cs="宋体"/>
          <w:b/>
          <w:bCs w:val="0"/>
          <w:color w:val="auto"/>
          <w:sz w:val="44"/>
          <w:highlight w:val="none"/>
        </w:rPr>
        <w:t>第三章 合同文本</w:t>
      </w:r>
      <w:bookmarkEnd w:id="68"/>
    </w:p>
    <w:p w14:paraId="671FBE88">
      <w:pPr>
        <w:spacing w:line="500" w:lineRule="exact"/>
        <w:ind w:firstLine="480"/>
        <w:rPr>
          <w:rFonts w:hint="eastAsia" w:ascii="宋体" w:hAnsi="宋体"/>
          <w:bCs/>
          <w:color w:val="auto"/>
          <w:sz w:val="24"/>
          <w:szCs w:val="22"/>
          <w:highlight w:val="none"/>
        </w:rPr>
      </w:pPr>
      <w:r>
        <w:rPr>
          <w:rFonts w:hint="eastAsia" w:ascii="宋体" w:hAnsi="宋体"/>
          <w:bCs/>
          <w:color w:val="auto"/>
          <w:sz w:val="24"/>
          <w:szCs w:val="22"/>
          <w:highlight w:val="none"/>
        </w:rPr>
        <w:t>以下为中标后签定本项目合同的通用条款，中标人不得提出实质性的修改，关于专用条款将由采购人与中标人结合本项目具体情况协商后签订。</w:t>
      </w:r>
    </w:p>
    <w:p w14:paraId="74295399">
      <w:pPr>
        <w:keepNext w:val="0"/>
        <w:keepLines w:val="0"/>
        <w:pageBreakBefore w:val="0"/>
        <w:widowControl w:val="0"/>
        <w:kinsoku/>
        <w:wordWrap/>
        <w:overflowPunct/>
        <w:topLinePunct w:val="0"/>
        <w:autoSpaceDE/>
        <w:autoSpaceDN/>
        <w:bidi w:val="0"/>
        <w:adjustRightInd/>
        <w:snapToGrid/>
        <w:spacing w:line="360" w:lineRule="auto"/>
        <w:ind w:left="0" w:firstLine="602" w:firstLineChars="200"/>
        <w:jc w:val="center"/>
        <w:textAlignment w:val="auto"/>
        <w:outlineLvl w:val="9"/>
        <w:rPr>
          <w:rFonts w:ascii="宋体" w:hAnsi="宋体"/>
          <w:b/>
          <w:bCs/>
          <w:color w:val="auto"/>
          <w:sz w:val="30"/>
          <w:szCs w:val="20"/>
          <w:highlight w:val="none"/>
        </w:rPr>
      </w:pPr>
      <w:bookmarkStart w:id="69" w:name="_Toc32004"/>
      <w:r>
        <w:rPr>
          <w:rFonts w:hint="eastAsia" w:ascii="宋体" w:hAnsi="宋体"/>
          <w:b/>
          <w:color w:val="auto"/>
          <w:sz w:val="30"/>
          <w:highlight w:val="none"/>
        </w:rPr>
        <w:t>江苏省政府采购合同（服务）（合同编号）</w:t>
      </w:r>
    </w:p>
    <w:p w14:paraId="6B2A018B">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项目名称：*****                   </w:t>
      </w:r>
    </w:p>
    <w:p w14:paraId="4FA513BA">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项目编号：*****             </w:t>
      </w:r>
    </w:p>
    <w:p w14:paraId="1FC435E3">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甲方：（买方）_________</w:t>
      </w:r>
    </w:p>
    <w:p w14:paraId="5115DF21">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乙方：（卖方）_________</w:t>
      </w:r>
    </w:p>
    <w:p w14:paraId="291BE056">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甲、乙双方根据         项目公开招标的结果，签署本合同。</w:t>
      </w:r>
    </w:p>
    <w:p w14:paraId="1325A05F">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一、合同内容</w:t>
      </w:r>
    </w:p>
    <w:p w14:paraId="651EFC28">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1.1 标的名称：</w:t>
      </w:r>
    </w:p>
    <w:p w14:paraId="2DEDD3C9">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1.2标的质量：</w:t>
      </w:r>
    </w:p>
    <w:p w14:paraId="0A810BC7">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1.3 标的数量（规模）：</w:t>
      </w:r>
    </w:p>
    <w:p w14:paraId="1712BEF6">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1.4 履行时间（期限）：本项目服务期叁年（自合同签订之日起计），合同首签壹年，考核合格的情况下，采购人与中标人可续签订下一年合同。</w:t>
      </w:r>
    </w:p>
    <w:p w14:paraId="0021948F">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1.5 履行地点：</w:t>
      </w:r>
    </w:p>
    <w:p w14:paraId="6A51AC40">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1.6履行方式：</w:t>
      </w:r>
    </w:p>
    <w:p w14:paraId="6F1CC805">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二、合同金额</w:t>
      </w:r>
    </w:p>
    <w:p w14:paraId="7CF07208">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2.1 本合同金额为（大写）：________元（</w:t>
      </w:r>
      <w:r>
        <w:rPr>
          <w:rFonts w:hint="eastAsia" w:ascii="宋体" w:hAnsi="宋体" w:eastAsia="宋体" w:cs="宋体"/>
          <w:color w:val="auto"/>
          <w:sz w:val="24"/>
          <w:szCs w:val="24"/>
          <w:lang w:val="en-US" w:eastAsia="zh-CN"/>
        </w:rPr>
        <w:t>小写：</w:t>
      </w:r>
      <w:r>
        <w:rPr>
          <w:rFonts w:hint="eastAsia" w:ascii="宋体" w:hAnsi="宋体" w:eastAsia="宋体" w:cs="宋体"/>
          <w:color w:val="auto"/>
          <w:sz w:val="24"/>
          <w:szCs w:val="24"/>
          <w:lang w:val="zh-CN"/>
        </w:rPr>
        <w:t>_______）人民币或其他币种。</w:t>
      </w:r>
    </w:p>
    <w:p w14:paraId="469EDDCC">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三、技术资料</w:t>
      </w:r>
    </w:p>
    <w:p w14:paraId="114B363F">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3.1乙方应按招标文件规定的时间向甲方提供服务（包含与服务相关的货物）的有关技术资料。</w:t>
      </w:r>
    </w:p>
    <w:p w14:paraId="048D78AF">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lang w:val="zh-CN"/>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w:t>
      </w:r>
      <w:r>
        <w:rPr>
          <w:rFonts w:hint="eastAsia" w:ascii="宋体" w:hAnsi="宋体" w:eastAsia="宋体" w:cs="宋体"/>
          <w:color w:val="auto"/>
          <w:sz w:val="24"/>
          <w:szCs w:val="24"/>
          <w:highlight w:val="none"/>
          <w:lang w:val="zh-CN"/>
        </w:rPr>
        <w:t>范围。</w:t>
      </w:r>
    </w:p>
    <w:p w14:paraId="02E1E2E5">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3.3 关于本项目采购的招投标文件及有关附件与本合同具备同等效力，包括但不限于以下内容：</w:t>
      </w:r>
    </w:p>
    <w:p w14:paraId="56FFA280">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（1）投标响应文件；（2）投标报价文件；（3）成交公告</w:t>
      </w:r>
    </w:p>
    <w:p w14:paraId="4F9E0249">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3.4关于本项目采购活动方式相适应的文件及有关附件作为本合同的重要组成部分，包括但不限于以下内容：</w:t>
      </w:r>
    </w:p>
    <w:p w14:paraId="245781F9">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cs="宋体"/>
          <w:color w:val="auto"/>
          <w:sz w:val="24"/>
          <w:szCs w:val="24"/>
          <w:highlight w:val="none"/>
          <w:lang w:val="en-US" w:eastAsia="zh-CN"/>
        </w:rPr>
        <w:t>服务内容和考核要求</w:t>
      </w:r>
      <w:r>
        <w:rPr>
          <w:rFonts w:hint="eastAsia" w:ascii="宋体" w:hAnsi="宋体" w:eastAsia="宋体" w:cs="宋体"/>
          <w:color w:val="auto"/>
          <w:sz w:val="24"/>
          <w:szCs w:val="24"/>
          <w:highlight w:val="none"/>
          <w:lang w:val="zh-CN"/>
        </w:rPr>
        <w:t>；（2）服务承诺； （</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）甲乙双方补充协议；（</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）廉洁承诺书</w:t>
      </w:r>
    </w:p>
    <w:p w14:paraId="2D701EAA">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四、知识产权</w:t>
      </w:r>
    </w:p>
    <w:p w14:paraId="1EEF189B">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4.1乙方应保证甲方在使用、接受本合同服务（包含与服务相关的货物）或其任何一部分时不受第三方提出侵犯其专利权、版权、商标权和工业设计权等知识产权的起诉。一旦出现侵权，由乙方负全部责任。</w:t>
      </w:r>
    </w:p>
    <w:p w14:paraId="30DAAADF">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五、产权担保</w:t>
      </w:r>
    </w:p>
    <w:p w14:paraId="1E464EAA">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5.1 乙方保证所交付的服务（包含与服务相关的货物）的所有权完全属于乙方且无任何抵押、查封等产权瑕疵。</w:t>
      </w:r>
    </w:p>
    <w:p w14:paraId="3E47690E">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六、履约保证金</w:t>
      </w:r>
    </w:p>
    <w:p w14:paraId="09E027A9">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6.1 </w:t>
      </w:r>
      <w:r>
        <w:rPr>
          <w:rFonts w:hint="eastAsia" w:ascii="宋体" w:hAnsi="宋体" w:eastAsia="宋体" w:cs="宋体"/>
          <w:color w:val="auto"/>
          <w:sz w:val="24"/>
          <w:szCs w:val="24"/>
          <w:highlight w:val="none"/>
          <w:lang w:val="en-US" w:eastAsia="zh-CN"/>
        </w:rPr>
        <w:t>中标人应在合同签订后7日内向招标人提交金额为</w:t>
      </w:r>
      <w:r>
        <w:rPr>
          <w:rFonts w:hint="eastAsia" w:ascii="宋体" w:hAnsi="宋体" w:cs="宋体"/>
          <w:color w:val="auto"/>
          <w:sz w:val="24"/>
          <w:szCs w:val="24"/>
          <w:highlight w:val="none"/>
          <w:lang w:val="en-US" w:eastAsia="zh-CN"/>
        </w:rPr>
        <w:t>50000元</w:t>
      </w:r>
      <w:r>
        <w:rPr>
          <w:rFonts w:hint="eastAsia" w:ascii="宋体" w:hAnsi="宋体" w:eastAsia="宋体" w:cs="宋体"/>
          <w:color w:val="auto"/>
          <w:sz w:val="24"/>
          <w:szCs w:val="24"/>
          <w:highlight w:val="none"/>
          <w:lang w:val="en-US" w:eastAsia="zh-CN"/>
        </w:rPr>
        <w:t>、期限为5年的不可撤销见索即付履约保函。保函格式须经招标人认可。逾期未提交视为违约。</w:t>
      </w:r>
    </w:p>
    <w:p w14:paraId="292D3271">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6.2合同履行结束后，甲方应及时退还交纳的履约保证金。</w:t>
      </w:r>
    </w:p>
    <w:p w14:paraId="1E5A5DCB">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6.2.1履约保证金退还方式：</w:t>
      </w:r>
      <w:r>
        <w:rPr>
          <w:rFonts w:hint="eastAsia" w:hAnsi="宋体"/>
          <w:color w:val="auto"/>
          <w:sz w:val="24"/>
          <w:szCs w:val="24"/>
          <w:highlight w:val="none"/>
        </w:rPr>
        <w:t>按照乙方缴纳的方式进行退还。</w:t>
      </w:r>
    </w:p>
    <w:p w14:paraId="58ECB83F">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6.2.2履约保证金退还时间：</w:t>
      </w:r>
      <w:r>
        <w:rPr>
          <w:rFonts w:hint="eastAsia" w:hAnsi="宋体"/>
          <w:color w:val="auto"/>
          <w:sz w:val="24"/>
          <w:szCs w:val="24"/>
          <w:highlight w:val="none"/>
        </w:rPr>
        <w:t>项目期满考核合格后15日内。</w:t>
      </w:r>
    </w:p>
    <w:p w14:paraId="6F4FC206">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6.2.3履约保证金退还条件：</w:t>
      </w:r>
      <w:r>
        <w:rPr>
          <w:rFonts w:hint="eastAsia" w:hAnsi="宋体"/>
          <w:color w:val="auto"/>
          <w:sz w:val="24"/>
          <w:szCs w:val="24"/>
          <w:highlight w:val="none"/>
        </w:rPr>
        <w:t>乙方在履约期间未给甲方造成损失或造成的损失经扣除后存有结余的。</w:t>
      </w:r>
    </w:p>
    <w:p w14:paraId="5F1AA8E3">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6.2.4履约保证金不予退还的情形：</w:t>
      </w:r>
      <w:r>
        <w:rPr>
          <w:rFonts w:hint="eastAsia" w:hAnsi="宋体"/>
          <w:color w:val="auto"/>
          <w:sz w:val="24"/>
          <w:szCs w:val="24"/>
          <w:highlight w:val="none"/>
        </w:rPr>
        <w:t>乙方不履行合同或履行该合同不符合合同约定不足以弥补乙方违约造成甲方损失的。</w:t>
      </w:r>
    </w:p>
    <w:p w14:paraId="3EAAC1BC">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七、合同转包或分包</w:t>
      </w:r>
    </w:p>
    <w:p w14:paraId="41C12C1B">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7.1乙方不得将合同标的转包或分包给他人履行。</w:t>
      </w:r>
    </w:p>
    <w:p w14:paraId="237B96C3">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7.2乙方如有转包或分包行为，甲方有权解除合同。</w:t>
      </w:r>
    </w:p>
    <w:p w14:paraId="673D7B86">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八、合同款项支付</w:t>
      </w:r>
    </w:p>
    <w:p w14:paraId="11236FCB">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8.1合同款项的支付方式及进度安排</w:t>
      </w:r>
    </w:p>
    <w:p w14:paraId="10D6BE43">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服务开始后，甲方每月对乙方服务质量进行考核，每个月结算一次服务费用，乙方按经双方签字确认的月度考核汇总结果开具正式发票，甲方在收到发票后15日内付款。（如月度考核中被扣款，则付款时扣除相应金额）。</w:t>
      </w:r>
    </w:p>
    <w:p w14:paraId="1D726E7C">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highlight w:val="none"/>
          <w:lang w:val="zh-CN"/>
        </w:rPr>
        <w:t>（2）乙方须提供合法有效的增值税专用发票或普通发票，发票内容须与合</w:t>
      </w:r>
      <w:r>
        <w:rPr>
          <w:rFonts w:hint="eastAsia" w:ascii="宋体" w:hAnsi="宋体" w:eastAsia="宋体" w:cs="宋体"/>
          <w:color w:val="auto"/>
          <w:sz w:val="24"/>
          <w:szCs w:val="24"/>
          <w:lang w:val="zh-CN"/>
        </w:rPr>
        <w:t>同约定的货物名称、规格、数量、金额完全一致，且符合国家税务管理规定。</w:t>
      </w:r>
    </w:p>
    <w:p w14:paraId="263D1276">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九、税费</w:t>
      </w:r>
    </w:p>
    <w:p w14:paraId="480C1B83">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9.1本合同执行中相关的一切税费均由乙方负担。</w:t>
      </w:r>
    </w:p>
    <w:p w14:paraId="25875132">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十、项目验收</w:t>
      </w:r>
    </w:p>
    <w:p w14:paraId="6DD68E0F">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10.1 甲方依法组织履约验收工作。</w:t>
      </w:r>
    </w:p>
    <w:p w14:paraId="0D619289">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3507860">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10.3 对于实际使用人和甲方分离的项目，甲方邀请实际使用人参与验收。</w:t>
      </w:r>
    </w:p>
    <w:p w14:paraId="0FB64B02">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10.4 如有必要，甲方邀请参加本项目的其他供应商或第三方专业机构及专家参与验收，相关意见将作为验收书的参考资料。</w:t>
      </w:r>
    </w:p>
    <w:p w14:paraId="39E042DE">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0BC6DDE">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06FC6FDE">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十一、违约责任</w:t>
      </w:r>
    </w:p>
    <w:p w14:paraId="6F0924C7">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11.1 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的违约金。</w:t>
      </w:r>
    </w:p>
    <w:p w14:paraId="080C23B1">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11.2 甲方无故逾期验收和办理合同款项支付手续的,每逾期一日，应按当期应付未付金额的千分之五向乙方支付违约金，但违约金总额不超过逾期支付款项的5%。</w:t>
      </w:r>
    </w:p>
    <w:p w14:paraId="3883BC13">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val="zh-CN"/>
        </w:rPr>
        <w:t xml:space="preserve">的违约金，如造成甲方损失超过违约金的，超出部分由乙方继续承担赔偿责任。 </w:t>
      </w:r>
    </w:p>
    <w:p w14:paraId="6CBABD35">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11.4 乙方所提供服务的标准不符合合同规定及招标文件规定标准的，甲方有权拒绝接受服务，并可单方面解除合同。</w:t>
      </w:r>
    </w:p>
    <w:p w14:paraId="28FFF4EC">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十二、不可抗力事件处理</w:t>
      </w:r>
    </w:p>
    <w:p w14:paraId="4FDA6655">
      <w:pPr>
        <w:pageBreakBefore w:val="0"/>
        <w:wordWrap/>
        <w:overflowPunct/>
        <w:topLinePunct w:val="0"/>
        <w:bidi w:val="0"/>
        <w:spacing w:line="30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12.1 在合同有效期内，任何一方因不可抗力事件导致不能履行合同，则合同履行期可延长，其延长期与不可抗力影响 期相同。</w:t>
      </w:r>
    </w:p>
    <w:p w14:paraId="576562E2">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highlight w:val="none"/>
          <w:lang w:val="zh-CN"/>
        </w:rPr>
        <w:t>12.2 不可抗力事件发生后，应立即通知对方，并寄送有关权威</w:t>
      </w:r>
      <w:r>
        <w:rPr>
          <w:rFonts w:hint="eastAsia" w:ascii="宋体" w:hAnsi="宋体" w:eastAsia="宋体" w:cs="宋体"/>
          <w:color w:val="auto"/>
          <w:sz w:val="24"/>
          <w:szCs w:val="24"/>
          <w:lang w:val="zh-CN"/>
        </w:rPr>
        <w:t>机构出具的证明。</w:t>
      </w:r>
    </w:p>
    <w:p w14:paraId="23C6AD2B">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12.3 不可抗力事件延续120天以上，双方应通过友好协商，确定是否继续履行合同。</w:t>
      </w:r>
    </w:p>
    <w:p w14:paraId="2B8EBF1E">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十三、解决争议的方法</w:t>
      </w:r>
    </w:p>
    <w:p w14:paraId="7434896C">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13.1双方在签订、履行合同中所发生的一切争议，应通过友好协商解决。如协商不成，由甲方住所地人民法院管辖。</w:t>
      </w:r>
    </w:p>
    <w:p w14:paraId="45A45373">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十四、合同生效及其它</w:t>
      </w:r>
    </w:p>
    <w:p w14:paraId="1371AB17">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14.1 合同经双方法定代表人或授权委托代表人签字并加盖单位公章后生效。</w:t>
      </w:r>
    </w:p>
    <w:p w14:paraId="414F3944">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14.2本合同未尽事宜，遵照中华人民共和国现行法律法规有关条文执行。</w:t>
      </w:r>
    </w:p>
    <w:p w14:paraId="51D4EDD1">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14.3 本合同正本一式</w:t>
      </w:r>
      <w:r>
        <w:rPr>
          <w:rFonts w:hint="eastAsia" w:ascii="宋体" w:hAnsi="宋体" w:cs="宋体"/>
          <w:color w:val="auto"/>
          <w:sz w:val="24"/>
          <w:szCs w:val="24"/>
          <w:lang w:val="en-US" w:eastAsia="zh-CN"/>
        </w:rPr>
        <w:t>肆</w:t>
      </w:r>
      <w:r>
        <w:rPr>
          <w:rFonts w:hint="eastAsia" w:ascii="宋体" w:hAnsi="宋体" w:eastAsia="宋体" w:cs="宋体"/>
          <w:color w:val="auto"/>
          <w:sz w:val="24"/>
          <w:szCs w:val="24"/>
          <w:lang w:val="zh-CN"/>
        </w:rPr>
        <w:t>份，具有同等法律效力，甲方执</w:t>
      </w:r>
      <w:r>
        <w:rPr>
          <w:rFonts w:hint="eastAsia" w:ascii="宋体" w:hAnsi="宋体" w:cs="宋体"/>
          <w:color w:val="auto"/>
          <w:sz w:val="24"/>
          <w:szCs w:val="24"/>
          <w:lang w:val="en-US" w:eastAsia="zh-CN"/>
        </w:rPr>
        <w:t>贰</w:t>
      </w:r>
      <w:r>
        <w:rPr>
          <w:rFonts w:hint="eastAsia" w:ascii="宋体" w:hAnsi="宋体" w:eastAsia="宋体" w:cs="宋体"/>
          <w:color w:val="auto"/>
          <w:sz w:val="24"/>
          <w:szCs w:val="24"/>
          <w:lang w:val="zh-CN"/>
        </w:rPr>
        <w:t>份，乙方执贰份。</w:t>
      </w:r>
    </w:p>
    <w:p w14:paraId="4CD47EF2">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14</w:t>
      </w:r>
      <w:r>
        <w:rPr>
          <w:rFonts w:hint="eastAsia" w:ascii="宋体" w:hAnsi="宋体" w:eastAsia="宋体" w:cs="宋体"/>
          <w:color w:val="auto"/>
          <w:sz w:val="24"/>
          <w:szCs w:val="24"/>
          <w:lang w:val="zh-CN"/>
        </w:rPr>
        <w:t>.4 本合同附件《药品、医用耗材、医疗设备、后勤物资销售(使用)廉洁承诺书》为本合同不可分割的一部分，与本合同具有同等法律效力。乙方违反该承诺书的任何承诺，均视为对本合同的根本违约，甲方有权单方解除本合同，并要求乙方承担本合同第</w:t>
      </w:r>
      <w:r>
        <w:rPr>
          <w:rFonts w:hint="eastAsia" w:ascii="宋体" w:hAnsi="宋体" w:cs="宋体"/>
          <w:color w:val="auto"/>
          <w:sz w:val="24"/>
          <w:szCs w:val="24"/>
          <w:lang w:val="en-US" w:eastAsia="zh-CN"/>
        </w:rPr>
        <w:t>十一</w:t>
      </w:r>
      <w:r>
        <w:rPr>
          <w:rFonts w:hint="eastAsia" w:ascii="宋体" w:hAnsi="宋体" w:eastAsia="宋体" w:cs="宋体"/>
          <w:color w:val="auto"/>
          <w:sz w:val="24"/>
          <w:szCs w:val="24"/>
          <w:lang w:val="zh-CN"/>
        </w:rPr>
        <w:t xml:space="preserve">条约定的全部违约责任。 </w:t>
      </w:r>
    </w:p>
    <w:p w14:paraId="2D9D0C84">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p>
    <w:p w14:paraId="3F8E2065">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p>
    <w:p w14:paraId="6FF575C7">
      <w:pPr>
        <w:pageBreakBefore w:val="0"/>
        <w:wordWrap/>
        <w:overflowPunct/>
        <w:topLinePunct w:val="0"/>
        <w:bidi w:val="0"/>
        <w:spacing w:line="300" w:lineRule="auto"/>
        <w:rPr>
          <w:rFonts w:hint="eastAsia" w:ascii="宋体" w:hAnsi="宋体" w:eastAsia="宋体" w:cs="宋体"/>
          <w:color w:val="auto"/>
          <w:sz w:val="24"/>
          <w:szCs w:val="24"/>
          <w:lang w:val="zh-CN"/>
        </w:rPr>
      </w:pPr>
    </w:p>
    <w:p w14:paraId="16C131F7">
      <w:pPr>
        <w:pageBreakBefore w:val="0"/>
        <w:wordWrap/>
        <w:overflowPunct/>
        <w:topLinePunct w:val="0"/>
        <w:bidi w:val="0"/>
        <w:spacing w:line="30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甲方：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 乙方： </w:t>
      </w:r>
    </w:p>
    <w:p w14:paraId="329F457F">
      <w:pPr>
        <w:pageBreakBefore w:val="0"/>
        <w:wordWrap/>
        <w:overflowPunct/>
        <w:topLinePunct w:val="0"/>
        <w:bidi w:val="0"/>
        <w:spacing w:line="30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地址：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 地址： </w:t>
      </w:r>
    </w:p>
    <w:p w14:paraId="07C4BFF4">
      <w:pPr>
        <w:pageBreakBefore w:val="0"/>
        <w:wordWrap/>
        <w:overflowPunct/>
        <w:topLinePunct w:val="0"/>
        <w:bidi w:val="0"/>
        <w:spacing w:line="30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法定代表人或授权代表：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 法定代表人或授权代表：</w:t>
      </w:r>
    </w:p>
    <w:p w14:paraId="6E6E5A9A">
      <w:pPr>
        <w:pageBreakBefore w:val="0"/>
        <w:wordWrap/>
        <w:overflowPunct/>
        <w:topLinePunct w:val="0"/>
        <w:bidi w:val="0"/>
        <w:spacing w:line="30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联系电话：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lang w:val="zh-CN"/>
        </w:rPr>
        <w:t xml:space="preserve"> 联系电话：          </w:t>
      </w:r>
    </w:p>
    <w:p w14:paraId="22D87AF4">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                              </w:t>
      </w:r>
    </w:p>
    <w:p w14:paraId="6D4404FD">
      <w:pPr>
        <w:pageBreakBefore w:val="0"/>
        <w:wordWrap/>
        <w:overflowPunct/>
        <w:topLinePunct w:val="0"/>
        <w:bidi w:val="0"/>
        <w:spacing w:line="30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签订日期：      年    月   日</w:t>
      </w:r>
    </w:p>
    <w:p w14:paraId="4288CB6C">
      <w:pPr>
        <w:rPr>
          <w:color w:val="auto"/>
        </w:rPr>
      </w:pPr>
    </w:p>
    <w:p w14:paraId="597E505A">
      <w:pPr>
        <w:rPr>
          <w:color w:val="auto"/>
        </w:rPr>
      </w:pPr>
    </w:p>
    <w:p w14:paraId="14F00381">
      <w:pPr>
        <w:rPr>
          <w:color w:val="auto"/>
        </w:rPr>
      </w:pPr>
    </w:p>
    <w:p w14:paraId="022F1CD9">
      <w:pPr>
        <w:rPr>
          <w:color w:val="auto"/>
        </w:rPr>
      </w:pPr>
    </w:p>
    <w:p w14:paraId="2110B117">
      <w:pPr>
        <w:rPr>
          <w:rFonts w:hint="eastAsia" w:hAnsi="宋体" w:cs="宋体"/>
          <w:color w:val="auto"/>
          <w:sz w:val="21"/>
          <w:highlight w:val="none"/>
          <w:lang w:val="en-US" w:eastAsia="zh-CN"/>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color w:val="auto"/>
          <w:highlight w:val="none"/>
          <w:lang w:val="en-US" w:eastAsia="zh-CN"/>
        </w:rPr>
        <w:t>附件一《</w:t>
      </w:r>
      <w:r>
        <w:rPr>
          <w:rFonts w:hint="default" w:ascii="方正中等线简体" w:hAnsi="方正中等线简体" w:eastAsia="方正中等线简体" w:cs="方正中等线简体"/>
          <w:color w:val="auto"/>
          <w:sz w:val="21"/>
          <w:szCs w:val="21"/>
          <w:highlight w:val="none"/>
          <w:lang w:val="en-US" w:eastAsia="zh-CN"/>
        </w:rPr>
        <w:t>廉洁承诺书</w:t>
      </w:r>
      <w:r>
        <w:rPr>
          <w:rFonts w:hint="eastAsia" w:ascii="方正中等线简体" w:hAnsi="方正中等线简体" w:eastAsia="方正中等线简体" w:cs="方正中等线简体"/>
          <w:color w:val="auto"/>
          <w:sz w:val="21"/>
          <w:szCs w:val="21"/>
          <w:highlight w:val="none"/>
          <w:lang w:val="en-US" w:eastAsia="zh-CN"/>
        </w:rPr>
        <w:t>》</w:t>
      </w:r>
    </w:p>
    <w:p w14:paraId="64CF27F4">
      <w:pPr>
        <w:spacing w:line="320" w:lineRule="exact"/>
        <w:jc w:val="both"/>
        <w:rPr>
          <w:rFonts w:hint="default" w:ascii="Times New Roman" w:hAnsi="Times New Roman" w:eastAsia="方正小标宋_GBK"/>
          <w:color w:val="auto"/>
          <w:sz w:val="30"/>
          <w:szCs w:val="30"/>
          <w:lang w:val="en-US" w:eastAsia="zh-CN"/>
        </w:rPr>
      </w:pPr>
      <w:r>
        <w:rPr>
          <w:rFonts w:hint="eastAsia" w:ascii="Calibri" w:hAnsi="Calibri" w:eastAsia="宋体" w:cs="Times New Roman"/>
          <w:color w:val="auto"/>
          <w:highlight w:val="none"/>
          <w:lang w:val="en-US" w:eastAsia="zh-CN"/>
        </w:rPr>
        <w:t>附件一</w:t>
      </w:r>
    </w:p>
    <w:p w14:paraId="58D1232A">
      <w:pPr>
        <w:spacing w:line="320" w:lineRule="exact"/>
        <w:jc w:val="center"/>
        <w:rPr>
          <w:rFonts w:hint="default" w:ascii="Times New Roman" w:hAnsi="Times New Roman" w:eastAsia="方正小标宋_GBK"/>
          <w:color w:val="auto"/>
          <w:sz w:val="30"/>
          <w:szCs w:val="30"/>
          <w:lang w:val="en-US" w:eastAsia="zh-CN"/>
        </w:rPr>
      </w:pPr>
      <w:r>
        <w:rPr>
          <w:rFonts w:hint="default" w:ascii="Times New Roman" w:hAnsi="Times New Roman" w:eastAsia="方正小标宋_GBK"/>
          <w:color w:val="auto"/>
          <w:sz w:val="30"/>
          <w:szCs w:val="30"/>
          <w:lang w:val="en-US" w:eastAsia="zh-CN"/>
        </w:rPr>
        <w:t>药品、医用耗材、医疗设备、后勤物资</w:t>
      </w:r>
    </w:p>
    <w:p w14:paraId="35A45FD0">
      <w:pPr>
        <w:spacing w:line="320" w:lineRule="exact"/>
        <w:jc w:val="center"/>
        <w:rPr>
          <w:rFonts w:hint="default" w:ascii="Times New Roman" w:hAnsi="Times New Roman" w:eastAsia="方正小标宋_GBK"/>
          <w:color w:val="auto"/>
          <w:sz w:val="30"/>
          <w:szCs w:val="30"/>
          <w:lang w:val="en-US" w:eastAsia="zh-CN"/>
        </w:rPr>
      </w:pPr>
      <w:r>
        <w:rPr>
          <w:rFonts w:hint="default" w:ascii="Times New Roman" w:hAnsi="Times New Roman" w:eastAsia="方正小标宋_GBK"/>
          <w:color w:val="auto"/>
          <w:sz w:val="30"/>
          <w:szCs w:val="30"/>
          <w:lang w:val="en-US" w:eastAsia="zh-CN"/>
        </w:rPr>
        <w:t>销售(使用)廉洁承诺书</w:t>
      </w:r>
    </w:p>
    <w:p w14:paraId="24748DBB">
      <w:pPr>
        <w:rPr>
          <w:rFonts w:hint="eastAsia"/>
          <w:color w:val="auto"/>
        </w:rPr>
      </w:pPr>
      <w:r>
        <w:rPr>
          <w:rFonts w:hint="eastAsia"/>
          <w:color w:val="auto"/>
        </w:rPr>
        <w:t>扬州市妇幼保健院:</w:t>
      </w:r>
    </w:p>
    <w:p w14:paraId="2048E4AA">
      <w:pPr>
        <w:ind w:firstLine="630" w:firstLineChars="300"/>
        <w:rPr>
          <w:rFonts w:hint="eastAsia"/>
          <w:color w:val="auto"/>
        </w:rPr>
      </w:pPr>
      <w:r>
        <w:rPr>
          <w:rFonts w:hint="eastAsia"/>
          <w:color w:val="auto"/>
        </w:rPr>
        <w:t>我</w:t>
      </w:r>
      <w:r>
        <w:rPr>
          <w:rFonts w:hint="eastAsia"/>
          <w:color w:val="auto"/>
          <w:lang w:val="en-US" w:eastAsia="zh-CN"/>
        </w:rPr>
        <w:t xml:space="preserve">              </w:t>
      </w:r>
      <w:r>
        <w:rPr>
          <w:rFonts w:hint="eastAsia"/>
          <w:color w:val="auto"/>
        </w:rPr>
        <w:t>公司，进入贵院进行</w:t>
      </w:r>
      <w:r>
        <w:rPr>
          <w:rFonts w:hint="eastAsia"/>
          <w:color w:val="auto"/>
          <w:lang w:val="en-US" w:eastAsia="zh-CN"/>
        </w:rPr>
        <w:t xml:space="preserve">     </w:t>
      </w:r>
      <w:r>
        <w:rPr>
          <w:rFonts w:hint="eastAsia"/>
          <w:color w:val="auto"/>
        </w:rPr>
        <w:t>活动，将自觉执行各级廉洁规范和医院相关规定，杜绝发生各种违法违纪案件和不良行为。现承诺如下:</w:t>
      </w:r>
    </w:p>
    <w:p w14:paraId="3DD238ED">
      <w:pPr>
        <w:rPr>
          <w:rFonts w:hint="eastAsia"/>
          <w:color w:val="auto"/>
        </w:rPr>
      </w:pPr>
      <w:r>
        <w:rPr>
          <w:rFonts w:hint="eastAsia"/>
          <w:color w:val="auto"/>
        </w:rPr>
        <w:t>一、遵守国家法律法规，依法办理产品经销(使用)业务，认真履行合同，自觉接受执法执纪部门的监督检查。</w:t>
      </w:r>
    </w:p>
    <w:p w14:paraId="4876F362">
      <w:pPr>
        <w:rPr>
          <w:rFonts w:hint="eastAsia"/>
          <w:color w:val="auto"/>
        </w:rPr>
      </w:pPr>
      <w:r>
        <w:rPr>
          <w:rFonts w:hint="eastAsia"/>
          <w:color w:val="auto"/>
        </w:rPr>
        <w:t>二、在产品经销(使用)活动中，保证不以任何形式给予红包、礼金、回扣、有价证券等好处费，不赠送各种贵重礼品，不给医院工作人员报销应有个人支付的费用。</w:t>
      </w:r>
    </w:p>
    <w:p w14:paraId="089D9268">
      <w:pPr>
        <w:rPr>
          <w:rFonts w:hint="eastAsia"/>
          <w:color w:val="auto"/>
        </w:rPr>
      </w:pPr>
      <w:r>
        <w:rPr>
          <w:rFonts w:hint="eastAsia"/>
          <w:color w:val="auto"/>
        </w:rPr>
        <w:t>三、维护医院正常的工作秩序，不以回扣、吃请、高消费娱乐、旅游等手段影响院方选择，切实尊重患者合法权益。</w:t>
      </w:r>
    </w:p>
    <w:p w14:paraId="398A7941">
      <w:pPr>
        <w:rPr>
          <w:rFonts w:hint="eastAsia"/>
          <w:color w:val="auto"/>
        </w:rPr>
      </w:pPr>
      <w:r>
        <w:rPr>
          <w:rFonts w:hint="eastAsia"/>
          <w:color w:val="auto"/>
        </w:rPr>
        <w:t>四、积极支持卫生公益事业发展，严格按照《中华人民共和国捐赠法》《扬州市医疗机构接受社会捐赠实施细则》等相关规定执行。</w:t>
      </w:r>
    </w:p>
    <w:p w14:paraId="099A5BA2">
      <w:pPr>
        <w:rPr>
          <w:rFonts w:hint="eastAsia"/>
          <w:color w:val="auto"/>
        </w:rPr>
      </w:pPr>
      <w:r>
        <w:rPr>
          <w:rFonts w:hint="eastAsia"/>
          <w:color w:val="auto"/>
        </w:rPr>
        <w:t>五、发现医院工作人员有暗示、索要好处等违反《医疗机构从业人员行为规范》的行为，及时向医院纪检监察等部门举报。</w:t>
      </w:r>
    </w:p>
    <w:p w14:paraId="282CE66B">
      <w:pPr>
        <w:rPr>
          <w:rFonts w:hint="eastAsia"/>
          <w:color w:val="auto"/>
        </w:rPr>
      </w:pPr>
      <w:r>
        <w:rPr>
          <w:rFonts w:hint="eastAsia"/>
          <w:color w:val="auto"/>
        </w:rPr>
        <w:t>六、切实加强对本方代理或代表的教育和监督，防止发生违纪行为。</w:t>
      </w:r>
    </w:p>
    <w:p w14:paraId="7D66F4D6">
      <w:pPr>
        <w:rPr>
          <w:rFonts w:hint="eastAsia"/>
          <w:color w:val="auto"/>
        </w:rPr>
      </w:pPr>
      <w:r>
        <w:rPr>
          <w:rFonts w:hint="eastAsia"/>
          <w:color w:val="auto"/>
        </w:rPr>
        <w:t>七、本承诺一式叁份，我公司、医院招标采购中心等职能部门各自备存，共同遵守，相互监督。</w:t>
      </w:r>
    </w:p>
    <w:p w14:paraId="3AC71B52">
      <w:pPr>
        <w:rPr>
          <w:rFonts w:hint="eastAsia"/>
          <w:color w:val="auto"/>
        </w:rPr>
      </w:pPr>
      <w:r>
        <w:rPr>
          <w:rFonts w:hint="eastAsia"/>
          <w:color w:val="auto"/>
        </w:rPr>
        <w:t>八、以上承诺，如有违反，愿意接受医院停止使用产品、取消合作资格等处理决定以及执法执纪部门的其他处理。</w:t>
      </w:r>
    </w:p>
    <w:p w14:paraId="29469E6C">
      <w:pPr>
        <w:rPr>
          <w:rFonts w:hint="eastAsia"/>
          <w:color w:val="auto"/>
        </w:rPr>
      </w:pPr>
      <w:r>
        <w:rPr>
          <w:rFonts w:hint="eastAsia"/>
          <w:color w:val="auto"/>
        </w:rPr>
        <w:t xml:space="preserve">                                          </w:t>
      </w:r>
    </w:p>
    <w:p w14:paraId="0783C887">
      <w:pPr>
        <w:rPr>
          <w:rFonts w:hint="eastAsia"/>
          <w:color w:val="auto"/>
        </w:rPr>
      </w:pPr>
      <w:r>
        <w:rPr>
          <w:rFonts w:hint="eastAsia"/>
          <w:color w:val="auto"/>
        </w:rPr>
        <w:t>法定代表人：（签字或盖章）</w:t>
      </w:r>
    </w:p>
    <w:p w14:paraId="0FC85C5B">
      <w:pPr>
        <w:rPr>
          <w:rFonts w:hint="eastAsia"/>
          <w:color w:val="auto"/>
        </w:rPr>
      </w:pPr>
    </w:p>
    <w:p w14:paraId="11308498">
      <w:pPr>
        <w:rPr>
          <w:rFonts w:hint="eastAsia"/>
          <w:color w:val="auto"/>
        </w:rPr>
      </w:pPr>
      <w:r>
        <w:rPr>
          <w:rFonts w:hint="eastAsia"/>
          <w:color w:val="auto"/>
        </w:rPr>
        <w:t xml:space="preserve">承诺单位：（盖章）       </w:t>
      </w:r>
    </w:p>
    <w:p w14:paraId="458CC363">
      <w:pPr>
        <w:rPr>
          <w:rFonts w:hint="eastAsia"/>
          <w:color w:val="auto"/>
        </w:rPr>
      </w:pPr>
      <w:r>
        <w:rPr>
          <w:rFonts w:hint="eastAsia"/>
          <w:color w:val="auto"/>
        </w:rPr>
        <w:t xml:space="preserve">                                                                          </w:t>
      </w:r>
    </w:p>
    <w:p w14:paraId="204B2AAB">
      <w:pPr>
        <w:rPr>
          <w:rFonts w:hint="eastAsia"/>
          <w:color w:val="auto"/>
        </w:rPr>
      </w:pPr>
      <w:r>
        <w:rPr>
          <w:rFonts w:hint="eastAsia"/>
          <w:color w:val="auto"/>
        </w:rPr>
        <w:t>授权业务代表：（签字或盖章）</w:t>
      </w:r>
    </w:p>
    <w:p w14:paraId="4ECD67E0">
      <w:pPr>
        <w:rPr>
          <w:rFonts w:hint="eastAsia"/>
          <w:color w:val="auto"/>
        </w:rPr>
      </w:pPr>
      <w:r>
        <w:rPr>
          <w:rFonts w:hint="eastAsia"/>
          <w:color w:val="auto"/>
        </w:rPr>
        <w:t xml:space="preserve">        </w:t>
      </w:r>
    </w:p>
    <w:p w14:paraId="3353E360">
      <w:pPr>
        <w:rPr>
          <w:rFonts w:hint="eastAsia"/>
          <w:color w:val="auto"/>
        </w:rPr>
      </w:pPr>
      <w:r>
        <w:rPr>
          <w:rFonts w:hint="eastAsia"/>
          <w:color w:val="auto"/>
        </w:rPr>
        <w:t>2026年   月    日</w:t>
      </w:r>
    </w:p>
    <w:p w14:paraId="2C2FE52C">
      <w:pPr>
        <w:rPr>
          <w:rFonts w:hint="eastAsia"/>
          <w:color w:val="auto"/>
        </w:rPr>
      </w:pPr>
      <w:r>
        <w:rPr>
          <w:rFonts w:hint="eastAsia"/>
          <w:color w:val="auto"/>
        </w:rPr>
        <w:t>（扬州市妇幼保健院纪委办制，举报电话：0514-80827186）</w:t>
      </w:r>
    </w:p>
    <w:p w14:paraId="694D749E">
      <w:pPr>
        <w:rPr>
          <w:color w:val="auto"/>
        </w:rPr>
      </w:pPr>
    </w:p>
    <w:p w14:paraId="788B988B">
      <w:pPr>
        <w:pageBreakBefore w:val="0"/>
        <w:wordWrap/>
        <w:overflowPunct/>
        <w:topLinePunct w:val="0"/>
        <w:bidi w:val="0"/>
        <w:spacing w:line="300" w:lineRule="auto"/>
        <w:ind w:firstLine="420"/>
        <w:rPr>
          <w:rFonts w:hint="eastAsia" w:ascii="宋体" w:hAnsi="宋体" w:eastAsia="宋体" w:cs="宋体"/>
          <w:color w:val="auto"/>
          <w:sz w:val="24"/>
          <w:szCs w:val="24"/>
          <w:lang w:val="zh-CN"/>
        </w:rPr>
      </w:pPr>
    </w:p>
    <w:p w14:paraId="1B160689">
      <w:pPr>
        <w:pageBreakBefore w:val="0"/>
        <w:wordWrap/>
        <w:overflowPunct/>
        <w:topLinePunct w:val="0"/>
        <w:bidi w:val="0"/>
        <w:spacing w:line="300" w:lineRule="auto"/>
        <w:rPr>
          <w:rFonts w:ascii="宋体" w:hAnsi="宋体"/>
          <w:color w:val="auto"/>
        </w:rPr>
      </w:pPr>
      <w:r>
        <w:rPr>
          <w:rFonts w:hint="eastAsia" w:ascii="宋体" w:hAnsi="宋体"/>
          <w:color w:val="auto"/>
          <w:highlight w:val="none"/>
        </w:rPr>
        <w:br w:type="page" w:clear="all"/>
      </w:r>
    </w:p>
    <w:bookmarkEnd w:id="69"/>
    <w:p w14:paraId="01F309D2">
      <w:pPr>
        <w:pStyle w:val="290"/>
        <w:spacing w:before="120" w:after="120" w:line="0" w:lineRule="atLeast"/>
        <w:jc w:val="center"/>
        <w:outlineLvl w:val="0"/>
        <w:rPr>
          <w:rFonts w:hint="eastAsia" w:ascii="宋体" w:hAnsi="宋体" w:eastAsia="宋体" w:cs="宋体"/>
          <w:b/>
          <w:bCs w:val="0"/>
          <w:color w:val="auto"/>
          <w:sz w:val="24"/>
          <w:szCs w:val="24"/>
          <w:highlight w:val="none"/>
        </w:rPr>
      </w:pPr>
      <w:bookmarkStart w:id="70" w:name="_Toc18007"/>
      <w:r>
        <w:rPr>
          <w:rFonts w:hint="eastAsia" w:ascii="宋体" w:hAnsi="宋体" w:eastAsia="宋体" w:cs="宋体"/>
          <w:b/>
          <w:bCs w:val="0"/>
          <w:color w:val="auto"/>
          <w:sz w:val="44"/>
          <w:highlight w:val="none"/>
        </w:rPr>
        <w:t>第</w:t>
      </w:r>
      <w:bookmarkEnd w:id="49"/>
      <w:r>
        <w:rPr>
          <w:rFonts w:hint="eastAsia" w:ascii="宋体" w:hAnsi="宋体" w:eastAsia="宋体" w:cs="宋体"/>
          <w:b/>
          <w:bCs w:val="0"/>
          <w:color w:val="auto"/>
          <w:sz w:val="44"/>
          <w:highlight w:val="none"/>
        </w:rPr>
        <w:t>四章</w:t>
      </w:r>
      <w:r>
        <w:rPr>
          <w:rFonts w:hint="eastAsia" w:ascii="宋体" w:hAnsi="宋体" w:eastAsia="宋体" w:cs="宋体"/>
          <w:b/>
          <w:bCs w:val="0"/>
          <w:color w:val="auto"/>
          <w:sz w:val="44"/>
          <w:highlight w:val="none"/>
          <w:lang w:val="en-US" w:eastAsia="zh-CN"/>
        </w:rPr>
        <w:t xml:space="preserve"> </w:t>
      </w:r>
      <w:r>
        <w:rPr>
          <w:rFonts w:hint="eastAsia" w:ascii="宋体" w:hAnsi="宋体" w:eastAsia="宋体" w:cs="宋体"/>
          <w:b/>
          <w:bCs w:val="0"/>
          <w:color w:val="auto"/>
          <w:sz w:val="44"/>
          <w:highlight w:val="none"/>
        </w:rPr>
        <w:t>采购需求</w:t>
      </w:r>
      <w:bookmarkEnd w:id="50"/>
      <w:bookmarkEnd w:id="51"/>
      <w:bookmarkEnd w:id="52"/>
      <w:bookmarkEnd w:id="70"/>
    </w:p>
    <w:p w14:paraId="71260BC6">
      <w:pPr>
        <w:widowControl w:val="0"/>
        <w:spacing w:line="360" w:lineRule="auto"/>
        <w:jc w:val="both"/>
        <w:rPr>
          <w:rFonts w:ascii="宋体" w:hAnsi="宋体" w:cs="宋体"/>
          <w:b/>
          <w:bCs/>
          <w:color w:val="auto"/>
          <w:sz w:val="21"/>
          <w:szCs w:val="21"/>
        </w:rPr>
      </w:pPr>
      <w:bookmarkStart w:id="71" w:name="_Toc49090575"/>
      <w:bookmarkStart w:id="72" w:name="_Toc26554093"/>
      <w:r>
        <w:rPr>
          <w:rFonts w:hint="eastAsia" w:ascii="宋体" w:hAnsi="宋体" w:cs="宋体"/>
          <w:b/>
          <w:bCs/>
          <w:color w:val="auto"/>
          <w:sz w:val="21"/>
          <w:szCs w:val="21"/>
        </w:rPr>
        <w:t>一、项目概况</w:t>
      </w:r>
    </w:p>
    <w:p w14:paraId="7F8AF99F">
      <w:pPr>
        <w:spacing w:line="360" w:lineRule="auto"/>
        <w:ind w:firstLine="420" w:firstLineChars="200"/>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rPr>
        <w:t>扬州市妇幼保健院位于</w:t>
      </w:r>
      <w:r>
        <w:rPr>
          <w:rFonts w:hint="eastAsia" w:ascii="宋体" w:hAnsi="宋体" w:eastAsia="宋体" w:cs="宋体"/>
          <w:color w:val="auto"/>
          <w:sz w:val="21"/>
          <w:szCs w:val="21"/>
          <w:shd w:val="clear" w:color="auto" w:fill="FFFFFF"/>
          <w:lang w:eastAsia="zh-CN"/>
        </w:rPr>
        <w:t>京杭北路</w:t>
      </w:r>
      <w:r>
        <w:rPr>
          <w:rFonts w:hint="eastAsia" w:ascii="宋体" w:hAnsi="宋体" w:eastAsia="宋体" w:cs="宋体"/>
          <w:color w:val="auto"/>
          <w:sz w:val="21"/>
          <w:szCs w:val="21"/>
          <w:shd w:val="clear" w:color="auto" w:fill="FFFFFF"/>
          <w:lang w:val="en-US" w:eastAsia="zh-CN"/>
        </w:rPr>
        <w:t>50号</w:t>
      </w:r>
      <w:r>
        <w:rPr>
          <w:rFonts w:hint="eastAsia" w:ascii="宋体" w:hAnsi="宋体" w:cs="宋体"/>
          <w:color w:val="auto"/>
          <w:sz w:val="21"/>
          <w:szCs w:val="21"/>
          <w:shd w:val="clear" w:color="auto" w:fill="FFFFFF"/>
          <w:lang w:val="en-US" w:eastAsia="zh-CN"/>
        </w:rPr>
        <w:t>。</w:t>
      </w:r>
    </w:p>
    <w:p w14:paraId="5D02CF48">
      <w:pPr>
        <w:spacing w:line="360" w:lineRule="auto"/>
        <w:ind w:firstLine="420" w:firstLineChars="200"/>
        <w:rPr>
          <w:rFonts w:hint="eastAsia" w:ascii="宋体" w:hAnsi="宋体" w:cs="宋体"/>
          <w:color w:val="auto"/>
          <w:sz w:val="21"/>
          <w:szCs w:val="21"/>
          <w:shd w:val="clear" w:color="auto" w:fill="FFFFFF"/>
        </w:rPr>
      </w:pPr>
      <w:r>
        <w:rPr>
          <w:rFonts w:hint="eastAsia" w:ascii="宋体" w:hAnsi="宋体" w:cs="宋体"/>
          <w:color w:val="auto"/>
          <w:sz w:val="21"/>
          <w:szCs w:val="21"/>
          <w:shd w:val="clear" w:color="auto" w:fill="FFFFFF"/>
          <w:lang w:val="en-US" w:eastAsia="zh-CN"/>
        </w:rPr>
        <w:t>A地块</w:t>
      </w:r>
      <w:r>
        <w:rPr>
          <w:rFonts w:hint="eastAsia" w:ascii="宋体" w:hAnsi="宋体" w:cs="宋体"/>
          <w:color w:val="auto"/>
          <w:sz w:val="21"/>
          <w:szCs w:val="21"/>
          <w:shd w:val="clear" w:color="auto" w:fill="FFFFFF"/>
        </w:rPr>
        <w:t>占地面积约99.75亩，总建筑面积约195000㎡，其中医疗建筑面积约116000㎡，停车位及人防面积约79000㎡，包含妇女中心病房、妇女中心门诊、儿童门诊、儿童病房、医技部等建筑，共设置床位数1000张</w:t>
      </w:r>
      <w:r>
        <w:rPr>
          <w:rFonts w:hint="eastAsia" w:ascii="宋体" w:hAnsi="宋体" w:cs="宋体"/>
          <w:color w:val="auto"/>
          <w:sz w:val="21"/>
          <w:szCs w:val="21"/>
          <w:shd w:val="clear" w:color="auto" w:fill="FFFFFF"/>
          <w:lang w:eastAsia="zh-CN"/>
        </w:rPr>
        <w:t>，实际开发床位</w:t>
      </w:r>
      <w:r>
        <w:rPr>
          <w:rFonts w:hint="eastAsia" w:ascii="宋体" w:hAnsi="宋体" w:cs="宋体"/>
          <w:color w:val="auto"/>
          <w:sz w:val="21"/>
          <w:szCs w:val="21"/>
          <w:shd w:val="clear" w:color="auto" w:fill="FFFFFF"/>
          <w:lang w:val="en-US" w:eastAsia="zh-CN"/>
        </w:rPr>
        <w:t>410张</w:t>
      </w:r>
      <w:r>
        <w:rPr>
          <w:rFonts w:hint="eastAsia" w:ascii="宋体" w:hAnsi="宋体" w:cs="宋体"/>
          <w:color w:val="auto"/>
          <w:sz w:val="21"/>
          <w:szCs w:val="21"/>
          <w:shd w:val="clear" w:color="auto" w:fill="FFFFFF"/>
        </w:rPr>
        <w:t>。</w:t>
      </w:r>
    </w:p>
    <w:p w14:paraId="08E34FA3">
      <w:pPr>
        <w:spacing w:line="360" w:lineRule="auto"/>
        <w:ind w:firstLine="420" w:firstLineChars="200"/>
        <w:rPr>
          <w:rFonts w:hint="eastAsia" w:ascii="宋体" w:hAnsi="宋体" w:eastAsia="宋体" w:cs="宋体"/>
          <w:color w:val="auto"/>
          <w:sz w:val="21"/>
          <w:szCs w:val="21"/>
          <w:shd w:val="clear" w:color="auto" w:fill="FFFFFF"/>
          <w:lang w:val="en-US" w:eastAsia="zh-CN"/>
        </w:rPr>
      </w:pPr>
      <w:r>
        <w:rPr>
          <w:rFonts w:hint="eastAsia" w:ascii="宋体" w:hAnsi="宋体" w:cs="宋体"/>
          <w:color w:val="auto"/>
          <w:sz w:val="21"/>
          <w:szCs w:val="21"/>
          <w:shd w:val="clear" w:color="auto" w:fill="FFFFFF"/>
          <w:lang w:val="en-US" w:eastAsia="zh-CN"/>
        </w:rPr>
        <w:t>B地块总建筑面积：62213.09平方米，占地面积：38717平方米，其中综合楼地上建筑面积：20505.27平方米（包含托育相关9935.75平方米），托育中心地上建筑面积：6680.51平方米，感染楼地上建筑面积：8089.94平方米，地下车库地下建筑面积：26066.79平方米（包含托育相关3413.62平方米），停车位数量：地上72+地下505=577辆。</w:t>
      </w:r>
    </w:p>
    <w:p w14:paraId="6CE291A5">
      <w:pPr>
        <w:tabs>
          <w:tab w:val="left" w:pos="284"/>
        </w:tabs>
        <w:spacing w:line="360" w:lineRule="auto"/>
        <w:ind w:firstLine="420" w:firstLineChars="200"/>
        <w:rPr>
          <w:rFonts w:hint="eastAsia" w:ascii="宋体" w:hAnsi="宋体" w:cs="宋体"/>
          <w:b/>
          <w:color w:val="auto"/>
          <w:sz w:val="21"/>
          <w:szCs w:val="21"/>
        </w:rPr>
      </w:pPr>
      <w:r>
        <w:rPr>
          <w:rFonts w:hint="eastAsia" w:ascii="宋体" w:hAnsi="宋体" w:cs="宋体"/>
          <w:color w:val="auto"/>
          <w:sz w:val="21"/>
          <w:szCs w:val="21"/>
        </w:rPr>
        <w:t>上述区域范围内若有增减，均不做调整</w:t>
      </w:r>
      <w:r>
        <w:rPr>
          <w:rFonts w:hint="eastAsia" w:ascii="宋体" w:hAnsi="宋体" w:cs="宋体"/>
          <w:color w:val="auto"/>
          <w:sz w:val="21"/>
          <w:szCs w:val="21"/>
          <w:lang w:val="en-US" w:eastAsia="zh-CN"/>
        </w:rPr>
        <w:t>，以实际使用面积为准</w:t>
      </w:r>
      <w:r>
        <w:rPr>
          <w:rFonts w:hint="eastAsia" w:ascii="宋体" w:hAnsi="宋体" w:cs="宋体"/>
          <w:color w:val="auto"/>
          <w:sz w:val="21"/>
          <w:szCs w:val="21"/>
        </w:rPr>
        <w:t>。投标人应根据招标文件的要求，以科学的管理、合理的人员配备、充足的养护机械、优良的服务质量、优惠的价格制定详细的服务方案。</w:t>
      </w:r>
    </w:p>
    <w:p w14:paraId="7755575F">
      <w:pPr>
        <w:rPr>
          <w:rFonts w:ascii="宋体" w:hAnsi="宋体" w:cs="宋体"/>
          <w:b/>
          <w:bCs/>
          <w:color w:val="auto"/>
          <w:sz w:val="21"/>
          <w:szCs w:val="21"/>
          <w:shd w:val="clear" w:color="auto" w:fill="FFFFFF"/>
        </w:rPr>
      </w:pPr>
    </w:p>
    <w:p w14:paraId="05134DC7">
      <w:pPr>
        <w:widowControl w:val="0"/>
        <w:spacing w:line="360" w:lineRule="auto"/>
        <w:jc w:val="both"/>
        <w:rPr>
          <w:rFonts w:ascii="宋体" w:hAnsi="宋体" w:cs="宋体"/>
          <w:b/>
          <w:color w:val="auto"/>
          <w:sz w:val="21"/>
          <w:szCs w:val="21"/>
        </w:rPr>
      </w:pPr>
      <w:r>
        <w:rPr>
          <w:rFonts w:hint="eastAsia" w:ascii="宋体" w:hAnsi="宋体" w:cs="宋体"/>
          <w:b/>
          <w:color w:val="auto"/>
          <w:sz w:val="21"/>
          <w:szCs w:val="21"/>
        </w:rPr>
        <w:t>二、服务范围及服务内容</w:t>
      </w:r>
    </w:p>
    <w:p w14:paraId="413693D2">
      <w:pPr>
        <w:spacing w:line="360" w:lineRule="auto"/>
        <w:ind w:firstLine="420"/>
        <w:jc w:val="both"/>
        <w:rPr>
          <w:rFonts w:ascii="宋体" w:hAnsi="宋体" w:cs="宋体"/>
          <w:bCs/>
          <w:color w:val="auto"/>
          <w:sz w:val="21"/>
          <w:szCs w:val="21"/>
        </w:rPr>
      </w:pPr>
      <w:r>
        <w:rPr>
          <w:rFonts w:hint="eastAsia" w:ascii="宋体" w:hAnsi="宋体" w:cs="宋体"/>
          <w:bCs/>
          <w:color w:val="auto"/>
          <w:sz w:val="21"/>
          <w:szCs w:val="21"/>
        </w:rPr>
        <w:t>服务范围：所有占地面积及本项目所列举的所有范围。</w:t>
      </w:r>
    </w:p>
    <w:p w14:paraId="2DFE9116">
      <w:pPr>
        <w:spacing w:line="360" w:lineRule="auto"/>
        <w:ind w:firstLine="422"/>
        <w:jc w:val="both"/>
        <w:rPr>
          <w:rFonts w:ascii="宋体" w:hAnsi="宋体" w:cs="宋体"/>
          <w:b/>
          <w:color w:val="auto"/>
          <w:sz w:val="21"/>
          <w:szCs w:val="21"/>
        </w:rPr>
      </w:pPr>
      <w:r>
        <w:rPr>
          <w:rFonts w:hint="eastAsia" w:ascii="宋体" w:hAnsi="宋体" w:cs="宋体"/>
          <w:b/>
          <w:color w:val="auto"/>
          <w:sz w:val="21"/>
          <w:szCs w:val="21"/>
        </w:rPr>
        <w:t>服务内容：辅医服务（包含导医导诊服务、收费服务、突发事件应急处置等）</w:t>
      </w:r>
      <w:r>
        <w:rPr>
          <w:rFonts w:hint="eastAsia" w:ascii="宋体" w:hAnsi="宋体" w:cs="宋体"/>
          <w:b/>
          <w:color w:val="auto"/>
          <w:sz w:val="21"/>
          <w:szCs w:val="21"/>
          <w:lang w:eastAsia="zh-CN"/>
        </w:rPr>
        <w:t>、</w:t>
      </w:r>
      <w:r>
        <w:rPr>
          <w:rFonts w:hint="eastAsia" w:ascii="宋体" w:hAnsi="宋体" w:cs="宋体"/>
          <w:b/>
          <w:color w:val="auto"/>
          <w:sz w:val="21"/>
          <w:szCs w:val="21"/>
        </w:rPr>
        <w:t>物流服务（包含运送服务、陪检服务）</w:t>
      </w:r>
      <w:r>
        <w:rPr>
          <w:rFonts w:hint="eastAsia" w:ascii="宋体" w:hAnsi="宋体" w:cs="宋体"/>
          <w:b/>
          <w:color w:val="auto"/>
          <w:sz w:val="21"/>
          <w:szCs w:val="21"/>
          <w:lang w:eastAsia="zh-CN"/>
        </w:rPr>
        <w:t>、水电工服务</w:t>
      </w:r>
      <w:r>
        <w:rPr>
          <w:rFonts w:hint="eastAsia" w:ascii="宋体" w:hAnsi="宋体" w:cs="宋体"/>
          <w:b/>
          <w:color w:val="auto"/>
          <w:sz w:val="21"/>
          <w:szCs w:val="21"/>
        </w:rPr>
        <w:t>。</w:t>
      </w:r>
    </w:p>
    <w:p w14:paraId="58F723E3">
      <w:pPr>
        <w:spacing w:line="360" w:lineRule="auto"/>
        <w:jc w:val="both"/>
        <w:rPr>
          <w:rFonts w:ascii="宋体" w:hAnsi="宋体" w:cs="宋体"/>
          <w:b/>
          <w:bCs/>
          <w:color w:val="auto"/>
          <w:sz w:val="21"/>
          <w:szCs w:val="21"/>
        </w:rPr>
      </w:pPr>
      <w:r>
        <w:rPr>
          <w:rFonts w:hint="eastAsia" w:ascii="宋体" w:hAnsi="宋体" w:cs="宋体"/>
          <w:b/>
          <w:bCs/>
          <w:color w:val="auto"/>
          <w:sz w:val="21"/>
          <w:szCs w:val="21"/>
        </w:rPr>
        <w:t>三、服务期限</w:t>
      </w:r>
    </w:p>
    <w:p w14:paraId="31B3D6DF">
      <w:pPr>
        <w:spacing w:line="360" w:lineRule="auto"/>
        <w:ind w:firstLine="420"/>
        <w:jc w:val="both"/>
        <w:rPr>
          <w:rFonts w:ascii="宋体" w:hAnsi="宋体" w:cs="宋体"/>
          <w:bCs/>
          <w:i/>
          <w:iCs/>
          <w:color w:val="auto"/>
          <w:sz w:val="21"/>
          <w:szCs w:val="21"/>
          <w:u w:val="single"/>
        </w:rPr>
      </w:pPr>
      <w:r>
        <w:rPr>
          <w:rFonts w:hint="eastAsia" w:ascii="宋体" w:hAnsi="宋体" w:cs="宋体"/>
          <w:bCs/>
          <w:color w:val="auto"/>
          <w:sz w:val="21"/>
          <w:szCs w:val="21"/>
        </w:rPr>
        <w:t>本项目服务期叁年（自合同签订之日起计），合同首签壹年，考核合格的情况下，采购人与中标人可续签订下一年合同。</w:t>
      </w:r>
    </w:p>
    <w:p w14:paraId="44737ACA">
      <w:pPr>
        <w:spacing w:line="360" w:lineRule="auto"/>
        <w:jc w:val="both"/>
        <w:rPr>
          <w:rFonts w:ascii="宋体" w:hAnsi="宋体" w:cs="宋体"/>
          <w:b/>
          <w:bCs/>
          <w:iCs/>
          <w:color w:val="auto"/>
          <w:sz w:val="21"/>
          <w:szCs w:val="21"/>
        </w:rPr>
      </w:pPr>
      <w:r>
        <w:rPr>
          <w:rFonts w:hint="eastAsia" w:ascii="宋体" w:hAnsi="宋体" w:cs="宋体"/>
          <w:b/>
          <w:bCs/>
          <w:iCs/>
          <w:color w:val="auto"/>
          <w:sz w:val="21"/>
          <w:szCs w:val="21"/>
        </w:rPr>
        <w:t>四、服务费用</w:t>
      </w:r>
    </w:p>
    <w:p w14:paraId="35652B61">
      <w:pPr>
        <w:spacing w:line="360" w:lineRule="auto"/>
        <w:ind w:firstLine="420"/>
        <w:jc w:val="both"/>
        <w:rPr>
          <w:rFonts w:ascii="宋体" w:hAnsi="宋体" w:cs="宋体"/>
          <w:i/>
          <w:iCs/>
          <w:color w:val="auto"/>
          <w:sz w:val="21"/>
          <w:szCs w:val="21"/>
          <w:u w:val="single"/>
        </w:rPr>
      </w:pPr>
      <w:r>
        <w:rPr>
          <w:rFonts w:hint="eastAsia" w:ascii="宋体" w:hAnsi="宋体" w:cs="宋体"/>
          <w:i/>
          <w:iCs/>
          <w:color w:val="auto"/>
          <w:sz w:val="21"/>
          <w:szCs w:val="21"/>
          <w:u w:val="single"/>
        </w:rPr>
        <w:t>本项目服务费由投标人自行测算投标报价</w:t>
      </w:r>
      <w:r>
        <w:rPr>
          <w:rFonts w:hint="eastAsia" w:ascii="宋体" w:hAnsi="宋体" w:cs="宋体"/>
          <w:b/>
          <w:bCs/>
          <w:i/>
          <w:iCs/>
          <w:color w:val="auto"/>
          <w:sz w:val="21"/>
          <w:szCs w:val="21"/>
          <w:u w:val="single"/>
        </w:rPr>
        <w:t>（含为完成招标文件规定的服务工作所涉及到的一切相关费用）</w:t>
      </w:r>
      <w:r>
        <w:rPr>
          <w:rFonts w:hint="eastAsia" w:ascii="宋体" w:hAnsi="宋体" w:cs="宋体"/>
          <w:i/>
          <w:iCs/>
          <w:color w:val="auto"/>
          <w:sz w:val="21"/>
          <w:szCs w:val="21"/>
          <w:u w:val="single"/>
        </w:rPr>
        <w:t>；一经中标，投标报价作为中标人与采购单位签定的合同金额，合同期限内不做调整（合同条款增加内容除外，且调整资金总额不超过原合同采购金额10%）；报价按照新院区的服务人数进行报价，服务费按月根据每月具体的服务人数进行支付。</w:t>
      </w:r>
    </w:p>
    <w:p w14:paraId="4B4FA860">
      <w:pPr>
        <w:spacing w:line="360" w:lineRule="auto"/>
        <w:ind w:firstLine="420"/>
        <w:jc w:val="both"/>
        <w:rPr>
          <w:rFonts w:ascii="宋体" w:hAnsi="宋体" w:cs="宋体"/>
          <w:iCs/>
          <w:color w:val="auto"/>
          <w:sz w:val="21"/>
          <w:szCs w:val="21"/>
          <w:u w:val="single"/>
        </w:rPr>
      </w:pPr>
      <w:r>
        <w:rPr>
          <w:rFonts w:hint="eastAsia" w:ascii="宋体" w:hAnsi="宋体" w:cs="宋体"/>
          <w:i/>
          <w:iCs/>
          <w:color w:val="auto"/>
          <w:sz w:val="21"/>
          <w:szCs w:val="21"/>
          <w:u w:val="single"/>
        </w:rPr>
        <w:t>报价包括但不限于人员工资、法定的社会保险（养老、工伤、失业）、医疗保险（医疗、大病救助）</w:t>
      </w:r>
      <w:r>
        <w:rPr>
          <w:rFonts w:hint="eastAsia" w:ascii="宋体" w:hAnsi="宋体" w:cs="宋体"/>
          <w:i/>
          <w:iCs/>
          <w:color w:val="auto"/>
          <w:sz w:val="21"/>
          <w:szCs w:val="21"/>
          <w:u w:val="single"/>
          <w:lang w:eastAsia="zh-CN"/>
        </w:rPr>
        <w:t>、</w:t>
      </w:r>
      <w:r>
        <w:rPr>
          <w:rFonts w:hint="eastAsia" w:ascii="宋体" w:hAnsi="宋体" w:eastAsia="宋体" w:cs="宋体"/>
          <w:i/>
          <w:iCs/>
          <w:color w:val="auto"/>
          <w:sz w:val="21"/>
          <w:szCs w:val="21"/>
          <w:u w:val="single"/>
          <w:lang w:val="en-US" w:eastAsia="zh-CN"/>
        </w:rPr>
        <w:t>住房</w:t>
      </w:r>
      <w:r>
        <w:rPr>
          <w:rFonts w:hint="eastAsia" w:ascii="宋体" w:hAnsi="宋体" w:eastAsia="宋体" w:cs="宋体"/>
          <w:i/>
          <w:iCs/>
          <w:color w:val="auto"/>
          <w:sz w:val="21"/>
          <w:szCs w:val="21"/>
          <w:u w:val="single"/>
        </w:rPr>
        <w:t>公积金</w:t>
      </w:r>
      <w:r>
        <w:rPr>
          <w:rFonts w:hint="eastAsia" w:ascii="宋体" w:hAnsi="宋体" w:eastAsia="宋体" w:cs="宋体"/>
          <w:i/>
          <w:iCs/>
          <w:color w:val="auto"/>
          <w:sz w:val="21"/>
          <w:szCs w:val="21"/>
          <w:u w:val="single"/>
          <w:lang w:eastAsia="zh-CN"/>
        </w:rPr>
        <w:t>、</w:t>
      </w:r>
      <w:r>
        <w:rPr>
          <w:rFonts w:hint="eastAsia" w:ascii="宋体" w:hAnsi="宋体" w:cs="宋体"/>
          <w:i/>
          <w:iCs/>
          <w:color w:val="auto"/>
          <w:sz w:val="21"/>
          <w:szCs w:val="21"/>
          <w:u w:val="single"/>
        </w:rPr>
        <w:t>法定节假日加班费、高温补贴、节日福利、物流运输设备、服务工具、</w:t>
      </w:r>
      <w:r>
        <w:rPr>
          <w:rFonts w:hint="eastAsia" w:ascii="宋体" w:hAnsi="宋体" w:cs="宋体"/>
          <w:bCs/>
          <w:i/>
          <w:iCs/>
          <w:color w:val="auto"/>
          <w:sz w:val="21"/>
          <w:szCs w:val="21"/>
          <w:u w:val="single"/>
        </w:rPr>
        <w:t>劳保与防护用品、</w:t>
      </w:r>
      <w:r>
        <w:rPr>
          <w:rFonts w:hint="eastAsia" w:ascii="宋体" w:hAnsi="宋体" w:cs="宋体"/>
          <w:i/>
          <w:iCs/>
          <w:color w:val="auto"/>
          <w:sz w:val="21"/>
          <w:szCs w:val="21"/>
          <w:u w:val="single"/>
        </w:rPr>
        <w:t>办公用品费用、管理费、法定税费及投标人自行考虑的其他费用。</w:t>
      </w:r>
      <w:r>
        <w:rPr>
          <w:rFonts w:hint="eastAsia" w:ascii="宋体" w:hAnsi="宋体" w:cs="宋体"/>
          <w:iCs/>
          <w:color w:val="auto"/>
          <w:sz w:val="21"/>
          <w:szCs w:val="21"/>
        </w:rPr>
        <w:t>合同期限内，如因劳动部门提高扬州市区从业人员最低工资标准或社会保险基数，其差额部分及相关税管费等由采购人按月给付中标人。</w:t>
      </w:r>
    </w:p>
    <w:p w14:paraId="3651EACF">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备注：特殊加班费为重大活动及突发事件非服务合同内规定的费用，特殊情况下需要导致中标人员工产生加班，经双方确认核实后，按照《中华人民共和国劳动法》规定计算。特殊加班指经过采购人审批的加班。）</w:t>
      </w:r>
    </w:p>
    <w:p w14:paraId="2999D243">
      <w:pPr>
        <w:spacing w:line="360" w:lineRule="auto"/>
        <w:ind w:firstLine="420"/>
        <w:jc w:val="both"/>
        <w:rPr>
          <w:rFonts w:ascii="宋体" w:hAnsi="宋体" w:cs="宋体"/>
          <w:b/>
          <w:color w:val="auto"/>
          <w:sz w:val="21"/>
          <w:szCs w:val="21"/>
        </w:rPr>
      </w:pPr>
      <w:r>
        <w:rPr>
          <w:rFonts w:hint="eastAsia" w:ascii="宋体" w:hAnsi="宋体" w:cs="宋体"/>
          <w:color w:val="auto"/>
          <w:sz w:val="21"/>
          <w:szCs w:val="21"/>
        </w:rPr>
        <w:t>在合同签订后开始计算服务期，根据先提供服务后支付原则，采购人于每月5日对上月辅医与物流服务进行考核，按双方确认无误的考核结果支付上月服务费（结算前乙方需向甲方提供正式税务发票）。</w:t>
      </w:r>
    </w:p>
    <w:p w14:paraId="1CB3673B">
      <w:pPr>
        <w:spacing w:line="360" w:lineRule="auto"/>
        <w:jc w:val="both"/>
        <w:rPr>
          <w:rFonts w:ascii="宋体" w:hAnsi="宋体" w:cs="宋体"/>
          <w:b/>
          <w:color w:val="auto"/>
          <w:sz w:val="21"/>
          <w:szCs w:val="21"/>
        </w:rPr>
      </w:pPr>
      <w:r>
        <w:rPr>
          <w:rFonts w:hint="eastAsia" w:ascii="宋体" w:hAnsi="宋体" w:cs="宋体"/>
          <w:b/>
          <w:bCs/>
          <w:color w:val="auto"/>
          <w:sz w:val="21"/>
          <w:szCs w:val="21"/>
        </w:rPr>
        <w:t>五、服务标准及要求</w:t>
      </w:r>
    </w:p>
    <w:p w14:paraId="518F8986">
      <w:pPr>
        <w:spacing w:line="360" w:lineRule="auto"/>
        <w:jc w:val="both"/>
        <w:rPr>
          <w:rFonts w:ascii="宋体" w:hAnsi="宋体" w:cs="宋体"/>
          <w:b/>
          <w:bCs/>
          <w:color w:val="auto"/>
          <w:sz w:val="21"/>
          <w:szCs w:val="21"/>
        </w:rPr>
      </w:pPr>
      <w:r>
        <w:rPr>
          <w:rFonts w:hint="eastAsia" w:ascii="宋体" w:hAnsi="宋体" w:cs="宋体"/>
          <w:b/>
          <w:bCs/>
          <w:color w:val="auto"/>
          <w:sz w:val="21"/>
          <w:szCs w:val="21"/>
        </w:rPr>
        <w:t>（一）服务总体要求</w:t>
      </w:r>
    </w:p>
    <w:p w14:paraId="2305C22F">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投标供应商要设立与本服务项目所对应的组织机构，对服务流程与服务质量、培训、绩效、应急演练、员工权益保障实施有效管理；管理团队人数配置合理，确定各级员工的任务，确定权利与责任，确定工作标准，有效运用多种质量管理工具和信息化管理系统进行管理，如风险控制模型、6S管理模式、PDCA管理方式、网格化管理模式等，对服务管理品质负责。投标人在中标后未有效实施和体现视为合同违约。3个月无整改或整改不到位视为无履约能力。</w:t>
      </w:r>
    </w:p>
    <w:p w14:paraId="1D3C04CC">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2、投标供应商须</w:t>
      </w:r>
      <w:r>
        <w:rPr>
          <w:rFonts w:hint="eastAsia" w:ascii="宋体" w:hAnsi="宋体" w:cs="宋体"/>
          <w:bCs/>
          <w:color w:val="auto"/>
          <w:sz w:val="21"/>
          <w:szCs w:val="21"/>
        </w:rPr>
        <w:t>明晰业务范畴、任务、岗位责任制及管理流程，形成与采购人管理需求的优良对接。</w:t>
      </w:r>
      <w:r>
        <w:rPr>
          <w:rFonts w:hint="eastAsia" w:ascii="宋体" w:hAnsi="宋体" w:cs="宋体"/>
          <w:color w:val="auto"/>
          <w:sz w:val="21"/>
          <w:szCs w:val="21"/>
        </w:rPr>
        <w:t>具有完整的业务管理体系文件（其中须包括安全管理系统文件及突发事件应急处理管理系统文件）与服务执行程序（流程）体系文件，</w:t>
      </w:r>
      <w:r>
        <w:rPr>
          <w:rFonts w:hint="eastAsia" w:ascii="宋体" w:hAnsi="宋体" w:cs="宋体"/>
          <w:bCs/>
          <w:color w:val="auto"/>
          <w:sz w:val="21"/>
          <w:szCs w:val="21"/>
        </w:rPr>
        <w:t>各项业务</w:t>
      </w:r>
      <w:r>
        <w:rPr>
          <w:rFonts w:hint="eastAsia" w:ascii="宋体" w:hAnsi="宋体" w:cs="宋体"/>
          <w:color w:val="auto"/>
          <w:sz w:val="21"/>
          <w:szCs w:val="21"/>
        </w:rPr>
        <w:t xml:space="preserve">质控均须有重点，重点表达合理，对管理路径可追踪、有痕迹。能够采取培训、绩效管理等手段使作业标准或重点工作得到正确贯彻执行，总之，使体系文件落在实处。投标人在中标后未有效实施和体现视为合同违约。3个月无整改或整改不到位视为无履约能力。 </w:t>
      </w:r>
    </w:p>
    <w:p w14:paraId="18FFD342">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3、投标供应商应设立智慧化后勤信息管理（包括服务监管）系统，提高管理的集成化、智能化、无纸化、风险控制力，满足本项目服务管理整体品质与效率。满足运送服务一站式管理与派单服务，做好任务分类、归集、评价，形成内部工作量及工作质量信息化管理平台。用户在通过扫描二维码，输入发现和发生的问题、意见与建议，采购人及时处理与反馈，采购人管理人员在信息系统输出端（计算机信息系统/手机APP）可动态即时掌握任务处在何种状态，掌握投标人在服务的全过程管理与改进情况，掌握计划性与临时性工作的按期落实情况。投标人在中标后未有效实施和体现视为合同违约。</w:t>
      </w:r>
    </w:p>
    <w:p w14:paraId="554A9F42">
      <w:pPr>
        <w:widowControl w:val="0"/>
        <w:spacing w:line="360" w:lineRule="auto"/>
        <w:ind w:firstLine="420"/>
        <w:jc w:val="both"/>
        <w:rPr>
          <w:rFonts w:ascii="宋体" w:hAnsi="宋体" w:cs="宋体"/>
          <w:color w:val="auto"/>
          <w:sz w:val="21"/>
          <w:szCs w:val="21"/>
        </w:rPr>
      </w:pPr>
      <w:r>
        <w:rPr>
          <w:rFonts w:hint="eastAsia" w:ascii="宋体" w:hAnsi="宋体" w:cs="宋体"/>
          <w:bCs/>
          <w:color w:val="auto"/>
          <w:sz w:val="21"/>
          <w:szCs w:val="21"/>
        </w:rPr>
        <w:t>4、投标</w:t>
      </w:r>
      <w:r>
        <w:rPr>
          <w:rFonts w:hint="eastAsia" w:ascii="宋体" w:hAnsi="宋体" w:cs="宋体"/>
          <w:color w:val="auto"/>
          <w:sz w:val="21"/>
          <w:szCs w:val="21"/>
        </w:rPr>
        <w:t>供应商</w:t>
      </w:r>
      <w:r>
        <w:rPr>
          <w:rFonts w:hint="eastAsia" w:ascii="宋体" w:hAnsi="宋体" w:cs="宋体"/>
          <w:bCs/>
          <w:color w:val="auto"/>
          <w:sz w:val="21"/>
          <w:szCs w:val="21"/>
        </w:rPr>
        <w:t>应具备实施业务的应急保障能力如接管及突发应急状况，具备相关人事、技术、培训、品质与效率、财政等支撑保障能力。</w:t>
      </w:r>
      <w:r>
        <w:rPr>
          <w:rFonts w:hint="eastAsia" w:ascii="宋体" w:hAnsi="宋体" w:cs="宋体"/>
          <w:color w:val="auto"/>
          <w:sz w:val="21"/>
          <w:szCs w:val="21"/>
        </w:rPr>
        <w:t>投标人在中标后未有效实施和体现视为合同违约。3个月无整改或整改不到位视为无履约能力。</w:t>
      </w:r>
    </w:p>
    <w:p w14:paraId="35DAA2A3">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5、投标供应商在安全管理方面，须具备不同岗位不同安全风险识别与评价能力及防范控制措施，对安全异常情况能及时发现识别，能采取有效必要措施以解决异常情况或缩小异常情况的扩大态势，最大限度降低因操作不当带来的各类人身安全事故，降低对采购人服务形象的影响与损害。投标人在中标后未有效实施和体现视为合同违约。3个月无整改或整改不到位视为无履约能力。</w:t>
      </w:r>
    </w:p>
    <w:p w14:paraId="456AE4AF">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6、</w:t>
      </w:r>
      <w:r>
        <w:rPr>
          <w:rFonts w:hint="eastAsia" w:ascii="宋体" w:hAnsi="宋体" w:cs="宋体"/>
          <w:bCs/>
          <w:color w:val="auto"/>
          <w:sz w:val="21"/>
          <w:szCs w:val="21"/>
          <w:highlight w:val="none"/>
        </w:rPr>
        <w:t>投标</w:t>
      </w:r>
      <w:r>
        <w:rPr>
          <w:rFonts w:hint="eastAsia" w:ascii="宋体" w:hAnsi="宋体" w:cs="宋体"/>
          <w:color w:val="auto"/>
          <w:sz w:val="21"/>
          <w:szCs w:val="21"/>
          <w:highlight w:val="none"/>
        </w:rPr>
        <w:t>供应商</w:t>
      </w:r>
      <w:r>
        <w:rPr>
          <w:rFonts w:hint="eastAsia" w:ascii="宋体" w:hAnsi="宋体" w:cs="宋体"/>
          <w:bCs/>
          <w:color w:val="auto"/>
          <w:sz w:val="21"/>
          <w:szCs w:val="21"/>
          <w:highlight w:val="none"/>
        </w:rPr>
        <w:t>应按招标文件</w:t>
      </w:r>
      <w:r>
        <w:rPr>
          <w:rFonts w:hint="eastAsia" w:ascii="宋体" w:hAnsi="宋体" w:cs="宋体"/>
          <w:color w:val="auto"/>
          <w:sz w:val="21"/>
          <w:szCs w:val="21"/>
          <w:highlight w:val="none"/>
        </w:rPr>
        <w:t>岗位设置不低于</w:t>
      </w:r>
      <w:r>
        <w:rPr>
          <w:rFonts w:hint="eastAsia" w:ascii="宋体" w:hAnsi="宋体" w:cs="宋体"/>
          <w:b/>
          <w:bCs/>
          <w:color w:val="auto"/>
          <w:sz w:val="21"/>
          <w:szCs w:val="21"/>
          <w:highlight w:val="none"/>
          <w:lang w:val="en-US" w:eastAsia="zh-CN"/>
        </w:rPr>
        <w:t>111人</w:t>
      </w:r>
      <w:r>
        <w:rPr>
          <w:rFonts w:hint="eastAsia" w:ascii="宋体" w:hAnsi="宋体" w:cs="宋体"/>
          <w:color w:val="auto"/>
          <w:sz w:val="21"/>
          <w:szCs w:val="21"/>
          <w:highlight w:val="none"/>
        </w:rPr>
        <w:t>的要求</w:t>
      </w:r>
      <w:r>
        <w:rPr>
          <w:rFonts w:hint="eastAsia" w:ascii="宋体" w:hAnsi="宋体" w:cs="宋体"/>
          <w:bCs/>
          <w:color w:val="auto"/>
          <w:sz w:val="21"/>
          <w:szCs w:val="21"/>
          <w:highlight w:val="none"/>
        </w:rPr>
        <w:t>，合理科学地配备管理及服务人员，依法建立劳动关系，工作时间符合劳动法规定。</w:t>
      </w:r>
      <w:r>
        <w:rPr>
          <w:rFonts w:hint="eastAsia" w:ascii="宋体" w:hAnsi="宋体" w:cs="宋体"/>
          <w:color w:val="auto"/>
          <w:sz w:val="21"/>
          <w:szCs w:val="21"/>
          <w:highlight w:val="none"/>
        </w:rPr>
        <w:t>投标人应合理制定员工薪酬福利待遇，按时发放薪酬，并且具备当月工资的支付能力。投标人在中标后未有效实施和体现视为合同违约。</w:t>
      </w:r>
    </w:p>
    <w:p w14:paraId="114D8622">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7、投标供应商每月至少一次与采购人进行一次质量工作通报（包括工作计划、进展情况、质控点、解决措施、预控目标等），有书面报告。投标人在中标后未有效实施和体现视为合同违约。投标人服务业务的季度服务满意度≥98%。低于季度服务满意度80%视为无履约能力，视为合同违约。</w:t>
      </w:r>
    </w:p>
    <w:p w14:paraId="52F93DC9">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8、投标供应商须考虑承担此招标项目的各种风险因素并具有控制能力，投标人须承担因自身管理因素失当造成采购人及中标人工作人员、服务对象、设备设施、社会影响的伤害或损失的全部后果责任。</w:t>
      </w:r>
    </w:p>
    <w:p w14:paraId="30844F02">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9、投标供应商应提高运行效率，建立健全环保、节能、科学的信息化服务能力。强调服务借助信息化技术提高效率的能力，尽量做到“无打扰”服务。</w:t>
      </w:r>
    </w:p>
    <w:p w14:paraId="01C2AD73">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10、投标供应商除了项目管理中心对日常各项业务实施管理之外，还须建立夜间及节假日服务值班/待班制度，对辅医及物流服务进行综合检查及相关事项进行协调和安排处理。</w:t>
      </w:r>
    </w:p>
    <w:p w14:paraId="247D5C06">
      <w:pPr>
        <w:widowControl w:val="0"/>
        <w:spacing w:line="360" w:lineRule="auto"/>
        <w:ind w:firstLine="420"/>
        <w:jc w:val="both"/>
        <w:rPr>
          <w:rFonts w:ascii="宋体" w:hAnsi="宋体" w:cs="宋体"/>
          <w:b/>
          <w:bCs/>
          <w:color w:val="auto"/>
          <w:sz w:val="21"/>
          <w:szCs w:val="21"/>
        </w:rPr>
      </w:pPr>
      <w:r>
        <w:rPr>
          <w:rFonts w:hint="eastAsia" w:ascii="宋体" w:hAnsi="宋体" w:cs="宋体"/>
          <w:color w:val="auto"/>
          <w:sz w:val="21"/>
          <w:szCs w:val="21"/>
        </w:rPr>
        <w:t>11、投标供应商各档案要求齐全，管理痕迹及时存档，类别与内容须符合三级甲等医院各种评审、评价与检查的要求。在招标有效期结束后交给采购人。</w:t>
      </w:r>
    </w:p>
    <w:p w14:paraId="54E2529A">
      <w:pPr>
        <w:spacing w:line="360" w:lineRule="auto"/>
        <w:jc w:val="both"/>
        <w:rPr>
          <w:rFonts w:ascii="宋体" w:hAnsi="宋体" w:cs="宋体"/>
          <w:b/>
          <w:bCs/>
          <w:color w:val="auto"/>
          <w:sz w:val="21"/>
          <w:szCs w:val="21"/>
        </w:rPr>
      </w:pPr>
      <w:r>
        <w:rPr>
          <w:rFonts w:hint="eastAsia" w:ascii="宋体" w:hAnsi="宋体" w:cs="宋体"/>
          <w:b/>
          <w:bCs/>
          <w:color w:val="auto"/>
          <w:sz w:val="21"/>
          <w:szCs w:val="21"/>
        </w:rPr>
        <w:t>（二）运送服务职责及相关要求</w:t>
      </w:r>
    </w:p>
    <w:p w14:paraId="68A8B9D5">
      <w:pPr>
        <w:widowControl w:val="0"/>
        <w:spacing w:line="360" w:lineRule="auto"/>
        <w:ind w:firstLine="422"/>
        <w:jc w:val="both"/>
        <w:rPr>
          <w:rFonts w:ascii="宋体" w:hAnsi="宋体" w:cs="宋体"/>
          <w:b/>
          <w:bCs/>
          <w:color w:val="auto"/>
          <w:sz w:val="21"/>
          <w:szCs w:val="21"/>
        </w:rPr>
      </w:pPr>
      <w:r>
        <w:rPr>
          <w:rFonts w:hint="eastAsia" w:ascii="宋体" w:hAnsi="宋体" w:cs="宋体"/>
          <w:b/>
          <w:bCs/>
          <w:color w:val="auto"/>
          <w:sz w:val="21"/>
          <w:szCs w:val="21"/>
        </w:rPr>
        <w:t>1、服务内容：</w:t>
      </w:r>
    </w:p>
    <w:p w14:paraId="21C88D23">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1.1收送所有标本等，负责病区所有转运物资清点和交接并做好记录工作，确保数量准确。</w:t>
      </w:r>
    </w:p>
    <w:p w14:paraId="57EDD098">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1.2按病区需求，送领取急需药品、标本等急诊、大型输液及常规药品、（常规药品原封不动的交接给所需病区，不负责清点箱内药品）。</w:t>
      </w:r>
    </w:p>
    <w:p w14:paraId="2E781DEA">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1.3根据各部门要求定期领取（运送）各类物资。</w:t>
      </w:r>
    </w:p>
    <w:p w14:paraId="11A4F724">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1.4在医护人员指导下协助陪同病人进行各类检查、治疗（一级护理（含）以上病人须由医务人员陪同）。陪检要求及时和运送安全（非医疗性）。</w:t>
      </w:r>
    </w:p>
    <w:p w14:paraId="04C07B28">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1.5根据病区需要及时运送增减病床。</w:t>
      </w:r>
    </w:p>
    <w:p w14:paraId="69FA8BFF">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1.6完成处理突发性事件。</w:t>
      </w:r>
    </w:p>
    <w:p w14:paraId="187427D6">
      <w:pPr>
        <w:widowControl w:val="0"/>
        <w:spacing w:line="360" w:lineRule="auto"/>
        <w:ind w:firstLine="422"/>
        <w:jc w:val="both"/>
        <w:rPr>
          <w:rFonts w:ascii="宋体" w:hAnsi="宋体" w:cs="宋体"/>
          <w:b/>
          <w:bCs/>
          <w:color w:val="auto"/>
          <w:sz w:val="21"/>
          <w:szCs w:val="21"/>
        </w:rPr>
      </w:pPr>
      <w:r>
        <w:rPr>
          <w:rFonts w:hint="eastAsia" w:ascii="宋体" w:hAnsi="宋体" w:cs="宋体"/>
          <w:b/>
          <w:bCs/>
          <w:color w:val="auto"/>
          <w:sz w:val="21"/>
          <w:szCs w:val="21"/>
        </w:rPr>
        <w:t>2、服务要求：</w:t>
      </w:r>
    </w:p>
    <w:p w14:paraId="6BFB3090">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2.1配备相应的信息、通信设备，</w:t>
      </w:r>
      <w:r>
        <w:rPr>
          <w:rFonts w:hint="eastAsia" w:ascii="宋体" w:hAnsi="宋体" w:cs="宋体"/>
          <w:bCs/>
          <w:color w:val="auto"/>
          <w:sz w:val="21"/>
          <w:szCs w:val="21"/>
        </w:rPr>
        <w:t>具有</w:t>
      </w:r>
      <w:r>
        <w:rPr>
          <w:rFonts w:hint="eastAsia" w:ascii="宋体" w:hAnsi="宋体" w:cs="宋体"/>
          <w:color w:val="auto"/>
          <w:sz w:val="21"/>
          <w:szCs w:val="21"/>
        </w:rPr>
        <w:t>对辅医及物流服务相关</w:t>
      </w:r>
      <w:r>
        <w:rPr>
          <w:rFonts w:hint="eastAsia" w:ascii="宋体" w:hAnsi="宋体" w:cs="宋体"/>
          <w:bCs/>
          <w:color w:val="auto"/>
          <w:sz w:val="21"/>
          <w:szCs w:val="21"/>
        </w:rPr>
        <w:t>工作流程的追踪管理、工作量考核、数据统计和反映评价、提高效率等功能，能清晰反映采购人对中标供应商的服务满意度情况</w:t>
      </w:r>
      <w:r>
        <w:rPr>
          <w:rFonts w:hint="eastAsia" w:ascii="宋体" w:hAnsi="宋体" w:cs="宋体"/>
          <w:color w:val="auto"/>
          <w:sz w:val="21"/>
          <w:szCs w:val="21"/>
        </w:rPr>
        <w:t>；工作时态度友善,着装整洁、语气语调温和。</w:t>
      </w:r>
    </w:p>
    <w:p w14:paraId="09E69D29">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2.2采购人负责提供运送用工具，中标供应商应合理调配并负责管理与保养。</w:t>
      </w:r>
    </w:p>
    <w:p w14:paraId="27432FEE">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2.3要求对运送的数据进行汇总和统计，能随时提供相应的数据，给采购人的决策进行支持。</w:t>
      </w:r>
    </w:p>
    <w:p w14:paraId="27C69709">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2.4通知合理安排、到达迅速及时、安全、准确、可靠。取送的各类药品、办公用品、医用品等物品应准确无遗漏无差错、贵重物品必须有相关科室人员签字。运送准确率不低于99%。</w:t>
      </w:r>
    </w:p>
    <w:p w14:paraId="304A2F41">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2.5服务必须满足医疗服务规范要求。严格执行交接班制度，各类物品运送放置规范，及时准确安全并做好交接记录。</w:t>
      </w:r>
    </w:p>
    <w:p w14:paraId="0280803D">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2.6急查的标本、急取药品、血制品等必须及时迅速处理十分钟内，并由相关科室人员双签字确认。运送核酸等特殊标本按规范要求做好职业防护及消毒隔离。</w:t>
      </w:r>
    </w:p>
    <w:p w14:paraId="61F418B1">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2.7工作人员不得私自拿药品、物品、不得变卖病人药品、物品、不得私自收费、不得拖延时间。</w:t>
      </w:r>
    </w:p>
    <w:p w14:paraId="75034E27">
      <w:pPr>
        <w:widowControl w:val="0"/>
        <w:spacing w:line="360" w:lineRule="auto"/>
        <w:ind w:firstLine="420"/>
        <w:jc w:val="both"/>
        <w:rPr>
          <w:rFonts w:ascii="宋体" w:hAnsi="宋体" w:cs="宋体"/>
          <w:color w:val="auto"/>
          <w:sz w:val="21"/>
          <w:szCs w:val="21"/>
        </w:rPr>
      </w:pPr>
      <w:r>
        <w:rPr>
          <w:rFonts w:hint="eastAsia" w:ascii="宋体" w:hAnsi="宋体" w:cs="宋体"/>
          <w:color w:val="auto"/>
          <w:sz w:val="21"/>
          <w:szCs w:val="21"/>
        </w:rPr>
        <w:t>2.8工作人员不得在所在工作区域内私自收藏杂物和私人物品，不得干私活。上班时间严禁扎堆闲聊。</w:t>
      </w:r>
    </w:p>
    <w:p w14:paraId="00EAF1C8">
      <w:pPr>
        <w:spacing w:line="360" w:lineRule="auto"/>
        <w:ind w:right="211"/>
        <w:jc w:val="both"/>
        <w:rPr>
          <w:rFonts w:ascii="宋体" w:hAnsi="宋体" w:cs="宋体"/>
          <w:b/>
          <w:bCs/>
          <w:color w:val="auto"/>
          <w:sz w:val="21"/>
          <w:szCs w:val="21"/>
        </w:rPr>
      </w:pPr>
      <w:r>
        <w:rPr>
          <w:rFonts w:hint="eastAsia" w:ascii="宋体" w:hAnsi="宋体" w:cs="宋体"/>
          <w:b/>
          <w:bCs/>
          <w:color w:val="auto"/>
          <w:sz w:val="21"/>
          <w:szCs w:val="21"/>
        </w:rPr>
        <w:t>（三）陪检服务职责及相关要求</w:t>
      </w:r>
    </w:p>
    <w:p w14:paraId="4F0B6763">
      <w:pPr>
        <w:spacing w:line="360" w:lineRule="auto"/>
        <w:ind w:right="211" w:firstLine="420"/>
        <w:jc w:val="both"/>
        <w:rPr>
          <w:rFonts w:ascii="宋体" w:hAnsi="宋体" w:cs="宋体"/>
          <w:color w:val="auto"/>
          <w:sz w:val="21"/>
          <w:szCs w:val="21"/>
        </w:rPr>
      </w:pPr>
      <w:r>
        <w:rPr>
          <w:rFonts w:hint="eastAsia" w:ascii="宋体" w:hAnsi="宋体" w:cs="宋体"/>
          <w:color w:val="auto"/>
          <w:sz w:val="21"/>
          <w:szCs w:val="21"/>
        </w:rPr>
        <w:t>1、按要求为新入、行动不便、无家属陪护、病情危重的患者进行陪检服务。对于病情危重、处于特殊情况下的患者应由病房责任护士共同陪检。</w:t>
      </w:r>
    </w:p>
    <w:p w14:paraId="1B04F334">
      <w:pPr>
        <w:spacing w:line="360" w:lineRule="auto"/>
        <w:ind w:right="211" w:firstLine="420"/>
        <w:jc w:val="both"/>
        <w:rPr>
          <w:rFonts w:ascii="宋体" w:hAnsi="宋体" w:cs="宋体"/>
          <w:color w:val="auto"/>
          <w:sz w:val="21"/>
          <w:szCs w:val="21"/>
        </w:rPr>
      </w:pPr>
      <w:r>
        <w:rPr>
          <w:rFonts w:hint="eastAsia" w:ascii="宋体" w:hAnsi="宋体" w:cs="宋体"/>
          <w:color w:val="auto"/>
          <w:sz w:val="21"/>
          <w:szCs w:val="21"/>
        </w:rPr>
        <w:t>2、接到陪检任务后，应认真核对患者姓名、床号、年龄、诊断、检查项目等相关信息，并通知病人做好检查的准备工作，准确告知病人检查前特殊准各的内容和注意事项。陪检人员要了解病人病情、检查前准备、特殊情况知情同意书签字情况等，根据病人的病情、身体状况采取适宜的陪送方法(平车、轮椅等)。途中，陪检人员应注意病人的适当体位，严密观察病情，注意道路、车辆速度等情况。</w:t>
      </w:r>
    </w:p>
    <w:p w14:paraId="2D4BC617">
      <w:pPr>
        <w:spacing w:line="360" w:lineRule="auto"/>
        <w:ind w:right="211" w:firstLine="420"/>
        <w:jc w:val="both"/>
        <w:rPr>
          <w:rFonts w:ascii="宋体" w:hAnsi="宋体" w:cs="宋体"/>
          <w:color w:val="auto"/>
          <w:sz w:val="21"/>
          <w:szCs w:val="21"/>
        </w:rPr>
      </w:pPr>
      <w:r>
        <w:rPr>
          <w:rFonts w:hint="eastAsia" w:ascii="宋体" w:hAnsi="宋体" w:cs="宋体"/>
          <w:color w:val="auto"/>
          <w:sz w:val="21"/>
          <w:szCs w:val="21"/>
        </w:rPr>
        <w:t>3、检査中陪检人员应密切观察病人病情，一旦发生变化应立即进行现场抢救，并通知送检科室和相关科室协助抢救。</w:t>
      </w:r>
    </w:p>
    <w:p w14:paraId="15ADDD2E">
      <w:pPr>
        <w:spacing w:line="360" w:lineRule="auto"/>
        <w:ind w:right="211" w:firstLine="420"/>
        <w:jc w:val="both"/>
        <w:rPr>
          <w:rFonts w:ascii="宋体" w:hAnsi="宋体" w:cs="宋体"/>
          <w:color w:val="auto"/>
          <w:sz w:val="21"/>
          <w:szCs w:val="21"/>
        </w:rPr>
      </w:pPr>
      <w:r>
        <w:rPr>
          <w:rFonts w:hint="eastAsia" w:ascii="宋体" w:hAnsi="宋体" w:cs="宋体"/>
          <w:color w:val="auto"/>
          <w:sz w:val="21"/>
          <w:szCs w:val="21"/>
        </w:rPr>
        <w:t>4、检査后应告知患者检査后的注意事项，不评论患者检査结果。</w:t>
      </w:r>
    </w:p>
    <w:p w14:paraId="52C9F91A">
      <w:pPr>
        <w:spacing w:line="360" w:lineRule="auto"/>
        <w:ind w:right="211" w:firstLine="420"/>
        <w:jc w:val="both"/>
        <w:rPr>
          <w:rFonts w:ascii="宋体" w:hAnsi="宋体" w:cs="宋体"/>
          <w:color w:val="auto"/>
          <w:sz w:val="21"/>
          <w:szCs w:val="21"/>
        </w:rPr>
      </w:pPr>
      <w:r>
        <w:rPr>
          <w:rFonts w:hint="eastAsia" w:ascii="宋体" w:hAnsi="宋体" w:cs="宋体"/>
          <w:color w:val="auto"/>
          <w:sz w:val="21"/>
          <w:szCs w:val="21"/>
        </w:rPr>
        <w:t>5、病员返回病房后，将检查报告单交给主治医师，并告知检查过程中的特殊情况。</w:t>
      </w:r>
    </w:p>
    <w:p w14:paraId="0655BA4F">
      <w:pPr>
        <w:spacing w:line="360" w:lineRule="auto"/>
        <w:ind w:right="211" w:firstLine="420"/>
        <w:jc w:val="both"/>
        <w:rPr>
          <w:rFonts w:ascii="宋体" w:hAnsi="宋体" w:cs="宋体"/>
          <w:color w:val="auto"/>
          <w:sz w:val="21"/>
          <w:szCs w:val="21"/>
        </w:rPr>
      </w:pPr>
      <w:r>
        <w:rPr>
          <w:rFonts w:hint="eastAsia" w:ascii="宋体" w:hAnsi="宋体" w:cs="宋体"/>
          <w:color w:val="auto"/>
          <w:sz w:val="21"/>
          <w:szCs w:val="21"/>
        </w:rPr>
        <w:t>6、陪检人员须在陪检登记本上做好登记，与相关科室人员做好交接及签字工作。</w:t>
      </w:r>
    </w:p>
    <w:p w14:paraId="780FFDF4">
      <w:pPr>
        <w:spacing w:line="360" w:lineRule="auto"/>
        <w:jc w:val="both"/>
        <w:rPr>
          <w:rFonts w:ascii="宋体" w:hAnsi="宋体" w:cs="宋体"/>
          <w:b/>
          <w:bCs/>
          <w:color w:val="auto"/>
          <w:sz w:val="21"/>
          <w:szCs w:val="21"/>
        </w:rPr>
      </w:pPr>
      <w:r>
        <w:rPr>
          <w:rFonts w:hint="eastAsia" w:ascii="宋体" w:hAnsi="宋体" w:cs="宋体"/>
          <w:b/>
          <w:bCs/>
          <w:color w:val="auto"/>
          <w:sz w:val="21"/>
          <w:szCs w:val="21"/>
        </w:rPr>
        <w:t>（</w:t>
      </w:r>
      <w:r>
        <w:rPr>
          <w:rFonts w:hint="eastAsia" w:ascii="宋体" w:hAnsi="宋体" w:cs="宋体"/>
          <w:b/>
          <w:bCs/>
          <w:color w:val="auto"/>
          <w:sz w:val="21"/>
          <w:szCs w:val="21"/>
          <w:lang w:eastAsia="zh-CN"/>
        </w:rPr>
        <w:t>四</w:t>
      </w:r>
      <w:r>
        <w:rPr>
          <w:rFonts w:hint="eastAsia" w:ascii="宋体" w:hAnsi="宋体" w:cs="宋体"/>
          <w:b/>
          <w:bCs/>
          <w:color w:val="auto"/>
          <w:sz w:val="21"/>
          <w:szCs w:val="21"/>
        </w:rPr>
        <w:t>）导医导诊服务职责及相关要求</w:t>
      </w:r>
    </w:p>
    <w:p w14:paraId="51F31970">
      <w:pPr>
        <w:spacing w:line="360" w:lineRule="auto"/>
        <w:ind w:firstLine="422"/>
        <w:jc w:val="both"/>
        <w:rPr>
          <w:rFonts w:ascii="宋体" w:hAnsi="宋体" w:cs="宋体"/>
          <w:b/>
          <w:bCs/>
          <w:color w:val="auto"/>
          <w:sz w:val="21"/>
          <w:szCs w:val="21"/>
        </w:rPr>
      </w:pPr>
      <w:r>
        <w:rPr>
          <w:rFonts w:hint="eastAsia" w:ascii="宋体" w:hAnsi="宋体" w:cs="宋体"/>
          <w:b/>
          <w:bCs/>
          <w:color w:val="auto"/>
          <w:sz w:val="21"/>
          <w:szCs w:val="21"/>
        </w:rPr>
        <w:t>1、服务内容：</w:t>
      </w:r>
    </w:p>
    <w:p w14:paraId="5E1EA56C">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1.1每天早上提前15分钟上班，开展导医导诊工作。</w:t>
      </w:r>
    </w:p>
    <w:p w14:paraId="553BBEB6">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1.2负责导医导诊、预检分诊、咨询预约、各种地点指引等门诊服务工作，随时接受咨询。</w:t>
      </w:r>
    </w:p>
    <w:p w14:paraId="4FDC4602">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1.3高峰时对病人进行分流及引导，维持门诊良好的就诊秩序与整洁的就诊环境。</w:t>
      </w:r>
    </w:p>
    <w:p w14:paraId="2319007E">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1.4认真落实承诺的各项便民措施，办理轮椅借用登记手续。</w:t>
      </w:r>
    </w:p>
    <w:p w14:paraId="3455A9E7">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1.5为初诊病人提供信息咨询，指导选择专科医生，指引就诊路线。</w:t>
      </w:r>
    </w:p>
    <w:p w14:paraId="665C033D">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1.6指导病人使用自助设备，电子病历的打印，帮助病人自助打印门诊检验报告单，必要时帮病人打印门诊发票清单。</w:t>
      </w:r>
    </w:p>
    <w:p w14:paraId="69EF6EBB">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1.7对孕妇、儿童、伤残、重症、无陪客患者实行陪诊、陪检等援助式服务。</w:t>
      </w:r>
    </w:p>
    <w:p w14:paraId="3F5C5100">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1.8帮助病人办理住院登记手续、并指导病人至住院病区。</w:t>
      </w:r>
    </w:p>
    <w:p w14:paraId="2D6D25DC">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1.9接受病人投诉并登记处理，协调医患关系。</w:t>
      </w:r>
    </w:p>
    <w:p w14:paraId="3E32441C">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1.10发放一次性杯子和各种健康教育资料。</w:t>
      </w:r>
    </w:p>
    <w:p w14:paraId="2E15C914">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1.11按病人需求为其联系安排“特需门诊”、“专家门诊”。</w:t>
      </w:r>
    </w:p>
    <w:p w14:paraId="28E76EB6">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1.12接受各类咨询：医院科室布局查询、检查治疗流程咨询、医院专科介绍、专家介绍、电话咨询、病人查询等。</w:t>
      </w:r>
    </w:p>
    <w:p w14:paraId="5516CC6F">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1.13发现紧急情况或意外事件、标牌和电子屏损坏及时报告、报修、通知相应部门，及时处理。劝阻吸烟者，注意节能和按需开灯。</w:t>
      </w:r>
    </w:p>
    <w:p w14:paraId="7936C8BF">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1.14下班前负责关闭导医分管区域的电脑、电灯、空调、门窗，并负责收好导医物品：电脑、打印机、椅子、轮椅、平车等物品。</w:t>
      </w:r>
    </w:p>
    <w:p w14:paraId="433D07D0">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1.15其它导医导诊服务等。</w:t>
      </w:r>
    </w:p>
    <w:p w14:paraId="205258DC">
      <w:pPr>
        <w:spacing w:line="360" w:lineRule="auto"/>
        <w:ind w:firstLine="422"/>
        <w:jc w:val="both"/>
        <w:rPr>
          <w:rFonts w:ascii="宋体" w:hAnsi="宋体" w:cs="宋体"/>
          <w:b/>
          <w:bCs/>
          <w:color w:val="auto"/>
          <w:sz w:val="21"/>
          <w:szCs w:val="21"/>
        </w:rPr>
      </w:pPr>
      <w:r>
        <w:rPr>
          <w:rFonts w:hint="eastAsia" w:ascii="宋体" w:hAnsi="宋体" w:cs="宋体"/>
          <w:b/>
          <w:bCs/>
          <w:color w:val="auto"/>
          <w:sz w:val="21"/>
          <w:szCs w:val="21"/>
        </w:rPr>
        <w:t>2、服务要求：</w:t>
      </w:r>
    </w:p>
    <w:p w14:paraId="06A47FBA">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2.1服务人员具有应有的职业道德，遵循社会公德，为就诊人员创建健康、文明服务环境。</w:t>
      </w:r>
    </w:p>
    <w:p w14:paraId="5C49451B">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2.2服务人员对门诊服务工作具备基本业务知识和技能，并能快速、准确运用。</w:t>
      </w:r>
    </w:p>
    <w:p w14:paraId="345AFF00">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2.3服务人员熟悉医院的服务流程、服务内容，能耐心、亲切的应答就诊人员的提问，正确指导患者就诊。</w:t>
      </w:r>
    </w:p>
    <w:p w14:paraId="2689283F">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2.4服务人员能及时发现就诊人员的需求，主动服务，与就诊人员交谈时，做到用心倾听。</w:t>
      </w:r>
    </w:p>
    <w:p w14:paraId="7511D335">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2.5服务人员仪容仪表端庄、大方、整洁，着装、配饰统一标准；站、坐、行姿符合岗位规范和要求，保持微笑。</w:t>
      </w:r>
    </w:p>
    <w:p w14:paraId="5AF3FA8B">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2.6服务人员礼貌用语、工作用语统一标准，工作期间首选使用普通话。</w:t>
      </w:r>
    </w:p>
    <w:p w14:paraId="7FED6B95">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2.7服务人员准时上、下班，不迟到早退，不脱岗。上班时间不玩手机，接听电话注意场合、注意音量、不超规定时间。</w:t>
      </w:r>
    </w:p>
    <w:p w14:paraId="5EC2B5E0">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2.8服务人员对有需要特殊帮助的就诊人员（如残疾人士、行动不便的老年人等）应主动予以帮助；对需要走绿色通道的就诊人员及时与医院总值班进行联系。</w:t>
      </w:r>
    </w:p>
    <w:p w14:paraId="44A496D2">
      <w:pPr>
        <w:spacing w:line="360" w:lineRule="auto"/>
        <w:ind w:firstLine="420"/>
        <w:jc w:val="both"/>
        <w:rPr>
          <w:rFonts w:ascii="宋体" w:hAnsi="宋体" w:cs="宋体"/>
          <w:b/>
          <w:bCs/>
          <w:color w:val="auto"/>
          <w:sz w:val="21"/>
          <w:szCs w:val="21"/>
          <w:lang w:bidi="ar"/>
        </w:rPr>
      </w:pPr>
      <w:r>
        <w:rPr>
          <w:rFonts w:hint="eastAsia" w:ascii="宋体" w:hAnsi="宋体" w:cs="宋体"/>
          <w:color w:val="auto"/>
          <w:sz w:val="21"/>
          <w:szCs w:val="21"/>
        </w:rPr>
        <w:t>2.9管理人员接到投诉，及时与医院相关部门沟通、协调，正确、快速进行处理。服务中如有差错，应道歉并立即更正。</w:t>
      </w:r>
    </w:p>
    <w:p w14:paraId="7E0064AE">
      <w:pPr>
        <w:spacing w:line="360" w:lineRule="auto"/>
        <w:jc w:val="both"/>
        <w:rPr>
          <w:rFonts w:hint="eastAsia" w:ascii="宋体" w:hAnsi="宋体" w:eastAsia="宋体" w:cs="宋体"/>
          <w:b/>
          <w:bCs/>
          <w:color w:val="auto"/>
          <w:sz w:val="21"/>
          <w:szCs w:val="21"/>
          <w:lang w:eastAsia="zh-CN" w:bidi="ar"/>
        </w:rPr>
      </w:pPr>
      <w:r>
        <w:rPr>
          <w:rFonts w:hint="eastAsia" w:ascii="宋体" w:hAnsi="宋体" w:cs="宋体"/>
          <w:b/>
          <w:bCs/>
          <w:color w:val="auto"/>
          <w:sz w:val="21"/>
          <w:szCs w:val="21"/>
          <w:lang w:bidi="ar"/>
        </w:rPr>
        <w:t>（</w:t>
      </w:r>
      <w:r>
        <w:rPr>
          <w:rFonts w:hint="eastAsia" w:ascii="宋体" w:hAnsi="宋体" w:cs="宋体"/>
          <w:b/>
          <w:bCs/>
          <w:color w:val="auto"/>
          <w:sz w:val="21"/>
          <w:szCs w:val="21"/>
          <w:lang w:eastAsia="zh-CN" w:bidi="ar"/>
        </w:rPr>
        <w:t>五</w:t>
      </w:r>
      <w:r>
        <w:rPr>
          <w:rFonts w:hint="eastAsia" w:ascii="宋体" w:hAnsi="宋体" w:cs="宋体"/>
          <w:b/>
          <w:bCs/>
          <w:color w:val="auto"/>
          <w:sz w:val="21"/>
          <w:szCs w:val="21"/>
          <w:lang w:bidi="ar"/>
        </w:rPr>
        <w:t>）文员、收费服务职责及相关要求</w:t>
      </w:r>
    </w:p>
    <w:tbl>
      <w:tblPr>
        <w:tblStyle w:val="38"/>
        <w:tblW w:w="0" w:type="auto"/>
        <w:jc w:val="center"/>
        <w:tblLayout w:type="fixed"/>
        <w:tblCellMar>
          <w:top w:w="0" w:type="dxa"/>
          <w:left w:w="108" w:type="dxa"/>
          <w:bottom w:w="0" w:type="dxa"/>
          <w:right w:w="108" w:type="dxa"/>
        </w:tblCellMar>
      </w:tblPr>
      <w:tblGrid>
        <w:gridCol w:w="1651"/>
        <w:gridCol w:w="2768"/>
        <w:gridCol w:w="3921"/>
      </w:tblGrid>
      <w:tr w14:paraId="43698E14">
        <w:tblPrEx>
          <w:tblCellMar>
            <w:top w:w="0" w:type="dxa"/>
            <w:left w:w="108" w:type="dxa"/>
            <w:bottom w:w="0" w:type="dxa"/>
            <w:right w:w="108" w:type="dxa"/>
          </w:tblCellMar>
        </w:tblPrEx>
        <w:trPr>
          <w:trHeight w:val="567" w:hRule="atLeast"/>
          <w:jc w:val="center"/>
        </w:trPr>
        <w:tc>
          <w:tcPr>
            <w:tcW w:w="1651" w:type="dxa"/>
            <w:tcBorders>
              <w:top w:val="single" w:color="000000" w:sz="4" w:space="0"/>
              <w:left w:val="single" w:color="000000" w:sz="4" w:space="0"/>
              <w:bottom w:val="single" w:color="000000" w:sz="4" w:space="0"/>
              <w:right w:val="single" w:color="000000" w:sz="4" w:space="0"/>
            </w:tcBorders>
            <w:noWrap w:val="0"/>
            <w:vAlign w:val="center"/>
          </w:tcPr>
          <w:p w14:paraId="25911DD8">
            <w:pPr>
              <w:jc w:val="center"/>
              <w:rPr>
                <w:rFonts w:ascii="宋体" w:hAnsi="宋体" w:cs="宋体"/>
                <w:b/>
                <w:bCs/>
                <w:color w:val="auto"/>
                <w:sz w:val="21"/>
                <w:szCs w:val="21"/>
              </w:rPr>
            </w:pPr>
            <w:r>
              <w:rPr>
                <w:rFonts w:hint="eastAsia" w:ascii="宋体" w:hAnsi="宋体" w:cs="宋体"/>
                <w:b/>
                <w:bCs/>
                <w:color w:val="auto"/>
                <w:sz w:val="21"/>
                <w:szCs w:val="21"/>
                <w:lang w:bidi="ar"/>
              </w:rPr>
              <w:t>区域岗位</w:t>
            </w:r>
          </w:p>
        </w:tc>
        <w:tc>
          <w:tcPr>
            <w:tcW w:w="2768" w:type="dxa"/>
            <w:tcBorders>
              <w:top w:val="single" w:color="000000" w:sz="4" w:space="0"/>
              <w:left w:val="single" w:color="000000" w:sz="4" w:space="0"/>
              <w:bottom w:val="single" w:color="000000" w:sz="4" w:space="0"/>
              <w:right w:val="single" w:color="000000" w:sz="4" w:space="0"/>
            </w:tcBorders>
            <w:noWrap/>
            <w:vAlign w:val="center"/>
          </w:tcPr>
          <w:p w14:paraId="0017702C">
            <w:pPr>
              <w:jc w:val="center"/>
              <w:rPr>
                <w:rFonts w:ascii="宋体" w:hAnsi="宋体" w:cs="宋体"/>
                <w:b/>
                <w:bCs/>
                <w:color w:val="auto"/>
                <w:sz w:val="21"/>
                <w:szCs w:val="21"/>
              </w:rPr>
            </w:pPr>
            <w:r>
              <w:rPr>
                <w:rFonts w:hint="eastAsia" w:ascii="宋体" w:hAnsi="宋体" w:cs="宋体"/>
                <w:b/>
                <w:bCs/>
                <w:color w:val="auto"/>
                <w:sz w:val="21"/>
                <w:szCs w:val="21"/>
                <w:lang w:bidi="ar"/>
              </w:rPr>
              <w:t>服务时间</w:t>
            </w:r>
          </w:p>
        </w:tc>
        <w:tc>
          <w:tcPr>
            <w:tcW w:w="3921" w:type="dxa"/>
            <w:tcBorders>
              <w:top w:val="single" w:color="000000" w:sz="4" w:space="0"/>
              <w:left w:val="single" w:color="000000" w:sz="4" w:space="0"/>
              <w:bottom w:val="single" w:color="000000" w:sz="4" w:space="0"/>
              <w:right w:val="single" w:color="000000" w:sz="4" w:space="0"/>
            </w:tcBorders>
            <w:noWrap/>
            <w:vAlign w:val="center"/>
          </w:tcPr>
          <w:p w14:paraId="4143CD8D">
            <w:pPr>
              <w:jc w:val="center"/>
              <w:rPr>
                <w:rFonts w:ascii="宋体" w:hAnsi="宋体" w:cs="宋体"/>
                <w:b/>
                <w:bCs/>
                <w:color w:val="auto"/>
                <w:sz w:val="21"/>
                <w:szCs w:val="21"/>
              </w:rPr>
            </w:pPr>
            <w:r>
              <w:rPr>
                <w:rFonts w:hint="eastAsia" w:ascii="宋体" w:hAnsi="宋体" w:cs="宋体"/>
                <w:b/>
                <w:bCs/>
                <w:color w:val="auto"/>
                <w:sz w:val="21"/>
                <w:szCs w:val="21"/>
                <w:lang w:bidi="ar"/>
              </w:rPr>
              <w:t>岗位工作内容/其他备注说明</w:t>
            </w:r>
          </w:p>
        </w:tc>
      </w:tr>
      <w:tr w14:paraId="76A8E24A">
        <w:tblPrEx>
          <w:tblCellMar>
            <w:top w:w="0" w:type="dxa"/>
            <w:left w:w="108" w:type="dxa"/>
            <w:bottom w:w="0" w:type="dxa"/>
            <w:right w:w="108" w:type="dxa"/>
          </w:tblCellMar>
        </w:tblPrEx>
        <w:trPr>
          <w:trHeight w:val="567" w:hRule="atLeast"/>
          <w:jc w:val="center"/>
        </w:trPr>
        <w:tc>
          <w:tcPr>
            <w:tcW w:w="1651" w:type="dxa"/>
            <w:tcBorders>
              <w:top w:val="single" w:color="000000" w:sz="4" w:space="0"/>
              <w:left w:val="single" w:color="000000" w:sz="4" w:space="0"/>
              <w:bottom w:val="single" w:color="000000" w:sz="4" w:space="0"/>
              <w:right w:val="single" w:color="000000" w:sz="4" w:space="0"/>
            </w:tcBorders>
            <w:noWrap w:val="0"/>
            <w:vAlign w:val="center"/>
          </w:tcPr>
          <w:p w14:paraId="79AA5869">
            <w:pPr>
              <w:jc w:val="center"/>
              <w:rPr>
                <w:rFonts w:ascii="宋体" w:hAnsi="宋体" w:cs="宋体"/>
                <w:color w:val="auto"/>
                <w:sz w:val="21"/>
                <w:szCs w:val="21"/>
              </w:rPr>
            </w:pPr>
            <w:r>
              <w:rPr>
                <w:rFonts w:hint="eastAsia" w:ascii="宋体" w:hAnsi="宋体" w:cs="宋体"/>
                <w:color w:val="auto"/>
                <w:sz w:val="21"/>
                <w:szCs w:val="21"/>
                <w:lang w:bidi="ar"/>
              </w:rPr>
              <w:t>B超室打字员</w:t>
            </w:r>
          </w:p>
        </w:tc>
        <w:tc>
          <w:tcPr>
            <w:tcW w:w="2768" w:type="dxa"/>
            <w:tcBorders>
              <w:top w:val="single" w:color="000000" w:sz="4" w:space="0"/>
              <w:left w:val="single" w:color="000000" w:sz="4" w:space="0"/>
              <w:bottom w:val="single" w:color="000000" w:sz="4" w:space="0"/>
              <w:right w:val="single" w:color="000000" w:sz="4" w:space="0"/>
            </w:tcBorders>
            <w:noWrap/>
            <w:vAlign w:val="center"/>
          </w:tcPr>
          <w:p w14:paraId="3700836F">
            <w:pPr>
              <w:jc w:val="both"/>
              <w:rPr>
                <w:rFonts w:ascii="宋体" w:hAnsi="宋体" w:cs="宋体"/>
                <w:color w:val="auto"/>
                <w:sz w:val="21"/>
                <w:szCs w:val="21"/>
              </w:rPr>
            </w:pPr>
            <w:r>
              <w:rPr>
                <w:rFonts w:hint="eastAsia" w:ascii="宋体" w:hAnsi="宋体" w:cs="宋体"/>
                <w:color w:val="auto"/>
                <w:sz w:val="21"/>
                <w:szCs w:val="21"/>
                <w:lang w:bidi="ar"/>
              </w:rPr>
              <w:t>7:45-11:45/14:00-17:30</w:t>
            </w:r>
          </w:p>
        </w:tc>
        <w:tc>
          <w:tcPr>
            <w:tcW w:w="3921" w:type="dxa"/>
            <w:tcBorders>
              <w:top w:val="single" w:color="000000" w:sz="4" w:space="0"/>
              <w:left w:val="single" w:color="000000" w:sz="4" w:space="0"/>
              <w:bottom w:val="single" w:color="000000" w:sz="4" w:space="0"/>
              <w:right w:val="single" w:color="000000" w:sz="4" w:space="0"/>
            </w:tcBorders>
            <w:noWrap/>
            <w:vAlign w:val="center"/>
          </w:tcPr>
          <w:p w14:paraId="1FA052E9">
            <w:pPr>
              <w:jc w:val="both"/>
              <w:rPr>
                <w:rFonts w:ascii="宋体" w:hAnsi="宋体" w:cs="宋体"/>
                <w:color w:val="auto"/>
                <w:sz w:val="21"/>
                <w:szCs w:val="21"/>
              </w:rPr>
            </w:pPr>
            <w:r>
              <w:rPr>
                <w:rFonts w:hint="eastAsia" w:ascii="宋体" w:hAnsi="宋体" w:cs="宋体"/>
                <w:color w:val="auto"/>
                <w:sz w:val="21"/>
                <w:szCs w:val="21"/>
                <w:lang w:bidi="ar"/>
              </w:rPr>
              <w:t>出具报告的打字录入</w:t>
            </w:r>
          </w:p>
        </w:tc>
      </w:tr>
      <w:tr w14:paraId="55CF79CA">
        <w:tblPrEx>
          <w:tblCellMar>
            <w:top w:w="0" w:type="dxa"/>
            <w:left w:w="108" w:type="dxa"/>
            <w:bottom w:w="0" w:type="dxa"/>
            <w:right w:w="108" w:type="dxa"/>
          </w:tblCellMar>
        </w:tblPrEx>
        <w:trPr>
          <w:trHeight w:val="567" w:hRule="atLeast"/>
          <w:jc w:val="center"/>
        </w:trPr>
        <w:tc>
          <w:tcPr>
            <w:tcW w:w="1651" w:type="dxa"/>
            <w:tcBorders>
              <w:top w:val="single" w:color="000000" w:sz="4" w:space="0"/>
              <w:left w:val="single" w:color="000000" w:sz="4" w:space="0"/>
              <w:bottom w:val="single" w:color="000000" w:sz="4" w:space="0"/>
              <w:right w:val="single" w:color="000000" w:sz="4" w:space="0"/>
            </w:tcBorders>
            <w:noWrap w:val="0"/>
            <w:vAlign w:val="center"/>
          </w:tcPr>
          <w:p w14:paraId="7AB1ED0E">
            <w:pPr>
              <w:jc w:val="center"/>
              <w:rPr>
                <w:rFonts w:ascii="宋体" w:hAnsi="宋体" w:cs="宋体"/>
                <w:color w:val="auto"/>
                <w:sz w:val="21"/>
                <w:szCs w:val="21"/>
              </w:rPr>
            </w:pPr>
            <w:r>
              <w:rPr>
                <w:rFonts w:hint="eastAsia" w:ascii="宋体" w:hAnsi="宋体" w:cs="宋体"/>
                <w:color w:val="auto"/>
                <w:sz w:val="21"/>
                <w:szCs w:val="21"/>
                <w:lang w:bidi="ar"/>
              </w:rPr>
              <w:t>门诊导医员</w:t>
            </w:r>
          </w:p>
        </w:tc>
        <w:tc>
          <w:tcPr>
            <w:tcW w:w="2768" w:type="dxa"/>
            <w:tcBorders>
              <w:top w:val="single" w:color="000000" w:sz="4" w:space="0"/>
              <w:left w:val="single" w:color="000000" w:sz="4" w:space="0"/>
              <w:bottom w:val="single" w:color="000000" w:sz="4" w:space="0"/>
              <w:right w:val="single" w:color="000000" w:sz="4" w:space="0"/>
            </w:tcBorders>
            <w:noWrap/>
            <w:vAlign w:val="center"/>
          </w:tcPr>
          <w:p w14:paraId="338E2A85">
            <w:pPr>
              <w:jc w:val="both"/>
              <w:rPr>
                <w:rFonts w:ascii="宋体" w:hAnsi="宋体" w:cs="宋体"/>
                <w:color w:val="auto"/>
                <w:sz w:val="21"/>
                <w:szCs w:val="21"/>
              </w:rPr>
            </w:pPr>
            <w:r>
              <w:rPr>
                <w:rFonts w:hint="eastAsia" w:ascii="宋体" w:hAnsi="宋体" w:cs="宋体"/>
                <w:color w:val="auto"/>
                <w:sz w:val="21"/>
                <w:szCs w:val="21"/>
                <w:lang w:bidi="ar"/>
              </w:rPr>
              <w:t>7:45-11:45/14:00-17:30</w:t>
            </w:r>
          </w:p>
        </w:tc>
        <w:tc>
          <w:tcPr>
            <w:tcW w:w="3921" w:type="dxa"/>
            <w:tcBorders>
              <w:top w:val="single" w:color="000000" w:sz="4" w:space="0"/>
              <w:left w:val="single" w:color="000000" w:sz="4" w:space="0"/>
              <w:bottom w:val="single" w:color="000000" w:sz="4" w:space="0"/>
              <w:right w:val="single" w:color="000000" w:sz="4" w:space="0"/>
            </w:tcBorders>
            <w:noWrap/>
            <w:vAlign w:val="center"/>
          </w:tcPr>
          <w:p w14:paraId="571182FB">
            <w:pPr>
              <w:jc w:val="both"/>
              <w:rPr>
                <w:rFonts w:ascii="宋体" w:hAnsi="宋体" w:cs="宋体"/>
                <w:color w:val="auto"/>
                <w:sz w:val="21"/>
                <w:szCs w:val="21"/>
              </w:rPr>
            </w:pPr>
            <w:r>
              <w:rPr>
                <w:rFonts w:hint="eastAsia" w:ascii="宋体" w:hAnsi="宋体" w:cs="宋体"/>
                <w:color w:val="auto"/>
                <w:sz w:val="21"/>
                <w:szCs w:val="21"/>
                <w:lang w:bidi="ar"/>
              </w:rPr>
              <w:t>负责门诊科室、导医台咨询与预约登记；服务引导及秩序维持；负责门诊病人叫号排序；负责导医台检验报告单发放与打印指引；服从科室临时性工作安排。</w:t>
            </w:r>
          </w:p>
        </w:tc>
      </w:tr>
      <w:tr w14:paraId="01FDD619">
        <w:tblPrEx>
          <w:tblCellMar>
            <w:top w:w="0" w:type="dxa"/>
            <w:left w:w="108" w:type="dxa"/>
            <w:bottom w:w="0" w:type="dxa"/>
            <w:right w:w="108" w:type="dxa"/>
          </w:tblCellMar>
        </w:tblPrEx>
        <w:trPr>
          <w:trHeight w:val="567" w:hRule="atLeast"/>
          <w:jc w:val="center"/>
        </w:trPr>
        <w:tc>
          <w:tcPr>
            <w:tcW w:w="1651" w:type="dxa"/>
            <w:tcBorders>
              <w:top w:val="single" w:color="000000" w:sz="4" w:space="0"/>
              <w:left w:val="single" w:color="000000" w:sz="4" w:space="0"/>
              <w:bottom w:val="single" w:color="000000" w:sz="4" w:space="0"/>
              <w:right w:val="single" w:color="000000" w:sz="4" w:space="0"/>
            </w:tcBorders>
            <w:noWrap w:val="0"/>
            <w:vAlign w:val="center"/>
          </w:tcPr>
          <w:p w14:paraId="1F35ECDB">
            <w:pPr>
              <w:jc w:val="center"/>
              <w:rPr>
                <w:rFonts w:ascii="宋体" w:hAnsi="宋体" w:cs="宋体"/>
                <w:color w:val="auto"/>
                <w:sz w:val="21"/>
                <w:szCs w:val="21"/>
              </w:rPr>
            </w:pPr>
            <w:r>
              <w:rPr>
                <w:rFonts w:hint="eastAsia" w:ascii="宋体" w:hAnsi="宋体" w:cs="宋体"/>
                <w:color w:val="auto"/>
                <w:sz w:val="21"/>
                <w:szCs w:val="21"/>
                <w:lang w:bidi="ar"/>
              </w:rPr>
              <w:t>门诊导医员</w:t>
            </w:r>
          </w:p>
        </w:tc>
        <w:tc>
          <w:tcPr>
            <w:tcW w:w="2768" w:type="dxa"/>
            <w:tcBorders>
              <w:top w:val="single" w:color="000000" w:sz="4" w:space="0"/>
              <w:left w:val="single" w:color="000000" w:sz="4" w:space="0"/>
              <w:bottom w:val="single" w:color="000000" w:sz="4" w:space="0"/>
              <w:right w:val="single" w:color="000000" w:sz="4" w:space="0"/>
            </w:tcBorders>
            <w:noWrap/>
            <w:vAlign w:val="center"/>
          </w:tcPr>
          <w:p w14:paraId="0A79DA3D">
            <w:pPr>
              <w:jc w:val="both"/>
              <w:rPr>
                <w:rFonts w:ascii="宋体" w:hAnsi="宋体" w:cs="宋体"/>
                <w:color w:val="auto"/>
                <w:sz w:val="21"/>
                <w:szCs w:val="21"/>
              </w:rPr>
            </w:pPr>
            <w:r>
              <w:rPr>
                <w:rFonts w:hint="eastAsia" w:ascii="宋体" w:hAnsi="宋体" w:cs="宋体"/>
                <w:color w:val="auto"/>
                <w:sz w:val="21"/>
                <w:szCs w:val="21"/>
                <w:lang w:bidi="ar"/>
              </w:rPr>
              <w:t>7:45-11:45/14:00-17:30</w:t>
            </w:r>
          </w:p>
        </w:tc>
        <w:tc>
          <w:tcPr>
            <w:tcW w:w="3921" w:type="dxa"/>
            <w:tcBorders>
              <w:top w:val="single" w:color="000000" w:sz="4" w:space="0"/>
              <w:left w:val="single" w:color="000000" w:sz="4" w:space="0"/>
              <w:bottom w:val="single" w:color="000000" w:sz="4" w:space="0"/>
              <w:right w:val="single" w:color="000000" w:sz="4" w:space="0"/>
            </w:tcBorders>
            <w:noWrap/>
            <w:vAlign w:val="center"/>
          </w:tcPr>
          <w:p w14:paraId="155ABBD2">
            <w:pPr>
              <w:jc w:val="both"/>
              <w:rPr>
                <w:rFonts w:ascii="宋体" w:hAnsi="宋体" w:cs="宋体"/>
                <w:color w:val="auto"/>
                <w:sz w:val="21"/>
                <w:szCs w:val="21"/>
              </w:rPr>
            </w:pPr>
            <w:r>
              <w:rPr>
                <w:rFonts w:hint="eastAsia" w:ascii="宋体" w:hAnsi="宋体" w:cs="宋体"/>
                <w:color w:val="auto"/>
                <w:sz w:val="21"/>
                <w:szCs w:val="21"/>
                <w:lang w:bidi="ar"/>
              </w:rPr>
              <w:t>负责门诊科室、导医台咨询与预约登记；服务引导及秩序维持；负责门诊病人叫号排序；负责导医台检验报告单发放与打印指引；服从科室临时性工作安排。</w:t>
            </w:r>
          </w:p>
        </w:tc>
      </w:tr>
      <w:tr w14:paraId="234D067E">
        <w:tblPrEx>
          <w:tblCellMar>
            <w:top w:w="0" w:type="dxa"/>
            <w:left w:w="108" w:type="dxa"/>
            <w:bottom w:w="0" w:type="dxa"/>
            <w:right w:w="108" w:type="dxa"/>
          </w:tblCellMar>
        </w:tblPrEx>
        <w:trPr>
          <w:trHeight w:val="567" w:hRule="atLeast"/>
          <w:jc w:val="center"/>
        </w:trPr>
        <w:tc>
          <w:tcPr>
            <w:tcW w:w="1651" w:type="dxa"/>
            <w:tcBorders>
              <w:top w:val="single" w:color="000000" w:sz="4" w:space="0"/>
              <w:left w:val="single" w:color="000000" w:sz="4" w:space="0"/>
              <w:bottom w:val="single" w:color="000000" w:sz="4" w:space="0"/>
              <w:right w:val="single" w:color="000000" w:sz="4" w:space="0"/>
            </w:tcBorders>
            <w:noWrap w:val="0"/>
            <w:vAlign w:val="center"/>
          </w:tcPr>
          <w:p w14:paraId="39C4116F">
            <w:pPr>
              <w:jc w:val="center"/>
              <w:rPr>
                <w:rFonts w:ascii="宋体" w:hAnsi="宋体" w:cs="宋体"/>
                <w:color w:val="auto"/>
                <w:sz w:val="21"/>
                <w:szCs w:val="21"/>
                <w:lang w:bidi="ar"/>
              </w:rPr>
            </w:pPr>
            <w:r>
              <w:rPr>
                <w:rFonts w:hint="eastAsia" w:ascii="宋体" w:hAnsi="宋体" w:cs="宋体"/>
                <w:color w:val="auto"/>
                <w:sz w:val="21"/>
                <w:szCs w:val="21"/>
                <w:lang w:bidi="ar"/>
              </w:rPr>
              <w:t>围产门诊</w:t>
            </w:r>
          </w:p>
          <w:p w14:paraId="66ECB519">
            <w:pPr>
              <w:jc w:val="center"/>
              <w:rPr>
                <w:rFonts w:ascii="宋体" w:hAnsi="宋体" w:cs="宋体"/>
                <w:color w:val="auto"/>
                <w:sz w:val="21"/>
                <w:szCs w:val="21"/>
              </w:rPr>
            </w:pPr>
            <w:r>
              <w:rPr>
                <w:rFonts w:hint="eastAsia" w:ascii="宋体" w:hAnsi="宋体" w:cs="宋体"/>
                <w:color w:val="auto"/>
                <w:sz w:val="21"/>
                <w:szCs w:val="21"/>
                <w:lang w:bidi="ar"/>
              </w:rPr>
              <w:t>（门诊二楼）</w:t>
            </w:r>
          </w:p>
        </w:tc>
        <w:tc>
          <w:tcPr>
            <w:tcW w:w="2768" w:type="dxa"/>
            <w:tcBorders>
              <w:top w:val="single" w:color="000000" w:sz="4" w:space="0"/>
              <w:left w:val="single" w:color="000000" w:sz="4" w:space="0"/>
              <w:bottom w:val="single" w:color="000000" w:sz="4" w:space="0"/>
              <w:right w:val="single" w:color="000000" w:sz="4" w:space="0"/>
            </w:tcBorders>
            <w:noWrap/>
            <w:vAlign w:val="center"/>
          </w:tcPr>
          <w:p w14:paraId="218E13B8">
            <w:pPr>
              <w:jc w:val="both"/>
              <w:rPr>
                <w:rFonts w:ascii="宋体" w:hAnsi="宋体" w:cs="宋体"/>
                <w:color w:val="auto"/>
                <w:sz w:val="21"/>
                <w:szCs w:val="21"/>
              </w:rPr>
            </w:pPr>
            <w:r>
              <w:rPr>
                <w:rFonts w:hint="eastAsia" w:ascii="宋体" w:hAnsi="宋体" w:cs="宋体"/>
                <w:color w:val="auto"/>
                <w:sz w:val="21"/>
                <w:szCs w:val="21"/>
                <w:lang w:bidi="ar"/>
              </w:rPr>
              <w:t>7:45-11:45/14:00-17:30</w:t>
            </w:r>
          </w:p>
        </w:tc>
        <w:tc>
          <w:tcPr>
            <w:tcW w:w="3921" w:type="dxa"/>
            <w:tcBorders>
              <w:top w:val="single" w:color="000000" w:sz="4" w:space="0"/>
              <w:left w:val="single" w:color="000000" w:sz="4" w:space="0"/>
              <w:bottom w:val="single" w:color="000000" w:sz="4" w:space="0"/>
              <w:right w:val="single" w:color="000000" w:sz="4" w:space="0"/>
            </w:tcBorders>
            <w:noWrap/>
            <w:vAlign w:val="center"/>
          </w:tcPr>
          <w:p w14:paraId="7E3BE444">
            <w:pPr>
              <w:jc w:val="both"/>
              <w:rPr>
                <w:rFonts w:ascii="宋体" w:hAnsi="宋体" w:cs="宋体"/>
                <w:color w:val="auto"/>
                <w:sz w:val="21"/>
                <w:szCs w:val="21"/>
              </w:rPr>
            </w:pPr>
            <w:r>
              <w:rPr>
                <w:rFonts w:hint="eastAsia" w:ascii="宋体" w:hAnsi="宋体" w:cs="宋体"/>
                <w:color w:val="auto"/>
                <w:sz w:val="21"/>
                <w:szCs w:val="21"/>
                <w:lang w:bidi="ar"/>
              </w:rPr>
              <w:t>负责胎心监护室登记、协助绑胎心监护，维持秩序，叫号等。</w:t>
            </w:r>
          </w:p>
        </w:tc>
      </w:tr>
      <w:tr w14:paraId="19267159">
        <w:tblPrEx>
          <w:tblCellMar>
            <w:top w:w="0" w:type="dxa"/>
            <w:left w:w="108" w:type="dxa"/>
            <w:bottom w:w="0" w:type="dxa"/>
            <w:right w:w="108" w:type="dxa"/>
          </w:tblCellMar>
        </w:tblPrEx>
        <w:trPr>
          <w:trHeight w:val="567" w:hRule="atLeast"/>
          <w:jc w:val="center"/>
        </w:trPr>
        <w:tc>
          <w:tcPr>
            <w:tcW w:w="1651" w:type="dxa"/>
            <w:tcBorders>
              <w:top w:val="single" w:color="000000" w:sz="4" w:space="0"/>
              <w:left w:val="single" w:color="000000" w:sz="4" w:space="0"/>
              <w:bottom w:val="single" w:color="000000" w:sz="4" w:space="0"/>
              <w:right w:val="single" w:color="000000" w:sz="4" w:space="0"/>
            </w:tcBorders>
            <w:noWrap w:val="0"/>
            <w:vAlign w:val="center"/>
          </w:tcPr>
          <w:p w14:paraId="2170735D">
            <w:pPr>
              <w:jc w:val="center"/>
              <w:rPr>
                <w:rFonts w:ascii="宋体" w:hAnsi="宋体" w:cs="宋体"/>
                <w:color w:val="auto"/>
                <w:sz w:val="21"/>
                <w:szCs w:val="21"/>
                <w:lang w:bidi="ar"/>
              </w:rPr>
            </w:pPr>
            <w:r>
              <w:rPr>
                <w:rFonts w:hint="eastAsia" w:ascii="宋体" w:hAnsi="宋体" w:cs="宋体"/>
                <w:color w:val="auto"/>
                <w:sz w:val="21"/>
                <w:szCs w:val="21"/>
                <w:lang w:bidi="ar"/>
              </w:rPr>
              <w:t>节育技术科</w:t>
            </w:r>
          </w:p>
          <w:p w14:paraId="13A5D777">
            <w:pPr>
              <w:jc w:val="center"/>
              <w:rPr>
                <w:rFonts w:ascii="宋体" w:hAnsi="宋体" w:cs="宋体"/>
                <w:color w:val="auto"/>
                <w:sz w:val="21"/>
                <w:szCs w:val="21"/>
              </w:rPr>
            </w:pPr>
            <w:r>
              <w:rPr>
                <w:rFonts w:hint="eastAsia" w:ascii="宋体" w:hAnsi="宋体" w:cs="宋体"/>
                <w:color w:val="auto"/>
                <w:sz w:val="21"/>
                <w:szCs w:val="21"/>
                <w:lang w:bidi="ar"/>
              </w:rPr>
              <w:t>（门诊三楼）</w:t>
            </w:r>
          </w:p>
        </w:tc>
        <w:tc>
          <w:tcPr>
            <w:tcW w:w="2768" w:type="dxa"/>
            <w:tcBorders>
              <w:top w:val="single" w:color="000000" w:sz="4" w:space="0"/>
              <w:left w:val="single" w:color="000000" w:sz="4" w:space="0"/>
              <w:bottom w:val="single" w:color="000000" w:sz="4" w:space="0"/>
              <w:right w:val="single" w:color="000000" w:sz="4" w:space="0"/>
            </w:tcBorders>
            <w:noWrap/>
            <w:vAlign w:val="center"/>
          </w:tcPr>
          <w:p w14:paraId="296CD00C">
            <w:pPr>
              <w:jc w:val="both"/>
              <w:rPr>
                <w:rFonts w:ascii="宋体" w:hAnsi="宋体" w:cs="宋体"/>
                <w:color w:val="auto"/>
                <w:sz w:val="21"/>
                <w:szCs w:val="21"/>
              </w:rPr>
            </w:pPr>
            <w:r>
              <w:rPr>
                <w:rFonts w:hint="eastAsia" w:ascii="宋体" w:hAnsi="宋体" w:cs="宋体"/>
                <w:color w:val="auto"/>
                <w:sz w:val="21"/>
                <w:szCs w:val="21"/>
                <w:lang w:bidi="ar"/>
              </w:rPr>
              <w:t>7:45-11:45/14:00-17:30</w:t>
            </w:r>
          </w:p>
        </w:tc>
        <w:tc>
          <w:tcPr>
            <w:tcW w:w="3921" w:type="dxa"/>
            <w:tcBorders>
              <w:top w:val="single" w:color="000000" w:sz="4" w:space="0"/>
              <w:left w:val="single" w:color="000000" w:sz="4" w:space="0"/>
              <w:bottom w:val="single" w:color="000000" w:sz="4" w:space="0"/>
              <w:right w:val="single" w:color="000000" w:sz="4" w:space="0"/>
            </w:tcBorders>
            <w:noWrap/>
            <w:vAlign w:val="center"/>
          </w:tcPr>
          <w:p w14:paraId="74446F3D">
            <w:pPr>
              <w:jc w:val="both"/>
              <w:rPr>
                <w:rFonts w:ascii="宋体" w:hAnsi="宋体" w:cs="宋体"/>
                <w:color w:val="auto"/>
                <w:sz w:val="21"/>
                <w:szCs w:val="21"/>
              </w:rPr>
            </w:pPr>
            <w:r>
              <w:rPr>
                <w:rFonts w:hint="eastAsia" w:ascii="宋体" w:hAnsi="宋体" w:cs="宋体"/>
                <w:color w:val="auto"/>
                <w:sz w:val="21"/>
                <w:szCs w:val="21"/>
                <w:lang w:bidi="ar"/>
              </w:rPr>
              <w:t>做好手术间分诊引导；术前术后及避孕指导与宣教；其他的科主任指令性工作。</w:t>
            </w:r>
          </w:p>
        </w:tc>
      </w:tr>
      <w:tr w14:paraId="745AA5BC">
        <w:tblPrEx>
          <w:tblCellMar>
            <w:top w:w="0" w:type="dxa"/>
            <w:left w:w="108" w:type="dxa"/>
            <w:bottom w:w="0" w:type="dxa"/>
            <w:right w:w="108" w:type="dxa"/>
          </w:tblCellMar>
        </w:tblPrEx>
        <w:trPr>
          <w:trHeight w:val="567" w:hRule="atLeast"/>
          <w:jc w:val="center"/>
        </w:trPr>
        <w:tc>
          <w:tcPr>
            <w:tcW w:w="1651" w:type="dxa"/>
            <w:tcBorders>
              <w:top w:val="single" w:color="000000" w:sz="4" w:space="0"/>
              <w:left w:val="single" w:color="000000" w:sz="4" w:space="0"/>
              <w:bottom w:val="single" w:color="000000" w:sz="4" w:space="0"/>
              <w:right w:val="single" w:color="000000" w:sz="4" w:space="0"/>
            </w:tcBorders>
            <w:noWrap w:val="0"/>
            <w:vAlign w:val="center"/>
          </w:tcPr>
          <w:p w14:paraId="08A7251F">
            <w:pPr>
              <w:jc w:val="center"/>
              <w:rPr>
                <w:rFonts w:ascii="宋体" w:hAnsi="宋体" w:cs="宋体"/>
                <w:color w:val="auto"/>
                <w:sz w:val="21"/>
                <w:szCs w:val="21"/>
                <w:lang w:bidi="ar"/>
              </w:rPr>
            </w:pPr>
            <w:r>
              <w:rPr>
                <w:rFonts w:hint="eastAsia" w:ascii="宋体" w:hAnsi="宋体" w:cs="宋体"/>
                <w:color w:val="auto"/>
                <w:sz w:val="21"/>
                <w:szCs w:val="21"/>
                <w:lang w:bidi="ar"/>
              </w:rPr>
              <w:t>体检中心</w:t>
            </w:r>
          </w:p>
          <w:p w14:paraId="77852AC6">
            <w:pPr>
              <w:jc w:val="center"/>
              <w:rPr>
                <w:rFonts w:ascii="宋体" w:hAnsi="宋体" w:cs="宋体"/>
                <w:color w:val="auto"/>
                <w:sz w:val="21"/>
                <w:szCs w:val="21"/>
              </w:rPr>
            </w:pPr>
            <w:r>
              <w:rPr>
                <w:rFonts w:hint="eastAsia" w:ascii="宋体" w:hAnsi="宋体" w:cs="宋体"/>
                <w:color w:val="auto"/>
                <w:sz w:val="21"/>
                <w:szCs w:val="21"/>
                <w:lang w:bidi="ar"/>
              </w:rPr>
              <w:t>（门诊四楼）</w:t>
            </w:r>
          </w:p>
        </w:tc>
        <w:tc>
          <w:tcPr>
            <w:tcW w:w="2768" w:type="dxa"/>
            <w:tcBorders>
              <w:top w:val="single" w:color="000000" w:sz="4" w:space="0"/>
              <w:left w:val="single" w:color="000000" w:sz="4" w:space="0"/>
              <w:bottom w:val="single" w:color="000000" w:sz="4" w:space="0"/>
              <w:right w:val="single" w:color="000000" w:sz="4" w:space="0"/>
            </w:tcBorders>
            <w:noWrap/>
            <w:vAlign w:val="center"/>
          </w:tcPr>
          <w:p w14:paraId="4BDF1A51">
            <w:pPr>
              <w:jc w:val="both"/>
              <w:rPr>
                <w:rFonts w:ascii="宋体" w:hAnsi="宋体" w:cs="宋体"/>
                <w:color w:val="auto"/>
                <w:sz w:val="21"/>
                <w:szCs w:val="21"/>
              </w:rPr>
            </w:pPr>
            <w:r>
              <w:rPr>
                <w:rFonts w:hint="eastAsia" w:ascii="宋体" w:hAnsi="宋体" w:cs="宋体"/>
                <w:color w:val="auto"/>
                <w:sz w:val="21"/>
                <w:szCs w:val="21"/>
                <w:lang w:bidi="ar"/>
              </w:rPr>
              <w:t>7:45-11:45/14:00-17:30</w:t>
            </w:r>
          </w:p>
        </w:tc>
        <w:tc>
          <w:tcPr>
            <w:tcW w:w="3921" w:type="dxa"/>
            <w:tcBorders>
              <w:top w:val="single" w:color="000000" w:sz="4" w:space="0"/>
              <w:left w:val="single" w:color="000000" w:sz="4" w:space="0"/>
              <w:bottom w:val="single" w:color="000000" w:sz="4" w:space="0"/>
              <w:right w:val="single" w:color="000000" w:sz="4" w:space="0"/>
            </w:tcBorders>
            <w:noWrap/>
            <w:vAlign w:val="center"/>
          </w:tcPr>
          <w:p w14:paraId="3DF283D0">
            <w:pPr>
              <w:jc w:val="both"/>
              <w:rPr>
                <w:rFonts w:ascii="宋体" w:hAnsi="宋体" w:cs="宋体"/>
                <w:color w:val="auto"/>
                <w:sz w:val="21"/>
                <w:szCs w:val="21"/>
              </w:rPr>
            </w:pPr>
            <w:r>
              <w:rPr>
                <w:rFonts w:hint="eastAsia" w:ascii="宋体" w:hAnsi="宋体" w:cs="宋体"/>
                <w:color w:val="auto"/>
                <w:sz w:val="21"/>
                <w:szCs w:val="21"/>
                <w:lang w:bidi="ar"/>
              </w:rPr>
              <w:t>负责体检中心咨询与预约登记；服务引导及秩序维持；负责办理及发放体检证；负责体检报告单发放等；服从科室临时性工作安排。</w:t>
            </w:r>
          </w:p>
        </w:tc>
      </w:tr>
      <w:tr w14:paraId="2FF81DB1">
        <w:tblPrEx>
          <w:tblCellMar>
            <w:top w:w="0" w:type="dxa"/>
            <w:left w:w="108" w:type="dxa"/>
            <w:bottom w:w="0" w:type="dxa"/>
            <w:right w:w="108" w:type="dxa"/>
          </w:tblCellMar>
        </w:tblPrEx>
        <w:trPr>
          <w:trHeight w:val="567" w:hRule="atLeast"/>
          <w:jc w:val="center"/>
        </w:trPr>
        <w:tc>
          <w:tcPr>
            <w:tcW w:w="1651" w:type="dxa"/>
            <w:tcBorders>
              <w:top w:val="single" w:color="000000" w:sz="4" w:space="0"/>
              <w:left w:val="single" w:color="000000" w:sz="4" w:space="0"/>
              <w:bottom w:val="single" w:color="000000" w:sz="4" w:space="0"/>
              <w:right w:val="single" w:color="000000" w:sz="4" w:space="0"/>
            </w:tcBorders>
            <w:noWrap w:val="0"/>
            <w:vAlign w:val="center"/>
          </w:tcPr>
          <w:p w14:paraId="274358EF">
            <w:pPr>
              <w:jc w:val="center"/>
              <w:rPr>
                <w:rFonts w:ascii="宋体" w:hAnsi="宋体" w:cs="宋体"/>
                <w:color w:val="auto"/>
                <w:sz w:val="21"/>
                <w:szCs w:val="21"/>
              </w:rPr>
            </w:pPr>
            <w:r>
              <w:rPr>
                <w:rFonts w:hint="eastAsia" w:ascii="宋体" w:hAnsi="宋体" w:cs="宋体"/>
                <w:color w:val="auto"/>
                <w:sz w:val="21"/>
                <w:szCs w:val="21"/>
                <w:lang w:bidi="ar"/>
              </w:rPr>
              <w:t>收费处</w:t>
            </w:r>
          </w:p>
        </w:tc>
        <w:tc>
          <w:tcPr>
            <w:tcW w:w="2768" w:type="dxa"/>
            <w:tcBorders>
              <w:top w:val="single" w:color="000000" w:sz="4" w:space="0"/>
              <w:left w:val="single" w:color="000000" w:sz="4" w:space="0"/>
              <w:bottom w:val="single" w:color="000000" w:sz="4" w:space="0"/>
              <w:right w:val="single" w:color="000000" w:sz="4" w:space="0"/>
            </w:tcBorders>
            <w:noWrap/>
            <w:vAlign w:val="center"/>
          </w:tcPr>
          <w:p w14:paraId="66B042BD">
            <w:pPr>
              <w:jc w:val="both"/>
              <w:rPr>
                <w:rFonts w:ascii="宋体" w:hAnsi="宋体" w:cs="宋体"/>
                <w:color w:val="auto"/>
                <w:sz w:val="21"/>
                <w:szCs w:val="21"/>
              </w:rPr>
            </w:pPr>
            <w:r>
              <w:rPr>
                <w:rFonts w:hint="eastAsia" w:ascii="宋体" w:hAnsi="宋体" w:cs="宋体"/>
                <w:color w:val="auto"/>
                <w:sz w:val="21"/>
                <w:szCs w:val="21"/>
                <w:lang w:bidi="ar"/>
              </w:rPr>
              <w:t>7:45-11:45/14:00-17:30</w:t>
            </w:r>
          </w:p>
        </w:tc>
        <w:tc>
          <w:tcPr>
            <w:tcW w:w="3921" w:type="dxa"/>
            <w:tcBorders>
              <w:top w:val="single" w:color="000000" w:sz="4" w:space="0"/>
              <w:left w:val="single" w:color="000000" w:sz="4" w:space="0"/>
              <w:bottom w:val="single" w:color="000000" w:sz="4" w:space="0"/>
              <w:right w:val="single" w:color="000000" w:sz="4" w:space="0"/>
            </w:tcBorders>
            <w:noWrap/>
            <w:vAlign w:val="center"/>
          </w:tcPr>
          <w:p w14:paraId="684A933E">
            <w:pPr>
              <w:jc w:val="both"/>
              <w:rPr>
                <w:rFonts w:ascii="宋体" w:hAnsi="宋体" w:cs="宋体"/>
                <w:color w:val="auto"/>
                <w:sz w:val="21"/>
                <w:szCs w:val="21"/>
              </w:rPr>
            </w:pPr>
            <w:r>
              <w:rPr>
                <w:rFonts w:hint="eastAsia" w:ascii="宋体" w:hAnsi="宋体" w:cs="宋体"/>
                <w:color w:val="auto"/>
                <w:sz w:val="21"/>
                <w:szCs w:val="21"/>
                <w:lang w:bidi="ar"/>
              </w:rPr>
              <w:t>门诊收费、入出院办理结算及相关收费服务</w:t>
            </w:r>
          </w:p>
        </w:tc>
      </w:tr>
      <w:tr w14:paraId="79E5EE6B">
        <w:tblPrEx>
          <w:tblCellMar>
            <w:top w:w="0" w:type="dxa"/>
            <w:left w:w="108" w:type="dxa"/>
            <w:bottom w:w="0" w:type="dxa"/>
            <w:right w:w="108" w:type="dxa"/>
          </w:tblCellMar>
        </w:tblPrEx>
        <w:trPr>
          <w:trHeight w:val="567" w:hRule="atLeast"/>
          <w:jc w:val="center"/>
        </w:trPr>
        <w:tc>
          <w:tcPr>
            <w:tcW w:w="1651" w:type="dxa"/>
            <w:tcBorders>
              <w:top w:val="single" w:color="000000" w:sz="4" w:space="0"/>
              <w:left w:val="single" w:color="000000" w:sz="4" w:space="0"/>
              <w:bottom w:val="single" w:color="000000" w:sz="4" w:space="0"/>
              <w:right w:val="single" w:color="000000" w:sz="4" w:space="0"/>
            </w:tcBorders>
            <w:noWrap w:val="0"/>
            <w:vAlign w:val="center"/>
          </w:tcPr>
          <w:p w14:paraId="0ABC1690">
            <w:pPr>
              <w:jc w:val="center"/>
              <w:rPr>
                <w:rFonts w:ascii="宋体" w:hAnsi="宋体" w:cs="宋体"/>
                <w:color w:val="auto"/>
                <w:sz w:val="21"/>
                <w:szCs w:val="21"/>
              </w:rPr>
            </w:pPr>
            <w:r>
              <w:rPr>
                <w:rFonts w:hint="eastAsia" w:ascii="宋体" w:hAnsi="宋体" w:cs="宋体"/>
                <w:color w:val="auto"/>
                <w:sz w:val="21"/>
                <w:szCs w:val="21"/>
                <w:lang w:bidi="ar"/>
              </w:rPr>
              <w:t>消毒供应室</w:t>
            </w:r>
          </w:p>
        </w:tc>
        <w:tc>
          <w:tcPr>
            <w:tcW w:w="2768" w:type="dxa"/>
            <w:tcBorders>
              <w:top w:val="single" w:color="000000" w:sz="4" w:space="0"/>
              <w:left w:val="single" w:color="000000" w:sz="4" w:space="0"/>
              <w:bottom w:val="single" w:color="000000" w:sz="4" w:space="0"/>
              <w:right w:val="single" w:color="000000" w:sz="4" w:space="0"/>
            </w:tcBorders>
            <w:noWrap/>
            <w:vAlign w:val="center"/>
          </w:tcPr>
          <w:p w14:paraId="01243C2D">
            <w:pPr>
              <w:jc w:val="both"/>
              <w:rPr>
                <w:rFonts w:ascii="宋体" w:hAnsi="宋体" w:cs="宋体"/>
                <w:color w:val="auto"/>
                <w:sz w:val="21"/>
                <w:szCs w:val="21"/>
              </w:rPr>
            </w:pPr>
            <w:r>
              <w:rPr>
                <w:rFonts w:hint="eastAsia" w:ascii="宋体" w:hAnsi="宋体" w:cs="宋体"/>
                <w:color w:val="auto"/>
                <w:sz w:val="21"/>
                <w:szCs w:val="21"/>
                <w:lang w:bidi="ar"/>
              </w:rPr>
              <w:t>7:45-11:45/14:00-17:30</w:t>
            </w:r>
          </w:p>
        </w:tc>
        <w:tc>
          <w:tcPr>
            <w:tcW w:w="3921" w:type="dxa"/>
            <w:tcBorders>
              <w:top w:val="single" w:color="000000" w:sz="4" w:space="0"/>
              <w:left w:val="single" w:color="000000" w:sz="4" w:space="0"/>
              <w:bottom w:val="single" w:color="000000" w:sz="4" w:space="0"/>
              <w:right w:val="single" w:color="000000" w:sz="4" w:space="0"/>
            </w:tcBorders>
            <w:noWrap/>
            <w:vAlign w:val="center"/>
          </w:tcPr>
          <w:p w14:paraId="16602E5A">
            <w:pPr>
              <w:jc w:val="both"/>
              <w:rPr>
                <w:rFonts w:ascii="宋体" w:hAnsi="宋体" w:cs="宋体"/>
                <w:color w:val="auto"/>
                <w:sz w:val="21"/>
                <w:szCs w:val="21"/>
              </w:rPr>
            </w:pPr>
            <w:r>
              <w:rPr>
                <w:rFonts w:hint="eastAsia" w:ascii="宋体" w:hAnsi="宋体" w:cs="宋体"/>
                <w:color w:val="auto"/>
                <w:sz w:val="21"/>
                <w:szCs w:val="21"/>
                <w:lang w:bidi="ar"/>
              </w:rPr>
              <w:t>进行可重复使用物品的回收、清洗、包装、发放；科室部分设备设施的保养清洁维护。</w:t>
            </w:r>
          </w:p>
        </w:tc>
      </w:tr>
      <w:tr w14:paraId="66798332">
        <w:tblPrEx>
          <w:tblCellMar>
            <w:top w:w="0" w:type="dxa"/>
            <w:left w:w="108" w:type="dxa"/>
            <w:bottom w:w="0" w:type="dxa"/>
            <w:right w:w="108" w:type="dxa"/>
          </w:tblCellMar>
        </w:tblPrEx>
        <w:trPr>
          <w:trHeight w:val="567" w:hRule="atLeast"/>
          <w:jc w:val="center"/>
        </w:trPr>
        <w:tc>
          <w:tcPr>
            <w:tcW w:w="1651" w:type="dxa"/>
            <w:tcBorders>
              <w:top w:val="single" w:color="000000" w:sz="4" w:space="0"/>
              <w:left w:val="single" w:color="000000" w:sz="4" w:space="0"/>
              <w:bottom w:val="single" w:color="000000" w:sz="4" w:space="0"/>
              <w:right w:val="single" w:color="000000" w:sz="4" w:space="0"/>
            </w:tcBorders>
            <w:noWrap w:val="0"/>
            <w:vAlign w:val="center"/>
          </w:tcPr>
          <w:p w14:paraId="6B491ADC">
            <w:pPr>
              <w:jc w:val="center"/>
              <w:rPr>
                <w:rFonts w:ascii="宋体" w:hAnsi="宋体" w:cs="宋体"/>
                <w:color w:val="auto"/>
                <w:sz w:val="21"/>
                <w:szCs w:val="21"/>
              </w:rPr>
            </w:pPr>
            <w:r>
              <w:rPr>
                <w:rFonts w:hint="eastAsia" w:ascii="宋体" w:hAnsi="宋体" w:cs="宋体"/>
                <w:color w:val="auto"/>
                <w:sz w:val="21"/>
                <w:szCs w:val="21"/>
                <w:lang w:bidi="ar"/>
              </w:rPr>
              <w:t>新生儿辅医</w:t>
            </w:r>
          </w:p>
        </w:tc>
        <w:tc>
          <w:tcPr>
            <w:tcW w:w="2768" w:type="dxa"/>
            <w:tcBorders>
              <w:top w:val="single" w:color="000000" w:sz="4" w:space="0"/>
              <w:left w:val="single" w:color="000000" w:sz="4" w:space="0"/>
              <w:bottom w:val="single" w:color="000000" w:sz="4" w:space="0"/>
              <w:right w:val="single" w:color="000000" w:sz="4" w:space="0"/>
            </w:tcBorders>
            <w:noWrap/>
            <w:vAlign w:val="center"/>
          </w:tcPr>
          <w:p w14:paraId="665AF127">
            <w:pPr>
              <w:jc w:val="both"/>
              <w:rPr>
                <w:rFonts w:ascii="宋体" w:hAnsi="宋体" w:cs="宋体"/>
                <w:color w:val="auto"/>
                <w:sz w:val="21"/>
                <w:szCs w:val="21"/>
              </w:rPr>
            </w:pPr>
            <w:r>
              <w:rPr>
                <w:rFonts w:hint="eastAsia" w:ascii="宋体" w:hAnsi="宋体" w:cs="宋体"/>
                <w:color w:val="auto"/>
                <w:sz w:val="21"/>
                <w:szCs w:val="21"/>
                <w:lang w:bidi="ar"/>
              </w:rPr>
              <w:t>7:45-11:45/14:00-17:30</w:t>
            </w:r>
          </w:p>
        </w:tc>
        <w:tc>
          <w:tcPr>
            <w:tcW w:w="3921" w:type="dxa"/>
            <w:tcBorders>
              <w:top w:val="single" w:color="000000" w:sz="4" w:space="0"/>
              <w:left w:val="single" w:color="000000" w:sz="4" w:space="0"/>
              <w:bottom w:val="single" w:color="000000" w:sz="4" w:space="0"/>
              <w:right w:val="single" w:color="000000" w:sz="4" w:space="0"/>
            </w:tcBorders>
            <w:noWrap/>
            <w:vAlign w:val="center"/>
          </w:tcPr>
          <w:p w14:paraId="17BB7BA9">
            <w:pPr>
              <w:jc w:val="both"/>
              <w:rPr>
                <w:rFonts w:ascii="宋体" w:hAnsi="宋体" w:cs="宋体"/>
                <w:b/>
                <w:bCs/>
                <w:color w:val="auto"/>
                <w:sz w:val="21"/>
                <w:szCs w:val="21"/>
              </w:rPr>
            </w:pPr>
            <w:r>
              <w:rPr>
                <w:rFonts w:hint="eastAsia" w:ascii="宋体" w:hAnsi="宋体" w:cs="宋体"/>
                <w:color w:val="auto"/>
                <w:sz w:val="21"/>
                <w:szCs w:val="21"/>
                <w:lang w:bidi="ar"/>
              </w:rPr>
              <w:t>新生儿科：负责吧台接听咨询电话；探视间的物品整理；播放新生儿科普录像；接待患儿家长，指导取号，维持探视秩序；接收外来母乳；协助办理出入院手续；负责补充科室病历。</w:t>
            </w:r>
          </w:p>
        </w:tc>
      </w:tr>
      <w:tr w14:paraId="53F7B0E7">
        <w:tblPrEx>
          <w:tblCellMar>
            <w:top w:w="0" w:type="dxa"/>
            <w:left w:w="108" w:type="dxa"/>
            <w:bottom w:w="0" w:type="dxa"/>
            <w:right w:w="108" w:type="dxa"/>
          </w:tblCellMar>
        </w:tblPrEx>
        <w:trPr>
          <w:trHeight w:val="567" w:hRule="atLeast"/>
          <w:jc w:val="center"/>
        </w:trPr>
        <w:tc>
          <w:tcPr>
            <w:tcW w:w="1651" w:type="dxa"/>
            <w:tcBorders>
              <w:top w:val="single" w:color="000000" w:sz="4" w:space="0"/>
              <w:left w:val="single" w:color="000000" w:sz="4" w:space="0"/>
              <w:bottom w:val="single" w:color="000000" w:sz="4" w:space="0"/>
              <w:right w:val="single" w:color="000000" w:sz="4" w:space="0"/>
            </w:tcBorders>
            <w:noWrap w:val="0"/>
            <w:vAlign w:val="center"/>
          </w:tcPr>
          <w:p w14:paraId="67491996">
            <w:pPr>
              <w:jc w:val="center"/>
              <w:rPr>
                <w:rFonts w:ascii="宋体" w:hAnsi="宋体" w:cs="宋体"/>
                <w:color w:val="auto"/>
                <w:sz w:val="21"/>
                <w:szCs w:val="21"/>
              </w:rPr>
            </w:pPr>
            <w:r>
              <w:rPr>
                <w:rFonts w:hint="eastAsia" w:ascii="宋体" w:hAnsi="宋体" w:cs="宋体"/>
                <w:color w:val="auto"/>
                <w:sz w:val="21"/>
                <w:szCs w:val="21"/>
                <w:lang w:bidi="ar"/>
              </w:rPr>
              <w:t>儿保中心</w:t>
            </w:r>
          </w:p>
        </w:tc>
        <w:tc>
          <w:tcPr>
            <w:tcW w:w="2768" w:type="dxa"/>
            <w:tcBorders>
              <w:top w:val="single" w:color="000000" w:sz="4" w:space="0"/>
              <w:left w:val="single" w:color="000000" w:sz="4" w:space="0"/>
              <w:bottom w:val="single" w:color="000000" w:sz="4" w:space="0"/>
              <w:right w:val="single" w:color="000000" w:sz="4" w:space="0"/>
            </w:tcBorders>
            <w:noWrap/>
            <w:vAlign w:val="center"/>
          </w:tcPr>
          <w:p w14:paraId="180F3E46">
            <w:pPr>
              <w:jc w:val="both"/>
              <w:rPr>
                <w:rFonts w:ascii="宋体" w:hAnsi="宋体" w:cs="宋体"/>
                <w:color w:val="auto"/>
                <w:sz w:val="21"/>
                <w:szCs w:val="21"/>
              </w:rPr>
            </w:pPr>
            <w:r>
              <w:rPr>
                <w:rFonts w:hint="eastAsia" w:ascii="宋体" w:hAnsi="宋体" w:cs="宋体"/>
                <w:color w:val="auto"/>
                <w:sz w:val="21"/>
                <w:szCs w:val="21"/>
                <w:lang w:bidi="ar"/>
              </w:rPr>
              <w:t>7:45-11:45/14:00-17:30</w:t>
            </w:r>
          </w:p>
        </w:tc>
        <w:tc>
          <w:tcPr>
            <w:tcW w:w="3921" w:type="dxa"/>
            <w:tcBorders>
              <w:top w:val="single" w:color="000000" w:sz="4" w:space="0"/>
              <w:left w:val="single" w:color="000000" w:sz="4" w:space="0"/>
              <w:bottom w:val="single" w:color="000000" w:sz="4" w:space="0"/>
              <w:right w:val="single" w:color="000000" w:sz="4" w:space="0"/>
            </w:tcBorders>
            <w:noWrap/>
            <w:vAlign w:val="center"/>
          </w:tcPr>
          <w:p w14:paraId="2202A201">
            <w:pPr>
              <w:jc w:val="both"/>
              <w:rPr>
                <w:rFonts w:ascii="宋体" w:hAnsi="宋体" w:cs="宋体"/>
                <w:color w:val="auto"/>
                <w:sz w:val="21"/>
                <w:szCs w:val="21"/>
              </w:rPr>
            </w:pPr>
            <w:r>
              <w:rPr>
                <w:rFonts w:hint="eastAsia" w:ascii="宋体" w:hAnsi="宋体" w:cs="宋体"/>
                <w:color w:val="auto"/>
                <w:sz w:val="21"/>
                <w:szCs w:val="21"/>
                <w:lang w:bidi="ar"/>
              </w:rPr>
              <w:t>负责科室内系统信息登记，在测量室及各诊室协助医生预约登记及信息录入等；服从科室临时性工作安排。</w:t>
            </w:r>
          </w:p>
        </w:tc>
      </w:tr>
      <w:tr w14:paraId="62BF634E">
        <w:tblPrEx>
          <w:tblCellMar>
            <w:top w:w="0" w:type="dxa"/>
            <w:left w:w="108" w:type="dxa"/>
            <w:bottom w:w="0" w:type="dxa"/>
            <w:right w:w="108" w:type="dxa"/>
          </w:tblCellMar>
        </w:tblPrEx>
        <w:trPr>
          <w:trHeight w:val="567" w:hRule="atLeast"/>
          <w:jc w:val="center"/>
        </w:trPr>
        <w:tc>
          <w:tcPr>
            <w:tcW w:w="1651" w:type="dxa"/>
            <w:tcBorders>
              <w:top w:val="single" w:color="000000" w:sz="4" w:space="0"/>
              <w:left w:val="single" w:color="000000" w:sz="4" w:space="0"/>
              <w:bottom w:val="single" w:color="000000" w:sz="4" w:space="0"/>
              <w:right w:val="single" w:color="000000" w:sz="4" w:space="0"/>
            </w:tcBorders>
            <w:noWrap w:val="0"/>
            <w:vAlign w:val="center"/>
          </w:tcPr>
          <w:p w14:paraId="6B981BFB">
            <w:pPr>
              <w:jc w:val="center"/>
              <w:rPr>
                <w:rFonts w:ascii="宋体" w:hAnsi="宋体" w:cs="宋体"/>
                <w:color w:val="auto"/>
                <w:sz w:val="21"/>
                <w:szCs w:val="21"/>
              </w:rPr>
            </w:pPr>
            <w:r>
              <w:rPr>
                <w:rFonts w:hint="eastAsia" w:ascii="宋体" w:hAnsi="宋体" w:cs="宋体"/>
                <w:color w:val="auto"/>
                <w:sz w:val="21"/>
                <w:szCs w:val="21"/>
                <w:lang w:bidi="ar"/>
              </w:rPr>
              <w:t>总务水电工</w:t>
            </w:r>
          </w:p>
        </w:tc>
        <w:tc>
          <w:tcPr>
            <w:tcW w:w="2768" w:type="dxa"/>
            <w:tcBorders>
              <w:top w:val="single" w:color="000000" w:sz="4" w:space="0"/>
              <w:left w:val="single" w:color="000000" w:sz="4" w:space="0"/>
              <w:bottom w:val="single" w:color="000000" w:sz="4" w:space="0"/>
              <w:right w:val="single" w:color="000000" w:sz="4" w:space="0"/>
            </w:tcBorders>
            <w:noWrap/>
            <w:vAlign w:val="center"/>
          </w:tcPr>
          <w:p w14:paraId="7006FD1A">
            <w:pPr>
              <w:jc w:val="both"/>
              <w:rPr>
                <w:rFonts w:ascii="宋体" w:hAnsi="宋体" w:cs="宋体"/>
                <w:color w:val="auto"/>
                <w:sz w:val="21"/>
                <w:szCs w:val="21"/>
              </w:rPr>
            </w:pPr>
            <w:r>
              <w:rPr>
                <w:rFonts w:hint="eastAsia" w:ascii="宋体" w:hAnsi="宋体" w:cs="宋体"/>
                <w:color w:val="auto"/>
                <w:sz w:val="21"/>
                <w:szCs w:val="21"/>
                <w:lang w:bidi="ar"/>
              </w:rPr>
              <w:t>7:45-11:45/14:00-17:30</w:t>
            </w:r>
          </w:p>
        </w:tc>
        <w:tc>
          <w:tcPr>
            <w:tcW w:w="3921" w:type="dxa"/>
            <w:tcBorders>
              <w:top w:val="single" w:color="000000" w:sz="4" w:space="0"/>
              <w:left w:val="single" w:color="000000" w:sz="4" w:space="0"/>
              <w:bottom w:val="single" w:color="000000" w:sz="4" w:space="0"/>
              <w:right w:val="single" w:color="000000" w:sz="4" w:space="0"/>
            </w:tcBorders>
            <w:noWrap/>
            <w:vAlign w:val="center"/>
          </w:tcPr>
          <w:p w14:paraId="549E7DA8">
            <w:pPr>
              <w:jc w:val="both"/>
              <w:rPr>
                <w:rFonts w:ascii="宋体" w:hAnsi="宋体" w:cs="宋体"/>
                <w:color w:val="auto"/>
                <w:sz w:val="21"/>
                <w:szCs w:val="21"/>
              </w:rPr>
            </w:pPr>
            <w:r>
              <w:rPr>
                <w:rFonts w:hint="eastAsia" w:ascii="宋体" w:hAnsi="宋体" w:cs="宋体"/>
                <w:color w:val="auto"/>
                <w:sz w:val="21"/>
                <w:szCs w:val="21"/>
                <w:lang w:bidi="ar"/>
              </w:rPr>
              <w:t>负责总务科安排的工作；</w:t>
            </w:r>
          </w:p>
        </w:tc>
      </w:tr>
      <w:tr w14:paraId="70435E3F">
        <w:tblPrEx>
          <w:tblCellMar>
            <w:top w:w="0" w:type="dxa"/>
            <w:left w:w="108" w:type="dxa"/>
            <w:bottom w:w="0" w:type="dxa"/>
            <w:right w:w="108" w:type="dxa"/>
          </w:tblCellMar>
        </w:tblPrEx>
        <w:trPr>
          <w:trHeight w:val="567" w:hRule="atLeast"/>
          <w:jc w:val="center"/>
        </w:trPr>
        <w:tc>
          <w:tcPr>
            <w:tcW w:w="1651" w:type="dxa"/>
            <w:tcBorders>
              <w:top w:val="single" w:color="000000" w:sz="8" w:space="0"/>
              <w:left w:val="single" w:color="000000" w:sz="4" w:space="0"/>
              <w:bottom w:val="single" w:color="000000" w:sz="4" w:space="0"/>
              <w:right w:val="single" w:color="000000" w:sz="4" w:space="0"/>
            </w:tcBorders>
            <w:noWrap w:val="0"/>
            <w:vAlign w:val="center"/>
          </w:tcPr>
          <w:p w14:paraId="3806FD22">
            <w:pPr>
              <w:jc w:val="center"/>
              <w:rPr>
                <w:rFonts w:ascii="宋体" w:hAnsi="宋体" w:cs="宋体"/>
                <w:color w:val="auto"/>
                <w:sz w:val="21"/>
                <w:szCs w:val="21"/>
              </w:rPr>
            </w:pPr>
            <w:r>
              <w:rPr>
                <w:rFonts w:hint="eastAsia" w:ascii="宋体" w:hAnsi="宋体" w:cs="宋体"/>
                <w:color w:val="auto"/>
                <w:sz w:val="21"/>
                <w:szCs w:val="21"/>
                <w:lang w:bidi="ar"/>
              </w:rPr>
              <w:t>检验科</w:t>
            </w:r>
          </w:p>
        </w:tc>
        <w:tc>
          <w:tcPr>
            <w:tcW w:w="2768" w:type="dxa"/>
            <w:tcBorders>
              <w:top w:val="single" w:color="000000" w:sz="8" w:space="0"/>
              <w:left w:val="single" w:color="000000" w:sz="4" w:space="0"/>
              <w:bottom w:val="single" w:color="000000" w:sz="4" w:space="0"/>
              <w:right w:val="single" w:color="000000" w:sz="4" w:space="0"/>
            </w:tcBorders>
            <w:noWrap/>
            <w:vAlign w:val="center"/>
          </w:tcPr>
          <w:p w14:paraId="2C245C51">
            <w:pPr>
              <w:jc w:val="both"/>
              <w:rPr>
                <w:rFonts w:ascii="宋体" w:hAnsi="宋体" w:cs="宋体"/>
                <w:color w:val="auto"/>
                <w:sz w:val="21"/>
                <w:szCs w:val="21"/>
              </w:rPr>
            </w:pPr>
            <w:r>
              <w:rPr>
                <w:rFonts w:hint="eastAsia" w:ascii="宋体" w:hAnsi="宋体" w:cs="宋体"/>
                <w:color w:val="auto"/>
                <w:sz w:val="21"/>
                <w:szCs w:val="21"/>
                <w:lang w:bidi="ar"/>
              </w:rPr>
              <w:t>7:45-11:45/14:00-17:30</w:t>
            </w:r>
          </w:p>
        </w:tc>
        <w:tc>
          <w:tcPr>
            <w:tcW w:w="3921" w:type="dxa"/>
            <w:tcBorders>
              <w:top w:val="single" w:color="000000" w:sz="8" w:space="0"/>
              <w:left w:val="single" w:color="000000" w:sz="4" w:space="0"/>
              <w:bottom w:val="single" w:color="000000" w:sz="4" w:space="0"/>
              <w:right w:val="single" w:color="000000" w:sz="4" w:space="0"/>
            </w:tcBorders>
            <w:noWrap/>
            <w:vAlign w:val="center"/>
          </w:tcPr>
          <w:p w14:paraId="4810BB38">
            <w:pPr>
              <w:rPr>
                <w:rFonts w:ascii="宋体" w:hAnsi="宋体" w:cs="宋体"/>
                <w:color w:val="auto"/>
                <w:sz w:val="21"/>
                <w:szCs w:val="21"/>
              </w:rPr>
            </w:pPr>
            <w:r>
              <w:rPr>
                <w:rFonts w:hint="eastAsia" w:ascii="宋体" w:hAnsi="宋体" w:cs="宋体"/>
                <w:color w:val="auto"/>
                <w:sz w:val="21"/>
                <w:szCs w:val="21"/>
                <w:lang w:bidi="ar"/>
              </w:rPr>
              <w:t>负责检验科安排的工作；</w:t>
            </w:r>
          </w:p>
        </w:tc>
      </w:tr>
      <w:tr w14:paraId="5BE5C51E">
        <w:tblPrEx>
          <w:tblCellMar>
            <w:top w:w="0" w:type="dxa"/>
            <w:left w:w="108" w:type="dxa"/>
            <w:bottom w:w="0" w:type="dxa"/>
            <w:right w:w="108" w:type="dxa"/>
          </w:tblCellMar>
        </w:tblPrEx>
        <w:trPr>
          <w:trHeight w:val="567" w:hRule="atLeast"/>
          <w:jc w:val="center"/>
        </w:trPr>
        <w:tc>
          <w:tcPr>
            <w:tcW w:w="1651" w:type="dxa"/>
            <w:tcBorders>
              <w:top w:val="single" w:color="000000" w:sz="4" w:space="0"/>
              <w:left w:val="single" w:color="000000" w:sz="4" w:space="0"/>
              <w:bottom w:val="single" w:color="000000" w:sz="4" w:space="0"/>
              <w:right w:val="single" w:color="000000" w:sz="4" w:space="0"/>
            </w:tcBorders>
            <w:noWrap w:val="0"/>
            <w:vAlign w:val="center"/>
          </w:tcPr>
          <w:p w14:paraId="2FE935FE">
            <w:pPr>
              <w:jc w:val="center"/>
              <w:rPr>
                <w:rFonts w:ascii="宋体" w:hAnsi="宋体" w:cs="宋体"/>
                <w:color w:val="auto"/>
                <w:sz w:val="21"/>
                <w:szCs w:val="21"/>
              </w:rPr>
            </w:pPr>
            <w:r>
              <w:rPr>
                <w:rFonts w:hint="eastAsia" w:ascii="宋体" w:hAnsi="宋体" w:cs="宋体"/>
                <w:color w:val="auto"/>
                <w:sz w:val="21"/>
                <w:szCs w:val="21"/>
                <w:lang w:bidi="ar"/>
              </w:rPr>
              <w:t>收费处</w:t>
            </w:r>
          </w:p>
        </w:tc>
        <w:tc>
          <w:tcPr>
            <w:tcW w:w="2768" w:type="dxa"/>
            <w:tcBorders>
              <w:top w:val="single" w:color="000000" w:sz="4" w:space="0"/>
              <w:left w:val="single" w:color="000000" w:sz="4" w:space="0"/>
              <w:bottom w:val="single" w:color="000000" w:sz="4" w:space="0"/>
              <w:right w:val="single" w:color="000000" w:sz="4" w:space="0"/>
            </w:tcBorders>
            <w:noWrap/>
            <w:vAlign w:val="center"/>
          </w:tcPr>
          <w:p w14:paraId="4F8A1978">
            <w:pPr>
              <w:jc w:val="both"/>
              <w:rPr>
                <w:rFonts w:ascii="宋体" w:hAnsi="宋体" w:cs="宋体"/>
                <w:color w:val="auto"/>
                <w:sz w:val="21"/>
                <w:szCs w:val="21"/>
              </w:rPr>
            </w:pPr>
            <w:r>
              <w:rPr>
                <w:rFonts w:hint="eastAsia" w:ascii="宋体" w:hAnsi="宋体" w:cs="宋体"/>
                <w:color w:val="auto"/>
                <w:sz w:val="21"/>
                <w:szCs w:val="21"/>
                <w:lang w:bidi="ar"/>
              </w:rPr>
              <w:t>7:45-11:45/14:00-17:30</w:t>
            </w:r>
          </w:p>
        </w:tc>
        <w:tc>
          <w:tcPr>
            <w:tcW w:w="3921" w:type="dxa"/>
            <w:tcBorders>
              <w:top w:val="single" w:color="000000" w:sz="4" w:space="0"/>
              <w:left w:val="single" w:color="000000" w:sz="4" w:space="0"/>
              <w:bottom w:val="single" w:color="000000" w:sz="4" w:space="0"/>
              <w:right w:val="single" w:color="000000" w:sz="4" w:space="0"/>
            </w:tcBorders>
            <w:noWrap/>
            <w:vAlign w:val="center"/>
          </w:tcPr>
          <w:p w14:paraId="5C18BB84">
            <w:pPr>
              <w:jc w:val="both"/>
              <w:rPr>
                <w:rFonts w:ascii="宋体" w:hAnsi="宋体" w:cs="宋体"/>
                <w:color w:val="auto"/>
                <w:sz w:val="21"/>
                <w:szCs w:val="21"/>
              </w:rPr>
            </w:pPr>
            <w:r>
              <w:rPr>
                <w:rFonts w:hint="eastAsia" w:ascii="宋体" w:hAnsi="宋体" w:cs="宋体"/>
                <w:color w:val="auto"/>
                <w:sz w:val="21"/>
                <w:szCs w:val="21"/>
                <w:lang w:bidi="ar"/>
              </w:rPr>
              <w:t>科室安排的指令性工作。</w:t>
            </w:r>
          </w:p>
        </w:tc>
      </w:tr>
    </w:tbl>
    <w:p w14:paraId="247550E9">
      <w:pPr>
        <w:rPr>
          <w:rFonts w:ascii="宋体" w:hAnsi="宋体" w:cs="宋体"/>
          <w:color w:val="auto"/>
          <w:sz w:val="21"/>
          <w:szCs w:val="21"/>
        </w:rPr>
      </w:pPr>
    </w:p>
    <w:p w14:paraId="7D93281D">
      <w:pPr>
        <w:spacing w:line="360" w:lineRule="auto"/>
        <w:jc w:val="both"/>
        <w:rPr>
          <w:rFonts w:ascii="宋体" w:hAnsi="宋体" w:cs="宋体"/>
          <w:b/>
          <w:bCs/>
          <w:color w:val="auto"/>
          <w:sz w:val="21"/>
          <w:szCs w:val="21"/>
        </w:rPr>
      </w:pPr>
      <w:r>
        <w:rPr>
          <w:rFonts w:hint="eastAsia" w:ascii="宋体" w:hAnsi="宋体" w:cs="宋体"/>
          <w:b/>
          <w:bCs/>
          <w:color w:val="auto"/>
          <w:sz w:val="21"/>
          <w:szCs w:val="21"/>
        </w:rPr>
        <w:t>（</w:t>
      </w:r>
      <w:r>
        <w:rPr>
          <w:rFonts w:hint="eastAsia" w:ascii="宋体" w:hAnsi="宋体" w:cs="宋体"/>
          <w:b/>
          <w:bCs/>
          <w:color w:val="auto"/>
          <w:sz w:val="21"/>
          <w:szCs w:val="21"/>
          <w:lang w:eastAsia="zh-CN"/>
        </w:rPr>
        <w:t>六</w:t>
      </w:r>
      <w:r>
        <w:rPr>
          <w:rFonts w:hint="eastAsia" w:ascii="宋体" w:hAnsi="宋体" w:cs="宋体"/>
          <w:b/>
          <w:bCs/>
          <w:color w:val="auto"/>
          <w:sz w:val="21"/>
          <w:szCs w:val="21"/>
        </w:rPr>
        <w:t>）手术室</w:t>
      </w:r>
      <w:r>
        <w:rPr>
          <w:rFonts w:hint="eastAsia" w:ascii="宋体" w:hAnsi="宋体" w:cs="宋体"/>
          <w:b/>
          <w:bCs/>
          <w:color w:val="auto"/>
          <w:sz w:val="21"/>
          <w:szCs w:val="21"/>
          <w:lang w:eastAsia="zh-CN"/>
        </w:rPr>
        <w:t>、产房、</w:t>
      </w:r>
      <w:r>
        <w:rPr>
          <w:rFonts w:hint="eastAsia" w:ascii="宋体" w:hAnsi="宋体" w:cs="宋体"/>
          <w:b/>
          <w:bCs/>
          <w:color w:val="auto"/>
          <w:sz w:val="21"/>
          <w:szCs w:val="21"/>
          <w:lang w:val="en-US" w:eastAsia="zh-CN"/>
        </w:rPr>
        <w:t>ICU</w:t>
      </w:r>
      <w:r>
        <w:rPr>
          <w:rFonts w:hint="eastAsia" w:ascii="宋体" w:hAnsi="宋体" w:cs="宋体"/>
          <w:b/>
          <w:bCs/>
          <w:color w:val="auto"/>
          <w:sz w:val="21"/>
          <w:szCs w:val="21"/>
        </w:rPr>
        <w:t>工作职责及相关要求</w:t>
      </w:r>
    </w:p>
    <w:p w14:paraId="70A11017">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1、负责从病区至手术室之间的病人转运工作，并保证病人的安全。</w:t>
      </w:r>
    </w:p>
    <w:p w14:paraId="1E15FCD8">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2、协助运送术后病人至恢复室、各病区或重症监护室。</w:t>
      </w:r>
    </w:p>
    <w:p w14:paraId="31FB762A">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3、负责领取运送各类文件、物品、药品、血制品。</w:t>
      </w:r>
    </w:p>
    <w:p w14:paraId="3E40653B">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4、收送快速病理标本。</w:t>
      </w:r>
    </w:p>
    <w:p w14:paraId="364B4AB2">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5、负责清洁消毒接送手术病人的推床，如有污染及时清理。</w:t>
      </w:r>
    </w:p>
    <w:p w14:paraId="5905A7A6">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6、负责对常规标本的运送，需准确、及时、安全的送达目的地。</w:t>
      </w:r>
    </w:p>
    <w:p w14:paraId="6AAB66E3">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7、及时收取供应室无菌包并按要求上货架。</w:t>
      </w:r>
    </w:p>
    <w:p w14:paraId="378A2BFF">
      <w:pPr>
        <w:spacing w:line="360" w:lineRule="auto"/>
        <w:jc w:val="both"/>
        <w:rPr>
          <w:rFonts w:ascii="宋体" w:hAnsi="宋体" w:cs="宋体"/>
          <w:b/>
          <w:bCs/>
          <w:color w:val="auto"/>
          <w:sz w:val="21"/>
          <w:szCs w:val="21"/>
        </w:rPr>
      </w:pPr>
      <w:r>
        <w:rPr>
          <w:rFonts w:hint="eastAsia" w:ascii="宋体" w:hAnsi="宋体" w:cs="宋体"/>
          <w:b/>
          <w:bCs/>
          <w:color w:val="auto"/>
          <w:sz w:val="21"/>
          <w:szCs w:val="21"/>
        </w:rPr>
        <w:t>（</w:t>
      </w:r>
      <w:r>
        <w:rPr>
          <w:rFonts w:hint="eastAsia" w:ascii="宋体" w:hAnsi="宋体" w:cs="宋体"/>
          <w:b/>
          <w:bCs/>
          <w:color w:val="auto"/>
          <w:sz w:val="21"/>
          <w:szCs w:val="21"/>
          <w:lang w:eastAsia="zh-CN"/>
        </w:rPr>
        <w:t>七</w:t>
      </w:r>
      <w:r>
        <w:rPr>
          <w:rFonts w:hint="eastAsia" w:ascii="宋体" w:hAnsi="宋体" w:cs="宋体"/>
          <w:b/>
          <w:bCs/>
          <w:color w:val="auto"/>
          <w:sz w:val="21"/>
          <w:szCs w:val="21"/>
        </w:rPr>
        <w:t>）供应室工作职责及相关要求</w:t>
      </w:r>
    </w:p>
    <w:p w14:paraId="095F3577">
      <w:pPr>
        <w:spacing w:line="360" w:lineRule="auto"/>
        <w:ind w:firstLine="422"/>
        <w:jc w:val="both"/>
        <w:rPr>
          <w:rFonts w:ascii="宋体" w:hAnsi="宋体" w:cs="宋体"/>
          <w:b/>
          <w:bCs/>
          <w:color w:val="auto"/>
          <w:sz w:val="21"/>
          <w:szCs w:val="21"/>
        </w:rPr>
      </w:pPr>
      <w:r>
        <w:rPr>
          <w:rFonts w:hint="eastAsia" w:ascii="宋体" w:hAnsi="宋体" w:cs="宋体"/>
          <w:b/>
          <w:bCs/>
          <w:color w:val="auto"/>
          <w:sz w:val="21"/>
          <w:szCs w:val="21"/>
        </w:rPr>
        <w:t>1、收洗岗要求：</w:t>
      </w:r>
    </w:p>
    <w:p w14:paraId="3E91E980">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1.1在护士长及供应室护士的指导下，按标准预防做好日常工作。</w:t>
      </w:r>
    </w:p>
    <w:p w14:paraId="5D1FFD95">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1.2每日两次负责手术室、病房及门诊各科室污染物品的密闭下收工作。下收结束后及时用含氯消毒剂擦拭下收车。负责供应室污染布类送洗工作。</w:t>
      </w:r>
    </w:p>
    <w:p w14:paraId="07957B3B">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1.3负责污染器械手工刷洗工作，辨别污染器械的分类、掌握预处理相关步骤，随时保持去污区工作台面、地面及水池的清洁。</w:t>
      </w:r>
    </w:p>
    <w:p w14:paraId="5F1CF0FC">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1.4每日做好污染区域医疗垃圾分类包扎。</w:t>
      </w:r>
    </w:p>
    <w:p w14:paraId="319D184F">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1.5协助器械操作岗完成手术室各类敷料的打包工作。</w:t>
      </w:r>
    </w:p>
    <w:p w14:paraId="3793B78E">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1.6定期参加科内专科知识培训。</w:t>
      </w:r>
    </w:p>
    <w:p w14:paraId="61393F7E">
      <w:pPr>
        <w:spacing w:line="360" w:lineRule="auto"/>
        <w:ind w:firstLine="422"/>
        <w:jc w:val="both"/>
        <w:rPr>
          <w:rFonts w:ascii="宋体" w:hAnsi="宋体" w:cs="宋体"/>
          <w:b/>
          <w:bCs/>
          <w:color w:val="auto"/>
          <w:sz w:val="21"/>
          <w:szCs w:val="21"/>
        </w:rPr>
      </w:pPr>
      <w:r>
        <w:rPr>
          <w:rFonts w:hint="eastAsia" w:ascii="宋体" w:hAnsi="宋体" w:cs="宋体"/>
          <w:b/>
          <w:bCs/>
          <w:color w:val="auto"/>
          <w:sz w:val="21"/>
          <w:szCs w:val="21"/>
        </w:rPr>
        <w:t>2、器械操作岗要求：</w:t>
      </w:r>
    </w:p>
    <w:p w14:paraId="365F90B9">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2.1在护士长领导下完成消毒灭菌工作。</w:t>
      </w:r>
    </w:p>
    <w:p w14:paraId="238D8648">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2.2完成手术室各类敷料、大碗、干罐及灯罩的打包工作。</w:t>
      </w:r>
    </w:p>
    <w:p w14:paraId="7E2B1C02">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2.3完成待灭菌物品的装载及已灭菌物品的卸载工作。</w:t>
      </w:r>
    </w:p>
    <w:p w14:paraId="5836AA31">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2.4协助包装班完成手术室器械包、临床拆线、换药包的包装。</w:t>
      </w:r>
    </w:p>
    <w:p w14:paraId="64B4BF9E">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2.5做好已消毒止血带的分装工作。</w:t>
      </w:r>
    </w:p>
    <w:p w14:paraId="1DA716A2">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2.6消毒灭菌时不得擅自离开工作岗位，严格执行岗位责任制，执行安全操作规程和消毒工作制度。</w:t>
      </w:r>
    </w:p>
    <w:p w14:paraId="19A0CBDA">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2.7熟练掌握各类消毒灭菌设备的使用原理及操作程序，定期清洁保养。</w:t>
      </w:r>
    </w:p>
    <w:p w14:paraId="5AC5AEB0">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2.8熟练掌握各类物品消毒灭菌方法，严格按消毒规范操作。</w:t>
      </w:r>
    </w:p>
    <w:p w14:paraId="0421A0C1">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2.9熟练掌握停电、停水、停汽及灭菌器出现质量问题时的紧急应对措施。</w:t>
      </w:r>
    </w:p>
    <w:p w14:paraId="43080A5D">
      <w:pPr>
        <w:spacing w:line="360" w:lineRule="auto"/>
        <w:ind w:firstLine="420"/>
        <w:jc w:val="both"/>
        <w:rPr>
          <w:rFonts w:ascii="宋体" w:hAnsi="宋体" w:cs="宋体"/>
          <w:color w:val="auto"/>
          <w:sz w:val="21"/>
          <w:szCs w:val="21"/>
        </w:rPr>
      </w:pPr>
      <w:r>
        <w:rPr>
          <w:rFonts w:hint="eastAsia" w:ascii="宋体" w:hAnsi="宋体" w:cs="宋体"/>
          <w:color w:val="auto"/>
          <w:sz w:val="21"/>
          <w:szCs w:val="21"/>
        </w:rPr>
        <w:t>2.10负责消毒器械清洗，辨别污染器械的分类、掌握预处理相关步骤，污染器械下收下送做到定时定点；器械包装中做到辨别包装布尺寸、掌握包装步骤、注意事项、确保器械包装后整齐精美。</w:t>
      </w:r>
    </w:p>
    <w:p w14:paraId="5BBC05CB">
      <w:pPr>
        <w:spacing w:line="360" w:lineRule="auto"/>
        <w:ind w:firstLine="420"/>
        <w:jc w:val="both"/>
        <w:rPr>
          <w:rFonts w:hint="eastAsia" w:ascii="宋体" w:hAnsi="宋体" w:cs="宋体"/>
          <w:color w:val="auto"/>
          <w:sz w:val="21"/>
          <w:szCs w:val="21"/>
        </w:rPr>
      </w:pPr>
      <w:r>
        <w:rPr>
          <w:rFonts w:hint="eastAsia" w:ascii="宋体" w:hAnsi="宋体" w:cs="宋体"/>
          <w:color w:val="auto"/>
          <w:sz w:val="21"/>
          <w:szCs w:val="21"/>
        </w:rPr>
        <w:t>2.11定期参加相关知识培训。</w:t>
      </w:r>
    </w:p>
    <w:p w14:paraId="4FD7EFB5">
      <w:pPr>
        <w:numPr>
          <w:ilvl w:val="0"/>
          <w:numId w:val="6"/>
        </w:numPr>
        <w:spacing w:line="360" w:lineRule="auto"/>
        <w:jc w:val="both"/>
        <w:rPr>
          <w:rFonts w:hint="eastAsia" w:ascii="宋体" w:hAnsi="宋体" w:cs="宋体"/>
          <w:b/>
          <w:bCs/>
          <w:color w:val="auto"/>
          <w:sz w:val="21"/>
          <w:szCs w:val="21"/>
        </w:rPr>
      </w:pPr>
      <w:r>
        <w:rPr>
          <w:rFonts w:hint="eastAsia" w:ascii="宋体" w:hAnsi="宋体" w:cs="宋体"/>
          <w:b/>
          <w:bCs/>
          <w:color w:val="auto"/>
          <w:sz w:val="21"/>
          <w:szCs w:val="21"/>
          <w:lang w:eastAsia="zh-CN"/>
        </w:rPr>
        <w:t>水电杂工</w:t>
      </w:r>
      <w:r>
        <w:rPr>
          <w:rFonts w:hint="eastAsia" w:ascii="宋体" w:hAnsi="宋体" w:cs="宋体"/>
          <w:b/>
          <w:bCs/>
          <w:color w:val="auto"/>
          <w:sz w:val="21"/>
          <w:szCs w:val="21"/>
        </w:rPr>
        <w:t>工作职责及相关要求</w:t>
      </w:r>
    </w:p>
    <w:p w14:paraId="79C7A211">
      <w:pPr>
        <w:numPr>
          <w:ilvl w:val="0"/>
          <w:numId w:val="7"/>
        </w:numPr>
        <w:spacing w:line="360" w:lineRule="auto"/>
        <w:ind w:left="-20" w:leftChars="0" w:firstLine="420" w:firstLineChars="0"/>
        <w:jc w:val="both"/>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负责全院范围内所有供水供电照明排水等系统的日常巡检、维护、保养与故障排除。并处理综合维修，包括门窗桌椅等杂项维修。</w:t>
      </w:r>
    </w:p>
    <w:p w14:paraId="3E9791ED">
      <w:pPr>
        <w:numPr>
          <w:ilvl w:val="0"/>
          <w:numId w:val="7"/>
        </w:numPr>
        <w:spacing w:line="360" w:lineRule="auto"/>
        <w:ind w:left="-20" w:leftChars="0" w:firstLine="420" w:firstLineChars="0"/>
        <w:jc w:val="both"/>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24小时值班，每人每周实现40小时工作制；日常报修响应时间：白天15分钟以内，夜间30分钟以内。</w:t>
      </w:r>
    </w:p>
    <w:p w14:paraId="7F8F806C">
      <w:pPr>
        <w:numPr>
          <w:ilvl w:val="0"/>
          <w:numId w:val="7"/>
        </w:numPr>
        <w:spacing w:line="360" w:lineRule="auto"/>
        <w:ind w:left="-20" w:leftChars="0" w:firstLine="420" w:firstLineChars="0"/>
        <w:jc w:val="both"/>
        <w:rPr>
          <w:rFonts w:hint="eastAsia" w:ascii="宋体" w:hAnsi="宋体" w:cs="宋体"/>
          <w:b/>
          <w:bCs/>
          <w:color w:val="auto"/>
          <w:sz w:val="21"/>
          <w:szCs w:val="21"/>
          <w:lang w:eastAsia="zh-CN"/>
        </w:rPr>
      </w:pPr>
      <w:r>
        <w:rPr>
          <w:rFonts w:hint="eastAsia" w:ascii="宋体" w:hAnsi="宋体" w:cs="宋体"/>
          <w:color w:val="auto"/>
          <w:sz w:val="21"/>
          <w:szCs w:val="21"/>
          <w:lang w:val="en-US" w:eastAsia="zh-CN"/>
        </w:rPr>
        <w:t>常规故障应一次性修复完毕，确保正常使用。维修完毕后，须清理维修垃圾，做到场地整洁。必须持有有效的电工操作证。涉及高压操作，须具备高压电工作业操作证。所有安装维修作业必须严格按照《电业安全工作规程》等国家规范进行，严禁违规操作。</w:t>
      </w:r>
    </w:p>
    <w:p w14:paraId="45F48E7E">
      <w:pPr>
        <w:numPr>
          <w:ilvl w:val="0"/>
          <w:numId w:val="7"/>
        </w:numPr>
        <w:spacing w:line="360" w:lineRule="auto"/>
        <w:ind w:left="-20" w:leftChars="0" w:firstLine="420" w:firstLineChars="0"/>
        <w:jc w:val="both"/>
        <w:rPr>
          <w:rFonts w:hint="eastAsia" w:ascii="宋体" w:hAnsi="宋体" w:cs="宋体"/>
          <w:color w:val="auto"/>
          <w:sz w:val="21"/>
          <w:szCs w:val="21"/>
          <w:lang w:eastAsia="zh-CN"/>
        </w:rPr>
      </w:pPr>
      <w:r>
        <w:rPr>
          <w:rFonts w:hint="eastAsia" w:ascii="宋体" w:hAnsi="宋体" w:cs="宋体"/>
          <w:color w:val="auto"/>
          <w:sz w:val="21"/>
          <w:szCs w:val="21"/>
          <w:lang w:val="en-US" w:eastAsia="zh-CN"/>
        </w:rPr>
        <w:t>维修工具需配备齐全，包含但不限于水电专业工具、杂工通用工具、管道疏通工具、安全劳保用品等</w:t>
      </w:r>
    </w:p>
    <w:p w14:paraId="35B9AC61">
      <w:pPr>
        <w:spacing w:line="360" w:lineRule="auto"/>
        <w:jc w:val="both"/>
        <w:rPr>
          <w:rFonts w:ascii="宋体" w:hAnsi="宋体" w:cs="宋体"/>
          <w:b/>
          <w:bCs/>
          <w:color w:val="auto"/>
          <w:sz w:val="21"/>
          <w:szCs w:val="21"/>
        </w:rPr>
      </w:pPr>
      <w:r>
        <w:rPr>
          <w:rFonts w:hint="eastAsia" w:ascii="宋体" w:hAnsi="宋体" w:cs="宋体"/>
          <w:b/>
          <w:bCs/>
          <w:color w:val="auto"/>
          <w:sz w:val="21"/>
          <w:szCs w:val="21"/>
        </w:rPr>
        <w:t>（</w:t>
      </w:r>
      <w:r>
        <w:rPr>
          <w:rFonts w:hint="eastAsia" w:ascii="宋体" w:hAnsi="宋体" w:cs="宋体"/>
          <w:b/>
          <w:bCs/>
          <w:color w:val="auto"/>
          <w:sz w:val="21"/>
          <w:szCs w:val="21"/>
          <w:lang w:eastAsia="zh-CN"/>
        </w:rPr>
        <w:t>九</w:t>
      </w:r>
      <w:r>
        <w:rPr>
          <w:rFonts w:hint="eastAsia" w:ascii="宋体" w:hAnsi="宋体" w:cs="宋体"/>
          <w:b/>
          <w:bCs/>
          <w:color w:val="auto"/>
          <w:sz w:val="21"/>
          <w:szCs w:val="21"/>
        </w:rPr>
        <w:t>）其他工作要求</w:t>
      </w:r>
    </w:p>
    <w:p w14:paraId="06AC22D3">
      <w:pPr>
        <w:spacing w:line="360" w:lineRule="auto"/>
        <w:ind w:firstLine="420"/>
        <w:jc w:val="both"/>
        <w:rPr>
          <w:rFonts w:hint="eastAsia" w:ascii="宋体" w:hAnsi="宋体" w:cs="宋体"/>
          <w:color w:val="auto"/>
          <w:sz w:val="21"/>
          <w:szCs w:val="21"/>
        </w:rPr>
      </w:pPr>
      <w:r>
        <w:rPr>
          <w:rFonts w:hint="eastAsia" w:ascii="宋体" w:hAnsi="宋体" w:cs="宋体"/>
          <w:color w:val="auto"/>
          <w:sz w:val="21"/>
          <w:szCs w:val="21"/>
        </w:rPr>
        <w:t>1、辅医及物流管理安全生产台账的建立与完善。严格按照采购人拟定的《医院辅医及物流管理安全生产台账目录》进行收集整理资料，分项培训、检查和考核。把安全生产纳入到正常的辅医及物流管理工作中，使其制度化、常态化、专业化。</w:t>
      </w:r>
    </w:p>
    <w:p w14:paraId="35F7B684">
      <w:pPr>
        <w:spacing w:line="360" w:lineRule="auto"/>
        <w:ind w:firstLine="420"/>
        <w:jc w:val="both"/>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cs="宋体"/>
          <w:color w:val="auto"/>
          <w:sz w:val="21"/>
          <w:szCs w:val="21"/>
          <w:lang w:eastAsia="zh-CN"/>
        </w:rPr>
        <w:t>本项目人员所需</w:t>
      </w:r>
      <w:r>
        <w:rPr>
          <w:rFonts w:hint="eastAsia" w:ascii="宋体" w:hAnsi="宋体" w:cs="宋体"/>
          <w:color w:val="auto"/>
          <w:sz w:val="21"/>
          <w:szCs w:val="21"/>
        </w:rPr>
        <w:t>设备、工具、</w:t>
      </w:r>
      <w:r>
        <w:rPr>
          <w:rFonts w:hint="eastAsia" w:ascii="宋体" w:hAnsi="宋体" w:cs="宋体"/>
          <w:color w:val="auto"/>
          <w:sz w:val="21"/>
          <w:szCs w:val="21"/>
          <w:lang w:eastAsia="zh-CN"/>
        </w:rPr>
        <w:t>劳保</w:t>
      </w:r>
      <w:r>
        <w:rPr>
          <w:rFonts w:hint="eastAsia" w:ascii="宋体" w:hAnsi="宋体" w:cs="宋体"/>
          <w:color w:val="auto"/>
          <w:sz w:val="21"/>
          <w:szCs w:val="21"/>
        </w:rPr>
        <w:t>用品、耗材等，全部由</w:t>
      </w:r>
      <w:r>
        <w:rPr>
          <w:rFonts w:hint="eastAsia" w:ascii="宋体" w:hAnsi="宋体" w:cs="宋体"/>
          <w:color w:val="auto"/>
          <w:sz w:val="21"/>
          <w:szCs w:val="21"/>
          <w:lang w:eastAsia="zh-CN"/>
        </w:rPr>
        <w:t>中标人</w:t>
      </w:r>
      <w:r>
        <w:rPr>
          <w:rFonts w:hint="eastAsia" w:ascii="宋体" w:hAnsi="宋体" w:cs="宋体"/>
          <w:color w:val="auto"/>
          <w:sz w:val="21"/>
          <w:szCs w:val="21"/>
        </w:rPr>
        <w:t>自行配备、采购、维护、保管并承担全部费用</w:t>
      </w:r>
      <w:r>
        <w:rPr>
          <w:rFonts w:hint="eastAsia" w:ascii="宋体" w:hAnsi="宋体" w:cs="宋体"/>
          <w:color w:val="auto"/>
          <w:sz w:val="21"/>
          <w:szCs w:val="21"/>
          <w:lang w:eastAsia="zh-CN"/>
        </w:rPr>
        <w:t>。</w:t>
      </w:r>
    </w:p>
    <w:p w14:paraId="494B18CB">
      <w:pPr>
        <w:spacing w:line="360" w:lineRule="auto"/>
        <w:ind w:firstLine="420"/>
        <w:jc w:val="both"/>
        <w:rPr>
          <w:rFonts w:ascii="宋体" w:hAnsi="宋体" w:cs="宋体"/>
          <w:color w:val="auto"/>
          <w:sz w:val="21"/>
          <w:szCs w:val="21"/>
        </w:rPr>
      </w:pPr>
      <w:r>
        <w:rPr>
          <w:rFonts w:hint="eastAsia" w:ascii="宋体" w:hAnsi="宋体" w:cs="宋体"/>
          <w:color w:val="auto"/>
          <w:sz w:val="21"/>
          <w:szCs w:val="21"/>
          <w:lang w:val="en-US" w:eastAsia="zh-CN"/>
        </w:rPr>
        <w:t>3</w:t>
      </w:r>
      <w:r>
        <w:rPr>
          <w:rFonts w:hint="eastAsia" w:ascii="宋体" w:hAnsi="宋体" w:cs="宋体"/>
          <w:color w:val="auto"/>
          <w:sz w:val="21"/>
          <w:szCs w:val="21"/>
        </w:rPr>
        <w:t>、对于突发事件必须按照应急预案进行实施。</w:t>
      </w:r>
    </w:p>
    <w:p w14:paraId="24B3BD38">
      <w:pPr>
        <w:spacing w:line="360" w:lineRule="auto"/>
        <w:ind w:firstLine="420"/>
        <w:jc w:val="both"/>
        <w:rPr>
          <w:rFonts w:ascii="宋体" w:hAnsi="宋体" w:cs="宋体"/>
          <w:color w:val="auto"/>
          <w:sz w:val="21"/>
          <w:szCs w:val="21"/>
        </w:rPr>
      </w:pPr>
      <w:r>
        <w:rPr>
          <w:rFonts w:hint="eastAsia" w:ascii="宋体" w:hAnsi="宋体" w:cs="宋体"/>
          <w:color w:val="auto"/>
          <w:sz w:val="21"/>
          <w:szCs w:val="21"/>
          <w:lang w:val="en-US" w:eastAsia="zh-CN"/>
        </w:rPr>
        <w:t>4</w:t>
      </w:r>
      <w:r>
        <w:rPr>
          <w:rFonts w:hint="eastAsia" w:ascii="宋体" w:hAnsi="宋体" w:cs="宋体"/>
          <w:color w:val="auto"/>
          <w:sz w:val="21"/>
          <w:szCs w:val="21"/>
        </w:rPr>
        <w:t>、院方临时性的家具等物品的搬运、挪移应满足各科室的搬运需求；要求准确、及时、无差错。搬运到位后，要按要求摆放到位，接收人签名。不得损坏，否则承担责任，赔偿损失。</w:t>
      </w:r>
    </w:p>
    <w:p w14:paraId="379614BC">
      <w:pPr>
        <w:spacing w:line="360" w:lineRule="auto"/>
        <w:jc w:val="both"/>
        <w:rPr>
          <w:rFonts w:ascii="宋体" w:hAnsi="宋体" w:cs="宋体"/>
          <w:b/>
          <w:bCs/>
          <w:color w:val="auto"/>
          <w:sz w:val="21"/>
          <w:szCs w:val="21"/>
        </w:rPr>
      </w:pPr>
      <w:r>
        <w:rPr>
          <w:rFonts w:hint="eastAsia" w:ascii="宋体" w:hAnsi="宋体" w:cs="宋体"/>
          <w:b/>
          <w:bCs/>
          <w:color w:val="auto"/>
          <w:sz w:val="21"/>
          <w:szCs w:val="21"/>
        </w:rPr>
        <w:t>六、服务人员</w:t>
      </w:r>
    </w:p>
    <w:p w14:paraId="518E1D93">
      <w:pPr>
        <w:spacing w:line="360" w:lineRule="auto"/>
        <w:ind w:firstLine="420"/>
        <w:jc w:val="both"/>
        <w:rPr>
          <w:rFonts w:ascii="宋体" w:hAnsi="宋体" w:cs="宋体"/>
          <w:iCs/>
          <w:color w:val="auto"/>
          <w:sz w:val="21"/>
          <w:szCs w:val="21"/>
          <w:highlight w:val="none"/>
        </w:rPr>
      </w:pPr>
      <w:r>
        <w:rPr>
          <w:rFonts w:hint="eastAsia" w:ascii="宋体" w:hAnsi="宋体" w:cs="宋体"/>
          <w:bCs/>
          <w:iCs/>
          <w:color w:val="auto"/>
          <w:sz w:val="21"/>
          <w:szCs w:val="21"/>
          <w:highlight w:val="none"/>
        </w:rPr>
        <w:t>投标时，本项目服务人员不得少于</w:t>
      </w:r>
      <w:r>
        <w:rPr>
          <w:rFonts w:hint="eastAsia" w:ascii="宋体" w:hAnsi="宋体" w:cs="宋体"/>
          <w:b/>
          <w:iCs/>
          <w:color w:val="auto"/>
          <w:sz w:val="21"/>
          <w:szCs w:val="21"/>
          <w:highlight w:val="none"/>
        </w:rPr>
        <w:t>1</w:t>
      </w:r>
      <w:r>
        <w:rPr>
          <w:rFonts w:hint="eastAsia" w:ascii="宋体" w:hAnsi="宋体" w:cs="宋体"/>
          <w:b/>
          <w:iCs/>
          <w:color w:val="auto"/>
          <w:sz w:val="21"/>
          <w:szCs w:val="21"/>
          <w:highlight w:val="none"/>
          <w:lang w:val="en-US" w:eastAsia="zh-CN"/>
        </w:rPr>
        <w:t>11</w:t>
      </w:r>
      <w:r>
        <w:rPr>
          <w:rFonts w:hint="eastAsia" w:ascii="宋体" w:hAnsi="宋体" w:cs="宋体"/>
          <w:b/>
          <w:iCs/>
          <w:color w:val="auto"/>
          <w:sz w:val="21"/>
          <w:szCs w:val="21"/>
          <w:highlight w:val="none"/>
        </w:rPr>
        <w:t>人</w:t>
      </w:r>
      <w:r>
        <w:rPr>
          <w:rFonts w:hint="eastAsia" w:ascii="宋体" w:hAnsi="宋体" w:cs="宋体"/>
          <w:bCs/>
          <w:iCs/>
          <w:color w:val="auto"/>
          <w:sz w:val="21"/>
          <w:szCs w:val="21"/>
          <w:highlight w:val="none"/>
        </w:rPr>
        <w:t>，投标时按</w:t>
      </w:r>
      <w:r>
        <w:rPr>
          <w:rFonts w:hint="eastAsia" w:ascii="宋体" w:hAnsi="宋体" w:cs="宋体"/>
          <w:b/>
          <w:iCs/>
          <w:color w:val="auto"/>
          <w:sz w:val="21"/>
          <w:szCs w:val="21"/>
          <w:highlight w:val="none"/>
        </w:rPr>
        <w:t>1</w:t>
      </w:r>
      <w:r>
        <w:rPr>
          <w:rFonts w:hint="eastAsia" w:ascii="宋体" w:hAnsi="宋体" w:cs="宋体"/>
          <w:b/>
          <w:iCs/>
          <w:color w:val="auto"/>
          <w:sz w:val="21"/>
          <w:szCs w:val="21"/>
          <w:highlight w:val="none"/>
          <w:lang w:val="en-US" w:eastAsia="zh-CN"/>
        </w:rPr>
        <w:t>11</w:t>
      </w:r>
      <w:r>
        <w:rPr>
          <w:rFonts w:hint="eastAsia" w:ascii="宋体" w:hAnsi="宋体" w:cs="宋体"/>
          <w:b/>
          <w:iCs/>
          <w:color w:val="auto"/>
          <w:sz w:val="21"/>
          <w:szCs w:val="21"/>
          <w:highlight w:val="none"/>
        </w:rPr>
        <w:t>人</w:t>
      </w:r>
      <w:r>
        <w:rPr>
          <w:rFonts w:hint="eastAsia" w:ascii="宋体" w:hAnsi="宋体" w:cs="宋体"/>
          <w:bCs/>
          <w:iCs/>
          <w:color w:val="auto"/>
          <w:sz w:val="21"/>
          <w:szCs w:val="21"/>
          <w:highlight w:val="none"/>
        </w:rPr>
        <w:t>进行费用测算，具体详见人员配置表。</w:t>
      </w:r>
      <w:r>
        <w:rPr>
          <w:rFonts w:hint="eastAsia" w:ascii="宋体" w:hAnsi="宋体" w:cs="宋体"/>
          <w:iCs/>
          <w:color w:val="auto"/>
          <w:sz w:val="21"/>
          <w:szCs w:val="21"/>
          <w:highlight w:val="none"/>
        </w:rPr>
        <w:t>投标人承诺中标后提供针对本项目整体管理、人员配置及岗位职责，责任区域及具体实施方案，方案全面、合理、可行，符合采购人需求。</w:t>
      </w:r>
    </w:p>
    <w:p w14:paraId="73DC85E3">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投标人提供的所有服务应符合招标文件的要求，并严格按照适用于本项目的相关法规、规范和国家标准及医院最新相关制度标准执行。投标人在服务时应满足采购人的实际需求，服务期内服务标准的变更包含在投标报价中，采购人不因此再支付费用。</w:t>
      </w:r>
    </w:p>
    <w:p w14:paraId="3842EB06">
      <w:pPr>
        <w:widowControl w:val="0"/>
        <w:spacing w:line="360" w:lineRule="auto"/>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（一）项目负责人职责及相关要求</w:t>
      </w:r>
    </w:p>
    <w:p w14:paraId="7AA51341">
      <w:pPr>
        <w:widowControl w:val="0"/>
        <w:spacing w:line="360" w:lineRule="auto"/>
        <w:ind w:firstLine="420"/>
        <w:jc w:val="both"/>
        <w:rPr>
          <w:rFonts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（1）项目负责人：年龄在45周岁以下（包含45周岁），本科及以上学历；</w:t>
      </w:r>
      <w:r>
        <w:rPr>
          <w:rFonts w:hint="eastAsia" w:ascii="宋体" w:hAnsi="宋体" w:cs="宋体"/>
          <w:i/>
          <w:iCs/>
          <w:color w:val="auto"/>
          <w:sz w:val="21"/>
          <w:szCs w:val="21"/>
          <w:highlight w:val="none"/>
          <w:u w:val="single"/>
          <w:lang w:eastAsia="zh-CN"/>
        </w:rPr>
        <w:t>（</w:t>
      </w:r>
      <w:r>
        <w:rPr>
          <w:rFonts w:hint="eastAsia" w:ascii="宋体" w:hAnsi="宋体" w:cs="宋体"/>
          <w:i/>
          <w:iCs/>
          <w:color w:val="auto"/>
          <w:sz w:val="21"/>
          <w:szCs w:val="21"/>
          <w:highlight w:val="none"/>
          <w:u w:val="single"/>
        </w:rPr>
        <w:t>须同时提供身份证、学历证明及学信网查询截图、投标人为其缴纳的近3个月中任意1个月的社保</w:t>
      </w:r>
      <w:r>
        <w:rPr>
          <w:rFonts w:hint="eastAsia" w:ascii="宋体" w:hAnsi="宋体" w:cs="宋体"/>
          <w:i/>
          <w:iCs/>
          <w:color w:val="auto"/>
          <w:sz w:val="21"/>
          <w:szCs w:val="21"/>
          <w:highlight w:val="none"/>
          <w:u w:val="single"/>
          <w:lang w:val="en-US" w:eastAsia="zh-CN"/>
        </w:rPr>
        <w:t>及医保</w:t>
      </w:r>
      <w:r>
        <w:rPr>
          <w:rFonts w:hint="eastAsia" w:ascii="宋体" w:hAnsi="宋体" w:cs="宋体"/>
          <w:i/>
          <w:iCs/>
          <w:color w:val="auto"/>
          <w:sz w:val="21"/>
          <w:szCs w:val="21"/>
          <w:highlight w:val="none"/>
          <w:u w:val="single"/>
        </w:rPr>
        <w:t>，原件扫描上传）</w:t>
      </w:r>
    </w:p>
    <w:p w14:paraId="31C19A34">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（2）能够调动员工的积极性，加强员工的团结精神；</w:t>
      </w:r>
    </w:p>
    <w:p w14:paraId="1B15B5E8">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（3）能够虚心接受采购人的监督、建议、评价，并对工作进行有效的改进；</w:t>
      </w:r>
    </w:p>
    <w:p w14:paraId="31F2BA06">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（4）积极配合采购人其他工作或活动的顺利展开，能如实向采购人反馈工作中的各类问题与矛盾；</w:t>
      </w:r>
    </w:p>
    <w:p w14:paraId="039177B4">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（5）熟悉相关法规，并能规范组织管理服务工作；</w:t>
      </w:r>
    </w:p>
    <w:p w14:paraId="1C0550AD">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（6）响应性文件中需提供项目负责人的行业资格证明材料，如简历、身份证复印件等；</w:t>
      </w:r>
    </w:p>
    <w:p w14:paraId="55BAF07F">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（7）未经采购人批准，项目负责人不得更换。</w:t>
      </w:r>
    </w:p>
    <w:p w14:paraId="51837AEE">
      <w:pPr>
        <w:widowControl w:val="0"/>
        <w:spacing w:line="360" w:lineRule="auto"/>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（二）主管人员及其他人员职责及相关要求</w:t>
      </w:r>
    </w:p>
    <w:p w14:paraId="26200E0D">
      <w:pPr>
        <w:widowControl w:val="0"/>
        <w:spacing w:line="360" w:lineRule="auto"/>
        <w:ind w:firstLine="420"/>
        <w:jc w:val="both"/>
        <w:rPr>
          <w:rFonts w:ascii="宋体" w:hAnsi="宋体" w:cs="宋体"/>
          <w:color w:val="auto"/>
          <w:sz w:val="21"/>
          <w:szCs w:val="21"/>
          <w:highlight w:val="none"/>
        </w:rPr>
      </w:pPr>
      <w:r>
        <w:rPr>
          <w:rFonts w:hint="eastAsia" w:ascii="宋体" w:hAnsi="宋体" w:cs="宋体"/>
          <w:i/>
          <w:iCs/>
          <w:color w:val="auto"/>
          <w:sz w:val="21"/>
          <w:szCs w:val="21"/>
          <w:highlight w:val="none"/>
          <w:u w:val="single"/>
        </w:rPr>
        <w:t>主管人员：年龄在50周岁以下（包含50周岁），</w:t>
      </w:r>
      <w:r>
        <w:rPr>
          <w:rFonts w:hint="eastAsia" w:ascii="宋体" w:hAnsi="宋体" w:cs="宋体"/>
          <w:i/>
          <w:iCs/>
          <w:color w:val="auto"/>
          <w:sz w:val="21"/>
          <w:szCs w:val="21"/>
          <w:highlight w:val="none"/>
          <w:u w:val="single"/>
          <w:lang w:val="en-US" w:eastAsia="zh-CN"/>
        </w:rPr>
        <w:t>大专</w:t>
      </w:r>
      <w:r>
        <w:rPr>
          <w:rFonts w:hint="eastAsia" w:ascii="宋体" w:hAnsi="宋体" w:cs="宋体"/>
          <w:i/>
          <w:iCs/>
          <w:color w:val="auto"/>
          <w:sz w:val="21"/>
          <w:szCs w:val="21"/>
          <w:highlight w:val="none"/>
          <w:u w:val="single"/>
        </w:rPr>
        <w:t>及以上学历</w:t>
      </w:r>
      <w:r>
        <w:rPr>
          <w:rFonts w:hint="eastAsia" w:ascii="宋体" w:hAnsi="宋体" w:cs="宋体"/>
          <w:i/>
          <w:iCs/>
          <w:color w:val="auto"/>
          <w:sz w:val="21"/>
          <w:szCs w:val="21"/>
          <w:highlight w:val="none"/>
          <w:u w:val="single"/>
          <w:lang w:eastAsia="zh-CN"/>
        </w:rPr>
        <w:t>，（</w:t>
      </w:r>
      <w:r>
        <w:rPr>
          <w:rFonts w:hint="eastAsia" w:ascii="宋体" w:hAnsi="宋体" w:cs="宋体"/>
          <w:i/>
          <w:iCs/>
          <w:color w:val="auto"/>
          <w:sz w:val="21"/>
          <w:szCs w:val="21"/>
          <w:highlight w:val="none"/>
          <w:u w:val="single"/>
        </w:rPr>
        <w:t>须同时提供身份证、学历证明及学信网查询截图、投标人为其缴纳的近3个月中任意1个月的社保</w:t>
      </w:r>
      <w:r>
        <w:rPr>
          <w:rFonts w:hint="eastAsia" w:ascii="宋体" w:hAnsi="宋体" w:cs="宋体"/>
          <w:i/>
          <w:iCs/>
          <w:color w:val="auto"/>
          <w:sz w:val="21"/>
          <w:szCs w:val="21"/>
          <w:highlight w:val="none"/>
          <w:u w:val="single"/>
          <w:lang w:val="en-US" w:eastAsia="zh-CN"/>
        </w:rPr>
        <w:t>及医保</w:t>
      </w:r>
      <w:r>
        <w:rPr>
          <w:rFonts w:hint="eastAsia" w:ascii="宋体" w:hAnsi="宋体" w:cs="宋体"/>
          <w:i/>
          <w:iCs/>
          <w:color w:val="auto"/>
          <w:sz w:val="21"/>
          <w:szCs w:val="21"/>
          <w:highlight w:val="none"/>
          <w:u w:val="single"/>
        </w:rPr>
        <w:t>，原件扫描上传）</w:t>
      </w:r>
      <w:r>
        <w:rPr>
          <w:rFonts w:hint="eastAsia" w:ascii="宋体" w:hAnsi="宋体" w:cs="宋体"/>
          <w:color w:val="auto"/>
          <w:sz w:val="21"/>
          <w:szCs w:val="21"/>
          <w:highlight w:val="none"/>
        </w:rPr>
        <w:t>。受过专业培训，服务意识和责任心强，懂管理，会做思想工作，具有较高的政治思想素质和服务水平，掌握智能化办公管理的相关知识和技能。</w:t>
      </w:r>
    </w:p>
    <w:p w14:paraId="150811D9">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其他服务人员：</w:t>
      </w:r>
    </w:p>
    <w:p w14:paraId="76C93FC5">
      <w:pPr>
        <w:widowControl w:val="0"/>
        <w:spacing w:line="360" w:lineRule="auto"/>
        <w:ind w:firstLine="42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1）所有人员具备初中及以上学历，必须遵守国家的法律、法规及甲方的各项规章制度，无不良记录及嗜好，爱岗敬业、礼貌待人、身心健康，无影响正常工作的基础性疾病或残疾，无违法犯罪记录。女性年龄不超过55周岁，男性年龄不超过60周岁，其中导医导诊、收费文员等辅医服务人员的年龄不超过45周岁。投标供应商应为符合年龄要求的人员缴纳社保医保</w:t>
      </w:r>
      <w:r>
        <w:rPr>
          <w:rFonts w:hint="eastAsia" w:ascii="宋体" w:hAnsi="宋体" w:cs="宋体"/>
          <w:color w:val="auto"/>
          <w:sz w:val="21"/>
          <w:szCs w:val="21"/>
          <w:highlight w:val="none"/>
          <w:lang w:eastAsia="zh-CN"/>
        </w:rPr>
        <w:t>，院方根据缴纳的社保人数支付服务费</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 xml:space="preserve"> </w:t>
      </w:r>
    </w:p>
    <w:p w14:paraId="7F1A30F6">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（2）保持良好的上岗仪态，值班人员上岗时必须遵守“五不”，即不在岗喝酒、不在岗抽烟、不擅离工作岗位，不迟到早退，不做与工作无关的事。  </w:t>
      </w:r>
    </w:p>
    <w:p w14:paraId="7AB52673">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（3）特殊岗位人员需具备国家要求的相应资格证书或行业要求的其他必备条件。</w:t>
      </w:r>
    </w:p>
    <w:p w14:paraId="55C8D4FF">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（注：上班时间应符合国家劳动法有关规定，排班根据采购人要求中标供应商自行安排，相关费用包括在投标总价内）。</w:t>
      </w:r>
    </w:p>
    <w:p w14:paraId="353BBCE4">
      <w:pPr>
        <w:widowControl w:val="0"/>
        <w:spacing w:line="360" w:lineRule="auto"/>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（三）其他要求</w:t>
      </w:r>
    </w:p>
    <w:p w14:paraId="05A000E9">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（1）乙方须根据甲方各专业需要服务人员的数量派出相应专业人员从事相关服务工作。</w:t>
      </w:r>
    </w:p>
    <w:p w14:paraId="092924E2">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（2）乙方新招聘派往甲方从事相关岗位服务人员，须经甲方面试及测试，必要时进行笔试。</w:t>
      </w:r>
    </w:p>
    <w:p w14:paraId="6631D678">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新入职人员试用期一个月，试用期内如不能满足当前科室需求的，在有其他部门用工需求的情况下可安排转岗，新岗试用期满考核仍不合格人员医院不再使用。院内正常工作需要转岗或离职后12个月内复招人员（指工作期间无过错、能遵纪守法胜任工作者）不重复试用期。</w:t>
      </w:r>
    </w:p>
    <w:p w14:paraId="5A9094A5">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（4）如出现新增岗位、增设人员（甲方以书面形式通知乙方）或如出现人员缺额时，乙方根据具体需求应在一周内完成人员招聘，如未能补充到位，甲方对此有考核权，并因此所发生的所有费用均由乙方承担。</w:t>
      </w:r>
    </w:p>
    <w:p w14:paraId="7934279A">
      <w:pPr>
        <w:widowControl w:val="0"/>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（5）乙方须派遣专职管理人员进行驻场服务，具体负责日常用工管理事务，确保各项工作有效落实。该管理人员的一切费用由乙方承担。甲方对此有考核权。</w:t>
      </w:r>
      <w:r>
        <w:rPr>
          <w:rFonts w:hint="eastAsia" w:ascii="宋体" w:hAnsi="宋体" w:cs="宋体"/>
          <w:color w:val="auto"/>
          <w:sz w:val="21"/>
          <w:szCs w:val="21"/>
          <w:highlight w:val="none"/>
        </w:rPr>
        <w:br w:type="page" w:clear="all"/>
      </w:r>
    </w:p>
    <w:p w14:paraId="46B163A6">
      <w:pPr>
        <w:rPr>
          <w:rFonts w:ascii="宋体" w:hAnsi="宋体" w:cs="宋体"/>
          <w:color w:val="auto"/>
          <w:sz w:val="21"/>
          <w:szCs w:val="21"/>
          <w:highlight w:val="none"/>
        </w:rPr>
      </w:pPr>
    </w:p>
    <w:p w14:paraId="11801B68">
      <w:pPr>
        <w:rPr>
          <w:rFonts w:ascii="宋体" w:hAnsi="宋体" w:cs="宋体"/>
          <w:color w:val="auto"/>
          <w:sz w:val="21"/>
          <w:szCs w:val="21"/>
          <w:highlight w:val="none"/>
        </w:rPr>
      </w:pPr>
    </w:p>
    <w:tbl>
      <w:tblPr>
        <w:tblStyle w:val="38"/>
        <w:tblW w:w="4944" w:type="pct"/>
        <w:jc w:val="center"/>
        <w:tblLayout w:type="autofit"/>
        <w:tblCellMar>
          <w:top w:w="0" w:type="dxa"/>
          <w:left w:w="108" w:type="dxa"/>
          <w:bottom w:w="0" w:type="dxa"/>
          <w:right w:w="108" w:type="dxa"/>
        </w:tblCellMar>
      </w:tblPr>
      <w:tblGrid>
        <w:gridCol w:w="545"/>
        <w:gridCol w:w="1303"/>
        <w:gridCol w:w="2176"/>
        <w:gridCol w:w="807"/>
        <w:gridCol w:w="1181"/>
        <w:gridCol w:w="1154"/>
        <w:gridCol w:w="1255"/>
      </w:tblGrid>
      <w:tr w14:paraId="39A385F2">
        <w:tblPrEx>
          <w:tblCellMar>
            <w:top w:w="0" w:type="dxa"/>
            <w:left w:w="108" w:type="dxa"/>
            <w:bottom w:w="0" w:type="dxa"/>
            <w:right w:w="108" w:type="dxa"/>
          </w:tblCellMar>
        </w:tblPrEx>
        <w:trPr>
          <w:trHeight w:val="683"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noWrap/>
            <w:vAlign w:val="center"/>
          </w:tcPr>
          <w:p w14:paraId="39B1CC67">
            <w:pPr>
              <w:jc w:val="center"/>
              <w:rPr>
                <w:rFonts w:hint="eastAsia" w:ascii="宋体" w:hAnsi="宋体" w:eastAsia="宋体" w:cs="宋体"/>
                <w:b/>
                <w:bCs/>
                <w:color w:val="auto"/>
                <w:sz w:val="21"/>
                <w:szCs w:val="21"/>
                <w:highlight w:val="none"/>
                <w:lang w:eastAsia="zh-CN"/>
              </w:rPr>
            </w:pPr>
            <w:bookmarkStart w:id="73" w:name="_Toc497133122"/>
            <w:r>
              <w:rPr>
                <w:rFonts w:hint="eastAsia" w:ascii="宋体" w:hAnsi="宋体" w:cs="宋体"/>
                <w:b/>
                <w:bCs/>
                <w:color w:val="auto"/>
                <w:sz w:val="21"/>
                <w:szCs w:val="21"/>
                <w:highlight w:val="none"/>
                <w:lang w:val="en-US" w:eastAsia="zh-CN" w:bidi="ar"/>
              </w:rPr>
              <w:t>人员</w:t>
            </w:r>
            <w:r>
              <w:rPr>
                <w:rFonts w:hint="eastAsia" w:ascii="宋体" w:hAnsi="宋体" w:cs="宋体"/>
                <w:b/>
                <w:bCs/>
                <w:color w:val="auto"/>
                <w:sz w:val="21"/>
                <w:szCs w:val="21"/>
                <w:highlight w:val="none"/>
                <w:lang w:bidi="ar"/>
              </w:rPr>
              <w:t>配置表</w:t>
            </w:r>
            <w:r>
              <w:rPr>
                <w:rFonts w:hint="eastAsia" w:ascii="宋体" w:hAnsi="宋体" w:cs="宋体"/>
                <w:b/>
                <w:bCs/>
                <w:color w:val="auto"/>
                <w:sz w:val="21"/>
                <w:szCs w:val="21"/>
                <w:highlight w:val="none"/>
                <w:lang w:eastAsia="zh-CN" w:bidi="ar"/>
              </w:rPr>
              <w:t>（</w:t>
            </w:r>
            <w:r>
              <w:rPr>
                <w:rFonts w:hint="eastAsia" w:ascii="宋体" w:hAnsi="宋体" w:cs="宋体"/>
                <w:color w:val="auto"/>
                <w:sz w:val="21"/>
                <w:szCs w:val="21"/>
                <w:highlight w:val="none"/>
              </w:rPr>
              <w:br w:type="page" w:clear="all"/>
            </w:r>
            <w:r>
              <w:rPr>
                <w:rFonts w:hint="eastAsia" w:ascii="宋体" w:hAnsi="宋体" w:cs="宋体"/>
                <w:color w:val="auto"/>
                <w:sz w:val="21"/>
                <w:szCs w:val="21"/>
                <w:highlight w:val="none"/>
              </w:rPr>
              <w:br w:type="page" w:clear="all"/>
            </w:r>
            <w:r>
              <w:rPr>
                <w:rFonts w:hint="eastAsia" w:ascii="宋体" w:hAnsi="宋体" w:cs="宋体"/>
                <w:b/>
                <w:bCs/>
                <w:color w:val="auto"/>
                <w:sz w:val="21"/>
                <w:szCs w:val="21"/>
                <w:highlight w:val="none"/>
                <w:lang w:bidi="ar"/>
              </w:rPr>
              <w:t>新院区岗位</w:t>
            </w:r>
            <w:r>
              <w:rPr>
                <w:rFonts w:hint="eastAsia" w:ascii="宋体" w:hAnsi="宋体" w:cs="宋体"/>
                <w:b/>
                <w:bCs/>
                <w:color w:val="auto"/>
                <w:sz w:val="21"/>
                <w:szCs w:val="21"/>
                <w:highlight w:val="none"/>
                <w:lang w:eastAsia="zh-CN" w:bidi="ar"/>
              </w:rPr>
              <w:t>）</w:t>
            </w:r>
          </w:p>
        </w:tc>
      </w:tr>
      <w:tr w14:paraId="7AAA8E26">
        <w:tblPrEx>
          <w:tblCellMar>
            <w:top w:w="0" w:type="dxa"/>
            <w:left w:w="108" w:type="dxa"/>
            <w:bottom w:w="0" w:type="dxa"/>
            <w:right w:w="108" w:type="dxa"/>
          </w:tblCellMar>
        </w:tblPrEx>
        <w:trPr>
          <w:trHeight w:val="730" w:hRule="atLeast"/>
          <w:jc w:val="center"/>
        </w:trPr>
        <w:tc>
          <w:tcPr>
            <w:tcW w:w="324" w:type="pct"/>
            <w:tcBorders>
              <w:top w:val="single" w:color="000000" w:sz="4" w:space="0"/>
              <w:left w:val="single" w:color="000000" w:sz="4" w:space="0"/>
              <w:bottom w:val="single" w:color="000000" w:sz="4" w:space="0"/>
              <w:right w:val="single" w:color="000000" w:sz="4" w:space="0"/>
            </w:tcBorders>
            <w:noWrap w:val="0"/>
            <w:vAlign w:val="center"/>
          </w:tcPr>
          <w:p w14:paraId="4AF1F26F">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序号</w:t>
            </w:r>
          </w:p>
        </w:tc>
        <w:tc>
          <w:tcPr>
            <w:tcW w:w="774" w:type="pct"/>
            <w:tcBorders>
              <w:top w:val="single" w:color="000000" w:sz="4" w:space="0"/>
              <w:left w:val="single" w:color="000000" w:sz="4" w:space="0"/>
              <w:bottom w:val="single" w:color="000000" w:sz="4" w:space="0"/>
              <w:right w:val="single" w:color="000000" w:sz="4" w:space="0"/>
            </w:tcBorders>
            <w:noWrap w:val="0"/>
            <w:vAlign w:val="center"/>
          </w:tcPr>
          <w:p w14:paraId="7EAE2383">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服务区域</w:t>
            </w: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47CD67BD">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岗位名称</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4923C258">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楼层</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2AC97D83">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运送人数（人）</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15120748">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bidi="ar"/>
              </w:rPr>
              <w:t>水电</w:t>
            </w:r>
            <w:r>
              <w:rPr>
                <w:rFonts w:hint="eastAsia" w:ascii="宋体" w:hAnsi="宋体" w:cs="宋体"/>
                <w:b/>
                <w:bCs/>
                <w:color w:val="auto"/>
                <w:sz w:val="21"/>
                <w:szCs w:val="21"/>
                <w:highlight w:val="none"/>
                <w:lang w:bidi="ar"/>
              </w:rPr>
              <w:t>人员（人）</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2D42E663">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辅医人员（人）</w:t>
            </w:r>
          </w:p>
        </w:tc>
      </w:tr>
      <w:tr w14:paraId="25D2D4FB">
        <w:tblPrEx>
          <w:tblCellMar>
            <w:top w:w="0" w:type="dxa"/>
            <w:left w:w="108" w:type="dxa"/>
            <w:bottom w:w="0" w:type="dxa"/>
            <w:right w:w="108" w:type="dxa"/>
          </w:tblCellMar>
        </w:tblPrEx>
        <w:trPr>
          <w:trHeight w:val="620" w:hRule="atLeast"/>
          <w:jc w:val="center"/>
        </w:trPr>
        <w:tc>
          <w:tcPr>
            <w:tcW w:w="324" w:type="pct"/>
            <w:vMerge w:val="restart"/>
            <w:tcBorders>
              <w:top w:val="single" w:color="000000" w:sz="4" w:space="0"/>
              <w:left w:val="single" w:color="000000" w:sz="4" w:space="0"/>
              <w:right w:val="single" w:color="000000" w:sz="4" w:space="0"/>
            </w:tcBorders>
            <w:noWrap w:val="0"/>
            <w:vAlign w:val="center"/>
          </w:tcPr>
          <w:p w14:paraId="4F2FD3A7">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1</w:t>
            </w:r>
          </w:p>
        </w:tc>
        <w:tc>
          <w:tcPr>
            <w:tcW w:w="2066" w:type="pct"/>
            <w:gridSpan w:val="2"/>
            <w:tcBorders>
              <w:top w:val="single" w:color="000000" w:sz="4" w:space="0"/>
              <w:left w:val="single" w:color="000000" w:sz="4" w:space="0"/>
              <w:bottom w:val="single" w:color="000000" w:sz="4" w:space="0"/>
              <w:right w:val="single" w:color="000000" w:sz="4" w:space="0"/>
            </w:tcBorders>
            <w:noWrap w:val="0"/>
            <w:vAlign w:val="center"/>
          </w:tcPr>
          <w:p w14:paraId="424F884D">
            <w:pPr>
              <w:keepNext w:val="0"/>
              <w:keepLines w:val="0"/>
              <w:widowControl/>
              <w:suppressLineNumbers w:val="0"/>
              <w:jc w:val="center"/>
              <w:textAlignment w:val="center"/>
              <w:rPr>
                <w:rFonts w:hint="eastAsia" w:ascii="宋体" w:hAnsi="宋体" w:eastAsia="宋体" w:cs="宋体"/>
                <w:b/>
                <w:bCs/>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项目负责人</w:t>
            </w:r>
          </w:p>
        </w:tc>
        <w:tc>
          <w:tcPr>
            <w:tcW w:w="479" w:type="pct"/>
            <w:vMerge w:val="restart"/>
            <w:tcBorders>
              <w:top w:val="single" w:color="000000" w:sz="4" w:space="0"/>
              <w:left w:val="single" w:color="000000" w:sz="4" w:space="0"/>
              <w:right w:val="single" w:color="000000" w:sz="4" w:space="0"/>
            </w:tcBorders>
            <w:noWrap w:val="0"/>
            <w:vAlign w:val="center"/>
          </w:tcPr>
          <w:p w14:paraId="67077C40">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全院</w:t>
            </w:r>
          </w:p>
        </w:tc>
        <w:tc>
          <w:tcPr>
            <w:tcW w:w="2129" w:type="pct"/>
            <w:gridSpan w:val="3"/>
            <w:tcBorders>
              <w:top w:val="single" w:color="000000" w:sz="4" w:space="0"/>
              <w:left w:val="single" w:color="000000" w:sz="4" w:space="0"/>
              <w:bottom w:val="single" w:color="000000" w:sz="4" w:space="0"/>
              <w:right w:val="single" w:color="000000" w:sz="4" w:space="0"/>
            </w:tcBorders>
            <w:noWrap w:val="0"/>
            <w:vAlign w:val="center"/>
          </w:tcPr>
          <w:p w14:paraId="0D8B5001">
            <w:pPr>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bidi="ar"/>
              </w:rPr>
              <w:t>1</w:t>
            </w:r>
          </w:p>
        </w:tc>
      </w:tr>
      <w:tr w14:paraId="5BB9AA19">
        <w:tblPrEx>
          <w:tblCellMar>
            <w:top w:w="0" w:type="dxa"/>
            <w:left w:w="108" w:type="dxa"/>
            <w:bottom w:w="0" w:type="dxa"/>
            <w:right w:w="108" w:type="dxa"/>
          </w:tblCellMar>
        </w:tblPrEx>
        <w:trPr>
          <w:trHeight w:val="620" w:hRule="atLeast"/>
          <w:jc w:val="center"/>
        </w:trPr>
        <w:tc>
          <w:tcPr>
            <w:tcW w:w="324" w:type="pct"/>
            <w:vMerge w:val="continue"/>
            <w:tcBorders>
              <w:left w:val="single" w:color="000000" w:sz="4" w:space="0"/>
              <w:right w:val="single" w:color="000000" w:sz="4" w:space="0"/>
            </w:tcBorders>
            <w:noWrap w:val="0"/>
            <w:vAlign w:val="center"/>
          </w:tcPr>
          <w:p w14:paraId="49120CAA">
            <w:pPr>
              <w:jc w:val="center"/>
              <w:rPr>
                <w:rFonts w:hint="eastAsia" w:ascii="宋体" w:hAnsi="宋体" w:cs="宋体"/>
                <w:b/>
                <w:bCs/>
                <w:color w:val="auto"/>
                <w:sz w:val="21"/>
                <w:szCs w:val="21"/>
                <w:highlight w:val="none"/>
                <w:lang w:bidi="ar"/>
              </w:rPr>
            </w:pPr>
          </w:p>
        </w:tc>
        <w:tc>
          <w:tcPr>
            <w:tcW w:w="2066" w:type="pct"/>
            <w:gridSpan w:val="2"/>
            <w:tcBorders>
              <w:top w:val="single" w:color="000000" w:sz="4" w:space="0"/>
              <w:left w:val="single" w:color="000000" w:sz="4" w:space="0"/>
              <w:bottom w:val="single" w:color="000000" w:sz="4" w:space="0"/>
              <w:right w:val="single" w:color="000000" w:sz="4" w:space="0"/>
            </w:tcBorders>
            <w:noWrap w:val="0"/>
            <w:vAlign w:val="center"/>
          </w:tcPr>
          <w:p w14:paraId="759A9C2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主管人员</w:t>
            </w:r>
          </w:p>
        </w:tc>
        <w:tc>
          <w:tcPr>
            <w:tcW w:w="479" w:type="pct"/>
            <w:vMerge w:val="continue"/>
            <w:tcBorders>
              <w:left w:val="single" w:color="000000" w:sz="4" w:space="0"/>
              <w:bottom w:val="single" w:color="000000" w:sz="4" w:space="0"/>
              <w:right w:val="single" w:color="000000" w:sz="4" w:space="0"/>
            </w:tcBorders>
            <w:noWrap w:val="0"/>
            <w:vAlign w:val="center"/>
          </w:tcPr>
          <w:p w14:paraId="32C80AC7">
            <w:pPr>
              <w:jc w:val="center"/>
              <w:rPr>
                <w:rFonts w:hint="eastAsia" w:ascii="宋体" w:hAnsi="宋体" w:cs="宋体"/>
                <w:b/>
                <w:bCs/>
                <w:color w:val="auto"/>
                <w:sz w:val="21"/>
                <w:szCs w:val="21"/>
                <w:highlight w:val="none"/>
                <w:lang w:bidi="ar"/>
              </w:rPr>
            </w:pPr>
          </w:p>
        </w:tc>
        <w:tc>
          <w:tcPr>
            <w:tcW w:w="2129" w:type="pct"/>
            <w:gridSpan w:val="3"/>
            <w:tcBorders>
              <w:top w:val="single" w:color="000000" w:sz="4" w:space="0"/>
              <w:left w:val="single" w:color="000000" w:sz="4" w:space="0"/>
              <w:bottom w:val="single" w:color="000000" w:sz="4" w:space="0"/>
              <w:right w:val="single" w:color="000000" w:sz="4" w:space="0"/>
            </w:tcBorders>
            <w:noWrap w:val="0"/>
            <w:vAlign w:val="center"/>
          </w:tcPr>
          <w:p w14:paraId="16417F0A">
            <w:pPr>
              <w:jc w:val="center"/>
              <w:rPr>
                <w:rFonts w:hint="default" w:ascii="宋体" w:hAnsi="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3</w:t>
            </w:r>
          </w:p>
        </w:tc>
      </w:tr>
      <w:tr w14:paraId="0D70487C">
        <w:tblPrEx>
          <w:tblCellMar>
            <w:top w:w="0" w:type="dxa"/>
            <w:left w:w="108" w:type="dxa"/>
            <w:bottom w:w="0" w:type="dxa"/>
            <w:right w:w="108" w:type="dxa"/>
          </w:tblCellMar>
        </w:tblPrEx>
        <w:trPr>
          <w:trHeight w:val="620" w:hRule="atLeast"/>
          <w:jc w:val="center"/>
        </w:trPr>
        <w:tc>
          <w:tcPr>
            <w:tcW w:w="324" w:type="pct"/>
            <w:vMerge w:val="continue"/>
            <w:tcBorders>
              <w:left w:val="single" w:color="000000" w:sz="4" w:space="0"/>
              <w:bottom w:val="single" w:color="000000" w:sz="4" w:space="0"/>
              <w:right w:val="single" w:color="000000" w:sz="4" w:space="0"/>
            </w:tcBorders>
            <w:noWrap w:val="0"/>
            <w:vAlign w:val="center"/>
          </w:tcPr>
          <w:p w14:paraId="1A672704">
            <w:pPr>
              <w:jc w:val="center"/>
              <w:rPr>
                <w:rFonts w:hint="eastAsia" w:ascii="宋体" w:hAnsi="宋体" w:cs="宋体"/>
                <w:b/>
                <w:bCs/>
                <w:color w:val="auto"/>
                <w:sz w:val="21"/>
                <w:szCs w:val="21"/>
                <w:highlight w:val="none"/>
                <w:lang w:bidi="ar"/>
              </w:rPr>
            </w:pPr>
          </w:p>
        </w:tc>
        <w:tc>
          <w:tcPr>
            <w:tcW w:w="2066" w:type="pct"/>
            <w:gridSpan w:val="2"/>
            <w:tcBorders>
              <w:top w:val="single" w:color="000000" w:sz="4" w:space="0"/>
              <w:left w:val="single" w:color="000000" w:sz="4" w:space="0"/>
              <w:bottom w:val="single" w:color="000000" w:sz="4" w:space="0"/>
              <w:right w:val="single" w:color="000000" w:sz="4" w:space="0"/>
            </w:tcBorders>
            <w:noWrap w:val="0"/>
            <w:vAlign w:val="center"/>
          </w:tcPr>
          <w:p w14:paraId="03F09BC2">
            <w:pPr>
              <w:keepNext w:val="0"/>
              <w:keepLines w:val="0"/>
              <w:widowControl/>
              <w:suppressLineNumbers w:val="0"/>
              <w:jc w:val="center"/>
              <w:textAlignment w:val="center"/>
              <w:rPr>
                <w:rFonts w:hint="eastAsia" w:ascii="宋体" w:hAnsi="宋体" w:cs="宋体"/>
                <w:b/>
                <w:bCs/>
                <w:color w:val="auto"/>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水电主管</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1043A023">
            <w:pPr>
              <w:jc w:val="center"/>
              <w:rPr>
                <w:rFonts w:hint="eastAsia" w:ascii="宋体" w:hAnsi="宋体" w:cs="宋体"/>
                <w:b/>
                <w:bCs/>
                <w:color w:val="auto"/>
                <w:sz w:val="21"/>
                <w:szCs w:val="21"/>
                <w:highlight w:val="none"/>
                <w:lang w:bidi="ar"/>
              </w:rPr>
            </w:pPr>
          </w:p>
        </w:tc>
        <w:tc>
          <w:tcPr>
            <w:tcW w:w="2129" w:type="pct"/>
            <w:gridSpan w:val="3"/>
            <w:tcBorders>
              <w:top w:val="single" w:color="000000" w:sz="4" w:space="0"/>
              <w:left w:val="single" w:color="000000" w:sz="4" w:space="0"/>
              <w:bottom w:val="single" w:color="000000" w:sz="4" w:space="0"/>
              <w:right w:val="single" w:color="000000" w:sz="4" w:space="0"/>
            </w:tcBorders>
            <w:noWrap w:val="0"/>
            <w:vAlign w:val="center"/>
          </w:tcPr>
          <w:p w14:paraId="0A84F719">
            <w:pPr>
              <w:jc w:val="center"/>
              <w:rPr>
                <w:rFonts w:hint="default" w:ascii="宋体" w:hAnsi="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1</w:t>
            </w:r>
          </w:p>
        </w:tc>
      </w:tr>
      <w:tr w14:paraId="51EA349B">
        <w:tblPrEx>
          <w:tblCellMar>
            <w:top w:w="0" w:type="dxa"/>
            <w:left w:w="108" w:type="dxa"/>
            <w:bottom w:w="0" w:type="dxa"/>
            <w:right w:w="108" w:type="dxa"/>
          </w:tblCellMar>
        </w:tblPrEx>
        <w:trPr>
          <w:trHeight w:val="620" w:hRule="atLeast"/>
          <w:jc w:val="center"/>
        </w:trPr>
        <w:tc>
          <w:tcPr>
            <w:tcW w:w="324" w:type="pct"/>
            <w:vMerge w:val="restart"/>
            <w:tcBorders>
              <w:top w:val="single" w:color="000000" w:sz="4" w:space="0"/>
              <w:left w:val="single" w:color="000000" w:sz="4" w:space="0"/>
              <w:bottom w:val="single" w:color="000000" w:sz="4" w:space="0"/>
              <w:right w:val="single" w:color="000000" w:sz="4" w:space="0"/>
            </w:tcBorders>
            <w:noWrap w:val="0"/>
            <w:vAlign w:val="center"/>
          </w:tcPr>
          <w:p w14:paraId="3F2E1544">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2</w:t>
            </w:r>
          </w:p>
        </w:tc>
        <w:tc>
          <w:tcPr>
            <w:tcW w:w="774" w:type="pct"/>
            <w:vMerge w:val="restart"/>
            <w:tcBorders>
              <w:top w:val="single" w:color="000000" w:sz="4" w:space="0"/>
              <w:left w:val="single" w:color="000000" w:sz="4" w:space="0"/>
              <w:right w:val="single" w:color="000000" w:sz="4" w:space="0"/>
            </w:tcBorders>
            <w:noWrap w:val="0"/>
            <w:vAlign w:val="center"/>
          </w:tcPr>
          <w:p w14:paraId="732D3B2D">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公共服务</w:t>
            </w: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6CCB3C78">
            <w:pPr>
              <w:jc w:val="center"/>
              <w:rPr>
                <w:rFonts w:ascii="宋体" w:hAnsi="宋体" w:cs="宋体"/>
                <w:color w:val="auto"/>
                <w:sz w:val="21"/>
                <w:szCs w:val="21"/>
                <w:highlight w:val="none"/>
              </w:rPr>
            </w:pPr>
            <w:r>
              <w:rPr>
                <w:rFonts w:hint="eastAsia" w:ascii="宋体" w:hAnsi="宋体" w:cs="宋体"/>
                <w:color w:val="auto"/>
                <w:sz w:val="21"/>
                <w:szCs w:val="21"/>
                <w:highlight w:val="none"/>
                <w:lang w:val="en-US" w:eastAsia="zh-CN" w:bidi="ar"/>
              </w:rPr>
              <w:t>运送</w:t>
            </w:r>
            <w:r>
              <w:rPr>
                <w:rFonts w:hint="eastAsia" w:ascii="宋体" w:hAnsi="宋体" w:cs="宋体"/>
                <w:color w:val="auto"/>
                <w:sz w:val="21"/>
                <w:szCs w:val="21"/>
                <w:highlight w:val="none"/>
                <w:lang w:bidi="ar"/>
              </w:rPr>
              <w:t>中心调度</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07329E0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全院</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4A15A763">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2</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3CAA868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773BB216">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79B5CBAD">
        <w:tblPrEx>
          <w:tblCellMar>
            <w:top w:w="0" w:type="dxa"/>
            <w:left w:w="108" w:type="dxa"/>
            <w:bottom w:w="0" w:type="dxa"/>
            <w:right w:w="108" w:type="dxa"/>
          </w:tblCellMar>
        </w:tblPrEx>
        <w:trPr>
          <w:trHeight w:val="62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C9F30B">
            <w:pPr>
              <w:jc w:val="center"/>
              <w:rPr>
                <w:rFonts w:ascii="宋体" w:hAnsi="宋体" w:cs="宋体"/>
                <w:b/>
                <w:bCs/>
                <w:color w:val="auto"/>
                <w:sz w:val="21"/>
                <w:szCs w:val="21"/>
                <w:highlight w:val="none"/>
              </w:rPr>
            </w:pPr>
          </w:p>
        </w:tc>
        <w:tc>
          <w:tcPr>
            <w:tcW w:w="774" w:type="pct"/>
            <w:vMerge w:val="continue"/>
            <w:tcBorders>
              <w:left w:val="single" w:color="000000" w:sz="4" w:space="0"/>
              <w:right w:val="single" w:color="000000" w:sz="4" w:space="0"/>
            </w:tcBorders>
            <w:noWrap w:val="0"/>
            <w:vAlign w:val="center"/>
          </w:tcPr>
          <w:p w14:paraId="08FEE663">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4482A7BD">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搬运/机动</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5EF8E6">
            <w:pPr>
              <w:jc w:val="center"/>
              <w:rPr>
                <w:rFonts w:ascii="宋体" w:hAnsi="宋体" w:cs="宋体"/>
                <w:color w:val="auto"/>
                <w:sz w:val="21"/>
                <w:szCs w:val="21"/>
                <w:highlight w:val="none"/>
              </w:rPr>
            </w:pP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2AEC75C4">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1FB9BB4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6200B310">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1B0B0D4B">
        <w:tblPrEx>
          <w:tblCellMar>
            <w:top w:w="0" w:type="dxa"/>
            <w:left w:w="108" w:type="dxa"/>
            <w:bottom w:w="0" w:type="dxa"/>
            <w:right w:w="108" w:type="dxa"/>
          </w:tblCellMar>
        </w:tblPrEx>
        <w:trPr>
          <w:trHeight w:val="62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C2233D">
            <w:pPr>
              <w:jc w:val="center"/>
              <w:rPr>
                <w:rFonts w:ascii="宋体" w:hAnsi="宋体" w:cs="宋体"/>
                <w:b/>
                <w:bCs/>
                <w:color w:val="auto"/>
                <w:sz w:val="21"/>
                <w:szCs w:val="21"/>
                <w:highlight w:val="none"/>
              </w:rPr>
            </w:pPr>
          </w:p>
        </w:tc>
        <w:tc>
          <w:tcPr>
            <w:tcW w:w="774" w:type="pct"/>
            <w:vMerge w:val="continue"/>
            <w:tcBorders>
              <w:left w:val="single" w:color="000000" w:sz="4" w:space="0"/>
              <w:right w:val="single" w:color="000000" w:sz="4" w:space="0"/>
            </w:tcBorders>
            <w:noWrap w:val="0"/>
            <w:vAlign w:val="center"/>
          </w:tcPr>
          <w:p w14:paraId="5F70DC94">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25ED02CD">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
              </w:rPr>
              <w:t>运送和陪检</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1B6DD4">
            <w:pPr>
              <w:jc w:val="center"/>
              <w:rPr>
                <w:rFonts w:ascii="宋体" w:hAnsi="宋体" w:cs="宋体"/>
                <w:color w:val="auto"/>
                <w:sz w:val="21"/>
                <w:szCs w:val="21"/>
                <w:highlight w:val="none"/>
              </w:rPr>
            </w:pP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261A3ECC">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14</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10BCA9B8">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2A3CC7F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1F7426F3">
        <w:tblPrEx>
          <w:tblCellMar>
            <w:top w:w="0" w:type="dxa"/>
            <w:left w:w="108" w:type="dxa"/>
            <w:bottom w:w="0" w:type="dxa"/>
            <w:right w:w="108" w:type="dxa"/>
          </w:tblCellMar>
        </w:tblPrEx>
        <w:trPr>
          <w:trHeight w:val="62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CF8850">
            <w:pPr>
              <w:jc w:val="center"/>
              <w:rPr>
                <w:rFonts w:ascii="宋体" w:hAnsi="宋体" w:cs="宋体"/>
                <w:b/>
                <w:bCs/>
                <w:color w:val="auto"/>
                <w:sz w:val="21"/>
                <w:szCs w:val="21"/>
                <w:highlight w:val="none"/>
              </w:rPr>
            </w:pPr>
          </w:p>
        </w:tc>
        <w:tc>
          <w:tcPr>
            <w:tcW w:w="774" w:type="pct"/>
            <w:vMerge w:val="continue"/>
            <w:tcBorders>
              <w:left w:val="single" w:color="000000" w:sz="4" w:space="0"/>
              <w:right w:val="single" w:color="000000" w:sz="4" w:space="0"/>
            </w:tcBorders>
            <w:noWrap w:val="0"/>
            <w:vAlign w:val="center"/>
          </w:tcPr>
          <w:p w14:paraId="320CC6FC">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34C60E5C">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
              </w:rPr>
              <w:t>收废品</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B8B23F">
            <w:pPr>
              <w:jc w:val="center"/>
              <w:rPr>
                <w:rFonts w:ascii="宋体" w:hAnsi="宋体" w:cs="宋体"/>
                <w:color w:val="auto"/>
                <w:sz w:val="21"/>
                <w:szCs w:val="21"/>
                <w:highlight w:val="none"/>
              </w:rPr>
            </w:pP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508B9F35">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71D11FF2">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5EA9287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5B1C8823">
        <w:tblPrEx>
          <w:tblCellMar>
            <w:top w:w="0" w:type="dxa"/>
            <w:left w:w="108" w:type="dxa"/>
            <w:bottom w:w="0" w:type="dxa"/>
            <w:right w:w="108" w:type="dxa"/>
          </w:tblCellMar>
        </w:tblPrEx>
        <w:trPr>
          <w:trHeight w:val="4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F3D0A7">
            <w:pPr>
              <w:jc w:val="center"/>
              <w:rPr>
                <w:rFonts w:ascii="宋体" w:hAnsi="宋体" w:cs="宋体"/>
                <w:b/>
                <w:bCs/>
                <w:color w:val="auto"/>
                <w:sz w:val="21"/>
                <w:szCs w:val="21"/>
                <w:highlight w:val="none"/>
              </w:rPr>
            </w:pPr>
          </w:p>
        </w:tc>
        <w:tc>
          <w:tcPr>
            <w:tcW w:w="774" w:type="pct"/>
            <w:vMerge w:val="continue"/>
            <w:tcBorders>
              <w:left w:val="single" w:color="000000" w:sz="4" w:space="0"/>
              <w:right w:val="single" w:color="000000" w:sz="4" w:space="0"/>
            </w:tcBorders>
            <w:noWrap w:val="0"/>
            <w:vAlign w:val="center"/>
          </w:tcPr>
          <w:p w14:paraId="227B050B">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0FE9915A">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中夜班</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10D7AA">
            <w:pPr>
              <w:jc w:val="center"/>
              <w:rPr>
                <w:rFonts w:ascii="宋体" w:hAnsi="宋体" w:cs="宋体"/>
                <w:color w:val="auto"/>
                <w:sz w:val="21"/>
                <w:szCs w:val="21"/>
                <w:highlight w:val="none"/>
              </w:rPr>
            </w:pP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08EFCC5E">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3</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23846CC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755F3309">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35AB71BE">
        <w:tblPrEx>
          <w:tblCellMar>
            <w:top w:w="0" w:type="dxa"/>
            <w:left w:w="108" w:type="dxa"/>
            <w:bottom w:w="0" w:type="dxa"/>
            <w:right w:w="108" w:type="dxa"/>
          </w:tblCellMar>
        </w:tblPrEx>
        <w:trPr>
          <w:trHeight w:val="567"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E4B5D5">
            <w:pPr>
              <w:jc w:val="center"/>
              <w:rPr>
                <w:rFonts w:ascii="宋体" w:hAnsi="宋体" w:cs="宋体"/>
                <w:b/>
                <w:bCs/>
                <w:color w:val="auto"/>
                <w:sz w:val="21"/>
                <w:szCs w:val="21"/>
                <w:highlight w:val="none"/>
              </w:rPr>
            </w:pPr>
          </w:p>
        </w:tc>
        <w:tc>
          <w:tcPr>
            <w:tcW w:w="774" w:type="pct"/>
            <w:vMerge w:val="continue"/>
            <w:tcBorders>
              <w:left w:val="single" w:color="000000" w:sz="4" w:space="0"/>
              <w:right w:val="single" w:color="000000" w:sz="4" w:space="0"/>
            </w:tcBorders>
            <w:noWrap w:val="0"/>
            <w:vAlign w:val="center"/>
          </w:tcPr>
          <w:p w14:paraId="789DD448">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right w:val="single" w:color="000000" w:sz="4" w:space="0"/>
            </w:tcBorders>
            <w:noWrap w:val="0"/>
            <w:vAlign w:val="center"/>
          </w:tcPr>
          <w:p w14:paraId="61394491">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水电及杂项维修</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EAF168">
            <w:pPr>
              <w:jc w:val="center"/>
              <w:rPr>
                <w:rFonts w:ascii="宋体" w:hAnsi="宋体" w:cs="宋体"/>
                <w:color w:val="auto"/>
                <w:sz w:val="21"/>
                <w:szCs w:val="21"/>
                <w:highlight w:val="none"/>
              </w:rPr>
            </w:pPr>
          </w:p>
        </w:tc>
        <w:tc>
          <w:tcPr>
            <w:tcW w:w="701" w:type="pct"/>
            <w:tcBorders>
              <w:top w:val="single" w:color="000000" w:sz="4" w:space="0"/>
              <w:left w:val="single" w:color="000000" w:sz="4" w:space="0"/>
              <w:right w:val="single" w:color="000000" w:sz="4" w:space="0"/>
            </w:tcBorders>
            <w:noWrap/>
            <w:vAlign w:val="center"/>
          </w:tcPr>
          <w:p w14:paraId="74C751D9">
            <w:pPr>
              <w:jc w:val="center"/>
              <w:rPr>
                <w:rFonts w:hint="eastAsia" w:ascii="宋体" w:hAnsi="宋体" w:eastAsia="宋体" w:cs="宋体"/>
                <w:b/>
                <w:bCs/>
                <w:color w:val="auto"/>
                <w:sz w:val="21"/>
                <w:szCs w:val="21"/>
                <w:highlight w:val="none"/>
                <w:lang w:val="en-US" w:eastAsia="zh-CN"/>
              </w:rPr>
            </w:pPr>
          </w:p>
        </w:tc>
        <w:tc>
          <w:tcPr>
            <w:tcW w:w="685" w:type="pct"/>
            <w:tcBorders>
              <w:top w:val="single" w:color="000000" w:sz="4" w:space="0"/>
              <w:left w:val="single" w:color="000000" w:sz="4" w:space="0"/>
              <w:right w:val="single" w:color="000000" w:sz="4" w:space="0"/>
            </w:tcBorders>
            <w:noWrap w:val="0"/>
            <w:vAlign w:val="center"/>
          </w:tcPr>
          <w:p w14:paraId="40B7FEFA">
            <w:pPr>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bidi="ar"/>
              </w:rPr>
              <w:t>6</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208D52F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495A0454">
        <w:tblPrEx>
          <w:tblCellMar>
            <w:top w:w="0" w:type="dxa"/>
            <w:left w:w="108" w:type="dxa"/>
            <w:bottom w:w="0" w:type="dxa"/>
            <w:right w:w="108" w:type="dxa"/>
          </w:tblCellMar>
        </w:tblPrEx>
        <w:trPr>
          <w:trHeight w:val="576"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090925">
            <w:pPr>
              <w:jc w:val="center"/>
              <w:rPr>
                <w:rFonts w:ascii="宋体" w:hAnsi="宋体" w:cs="宋体"/>
                <w:b/>
                <w:bCs/>
                <w:color w:val="auto"/>
                <w:sz w:val="21"/>
                <w:szCs w:val="21"/>
                <w:highlight w:val="none"/>
              </w:rPr>
            </w:pPr>
          </w:p>
        </w:tc>
        <w:tc>
          <w:tcPr>
            <w:tcW w:w="774" w:type="pct"/>
            <w:vMerge w:val="continue"/>
            <w:tcBorders>
              <w:left w:val="single" w:color="000000" w:sz="4" w:space="0"/>
              <w:right w:val="single" w:color="000000" w:sz="4" w:space="0"/>
            </w:tcBorders>
            <w:noWrap w:val="0"/>
            <w:vAlign w:val="center"/>
          </w:tcPr>
          <w:p w14:paraId="5A66C3BE">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3453128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洗衣房管理、集中清洗</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686034">
            <w:pPr>
              <w:jc w:val="center"/>
              <w:rPr>
                <w:rFonts w:ascii="宋体" w:hAnsi="宋体" w:cs="宋体"/>
                <w:color w:val="auto"/>
                <w:sz w:val="21"/>
                <w:szCs w:val="21"/>
                <w:highlight w:val="none"/>
              </w:rPr>
            </w:pP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1122F8FD">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2</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7DAF0C50">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404F10A6">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1F90A14D">
        <w:tblPrEx>
          <w:tblCellMar>
            <w:top w:w="0" w:type="dxa"/>
            <w:left w:w="108" w:type="dxa"/>
            <w:bottom w:w="0" w:type="dxa"/>
            <w:right w:w="108" w:type="dxa"/>
          </w:tblCellMar>
        </w:tblPrEx>
        <w:trPr>
          <w:trHeight w:val="4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467639">
            <w:pPr>
              <w:jc w:val="center"/>
              <w:rPr>
                <w:rFonts w:ascii="宋体" w:hAnsi="宋体" w:cs="宋体"/>
                <w:b/>
                <w:bCs/>
                <w:color w:val="auto"/>
                <w:sz w:val="21"/>
                <w:szCs w:val="21"/>
                <w:highlight w:val="none"/>
              </w:rPr>
            </w:pPr>
          </w:p>
        </w:tc>
        <w:tc>
          <w:tcPr>
            <w:tcW w:w="774" w:type="pct"/>
            <w:vMerge w:val="continue"/>
            <w:tcBorders>
              <w:left w:val="single" w:color="000000" w:sz="4" w:space="0"/>
              <w:right w:val="single" w:color="000000" w:sz="4" w:space="0"/>
            </w:tcBorders>
            <w:noWrap w:val="0"/>
            <w:vAlign w:val="center"/>
          </w:tcPr>
          <w:p w14:paraId="14763D63">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5F000472">
            <w:pPr>
              <w:jc w:val="center"/>
              <w:rPr>
                <w:rFonts w:ascii="宋体" w:hAnsi="宋体" w:cs="宋体"/>
                <w:color w:val="auto"/>
                <w:sz w:val="21"/>
                <w:szCs w:val="21"/>
                <w:highlight w:val="none"/>
              </w:rPr>
            </w:pPr>
            <w:r>
              <w:rPr>
                <w:rFonts w:hint="eastAsia" w:ascii="宋体" w:hAnsi="宋体" w:cs="宋体"/>
                <w:color w:val="auto"/>
                <w:sz w:val="21"/>
                <w:szCs w:val="21"/>
                <w:highlight w:val="none"/>
                <w:lang w:val="en-US" w:eastAsia="zh-CN" w:bidi="ar"/>
              </w:rPr>
              <w:t>器械</w:t>
            </w:r>
            <w:r>
              <w:rPr>
                <w:rFonts w:hint="eastAsia" w:ascii="宋体" w:hAnsi="宋体" w:cs="宋体"/>
                <w:color w:val="auto"/>
                <w:sz w:val="21"/>
                <w:szCs w:val="21"/>
                <w:highlight w:val="none"/>
                <w:lang w:bidi="ar"/>
              </w:rPr>
              <w:t>下收下送</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922E12">
            <w:pPr>
              <w:jc w:val="center"/>
              <w:rPr>
                <w:rFonts w:ascii="宋体" w:hAnsi="宋体" w:cs="宋体"/>
                <w:color w:val="auto"/>
                <w:sz w:val="21"/>
                <w:szCs w:val="21"/>
                <w:highlight w:val="none"/>
              </w:rPr>
            </w:pP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27E08527">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2</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4AD786E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08A43626">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06A00638">
        <w:tblPrEx>
          <w:tblCellMar>
            <w:top w:w="0" w:type="dxa"/>
            <w:left w:w="108" w:type="dxa"/>
            <w:bottom w:w="0" w:type="dxa"/>
            <w:right w:w="108" w:type="dxa"/>
          </w:tblCellMar>
        </w:tblPrEx>
        <w:trPr>
          <w:trHeight w:val="4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3B6ED7">
            <w:pPr>
              <w:jc w:val="center"/>
              <w:rPr>
                <w:rFonts w:ascii="宋体" w:hAnsi="宋体" w:cs="宋体"/>
                <w:b/>
                <w:bCs/>
                <w:color w:val="auto"/>
                <w:sz w:val="21"/>
                <w:szCs w:val="21"/>
                <w:highlight w:val="none"/>
              </w:rPr>
            </w:pPr>
          </w:p>
        </w:tc>
        <w:tc>
          <w:tcPr>
            <w:tcW w:w="774" w:type="pct"/>
            <w:vMerge w:val="continue"/>
            <w:tcBorders>
              <w:left w:val="single" w:color="000000" w:sz="4" w:space="0"/>
              <w:bottom w:val="single" w:color="000000" w:sz="4" w:space="0"/>
              <w:right w:val="single" w:color="000000" w:sz="4" w:space="0"/>
            </w:tcBorders>
            <w:noWrap w:val="0"/>
            <w:vAlign w:val="center"/>
          </w:tcPr>
          <w:p w14:paraId="3C5C847E">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60AA3316">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消毒员</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27046B18">
            <w:pPr>
              <w:jc w:val="center"/>
              <w:rPr>
                <w:rFonts w:ascii="宋体" w:hAnsi="宋体" w:cs="宋体"/>
                <w:color w:val="auto"/>
                <w:sz w:val="21"/>
                <w:szCs w:val="21"/>
                <w:highlight w:val="none"/>
              </w:rPr>
            </w:pP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25666FB0">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1</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7FD5601E">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024FE1D1">
            <w:pPr>
              <w:jc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w:t>
            </w:r>
          </w:p>
        </w:tc>
      </w:tr>
      <w:tr w14:paraId="5C3D51CF">
        <w:tblPrEx>
          <w:tblCellMar>
            <w:top w:w="0" w:type="dxa"/>
            <w:left w:w="108" w:type="dxa"/>
            <w:bottom w:w="0" w:type="dxa"/>
            <w:right w:w="108" w:type="dxa"/>
          </w:tblCellMar>
        </w:tblPrEx>
        <w:trPr>
          <w:trHeight w:val="52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A41E9D">
            <w:pPr>
              <w:jc w:val="center"/>
              <w:rPr>
                <w:rFonts w:ascii="宋体" w:hAnsi="宋体" w:cs="宋体"/>
                <w:b/>
                <w:bCs/>
                <w:color w:val="auto"/>
                <w:sz w:val="21"/>
                <w:szCs w:val="21"/>
                <w:highlight w:val="none"/>
              </w:rPr>
            </w:pPr>
          </w:p>
        </w:tc>
        <w:tc>
          <w:tcPr>
            <w:tcW w:w="2066" w:type="pct"/>
            <w:gridSpan w:val="2"/>
            <w:tcBorders>
              <w:top w:val="single" w:color="000000" w:sz="4" w:space="0"/>
              <w:left w:val="single" w:color="000000" w:sz="4" w:space="0"/>
              <w:bottom w:val="single" w:color="000000" w:sz="4" w:space="0"/>
              <w:right w:val="single" w:color="000000" w:sz="4" w:space="0"/>
            </w:tcBorders>
            <w:noWrap w:val="0"/>
            <w:vAlign w:val="center"/>
          </w:tcPr>
          <w:p w14:paraId="35BA186E">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公共服务替班人员</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4297ECB4">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3B06F32F">
            <w:pPr>
              <w:jc w:val="center"/>
              <w:rPr>
                <w:rFonts w:ascii="宋体" w:hAnsi="宋体" w:cs="宋体"/>
                <w:b/>
                <w:bCs/>
                <w:color w:val="auto"/>
                <w:sz w:val="21"/>
                <w:szCs w:val="21"/>
                <w:highlight w:val="none"/>
              </w:rPr>
            </w:pPr>
          </w:p>
        </w:tc>
      </w:tr>
      <w:tr w14:paraId="4B235D7E">
        <w:tblPrEx>
          <w:tblCellMar>
            <w:top w:w="0" w:type="dxa"/>
            <w:left w:w="108" w:type="dxa"/>
            <w:bottom w:w="0" w:type="dxa"/>
            <w:right w:w="108" w:type="dxa"/>
          </w:tblCellMar>
        </w:tblPrEx>
        <w:trPr>
          <w:trHeight w:val="520" w:hRule="atLeast"/>
          <w:jc w:val="center"/>
        </w:trPr>
        <w:tc>
          <w:tcPr>
            <w:tcW w:w="2390" w:type="pct"/>
            <w:gridSpan w:val="3"/>
            <w:tcBorders>
              <w:top w:val="single" w:color="000000" w:sz="4" w:space="0"/>
              <w:left w:val="single" w:color="000000" w:sz="4" w:space="0"/>
              <w:bottom w:val="single" w:color="000000" w:sz="4" w:space="0"/>
              <w:right w:val="single" w:color="000000" w:sz="4" w:space="0"/>
            </w:tcBorders>
            <w:noWrap w:val="0"/>
            <w:vAlign w:val="center"/>
          </w:tcPr>
          <w:p w14:paraId="5C8BD120">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公共服务人员小计</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2AE3F801">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7C529D71">
            <w:pPr>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bidi="ar"/>
              </w:rPr>
              <w:t>35</w:t>
            </w:r>
          </w:p>
        </w:tc>
      </w:tr>
      <w:tr w14:paraId="22D27899">
        <w:tblPrEx>
          <w:tblCellMar>
            <w:top w:w="0" w:type="dxa"/>
            <w:left w:w="108" w:type="dxa"/>
            <w:bottom w:w="0" w:type="dxa"/>
            <w:right w:w="108" w:type="dxa"/>
          </w:tblCellMar>
        </w:tblPrEx>
        <w:trPr>
          <w:trHeight w:val="480" w:hRule="atLeast"/>
          <w:jc w:val="center"/>
        </w:trPr>
        <w:tc>
          <w:tcPr>
            <w:tcW w:w="324" w:type="pct"/>
            <w:vMerge w:val="restart"/>
            <w:tcBorders>
              <w:top w:val="single" w:color="000000" w:sz="4" w:space="0"/>
              <w:left w:val="single" w:color="000000" w:sz="4" w:space="0"/>
              <w:bottom w:val="single" w:color="000000" w:sz="4" w:space="0"/>
              <w:right w:val="single" w:color="000000" w:sz="4" w:space="0"/>
            </w:tcBorders>
            <w:noWrap w:val="0"/>
            <w:vAlign w:val="center"/>
          </w:tcPr>
          <w:p w14:paraId="2AFE7ED3">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3</w:t>
            </w:r>
          </w:p>
        </w:tc>
        <w:tc>
          <w:tcPr>
            <w:tcW w:w="774" w:type="pct"/>
            <w:vMerge w:val="restart"/>
            <w:tcBorders>
              <w:top w:val="single" w:color="000000" w:sz="4" w:space="0"/>
              <w:left w:val="single" w:color="000000" w:sz="4" w:space="0"/>
              <w:bottom w:val="single" w:color="000000" w:sz="4" w:space="0"/>
              <w:right w:val="single" w:color="000000" w:sz="4" w:space="0"/>
            </w:tcBorders>
            <w:noWrap w:val="0"/>
            <w:vAlign w:val="center"/>
          </w:tcPr>
          <w:p w14:paraId="3B153BAB">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北塔楼</w:t>
            </w:r>
          </w:p>
        </w:tc>
        <w:tc>
          <w:tcPr>
            <w:tcW w:w="1292" w:type="pct"/>
            <w:vMerge w:val="restart"/>
            <w:tcBorders>
              <w:top w:val="single" w:color="000000" w:sz="4" w:space="0"/>
              <w:left w:val="single" w:color="000000" w:sz="4" w:space="0"/>
              <w:bottom w:val="single" w:color="000000" w:sz="4" w:space="0"/>
              <w:right w:val="single" w:color="000000" w:sz="4" w:space="0"/>
            </w:tcBorders>
            <w:noWrap w:val="0"/>
            <w:vAlign w:val="center"/>
          </w:tcPr>
          <w:p w14:paraId="166636AC">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儿科病房</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23B86262">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13F</w:t>
            </w: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6E9A0ECD">
            <w:pPr>
              <w:jc w:val="center"/>
              <w:rPr>
                <w:rFonts w:ascii="宋体" w:hAnsi="宋体" w:cs="宋体"/>
                <w:color w:val="auto"/>
                <w:sz w:val="21"/>
                <w:szCs w:val="21"/>
                <w:highlight w:val="none"/>
              </w:rPr>
            </w:pPr>
          </w:p>
        </w:tc>
        <w:tc>
          <w:tcPr>
            <w:tcW w:w="685" w:type="pct"/>
            <w:vMerge w:val="restart"/>
            <w:tcBorders>
              <w:top w:val="single" w:color="000000" w:sz="4" w:space="0"/>
              <w:left w:val="single" w:color="000000" w:sz="4" w:space="0"/>
              <w:bottom w:val="single" w:color="000000" w:sz="4" w:space="0"/>
              <w:right w:val="single" w:color="000000" w:sz="4" w:space="0"/>
            </w:tcBorders>
            <w:noWrap/>
            <w:vAlign w:val="center"/>
          </w:tcPr>
          <w:p w14:paraId="17F69788">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251FF662">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3A7D434F">
        <w:tblPrEx>
          <w:tblCellMar>
            <w:top w:w="0" w:type="dxa"/>
            <w:left w:w="108" w:type="dxa"/>
            <w:bottom w:w="0" w:type="dxa"/>
            <w:right w:w="108" w:type="dxa"/>
          </w:tblCellMar>
        </w:tblPrEx>
        <w:trPr>
          <w:trHeight w:val="4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A39740">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C4C896">
            <w:pPr>
              <w:jc w:val="center"/>
              <w:rPr>
                <w:rFonts w:ascii="宋体" w:hAnsi="宋体" w:cs="宋体"/>
                <w:b/>
                <w:bCs/>
                <w:color w:val="auto"/>
                <w:sz w:val="21"/>
                <w:szCs w:val="21"/>
                <w:highlight w:val="none"/>
              </w:rPr>
            </w:pPr>
          </w:p>
        </w:tc>
        <w:tc>
          <w:tcPr>
            <w:tcW w:w="129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E4B980">
            <w:pPr>
              <w:jc w:val="center"/>
              <w:rPr>
                <w:rFonts w:ascii="宋体" w:hAnsi="宋体" w:cs="宋体"/>
                <w:color w:val="auto"/>
                <w:sz w:val="21"/>
                <w:szCs w:val="21"/>
                <w:highlight w:val="none"/>
              </w:rPr>
            </w:pP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6C63DF2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12F</w:t>
            </w: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4B932695">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ign w:val="center"/>
          </w:tcPr>
          <w:p w14:paraId="5A71EE8F">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62CFABC6">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416541BA">
        <w:tblPrEx>
          <w:tblCellMar>
            <w:top w:w="0" w:type="dxa"/>
            <w:left w:w="108" w:type="dxa"/>
            <w:bottom w:w="0" w:type="dxa"/>
            <w:right w:w="108" w:type="dxa"/>
          </w:tblCellMar>
        </w:tblPrEx>
        <w:trPr>
          <w:trHeight w:val="4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8F7C2C">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81C721">
            <w:pPr>
              <w:jc w:val="center"/>
              <w:rPr>
                <w:rFonts w:ascii="宋体" w:hAnsi="宋体" w:cs="宋体"/>
                <w:b/>
                <w:bCs/>
                <w:color w:val="auto"/>
                <w:sz w:val="21"/>
                <w:szCs w:val="21"/>
                <w:highlight w:val="none"/>
              </w:rPr>
            </w:pPr>
          </w:p>
        </w:tc>
        <w:tc>
          <w:tcPr>
            <w:tcW w:w="129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F9598B">
            <w:pPr>
              <w:jc w:val="center"/>
              <w:rPr>
                <w:rFonts w:ascii="宋体" w:hAnsi="宋体" w:cs="宋体"/>
                <w:color w:val="auto"/>
                <w:sz w:val="21"/>
                <w:szCs w:val="21"/>
                <w:highlight w:val="none"/>
              </w:rPr>
            </w:pP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701306BC">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11F</w:t>
            </w: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6322BE07">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ign w:val="center"/>
          </w:tcPr>
          <w:p w14:paraId="3B2B36BD">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5ED0EF8E">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6AFB6002">
        <w:tblPrEx>
          <w:tblCellMar>
            <w:top w:w="0" w:type="dxa"/>
            <w:left w:w="108" w:type="dxa"/>
            <w:bottom w:w="0" w:type="dxa"/>
            <w:right w:w="108" w:type="dxa"/>
          </w:tblCellMar>
        </w:tblPrEx>
        <w:trPr>
          <w:trHeight w:val="4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9C300E">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ED09BC">
            <w:pPr>
              <w:jc w:val="center"/>
              <w:rPr>
                <w:rFonts w:ascii="宋体" w:hAnsi="宋体" w:cs="宋体"/>
                <w:b/>
                <w:bCs/>
                <w:color w:val="auto"/>
                <w:sz w:val="21"/>
                <w:szCs w:val="21"/>
                <w:highlight w:val="none"/>
              </w:rPr>
            </w:pPr>
          </w:p>
        </w:tc>
        <w:tc>
          <w:tcPr>
            <w:tcW w:w="129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C6EF7A">
            <w:pPr>
              <w:jc w:val="center"/>
              <w:rPr>
                <w:rFonts w:ascii="宋体" w:hAnsi="宋体" w:cs="宋体"/>
                <w:color w:val="auto"/>
                <w:sz w:val="21"/>
                <w:szCs w:val="21"/>
                <w:highlight w:val="none"/>
              </w:rPr>
            </w:pP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7A727B32">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10F</w:t>
            </w: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1A34037D">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ign w:val="center"/>
          </w:tcPr>
          <w:p w14:paraId="1C753EF4">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072C6F4F">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1EF2628D">
        <w:tblPrEx>
          <w:tblCellMar>
            <w:top w:w="0" w:type="dxa"/>
            <w:left w:w="108" w:type="dxa"/>
            <w:bottom w:w="0" w:type="dxa"/>
            <w:right w:w="108" w:type="dxa"/>
          </w:tblCellMar>
        </w:tblPrEx>
        <w:trPr>
          <w:trHeight w:val="4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262085">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761E89">
            <w:pPr>
              <w:jc w:val="center"/>
              <w:rPr>
                <w:rFonts w:ascii="宋体" w:hAnsi="宋体" w:cs="宋体"/>
                <w:b/>
                <w:bCs/>
                <w:color w:val="auto"/>
                <w:sz w:val="21"/>
                <w:szCs w:val="21"/>
                <w:highlight w:val="none"/>
              </w:rPr>
            </w:pPr>
          </w:p>
        </w:tc>
        <w:tc>
          <w:tcPr>
            <w:tcW w:w="129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A88891">
            <w:pPr>
              <w:jc w:val="center"/>
              <w:rPr>
                <w:rFonts w:ascii="宋体" w:hAnsi="宋体" w:cs="宋体"/>
                <w:color w:val="auto"/>
                <w:sz w:val="21"/>
                <w:szCs w:val="21"/>
                <w:highlight w:val="none"/>
              </w:rPr>
            </w:pP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7085F56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9F</w:t>
            </w: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77279476">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ign w:val="center"/>
          </w:tcPr>
          <w:p w14:paraId="7513EE26">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7CF247F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43F06DB0">
        <w:tblPrEx>
          <w:tblCellMar>
            <w:top w:w="0" w:type="dxa"/>
            <w:left w:w="108" w:type="dxa"/>
            <w:bottom w:w="0" w:type="dxa"/>
            <w:right w:w="108" w:type="dxa"/>
          </w:tblCellMar>
        </w:tblPrEx>
        <w:trPr>
          <w:trHeight w:val="4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6991E7">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87C6E9">
            <w:pPr>
              <w:jc w:val="center"/>
              <w:rPr>
                <w:rFonts w:ascii="宋体" w:hAnsi="宋体" w:cs="宋体"/>
                <w:b/>
                <w:bCs/>
                <w:color w:val="auto"/>
                <w:sz w:val="21"/>
                <w:szCs w:val="21"/>
                <w:highlight w:val="none"/>
              </w:rPr>
            </w:pPr>
          </w:p>
        </w:tc>
        <w:tc>
          <w:tcPr>
            <w:tcW w:w="129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EDFF20">
            <w:pPr>
              <w:jc w:val="center"/>
              <w:rPr>
                <w:rFonts w:ascii="宋体" w:hAnsi="宋体" w:cs="宋体"/>
                <w:color w:val="auto"/>
                <w:sz w:val="21"/>
                <w:szCs w:val="21"/>
                <w:highlight w:val="none"/>
              </w:rPr>
            </w:pP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7117FBE4">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8F</w:t>
            </w: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02124216">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ign w:val="center"/>
          </w:tcPr>
          <w:p w14:paraId="66E4B562">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2B4A9CD1">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77CB3864">
        <w:tblPrEx>
          <w:tblCellMar>
            <w:top w:w="0" w:type="dxa"/>
            <w:left w:w="108" w:type="dxa"/>
            <w:bottom w:w="0" w:type="dxa"/>
            <w:right w:w="108" w:type="dxa"/>
          </w:tblCellMar>
        </w:tblPrEx>
        <w:trPr>
          <w:trHeight w:val="4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B42C50">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180378">
            <w:pPr>
              <w:jc w:val="center"/>
              <w:rPr>
                <w:rFonts w:ascii="宋体" w:hAnsi="宋体" w:cs="宋体"/>
                <w:b/>
                <w:bCs/>
                <w:color w:val="auto"/>
                <w:sz w:val="21"/>
                <w:szCs w:val="21"/>
                <w:highlight w:val="none"/>
              </w:rPr>
            </w:pPr>
          </w:p>
        </w:tc>
        <w:tc>
          <w:tcPr>
            <w:tcW w:w="129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8ABBC8">
            <w:pPr>
              <w:jc w:val="center"/>
              <w:rPr>
                <w:rFonts w:ascii="宋体" w:hAnsi="宋体" w:cs="宋体"/>
                <w:color w:val="auto"/>
                <w:sz w:val="21"/>
                <w:szCs w:val="21"/>
                <w:highlight w:val="none"/>
              </w:rPr>
            </w:pP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238171BC">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7F</w:t>
            </w: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4B09B445">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ign w:val="center"/>
          </w:tcPr>
          <w:p w14:paraId="0A1587F8">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1B7BA28F">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02F5CA35">
        <w:tblPrEx>
          <w:tblCellMar>
            <w:top w:w="0" w:type="dxa"/>
            <w:left w:w="108" w:type="dxa"/>
            <w:bottom w:w="0" w:type="dxa"/>
            <w:right w:w="108" w:type="dxa"/>
          </w:tblCellMar>
        </w:tblPrEx>
        <w:trPr>
          <w:trHeight w:val="4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C2D0F6">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3E4790">
            <w:pPr>
              <w:jc w:val="center"/>
              <w:rPr>
                <w:rFonts w:ascii="宋体" w:hAnsi="宋体" w:cs="宋体"/>
                <w:b/>
                <w:bCs/>
                <w:color w:val="auto"/>
                <w:sz w:val="21"/>
                <w:szCs w:val="21"/>
                <w:highlight w:val="none"/>
              </w:rPr>
            </w:pPr>
          </w:p>
        </w:tc>
        <w:tc>
          <w:tcPr>
            <w:tcW w:w="129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8ECBBD">
            <w:pPr>
              <w:jc w:val="center"/>
              <w:rPr>
                <w:rFonts w:ascii="宋体" w:hAnsi="宋体" w:cs="宋体"/>
                <w:color w:val="auto"/>
                <w:sz w:val="21"/>
                <w:szCs w:val="21"/>
                <w:highlight w:val="none"/>
              </w:rPr>
            </w:pP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4AE6945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6F</w:t>
            </w: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04A2FDC0">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ign w:val="center"/>
          </w:tcPr>
          <w:p w14:paraId="17D30F53">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440D0592">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43BC2996">
        <w:tblPrEx>
          <w:tblCellMar>
            <w:top w:w="0" w:type="dxa"/>
            <w:left w:w="108" w:type="dxa"/>
            <w:bottom w:w="0" w:type="dxa"/>
            <w:right w:w="108" w:type="dxa"/>
          </w:tblCellMar>
        </w:tblPrEx>
        <w:trPr>
          <w:trHeight w:val="6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21D6D0">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3EA125">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4541BD19">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新生儿病房（VIP）</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42D951B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5F</w:t>
            </w: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31F8EBD3">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ign w:val="center"/>
          </w:tcPr>
          <w:p w14:paraId="77D2008A">
            <w:pPr>
              <w:jc w:val="center"/>
              <w:rPr>
                <w:rFonts w:ascii="宋体" w:hAnsi="宋体" w:cs="宋体"/>
                <w:color w:val="auto"/>
                <w:sz w:val="21"/>
                <w:szCs w:val="21"/>
                <w:highlight w:val="none"/>
              </w:rPr>
            </w:pPr>
          </w:p>
        </w:tc>
        <w:tc>
          <w:tcPr>
            <w:tcW w:w="742" w:type="pct"/>
            <w:vMerge w:val="restart"/>
            <w:tcBorders>
              <w:top w:val="single" w:color="000000" w:sz="4" w:space="0"/>
              <w:left w:val="single" w:color="000000" w:sz="4" w:space="0"/>
              <w:bottom w:val="single" w:color="000000" w:sz="4" w:space="0"/>
              <w:right w:val="single" w:color="000000" w:sz="4" w:space="0"/>
            </w:tcBorders>
            <w:noWrap/>
            <w:vAlign w:val="center"/>
          </w:tcPr>
          <w:p w14:paraId="5C1633DB">
            <w:pPr>
              <w:jc w:val="center"/>
              <w:rPr>
                <w:rFonts w:ascii="宋体" w:hAnsi="宋体" w:cs="宋体"/>
                <w:color w:val="auto"/>
                <w:sz w:val="21"/>
                <w:szCs w:val="21"/>
                <w:highlight w:val="none"/>
              </w:rPr>
            </w:pPr>
          </w:p>
        </w:tc>
      </w:tr>
      <w:tr w14:paraId="61E9CDB6">
        <w:tblPrEx>
          <w:tblCellMar>
            <w:top w:w="0" w:type="dxa"/>
            <w:left w:w="108" w:type="dxa"/>
            <w:bottom w:w="0" w:type="dxa"/>
            <w:right w:w="108" w:type="dxa"/>
          </w:tblCellMar>
        </w:tblPrEx>
        <w:trPr>
          <w:trHeight w:val="576"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B56CCC">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4FE995">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05D65B92">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新生儿病房（NICU）</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7CC21D4A">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4F</w:t>
            </w: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5307D937">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685" w:type="pct"/>
            <w:vMerge w:val="continue"/>
            <w:tcBorders>
              <w:top w:val="single" w:color="000000" w:sz="4" w:space="0"/>
              <w:left w:val="single" w:color="000000" w:sz="4" w:space="0"/>
              <w:bottom w:val="single" w:color="000000" w:sz="4" w:space="0"/>
              <w:right w:val="single" w:color="000000" w:sz="4" w:space="0"/>
            </w:tcBorders>
            <w:noWrap/>
            <w:vAlign w:val="center"/>
          </w:tcPr>
          <w:p w14:paraId="48C62D23">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542863CB">
            <w:pPr>
              <w:jc w:val="center"/>
              <w:rPr>
                <w:rFonts w:ascii="宋体" w:hAnsi="宋体" w:cs="宋体"/>
                <w:color w:val="auto"/>
                <w:sz w:val="21"/>
                <w:szCs w:val="21"/>
                <w:highlight w:val="none"/>
              </w:rPr>
            </w:pPr>
          </w:p>
        </w:tc>
      </w:tr>
      <w:tr w14:paraId="6E279339">
        <w:trPr>
          <w:trHeight w:val="4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F62F50">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9815E7">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4D91A014">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儿童康复训练</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6A5A9D61">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3F</w:t>
            </w: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15E6DB9B">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ign w:val="center"/>
          </w:tcPr>
          <w:p w14:paraId="14DAD808">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5A7405F9">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6598A871">
        <w:tblPrEx>
          <w:tblCellMar>
            <w:top w:w="0" w:type="dxa"/>
            <w:left w:w="108" w:type="dxa"/>
            <w:bottom w:w="0" w:type="dxa"/>
            <w:right w:w="108" w:type="dxa"/>
          </w:tblCellMar>
        </w:tblPrEx>
        <w:trPr>
          <w:trHeight w:val="4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1954BF">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AD5342">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769FDC9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营养科门诊</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4CF177C9">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2F</w:t>
            </w: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16D34BB4">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ign w:val="center"/>
          </w:tcPr>
          <w:p w14:paraId="05343BF5">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5515C5B8">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34C69FAA">
        <w:tblPrEx>
          <w:tblCellMar>
            <w:top w:w="0" w:type="dxa"/>
            <w:left w:w="108" w:type="dxa"/>
            <w:bottom w:w="0" w:type="dxa"/>
            <w:right w:w="108" w:type="dxa"/>
          </w:tblCellMar>
        </w:tblPrEx>
        <w:trPr>
          <w:trHeight w:val="72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6240C1">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D0483D">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39039E7B">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出入院/信息科/门诊办等</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31805DFF">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1F</w:t>
            </w:r>
          </w:p>
        </w:tc>
        <w:tc>
          <w:tcPr>
            <w:tcW w:w="701" w:type="pct"/>
            <w:tcBorders>
              <w:top w:val="single" w:color="000000" w:sz="4" w:space="0"/>
              <w:left w:val="single" w:color="000000" w:sz="4" w:space="0"/>
              <w:bottom w:val="single" w:color="000000" w:sz="4" w:space="0"/>
              <w:right w:val="single" w:color="000000" w:sz="4" w:space="0"/>
            </w:tcBorders>
            <w:noWrap/>
            <w:vAlign w:val="center"/>
          </w:tcPr>
          <w:p w14:paraId="225507F9">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ign w:val="center"/>
          </w:tcPr>
          <w:p w14:paraId="78FA9342">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4DD7C0CE">
            <w:pPr>
              <w:jc w:val="center"/>
              <w:rPr>
                <w:rFonts w:ascii="宋体" w:hAnsi="宋体" w:cs="宋体"/>
                <w:color w:val="auto"/>
                <w:sz w:val="21"/>
                <w:szCs w:val="21"/>
                <w:highlight w:val="none"/>
              </w:rPr>
            </w:pPr>
          </w:p>
        </w:tc>
      </w:tr>
      <w:tr w14:paraId="5D952635">
        <w:tblPrEx>
          <w:tblCellMar>
            <w:top w:w="0" w:type="dxa"/>
            <w:left w:w="108" w:type="dxa"/>
            <w:bottom w:w="0" w:type="dxa"/>
            <w:right w:w="108" w:type="dxa"/>
          </w:tblCellMar>
        </w:tblPrEx>
        <w:trPr>
          <w:trHeight w:val="6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6810D9">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8145B5">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20CEEB3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一次性耗材仓库/太平间、解剖室</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5F1822EF">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4D7DFAC0">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ign w:val="center"/>
          </w:tcPr>
          <w:p w14:paraId="0593D3B6">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57B6FEB8">
            <w:pPr>
              <w:jc w:val="center"/>
              <w:rPr>
                <w:rFonts w:ascii="宋体" w:hAnsi="宋体" w:cs="宋体"/>
                <w:color w:val="auto"/>
                <w:sz w:val="21"/>
                <w:szCs w:val="21"/>
                <w:highlight w:val="none"/>
              </w:rPr>
            </w:pPr>
          </w:p>
        </w:tc>
      </w:tr>
      <w:tr w14:paraId="5CC839A5">
        <w:tblPrEx>
          <w:tblCellMar>
            <w:top w:w="0" w:type="dxa"/>
            <w:left w:w="108" w:type="dxa"/>
            <w:bottom w:w="0" w:type="dxa"/>
            <w:right w:w="108" w:type="dxa"/>
          </w:tblCellMar>
        </w:tblPrEx>
        <w:trPr>
          <w:trHeight w:val="4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91D009">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AF29BA">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0AF12E80">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地下车库</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4F1B73AF">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-2F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58C18F15">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ign w:val="center"/>
          </w:tcPr>
          <w:p w14:paraId="6775822E">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7AA68CB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67138935">
        <w:tblPrEx>
          <w:tblCellMar>
            <w:top w:w="0" w:type="dxa"/>
            <w:left w:w="108" w:type="dxa"/>
            <w:bottom w:w="0" w:type="dxa"/>
            <w:right w:w="108" w:type="dxa"/>
          </w:tblCellMar>
        </w:tblPrEx>
        <w:trPr>
          <w:trHeight w:val="5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7E6790">
            <w:pPr>
              <w:jc w:val="center"/>
              <w:rPr>
                <w:rFonts w:ascii="宋体" w:hAnsi="宋体" w:cs="宋体"/>
                <w:b/>
                <w:bCs/>
                <w:color w:val="auto"/>
                <w:sz w:val="21"/>
                <w:szCs w:val="21"/>
                <w:highlight w:val="none"/>
              </w:rPr>
            </w:pPr>
          </w:p>
        </w:tc>
        <w:tc>
          <w:tcPr>
            <w:tcW w:w="2066" w:type="pct"/>
            <w:gridSpan w:val="2"/>
            <w:tcBorders>
              <w:top w:val="single" w:color="000000" w:sz="4" w:space="0"/>
              <w:left w:val="single" w:color="000000" w:sz="4" w:space="0"/>
              <w:bottom w:val="single" w:color="000000" w:sz="4" w:space="0"/>
              <w:right w:val="single" w:color="000000" w:sz="4" w:space="0"/>
            </w:tcBorders>
            <w:noWrap w:val="0"/>
            <w:vAlign w:val="center"/>
          </w:tcPr>
          <w:p w14:paraId="2F5DC6BA">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北塔楼替班人员</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70F875A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6DC85400">
            <w:pPr>
              <w:jc w:val="center"/>
              <w:rPr>
                <w:rFonts w:ascii="宋体" w:hAnsi="宋体" w:cs="宋体"/>
                <w:b/>
                <w:bCs/>
                <w:color w:val="auto"/>
                <w:sz w:val="21"/>
                <w:szCs w:val="21"/>
                <w:highlight w:val="none"/>
              </w:rPr>
            </w:pPr>
          </w:p>
        </w:tc>
      </w:tr>
      <w:tr w14:paraId="75969035">
        <w:tblPrEx>
          <w:tblCellMar>
            <w:top w:w="0" w:type="dxa"/>
            <w:left w:w="108" w:type="dxa"/>
            <w:bottom w:w="0" w:type="dxa"/>
            <w:right w:w="108" w:type="dxa"/>
          </w:tblCellMar>
        </w:tblPrEx>
        <w:trPr>
          <w:trHeight w:val="540" w:hRule="atLeast"/>
          <w:jc w:val="center"/>
        </w:trPr>
        <w:tc>
          <w:tcPr>
            <w:tcW w:w="2390" w:type="pct"/>
            <w:gridSpan w:val="3"/>
            <w:tcBorders>
              <w:top w:val="single" w:color="000000" w:sz="4" w:space="0"/>
              <w:left w:val="single" w:color="000000" w:sz="4" w:space="0"/>
              <w:bottom w:val="single" w:color="000000" w:sz="4" w:space="0"/>
              <w:right w:val="single" w:color="000000" w:sz="4" w:space="0"/>
            </w:tcBorders>
            <w:noWrap w:val="0"/>
            <w:vAlign w:val="center"/>
          </w:tcPr>
          <w:p w14:paraId="13A584BF">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北塔楼人员小计</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2F658018">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7DFD8774">
            <w:pPr>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bidi="ar"/>
              </w:rPr>
              <w:t>4</w:t>
            </w:r>
          </w:p>
        </w:tc>
      </w:tr>
      <w:tr w14:paraId="56A3659F">
        <w:tblPrEx>
          <w:tblCellMar>
            <w:top w:w="0" w:type="dxa"/>
            <w:left w:w="108" w:type="dxa"/>
            <w:bottom w:w="0" w:type="dxa"/>
            <w:right w:w="108" w:type="dxa"/>
          </w:tblCellMar>
        </w:tblPrEx>
        <w:trPr>
          <w:trHeight w:val="460" w:hRule="atLeast"/>
          <w:jc w:val="center"/>
        </w:trPr>
        <w:tc>
          <w:tcPr>
            <w:tcW w:w="324" w:type="pct"/>
            <w:vMerge w:val="restart"/>
            <w:tcBorders>
              <w:top w:val="single" w:color="000000" w:sz="4" w:space="0"/>
              <w:left w:val="single" w:color="000000" w:sz="4" w:space="0"/>
              <w:bottom w:val="single" w:color="000000" w:sz="4" w:space="0"/>
              <w:right w:val="single" w:color="000000" w:sz="4" w:space="0"/>
            </w:tcBorders>
            <w:noWrap w:val="0"/>
            <w:vAlign w:val="center"/>
          </w:tcPr>
          <w:p w14:paraId="7EE33086">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4</w:t>
            </w:r>
          </w:p>
        </w:tc>
        <w:tc>
          <w:tcPr>
            <w:tcW w:w="774" w:type="pct"/>
            <w:vMerge w:val="restart"/>
            <w:tcBorders>
              <w:top w:val="single" w:color="000000" w:sz="4" w:space="0"/>
              <w:left w:val="single" w:color="000000" w:sz="4" w:space="0"/>
              <w:bottom w:val="single" w:color="000000" w:sz="4" w:space="0"/>
              <w:right w:val="single" w:color="000000" w:sz="4" w:space="0"/>
            </w:tcBorders>
            <w:noWrap w:val="0"/>
            <w:vAlign w:val="center"/>
          </w:tcPr>
          <w:p w14:paraId="1AB52B09">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南塔楼</w:t>
            </w:r>
          </w:p>
        </w:tc>
        <w:tc>
          <w:tcPr>
            <w:tcW w:w="1292" w:type="pct"/>
            <w:vMerge w:val="restart"/>
            <w:tcBorders>
              <w:top w:val="single" w:color="000000" w:sz="4" w:space="0"/>
              <w:left w:val="single" w:color="000000" w:sz="4" w:space="0"/>
              <w:bottom w:val="single" w:color="000000" w:sz="4" w:space="0"/>
              <w:right w:val="single" w:color="000000" w:sz="4" w:space="0"/>
            </w:tcBorders>
            <w:noWrap w:val="0"/>
            <w:vAlign w:val="center"/>
          </w:tcPr>
          <w:p w14:paraId="49E52DFE">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产科病房（VIP）</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44E76702">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13F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31733C66">
            <w:pPr>
              <w:jc w:val="center"/>
              <w:rPr>
                <w:rFonts w:ascii="宋体" w:hAnsi="宋体" w:cs="宋体"/>
                <w:color w:val="auto"/>
                <w:sz w:val="21"/>
                <w:szCs w:val="21"/>
                <w:highlight w:val="none"/>
              </w:rPr>
            </w:pPr>
          </w:p>
        </w:tc>
        <w:tc>
          <w:tcPr>
            <w:tcW w:w="685" w:type="pct"/>
            <w:vMerge w:val="restart"/>
            <w:tcBorders>
              <w:top w:val="single" w:color="000000" w:sz="4" w:space="0"/>
              <w:left w:val="single" w:color="000000" w:sz="4" w:space="0"/>
              <w:bottom w:val="single" w:color="000000" w:sz="4" w:space="0"/>
              <w:right w:val="single" w:color="000000" w:sz="4" w:space="0"/>
            </w:tcBorders>
            <w:noWrap w:val="0"/>
            <w:vAlign w:val="center"/>
          </w:tcPr>
          <w:p w14:paraId="1DE73E08">
            <w:pPr>
              <w:jc w:val="center"/>
              <w:rPr>
                <w:rFonts w:ascii="宋体" w:hAnsi="宋体" w:cs="宋体"/>
                <w:color w:val="auto"/>
                <w:sz w:val="21"/>
                <w:szCs w:val="21"/>
                <w:highlight w:val="none"/>
              </w:rPr>
            </w:pPr>
          </w:p>
        </w:tc>
        <w:tc>
          <w:tcPr>
            <w:tcW w:w="742" w:type="pct"/>
            <w:vMerge w:val="restart"/>
            <w:tcBorders>
              <w:top w:val="single" w:color="000000" w:sz="4" w:space="0"/>
              <w:left w:val="single" w:color="000000" w:sz="4" w:space="0"/>
              <w:bottom w:val="single" w:color="000000" w:sz="4" w:space="0"/>
              <w:right w:val="single" w:color="000000" w:sz="4" w:space="0"/>
            </w:tcBorders>
            <w:noWrap w:val="0"/>
            <w:vAlign w:val="center"/>
          </w:tcPr>
          <w:p w14:paraId="5CE31502">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611CA2EB">
        <w:tblPrEx>
          <w:tblCellMar>
            <w:top w:w="0" w:type="dxa"/>
            <w:left w:w="108" w:type="dxa"/>
            <w:bottom w:w="0" w:type="dxa"/>
            <w:right w:w="108" w:type="dxa"/>
          </w:tblCellMar>
        </w:tblPrEx>
        <w:trPr>
          <w:trHeight w:val="4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9C2563">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8B126A">
            <w:pPr>
              <w:jc w:val="center"/>
              <w:rPr>
                <w:rFonts w:ascii="宋体" w:hAnsi="宋体" w:cs="宋体"/>
                <w:b/>
                <w:bCs/>
                <w:color w:val="auto"/>
                <w:sz w:val="21"/>
                <w:szCs w:val="21"/>
                <w:highlight w:val="none"/>
              </w:rPr>
            </w:pPr>
          </w:p>
        </w:tc>
        <w:tc>
          <w:tcPr>
            <w:tcW w:w="129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310616">
            <w:pPr>
              <w:jc w:val="center"/>
              <w:rPr>
                <w:rFonts w:ascii="宋体" w:hAnsi="宋体" w:cs="宋体"/>
                <w:color w:val="auto"/>
                <w:sz w:val="21"/>
                <w:szCs w:val="21"/>
                <w:highlight w:val="none"/>
              </w:rPr>
            </w:pP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158C49B2">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12F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44275ED9">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DC48D8">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D95913">
            <w:pPr>
              <w:jc w:val="center"/>
              <w:rPr>
                <w:rFonts w:ascii="宋体" w:hAnsi="宋体" w:cs="宋体"/>
                <w:color w:val="auto"/>
                <w:sz w:val="21"/>
                <w:szCs w:val="21"/>
                <w:highlight w:val="none"/>
              </w:rPr>
            </w:pPr>
          </w:p>
        </w:tc>
      </w:tr>
      <w:tr w14:paraId="14070411">
        <w:tblPrEx>
          <w:tblCellMar>
            <w:top w:w="0" w:type="dxa"/>
            <w:left w:w="108" w:type="dxa"/>
            <w:bottom w:w="0" w:type="dxa"/>
            <w:right w:w="108" w:type="dxa"/>
          </w:tblCellMar>
        </w:tblPrEx>
        <w:trPr>
          <w:trHeight w:val="4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8BA05B">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5ABC67">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691BEB18">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产科病房</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7F64487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11F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189ED07A">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E9F016">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9D1819">
            <w:pPr>
              <w:jc w:val="center"/>
              <w:rPr>
                <w:rFonts w:ascii="宋体" w:hAnsi="宋体" w:cs="宋体"/>
                <w:color w:val="auto"/>
                <w:sz w:val="21"/>
                <w:szCs w:val="21"/>
                <w:highlight w:val="none"/>
              </w:rPr>
            </w:pPr>
          </w:p>
        </w:tc>
      </w:tr>
      <w:tr w14:paraId="267DEAD2">
        <w:tblPrEx>
          <w:tblCellMar>
            <w:top w:w="0" w:type="dxa"/>
            <w:left w:w="108" w:type="dxa"/>
            <w:bottom w:w="0" w:type="dxa"/>
            <w:right w:w="108" w:type="dxa"/>
          </w:tblCellMar>
        </w:tblPrEx>
        <w:trPr>
          <w:trHeight w:val="4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422910">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C0D084">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265BADCB">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产科病房</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1A2D0C1B">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10F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7769DD66">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FF40B6">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949BB2">
            <w:pPr>
              <w:jc w:val="center"/>
              <w:rPr>
                <w:rFonts w:ascii="宋体" w:hAnsi="宋体" w:cs="宋体"/>
                <w:color w:val="auto"/>
                <w:sz w:val="21"/>
                <w:szCs w:val="21"/>
                <w:highlight w:val="none"/>
              </w:rPr>
            </w:pPr>
          </w:p>
        </w:tc>
      </w:tr>
      <w:tr w14:paraId="326DE733">
        <w:tblPrEx>
          <w:tblCellMar>
            <w:top w:w="0" w:type="dxa"/>
            <w:left w:w="108" w:type="dxa"/>
            <w:bottom w:w="0" w:type="dxa"/>
            <w:right w:w="108" w:type="dxa"/>
          </w:tblCellMar>
        </w:tblPrEx>
        <w:trPr>
          <w:trHeight w:val="4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3A67E9">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7977FD">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5579E4E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产科病房</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1C4152F8">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9F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0530A265">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4CF3DE">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674C92">
            <w:pPr>
              <w:jc w:val="center"/>
              <w:rPr>
                <w:rFonts w:ascii="宋体" w:hAnsi="宋体" w:cs="宋体"/>
                <w:color w:val="auto"/>
                <w:sz w:val="21"/>
                <w:szCs w:val="21"/>
                <w:highlight w:val="none"/>
              </w:rPr>
            </w:pPr>
          </w:p>
        </w:tc>
      </w:tr>
      <w:tr w14:paraId="4DA2247F">
        <w:tblPrEx>
          <w:tblCellMar>
            <w:top w:w="0" w:type="dxa"/>
            <w:left w:w="108" w:type="dxa"/>
            <w:bottom w:w="0" w:type="dxa"/>
            <w:right w:w="108" w:type="dxa"/>
          </w:tblCellMar>
        </w:tblPrEx>
        <w:trPr>
          <w:trHeight w:val="576"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577EDE">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11767B">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77964FB4">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产科</w:t>
            </w:r>
            <w:r>
              <w:rPr>
                <w:rFonts w:hint="eastAsia" w:ascii="宋体" w:hAnsi="宋体" w:cs="宋体"/>
                <w:color w:val="auto"/>
                <w:sz w:val="21"/>
                <w:szCs w:val="21"/>
                <w:highlight w:val="none"/>
                <w:lang w:val="en-US" w:eastAsia="zh-CN" w:bidi="ar"/>
              </w:rPr>
              <w:t>家化</w:t>
            </w:r>
            <w:r>
              <w:rPr>
                <w:rFonts w:hint="eastAsia" w:ascii="宋体" w:hAnsi="宋体" w:cs="宋体"/>
                <w:color w:val="auto"/>
                <w:sz w:val="21"/>
                <w:szCs w:val="21"/>
                <w:highlight w:val="none"/>
                <w:lang w:bidi="ar"/>
              </w:rPr>
              <w:t>病房</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75B589CF">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8F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7E19F011">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268F4B">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4A7C21">
            <w:pPr>
              <w:jc w:val="center"/>
              <w:rPr>
                <w:rFonts w:ascii="宋体" w:hAnsi="宋体" w:cs="宋体"/>
                <w:color w:val="auto"/>
                <w:sz w:val="21"/>
                <w:szCs w:val="21"/>
                <w:highlight w:val="none"/>
              </w:rPr>
            </w:pPr>
          </w:p>
        </w:tc>
      </w:tr>
      <w:tr w14:paraId="31818959">
        <w:tblPrEx>
          <w:tblCellMar>
            <w:top w:w="0" w:type="dxa"/>
            <w:left w:w="108" w:type="dxa"/>
            <w:bottom w:w="0" w:type="dxa"/>
            <w:right w:w="108" w:type="dxa"/>
          </w:tblCellMar>
        </w:tblPrEx>
        <w:trPr>
          <w:trHeight w:val="4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360695">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7170B6">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4F8BA42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产科</w:t>
            </w:r>
            <w:r>
              <w:rPr>
                <w:rFonts w:hint="eastAsia" w:ascii="宋体" w:hAnsi="宋体" w:cs="宋体"/>
                <w:color w:val="auto"/>
                <w:sz w:val="21"/>
                <w:szCs w:val="21"/>
                <w:highlight w:val="none"/>
                <w:lang w:val="en-US" w:eastAsia="zh-CN" w:bidi="ar"/>
              </w:rPr>
              <w:t>家化</w:t>
            </w:r>
            <w:r>
              <w:rPr>
                <w:rFonts w:hint="eastAsia" w:ascii="宋体" w:hAnsi="宋体" w:cs="宋体"/>
                <w:color w:val="auto"/>
                <w:sz w:val="21"/>
                <w:szCs w:val="21"/>
                <w:highlight w:val="none"/>
                <w:lang w:bidi="ar"/>
              </w:rPr>
              <w:t>病房</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555A82A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7F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4CED61FD">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B66A75">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D1772A">
            <w:pPr>
              <w:jc w:val="center"/>
              <w:rPr>
                <w:rFonts w:ascii="宋体" w:hAnsi="宋体" w:cs="宋体"/>
                <w:color w:val="auto"/>
                <w:sz w:val="21"/>
                <w:szCs w:val="21"/>
                <w:highlight w:val="none"/>
              </w:rPr>
            </w:pPr>
          </w:p>
        </w:tc>
      </w:tr>
      <w:tr w14:paraId="13EE77AA">
        <w:tblPrEx>
          <w:tblCellMar>
            <w:top w:w="0" w:type="dxa"/>
            <w:left w:w="108" w:type="dxa"/>
            <w:bottom w:w="0" w:type="dxa"/>
            <w:right w:w="108" w:type="dxa"/>
          </w:tblCellMar>
        </w:tblPrEx>
        <w:trPr>
          <w:trHeight w:val="4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9C273B">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FE2460">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331ED2CC">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产科病房</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63B3841C">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6F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3101D71F">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0F42F2">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EDC3AD">
            <w:pPr>
              <w:jc w:val="center"/>
              <w:rPr>
                <w:rFonts w:ascii="宋体" w:hAnsi="宋体" w:cs="宋体"/>
                <w:color w:val="auto"/>
                <w:sz w:val="21"/>
                <w:szCs w:val="21"/>
                <w:highlight w:val="none"/>
              </w:rPr>
            </w:pPr>
          </w:p>
        </w:tc>
      </w:tr>
      <w:tr w14:paraId="2A6F939D">
        <w:tblPrEx>
          <w:tblCellMar>
            <w:top w:w="0" w:type="dxa"/>
            <w:left w:w="108" w:type="dxa"/>
            <w:bottom w:w="0" w:type="dxa"/>
            <w:right w:w="108" w:type="dxa"/>
          </w:tblCellMar>
        </w:tblPrEx>
        <w:trPr>
          <w:trHeight w:val="4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E9C616">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284306">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6E93780C">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产科病房（MICU）</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6CB3AFD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5F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7E688631">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1C6170">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690260">
            <w:pPr>
              <w:jc w:val="center"/>
              <w:rPr>
                <w:rFonts w:ascii="宋体" w:hAnsi="宋体" w:cs="宋体"/>
                <w:color w:val="auto"/>
                <w:sz w:val="21"/>
                <w:szCs w:val="21"/>
                <w:highlight w:val="none"/>
              </w:rPr>
            </w:pPr>
          </w:p>
        </w:tc>
      </w:tr>
      <w:tr w14:paraId="1564D3EC">
        <w:tblPrEx>
          <w:tblCellMar>
            <w:top w:w="0" w:type="dxa"/>
            <w:left w:w="108" w:type="dxa"/>
            <w:bottom w:w="0" w:type="dxa"/>
            <w:right w:w="108" w:type="dxa"/>
          </w:tblCellMar>
        </w:tblPrEx>
        <w:trPr>
          <w:trHeight w:val="4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224111">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89DE24">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4988C90B">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产房</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0406CDF1">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4F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29251A23">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FE43BF">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2E5210">
            <w:pPr>
              <w:jc w:val="center"/>
              <w:rPr>
                <w:rFonts w:ascii="宋体" w:hAnsi="宋体" w:cs="宋体"/>
                <w:color w:val="auto"/>
                <w:sz w:val="21"/>
                <w:szCs w:val="21"/>
                <w:highlight w:val="none"/>
              </w:rPr>
            </w:pPr>
          </w:p>
        </w:tc>
      </w:tr>
      <w:tr w14:paraId="24E79238">
        <w:tblPrEx>
          <w:tblCellMar>
            <w:top w:w="0" w:type="dxa"/>
            <w:left w:w="108" w:type="dxa"/>
            <w:bottom w:w="0" w:type="dxa"/>
            <w:right w:w="108" w:type="dxa"/>
          </w:tblCellMar>
        </w:tblPrEx>
        <w:trPr>
          <w:trHeight w:val="4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BD14A3">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7C3B3D">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3B0D106A">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生殖技术（IUI）</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765C21B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3F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7BD03F49">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0C7C4F">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CE2EB1">
            <w:pPr>
              <w:jc w:val="center"/>
              <w:rPr>
                <w:rFonts w:ascii="宋体" w:hAnsi="宋体" w:cs="宋体"/>
                <w:color w:val="auto"/>
                <w:sz w:val="21"/>
                <w:szCs w:val="21"/>
                <w:highlight w:val="none"/>
              </w:rPr>
            </w:pPr>
          </w:p>
        </w:tc>
      </w:tr>
      <w:tr w14:paraId="3D7D35EE">
        <w:tblPrEx>
          <w:tblCellMar>
            <w:top w:w="0" w:type="dxa"/>
            <w:left w:w="108" w:type="dxa"/>
            <w:bottom w:w="0" w:type="dxa"/>
            <w:right w:w="108" w:type="dxa"/>
          </w:tblCellMar>
        </w:tblPrEx>
        <w:trPr>
          <w:trHeight w:val="4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C87EB7">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65FB7B">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64E2D8A8">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妇科病房</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51E3EB0A">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2F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2C3D2E39">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46521A">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AD17F0">
            <w:pPr>
              <w:jc w:val="center"/>
              <w:rPr>
                <w:rFonts w:ascii="宋体" w:hAnsi="宋体" w:cs="宋体"/>
                <w:color w:val="auto"/>
                <w:sz w:val="21"/>
                <w:szCs w:val="21"/>
                <w:highlight w:val="none"/>
              </w:rPr>
            </w:pPr>
          </w:p>
        </w:tc>
      </w:tr>
      <w:tr w14:paraId="37770384">
        <w:tblPrEx>
          <w:tblCellMar>
            <w:top w:w="0" w:type="dxa"/>
            <w:left w:w="108" w:type="dxa"/>
            <w:bottom w:w="0" w:type="dxa"/>
            <w:right w:w="108" w:type="dxa"/>
          </w:tblCellMar>
        </w:tblPrEx>
        <w:trPr>
          <w:trHeight w:val="6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72BFE2">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CE3379">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464EB4B9">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急诊检验科/输血科/库房</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133BB83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7E7EA50B">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9F841A">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69C72372">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w:t>
            </w:r>
          </w:p>
        </w:tc>
      </w:tr>
      <w:tr w14:paraId="103801B7">
        <w:tblPrEx>
          <w:tblCellMar>
            <w:top w:w="0" w:type="dxa"/>
            <w:left w:w="108" w:type="dxa"/>
            <w:bottom w:w="0" w:type="dxa"/>
            <w:right w:w="108" w:type="dxa"/>
          </w:tblCellMar>
        </w:tblPrEx>
        <w:trPr>
          <w:trHeight w:val="6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034C7E">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A46F8D">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711CF9F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直线加速器/地下车库</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3FECBD2E">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4BDFC488">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CCADA9">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501E89EB">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1D0156EE">
        <w:tblPrEx>
          <w:tblCellMar>
            <w:top w:w="0" w:type="dxa"/>
            <w:left w:w="108" w:type="dxa"/>
            <w:bottom w:w="0" w:type="dxa"/>
            <w:right w:w="108" w:type="dxa"/>
          </w:tblCellMar>
        </w:tblPrEx>
        <w:trPr>
          <w:trHeight w:val="5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C7CAE2">
            <w:pPr>
              <w:jc w:val="center"/>
              <w:rPr>
                <w:rFonts w:ascii="宋体" w:hAnsi="宋体" w:cs="宋体"/>
                <w:b/>
                <w:bCs/>
                <w:color w:val="auto"/>
                <w:sz w:val="21"/>
                <w:szCs w:val="21"/>
                <w:highlight w:val="none"/>
              </w:rPr>
            </w:pPr>
          </w:p>
        </w:tc>
        <w:tc>
          <w:tcPr>
            <w:tcW w:w="2066" w:type="pct"/>
            <w:gridSpan w:val="2"/>
            <w:tcBorders>
              <w:top w:val="single" w:color="000000" w:sz="4" w:space="0"/>
              <w:left w:val="single" w:color="000000" w:sz="4" w:space="0"/>
              <w:bottom w:val="single" w:color="000000" w:sz="4" w:space="0"/>
              <w:right w:val="single" w:color="000000" w:sz="4" w:space="0"/>
            </w:tcBorders>
            <w:noWrap w:val="0"/>
            <w:vAlign w:val="center"/>
          </w:tcPr>
          <w:p w14:paraId="7BAB5A67">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南塔楼替班人员</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5D77971D">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1497A4BB">
            <w:pPr>
              <w:jc w:val="center"/>
              <w:rPr>
                <w:rFonts w:ascii="宋体" w:hAnsi="宋体" w:cs="宋体"/>
                <w:b/>
                <w:bCs/>
                <w:color w:val="auto"/>
                <w:sz w:val="21"/>
                <w:szCs w:val="21"/>
                <w:highlight w:val="none"/>
              </w:rPr>
            </w:pPr>
          </w:p>
        </w:tc>
      </w:tr>
      <w:tr w14:paraId="14AFCE5C">
        <w:tblPrEx>
          <w:tblCellMar>
            <w:top w:w="0" w:type="dxa"/>
            <w:left w:w="108" w:type="dxa"/>
            <w:bottom w:w="0" w:type="dxa"/>
            <w:right w:w="108" w:type="dxa"/>
          </w:tblCellMar>
        </w:tblPrEx>
        <w:trPr>
          <w:trHeight w:val="540" w:hRule="atLeast"/>
          <w:jc w:val="center"/>
        </w:trPr>
        <w:tc>
          <w:tcPr>
            <w:tcW w:w="2390" w:type="pct"/>
            <w:gridSpan w:val="3"/>
            <w:tcBorders>
              <w:top w:val="single" w:color="000000" w:sz="4" w:space="0"/>
              <w:left w:val="single" w:color="000000" w:sz="4" w:space="0"/>
              <w:bottom w:val="single" w:color="000000" w:sz="4" w:space="0"/>
              <w:right w:val="single" w:color="000000" w:sz="4" w:space="0"/>
            </w:tcBorders>
            <w:noWrap w:val="0"/>
            <w:vAlign w:val="center"/>
          </w:tcPr>
          <w:p w14:paraId="57A4F2F2">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南塔楼人员小计</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6C6485A6">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03F6277F">
            <w:pPr>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bidi="ar"/>
              </w:rPr>
              <w:t>13</w:t>
            </w:r>
          </w:p>
        </w:tc>
      </w:tr>
      <w:tr w14:paraId="395BFD44">
        <w:tblPrEx>
          <w:tblCellMar>
            <w:top w:w="0" w:type="dxa"/>
            <w:left w:w="108" w:type="dxa"/>
            <w:bottom w:w="0" w:type="dxa"/>
            <w:right w:w="108" w:type="dxa"/>
          </w:tblCellMar>
        </w:tblPrEx>
        <w:trPr>
          <w:trHeight w:val="500" w:hRule="atLeast"/>
          <w:jc w:val="center"/>
        </w:trPr>
        <w:tc>
          <w:tcPr>
            <w:tcW w:w="324" w:type="pct"/>
            <w:vMerge w:val="restart"/>
            <w:tcBorders>
              <w:top w:val="single" w:color="000000" w:sz="4" w:space="0"/>
              <w:left w:val="single" w:color="000000" w:sz="4" w:space="0"/>
              <w:bottom w:val="single" w:color="000000" w:sz="4" w:space="0"/>
              <w:right w:val="single" w:color="000000" w:sz="4" w:space="0"/>
            </w:tcBorders>
            <w:noWrap w:val="0"/>
            <w:vAlign w:val="center"/>
          </w:tcPr>
          <w:p w14:paraId="1DF45A57">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5</w:t>
            </w:r>
          </w:p>
        </w:tc>
        <w:tc>
          <w:tcPr>
            <w:tcW w:w="774" w:type="pct"/>
            <w:vMerge w:val="restart"/>
            <w:tcBorders>
              <w:top w:val="single" w:color="000000" w:sz="4" w:space="0"/>
              <w:left w:val="single" w:color="000000" w:sz="4" w:space="0"/>
              <w:bottom w:val="single" w:color="000000" w:sz="4" w:space="0"/>
              <w:right w:val="single" w:color="000000" w:sz="4" w:space="0"/>
            </w:tcBorders>
            <w:noWrap w:val="0"/>
            <w:vAlign w:val="center"/>
          </w:tcPr>
          <w:p w14:paraId="147AD41A">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急诊楼</w:t>
            </w:r>
          </w:p>
        </w:tc>
        <w:tc>
          <w:tcPr>
            <w:tcW w:w="1292" w:type="pct"/>
            <w:vMerge w:val="restart"/>
            <w:tcBorders>
              <w:top w:val="single" w:color="000000" w:sz="4" w:space="0"/>
              <w:left w:val="single" w:color="000000" w:sz="4" w:space="0"/>
              <w:bottom w:val="single" w:color="000000" w:sz="4" w:space="0"/>
              <w:right w:val="single" w:color="000000" w:sz="4" w:space="0"/>
            </w:tcBorders>
            <w:noWrap w:val="0"/>
            <w:vAlign w:val="center"/>
          </w:tcPr>
          <w:p w14:paraId="547809DA">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妇科病房</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56F20038">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4F</w:t>
            </w:r>
          </w:p>
        </w:tc>
        <w:tc>
          <w:tcPr>
            <w:tcW w:w="701" w:type="pct"/>
            <w:vMerge w:val="restart"/>
            <w:tcBorders>
              <w:top w:val="single" w:color="000000" w:sz="4" w:space="0"/>
              <w:left w:val="single" w:color="000000" w:sz="4" w:space="0"/>
              <w:bottom w:val="single" w:color="000000" w:sz="4" w:space="0"/>
              <w:right w:val="single" w:color="000000" w:sz="4" w:space="0"/>
            </w:tcBorders>
            <w:noWrap w:val="0"/>
            <w:vAlign w:val="center"/>
          </w:tcPr>
          <w:p w14:paraId="08307A49">
            <w:pPr>
              <w:jc w:val="center"/>
              <w:rPr>
                <w:rFonts w:ascii="宋体" w:hAnsi="宋体" w:cs="宋体"/>
                <w:color w:val="auto"/>
                <w:sz w:val="21"/>
                <w:szCs w:val="21"/>
                <w:highlight w:val="none"/>
              </w:rPr>
            </w:pPr>
          </w:p>
        </w:tc>
        <w:tc>
          <w:tcPr>
            <w:tcW w:w="685" w:type="pct"/>
            <w:vMerge w:val="restart"/>
            <w:tcBorders>
              <w:top w:val="single" w:color="000000" w:sz="4" w:space="0"/>
              <w:left w:val="single" w:color="000000" w:sz="4" w:space="0"/>
              <w:bottom w:val="single" w:color="000000" w:sz="4" w:space="0"/>
              <w:right w:val="single" w:color="000000" w:sz="4" w:space="0"/>
            </w:tcBorders>
            <w:noWrap w:val="0"/>
            <w:vAlign w:val="center"/>
          </w:tcPr>
          <w:p w14:paraId="29541BFA">
            <w:pPr>
              <w:jc w:val="center"/>
              <w:rPr>
                <w:rFonts w:ascii="宋体" w:hAnsi="宋体" w:cs="宋体"/>
                <w:color w:val="auto"/>
                <w:sz w:val="21"/>
                <w:szCs w:val="21"/>
                <w:highlight w:val="none"/>
              </w:rPr>
            </w:pPr>
          </w:p>
        </w:tc>
        <w:tc>
          <w:tcPr>
            <w:tcW w:w="742" w:type="pct"/>
            <w:vMerge w:val="restart"/>
            <w:tcBorders>
              <w:top w:val="single" w:color="000000" w:sz="4" w:space="0"/>
              <w:left w:val="single" w:color="000000" w:sz="4" w:space="0"/>
              <w:bottom w:val="single" w:color="000000" w:sz="4" w:space="0"/>
              <w:right w:val="single" w:color="000000" w:sz="4" w:space="0"/>
            </w:tcBorders>
            <w:noWrap w:val="0"/>
            <w:vAlign w:val="center"/>
          </w:tcPr>
          <w:p w14:paraId="1D6572E1">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049754E6">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66C794">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4FBB2F">
            <w:pPr>
              <w:jc w:val="center"/>
              <w:rPr>
                <w:rFonts w:ascii="宋体" w:hAnsi="宋体" w:cs="宋体"/>
                <w:b/>
                <w:bCs/>
                <w:color w:val="auto"/>
                <w:sz w:val="21"/>
                <w:szCs w:val="21"/>
                <w:highlight w:val="none"/>
              </w:rPr>
            </w:pPr>
          </w:p>
        </w:tc>
        <w:tc>
          <w:tcPr>
            <w:tcW w:w="129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84EADF">
            <w:pPr>
              <w:jc w:val="center"/>
              <w:rPr>
                <w:rFonts w:ascii="宋体" w:hAnsi="宋体" w:cs="宋体"/>
                <w:color w:val="auto"/>
                <w:sz w:val="21"/>
                <w:szCs w:val="21"/>
                <w:highlight w:val="none"/>
              </w:rPr>
            </w:pP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0CEDF5C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3F</w:t>
            </w: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AF7627">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015375">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A275ED">
            <w:pPr>
              <w:jc w:val="center"/>
              <w:rPr>
                <w:rFonts w:ascii="宋体" w:hAnsi="宋体" w:cs="宋体"/>
                <w:color w:val="auto"/>
                <w:sz w:val="21"/>
                <w:szCs w:val="21"/>
                <w:highlight w:val="none"/>
              </w:rPr>
            </w:pPr>
          </w:p>
        </w:tc>
      </w:tr>
      <w:tr w14:paraId="0F020DA3">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A70904">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E0B546">
            <w:pPr>
              <w:jc w:val="center"/>
              <w:rPr>
                <w:rFonts w:ascii="宋体" w:hAnsi="宋体" w:cs="宋体"/>
                <w:b/>
                <w:bCs/>
                <w:color w:val="auto"/>
                <w:sz w:val="21"/>
                <w:szCs w:val="21"/>
                <w:highlight w:val="none"/>
              </w:rPr>
            </w:pPr>
          </w:p>
        </w:tc>
        <w:tc>
          <w:tcPr>
            <w:tcW w:w="129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5EAA43">
            <w:pPr>
              <w:jc w:val="center"/>
              <w:rPr>
                <w:rFonts w:ascii="宋体" w:hAnsi="宋体" w:cs="宋体"/>
                <w:color w:val="auto"/>
                <w:sz w:val="21"/>
                <w:szCs w:val="21"/>
                <w:highlight w:val="none"/>
              </w:rPr>
            </w:pP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0D197F6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2F</w:t>
            </w: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3DC17D">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74B26E">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206AF9">
            <w:pPr>
              <w:jc w:val="center"/>
              <w:rPr>
                <w:rFonts w:ascii="宋体" w:hAnsi="宋体" w:cs="宋体"/>
                <w:color w:val="auto"/>
                <w:sz w:val="21"/>
                <w:szCs w:val="21"/>
                <w:highlight w:val="none"/>
              </w:rPr>
            </w:pPr>
          </w:p>
        </w:tc>
      </w:tr>
      <w:tr w14:paraId="69C698DA">
        <w:tblPrEx>
          <w:tblCellMar>
            <w:top w:w="0" w:type="dxa"/>
            <w:left w:w="108" w:type="dxa"/>
            <w:bottom w:w="0" w:type="dxa"/>
            <w:right w:w="108" w:type="dxa"/>
          </w:tblCellMar>
        </w:tblPrEx>
        <w:trPr>
          <w:trHeight w:val="6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474F1A">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952016">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0A91DCEA">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儿童急诊/成人急诊</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38AB2AB6">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1F</w:t>
            </w:r>
          </w:p>
        </w:tc>
        <w:tc>
          <w:tcPr>
            <w:tcW w:w="701" w:type="pct"/>
            <w:vMerge w:val="restart"/>
            <w:tcBorders>
              <w:top w:val="single" w:color="000000" w:sz="4" w:space="0"/>
              <w:left w:val="single" w:color="000000" w:sz="4" w:space="0"/>
              <w:bottom w:val="single" w:color="000000" w:sz="4" w:space="0"/>
              <w:right w:val="single" w:color="000000" w:sz="4" w:space="0"/>
            </w:tcBorders>
            <w:noWrap w:val="0"/>
            <w:vAlign w:val="center"/>
          </w:tcPr>
          <w:p w14:paraId="28BB96AE">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2</w:t>
            </w: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F3086C">
            <w:pPr>
              <w:jc w:val="center"/>
              <w:rPr>
                <w:rFonts w:ascii="宋体" w:hAnsi="宋体" w:cs="宋体"/>
                <w:color w:val="auto"/>
                <w:sz w:val="21"/>
                <w:szCs w:val="21"/>
                <w:highlight w:val="none"/>
              </w:rPr>
            </w:pPr>
          </w:p>
        </w:tc>
        <w:tc>
          <w:tcPr>
            <w:tcW w:w="742" w:type="pct"/>
            <w:vMerge w:val="restart"/>
            <w:tcBorders>
              <w:top w:val="single" w:color="000000" w:sz="4" w:space="0"/>
              <w:left w:val="single" w:color="000000" w:sz="4" w:space="0"/>
              <w:bottom w:val="single" w:color="000000" w:sz="4" w:space="0"/>
              <w:right w:val="single" w:color="000000" w:sz="4" w:space="0"/>
            </w:tcBorders>
            <w:noWrap w:val="0"/>
            <w:vAlign w:val="center"/>
          </w:tcPr>
          <w:p w14:paraId="6EC1D803">
            <w:pPr>
              <w:jc w:val="center"/>
              <w:rPr>
                <w:rFonts w:ascii="宋体" w:hAnsi="宋体" w:cs="宋体"/>
                <w:color w:val="auto"/>
                <w:sz w:val="21"/>
                <w:szCs w:val="21"/>
                <w:highlight w:val="none"/>
              </w:rPr>
            </w:pPr>
          </w:p>
        </w:tc>
      </w:tr>
      <w:tr w14:paraId="5587CAB9">
        <w:tblPrEx>
          <w:tblCellMar>
            <w:top w:w="0" w:type="dxa"/>
            <w:left w:w="108" w:type="dxa"/>
            <w:bottom w:w="0" w:type="dxa"/>
            <w:right w:w="108" w:type="dxa"/>
          </w:tblCellMar>
        </w:tblPrEx>
        <w:trPr>
          <w:trHeight w:val="7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7E2685">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C78A7B">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5C80E85C">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急诊大厅/挂号收费/警卫室</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775DEF">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D7B0B0">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945658">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D706B1">
            <w:pPr>
              <w:jc w:val="center"/>
              <w:rPr>
                <w:rFonts w:ascii="宋体" w:hAnsi="宋体" w:cs="宋体"/>
                <w:color w:val="auto"/>
                <w:sz w:val="21"/>
                <w:szCs w:val="21"/>
                <w:highlight w:val="none"/>
              </w:rPr>
            </w:pPr>
          </w:p>
        </w:tc>
      </w:tr>
      <w:tr w14:paraId="5B8D6FC8">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8744BF">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E989E8">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46A40CCF">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急救中心</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712997">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8A4DCF">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9D214B">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6AAA07">
            <w:pPr>
              <w:jc w:val="center"/>
              <w:rPr>
                <w:rFonts w:ascii="宋体" w:hAnsi="宋体" w:cs="宋体"/>
                <w:color w:val="auto"/>
                <w:sz w:val="21"/>
                <w:szCs w:val="21"/>
                <w:highlight w:val="none"/>
              </w:rPr>
            </w:pPr>
          </w:p>
        </w:tc>
      </w:tr>
      <w:tr w14:paraId="13EDD5AA">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0D4D65">
            <w:pPr>
              <w:jc w:val="center"/>
              <w:rPr>
                <w:rFonts w:ascii="宋体" w:hAnsi="宋体" w:cs="宋体"/>
                <w:b/>
                <w:bCs/>
                <w:color w:val="auto"/>
                <w:sz w:val="21"/>
                <w:szCs w:val="21"/>
                <w:highlight w:val="none"/>
              </w:rPr>
            </w:pPr>
          </w:p>
        </w:tc>
        <w:tc>
          <w:tcPr>
            <w:tcW w:w="2066" w:type="pct"/>
            <w:gridSpan w:val="2"/>
            <w:tcBorders>
              <w:top w:val="single" w:color="000000" w:sz="4" w:space="0"/>
              <w:left w:val="single" w:color="000000" w:sz="4" w:space="0"/>
              <w:bottom w:val="single" w:color="000000" w:sz="4" w:space="0"/>
              <w:right w:val="single" w:color="000000" w:sz="4" w:space="0"/>
            </w:tcBorders>
            <w:noWrap w:val="0"/>
            <w:vAlign w:val="center"/>
          </w:tcPr>
          <w:p w14:paraId="108D3858">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急诊楼替班人员</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460D0CC4">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0F826993">
            <w:pPr>
              <w:jc w:val="center"/>
              <w:rPr>
                <w:rFonts w:ascii="宋体" w:hAnsi="宋体" w:cs="宋体"/>
                <w:b/>
                <w:bCs/>
                <w:color w:val="auto"/>
                <w:sz w:val="21"/>
                <w:szCs w:val="21"/>
                <w:highlight w:val="none"/>
              </w:rPr>
            </w:pPr>
          </w:p>
        </w:tc>
      </w:tr>
      <w:tr w14:paraId="5980C2B5">
        <w:tblPrEx>
          <w:tblCellMar>
            <w:top w:w="0" w:type="dxa"/>
            <w:left w:w="108" w:type="dxa"/>
            <w:bottom w:w="0" w:type="dxa"/>
            <w:right w:w="108" w:type="dxa"/>
          </w:tblCellMar>
        </w:tblPrEx>
        <w:trPr>
          <w:trHeight w:val="500" w:hRule="atLeast"/>
          <w:jc w:val="center"/>
        </w:trPr>
        <w:tc>
          <w:tcPr>
            <w:tcW w:w="2390" w:type="pct"/>
            <w:gridSpan w:val="3"/>
            <w:tcBorders>
              <w:top w:val="single" w:color="000000" w:sz="4" w:space="0"/>
              <w:left w:val="single" w:color="000000" w:sz="4" w:space="0"/>
              <w:bottom w:val="single" w:color="000000" w:sz="4" w:space="0"/>
              <w:right w:val="single" w:color="000000" w:sz="4" w:space="0"/>
            </w:tcBorders>
            <w:noWrap w:val="0"/>
            <w:vAlign w:val="center"/>
          </w:tcPr>
          <w:p w14:paraId="653F632A">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急诊楼人员小计</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0376E6BB">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0"/>
            <w:vAlign w:val="center"/>
          </w:tcPr>
          <w:p w14:paraId="1C8250D7">
            <w:pPr>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p>
        </w:tc>
      </w:tr>
      <w:tr w14:paraId="70DDB392">
        <w:tblPrEx>
          <w:tblCellMar>
            <w:top w:w="0" w:type="dxa"/>
            <w:left w:w="108" w:type="dxa"/>
            <w:bottom w:w="0" w:type="dxa"/>
            <w:right w:w="108" w:type="dxa"/>
          </w:tblCellMar>
        </w:tblPrEx>
        <w:trPr>
          <w:trHeight w:val="420" w:hRule="atLeast"/>
          <w:jc w:val="center"/>
        </w:trPr>
        <w:tc>
          <w:tcPr>
            <w:tcW w:w="324" w:type="pct"/>
            <w:vMerge w:val="restart"/>
            <w:tcBorders>
              <w:top w:val="single" w:color="000000" w:sz="4" w:space="0"/>
              <w:left w:val="single" w:color="000000" w:sz="4" w:space="0"/>
              <w:bottom w:val="single" w:color="000000" w:sz="4" w:space="0"/>
              <w:right w:val="single" w:color="000000" w:sz="4" w:space="0"/>
            </w:tcBorders>
            <w:noWrap w:val="0"/>
            <w:vAlign w:val="center"/>
          </w:tcPr>
          <w:p w14:paraId="0C6E8429">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6</w:t>
            </w:r>
          </w:p>
        </w:tc>
        <w:tc>
          <w:tcPr>
            <w:tcW w:w="774" w:type="pct"/>
            <w:vMerge w:val="restart"/>
            <w:tcBorders>
              <w:top w:val="single" w:color="000000" w:sz="4" w:space="0"/>
              <w:left w:val="single" w:color="000000" w:sz="4" w:space="0"/>
              <w:bottom w:val="single" w:color="000000" w:sz="4" w:space="0"/>
              <w:right w:val="single" w:color="000000" w:sz="4" w:space="0"/>
            </w:tcBorders>
            <w:noWrap w:val="0"/>
            <w:vAlign w:val="center"/>
          </w:tcPr>
          <w:p w14:paraId="75F3CBE7">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儿科门诊楼</w:t>
            </w: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1300F88F">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儿科体检区</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510C571F">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4F</w:t>
            </w:r>
          </w:p>
        </w:tc>
        <w:tc>
          <w:tcPr>
            <w:tcW w:w="701" w:type="pct"/>
            <w:vMerge w:val="restart"/>
            <w:tcBorders>
              <w:top w:val="single" w:color="000000" w:sz="4" w:space="0"/>
              <w:left w:val="single" w:color="000000" w:sz="4" w:space="0"/>
              <w:bottom w:val="single" w:color="000000" w:sz="4" w:space="0"/>
              <w:right w:val="single" w:color="000000" w:sz="4" w:space="0"/>
            </w:tcBorders>
            <w:noWrap w:val="0"/>
            <w:vAlign w:val="center"/>
          </w:tcPr>
          <w:p w14:paraId="57EF650F">
            <w:pPr>
              <w:jc w:val="center"/>
              <w:rPr>
                <w:rFonts w:ascii="宋体" w:hAnsi="宋体" w:cs="宋体"/>
                <w:color w:val="auto"/>
                <w:sz w:val="21"/>
                <w:szCs w:val="21"/>
                <w:highlight w:val="none"/>
              </w:rPr>
            </w:pPr>
          </w:p>
        </w:tc>
        <w:tc>
          <w:tcPr>
            <w:tcW w:w="685" w:type="pct"/>
            <w:vMerge w:val="restart"/>
            <w:tcBorders>
              <w:top w:val="single" w:color="000000" w:sz="4" w:space="0"/>
              <w:left w:val="single" w:color="000000" w:sz="4" w:space="0"/>
              <w:bottom w:val="single" w:color="000000" w:sz="4" w:space="0"/>
              <w:right w:val="single" w:color="000000" w:sz="4" w:space="0"/>
            </w:tcBorders>
            <w:noWrap w:val="0"/>
            <w:vAlign w:val="center"/>
          </w:tcPr>
          <w:p w14:paraId="1C56ACC4">
            <w:pPr>
              <w:jc w:val="center"/>
              <w:rPr>
                <w:rFonts w:ascii="宋体" w:hAnsi="宋体" w:cs="宋体"/>
                <w:color w:val="auto"/>
                <w:sz w:val="21"/>
                <w:szCs w:val="21"/>
                <w:highlight w:val="none"/>
              </w:rPr>
            </w:pPr>
          </w:p>
        </w:tc>
        <w:tc>
          <w:tcPr>
            <w:tcW w:w="742" w:type="pct"/>
            <w:vMerge w:val="restart"/>
            <w:tcBorders>
              <w:top w:val="single" w:color="000000" w:sz="4" w:space="0"/>
              <w:left w:val="single" w:color="000000" w:sz="4" w:space="0"/>
              <w:bottom w:val="single" w:color="000000" w:sz="4" w:space="0"/>
              <w:right w:val="single" w:color="000000" w:sz="4" w:space="0"/>
            </w:tcBorders>
            <w:noWrap/>
            <w:vAlign w:val="center"/>
          </w:tcPr>
          <w:p w14:paraId="47D58608">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2</w:t>
            </w:r>
          </w:p>
        </w:tc>
      </w:tr>
      <w:tr w14:paraId="110D6658">
        <w:tblPrEx>
          <w:tblCellMar>
            <w:top w:w="0" w:type="dxa"/>
            <w:left w:w="108" w:type="dxa"/>
            <w:bottom w:w="0" w:type="dxa"/>
            <w:right w:w="108" w:type="dxa"/>
          </w:tblCellMar>
        </w:tblPrEx>
        <w:trPr>
          <w:trHeight w:val="6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C35944">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38F6E3">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1E2959E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大运动评估/远程会诊室/登记/公厕</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4273B8">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F22435">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01FE05">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51C3E02E">
            <w:pPr>
              <w:jc w:val="center"/>
              <w:rPr>
                <w:rFonts w:ascii="宋体" w:hAnsi="宋体" w:cs="宋体"/>
                <w:color w:val="auto"/>
                <w:sz w:val="21"/>
                <w:szCs w:val="21"/>
                <w:highlight w:val="none"/>
              </w:rPr>
            </w:pPr>
          </w:p>
        </w:tc>
      </w:tr>
      <w:tr w14:paraId="7D5082C6">
        <w:tblPrEx>
          <w:tblCellMar>
            <w:top w:w="0" w:type="dxa"/>
            <w:left w:w="108" w:type="dxa"/>
            <w:bottom w:w="0" w:type="dxa"/>
            <w:right w:w="108" w:type="dxa"/>
          </w:tblCellMar>
        </w:tblPrEx>
        <w:trPr>
          <w:trHeight w:val="4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5085CE">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5C35F6">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32D1F4EC">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儿科保健区</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2A8232">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3E2E5C">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2DADFBB">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46C0D5B9">
            <w:pPr>
              <w:jc w:val="center"/>
              <w:rPr>
                <w:rFonts w:ascii="宋体" w:hAnsi="宋体" w:cs="宋体"/>
                <w:color w:val="auto"/>
                <w:sz w:val="21"/>
                <w:szCs w:val="21"/>
                <w:highlight w:val="none"/>
              </w:rPr>
            </w:pPr>
          </w:p>
        </w:tc>
      </w:tr>
      <w:tr w14:paraId="525B75E1">
        <w:tblPrEx>
          <w:tblCellMar>
            <w:top w:w="0" w:type="dxa"/>
            <w:left w:w="108" w:type="dxa"/>
            <w:bottom w:w="0" w:type="dxa"/>
            <w:right w:w="108" w:type="dxa"/>
          </w:tblCellMar>
        </w:tblPrEx>
        <w:trPr>
          <w:trHeight w:val="7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21D52D">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EC3B7F">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786C33A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南北连廊/中大厅/公区/公厕/手扶梯</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E99E43">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FC9A9E">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2BC6F2">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0F44C363">
            <w:pPr>
              <w:jc w:val="center"/>
              <w:rPr>
                <w:rFonts w:ascii="宋体" w:hAnsi="宋体" w:cs="宋体"/>
                <w:color w:val="auto"/>
                <w:sz w:val="21"/>
                <w:szCs w:val="21"/>
                <w:highlight w:val="none"/>
              </w:rPr>
            </w:pPr>
          </w:p>
        </w:tc>
      </w:tr>
      <w:tr w14:paraId="63FD76CE">
        <w:tblPrEx>
          <w:tblCellMar>
            <w:top w:w="0" w:type="dxa"/>
            <w:left w:w="108" w:type="dxa"/>
            <w:bottom w:w="0" w:type="dxa"/>
            <w:right w:w="108" w:type="dxa"/>
          </w:tblCellMar>
        </w:tblPrEx>
        <w:trPr>
          <w:trHeight w:val="52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B3E1FA">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96C277">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1B46075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儿童康复训练</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005C8358">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3F</w:t>
            </w: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4968B0">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B49146">
            <w:pPr>
              <w:jc w:val="center"/>
              <w:rPr>
                <w:rFonts w:ascii="宋体" w:hAnsi="宋体" w:cs="宋体"/>
                <w:color w:val="auto"/>
                <w:sz w:val="21"/>
                <w:szCs w:val="21"/>
                <w:highlight w:val="none"/>
              </w:rPr>
            </w:pPr>
          </w:p>
        </w:tc>
        <w:tc>
          <w:tcPr>
            <w:tcW w:w="742" w:type="pct"/>
            <w:vMerge w:val="restart"/>
            <w:tcBorders>
              <w:top w:val="single" w:color="000000" w:sz="4" w:space="0"/>
              <w:left w:val="single" w:color="000000" w:sz="4" w:space="0"/>
              <w:bottom w:val="single" w:color="000000" w:sz="4" w:space="0"/>
              <w:right w:val="single" w:color="000000" w:sz="4" w:space="0"/>
            </w:tcBorders>
            <w:noWrap/>
            <w:vAlign w:val="center"/>
          </w:tcPr>
          <w:p w14:paraId="48E4E593">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2</w:t>
            </w:r>
          </w:p>
        </w:tc>
      </w:tr>
      <w:tr w14:paraId="20D55D76">
        <w:tblPrEx>
          <w:tblCellMar>
            <w:top w:w="0" w:type="dxa"/>
            <w:left w:w="108" w:type="dxa"/>
            <w:bottom w:w="0" w:type="dxa"/>
            <w:right w:w="108" w:type="dxa"/>
          </w:tblCellMar>
        </w:tblPrEx>
        <w:trPr>
          <w:trHeight w:val="52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E67E34">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A503CC">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0013757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儿童眼科</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0E4456">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D0EA03">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5B7223">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6FAA8868">
            <w:pPr>
              <w:jc w:val="center"/>
              <w:rPr>
                <w:rFonts w:ascii="宋体" w:hAnsi="宋体" w:cs="宋体"/>
                <w:color w:val="auto"/>
                <w:sz w:val="21"/>
                <w:szCs w:val="21"/>
                <w:highlight w:val="none"/>
              </w:rPr>
            </w:pPr>
          </w:p>
        </w:tc>
      </w:tr>
      <w:tr w14:paraId="4BC31E4B">
        <w:tblPrEx>
          <w:tblCellMar>
            <w:top w:w="0" w:type="dxa"/>
            <w:left w:w="108" w:type="dxa"/>
            <w:bottom w:w="0" w:type="dxa"/>
            <w:right w:w="108" w:type="dxa"/>
          </w:tblCellMar>
        </w:tblPrEx>
        <w:trPr>
          <w:trHeight w:val="52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F385E9">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308688">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528509D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儿童耳鼻喉科</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783375">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B1973B">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05D120">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27F99AEE">
            <w:pPr>
              <w:jc w:val="center"/>
              <w:rPr>
                <w:rFonts w:ascii="宋体" w:hAnsi="宋体" w:cs="宋体"/>
                <w:color w:val="auto"/>
                <w:sz w:val="21"/>
                <w:szCs w:val="21"/>
                <w:highlight w:val="none"/>
              </w:rPr>
            </w:pPr>
          </w:p>
        </w:tc>
      </w:tr>
      <w:tr w14:paraId="64DE8411">
        <w:tblPrEx>
          <w:tblCellMar>
            <w:top w:w="0" w:type="dxa"/>
            <w:left w:w="108" w:type="dxa"/>
            <w:bottom w:w="0" w:type="dxa"/>
            <w:right w:w="108" w:type="dxa"/>
          </w:tblCellMar>
        </w:tblPrEx>
        <w:trPr>
          <w:trHeight w:val="7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5BBAEF">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6ABB03">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5825EC6E">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南北连廊/中大厅/公区/公厕/手扶梯</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BB3E21E">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A8D72A">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34D42D">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48942E33">
            <w:pPr>
              <w:jc w:val="center"/>
              <w:rPr>
                <w:rFonts w:ascii="宋体" w:hAnsi="宋体" w:cs="宋体"/>
                <w:color w:val="auto"/>
                <w:sz w:val="21"/>
                <w:szCs w:val="21"/>
                <w:highlight w:val="none"/>
              </w:rPr>
            </w:pPr>
          </w:p>
        </w:tc>
      </w:tr>
      <w:tr w14:paraId="28AD0470">
        <w:tblPrEx>
          <w:tblCellMar>
            <w:top w:w="0" w:type="dxa"/>
            <w:left w:w="108" w:type="dxa"/>
            <w:bottom w:w="0" w:type="dxa"/>
            <w:right w:w="108" w:type="dxa"/>
          </w:tblCellMar>
        </w:tblPrEx>
        <w:trPr>
          <w:trHeight w:val="5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F80495">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C8E463">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7DE1982F">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成人口腔科</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79E3191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2F</w:t>
            </w: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71E7FE">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0EF224">
            <w:pPr>
              <w:jc w:val="center"/>
              <w:rPr>
                <w:rFonts w:ascii="宋体" w:hAnsi="宋体" w:cs="宋体"/>
                <w:color w:val="auto"/>
                <w:sz w:val="21"/>
                <w:szCs w:val="21"/>
                <w:highlight w:val="none"/>
              </w:rPr>
            </w:pPr>
          </w:p>
        </w:tc>
        <w:tc>
          <w:tcPr>
            <w:tcW w:w="742" w:type="pct"/>
            <w:vMerge w:val="restart"/>
            <w:tcBorders>
              <w:top w:val="single" w:color="000000" w:sz="4" w:space="0"/>
              <w:left w:val="single" w:color="000000" w:sz="4" w:space="0"/>
              <w:bottom w:val="single" w:color="000000" w:sz="4" w:space="0"/>
              <w:right w:val="single" w:color="000000" w:sz="4" w:space="0"/>
            </w:tcBorders>
            <w:noWrap/>
            <w:vAlign w:val="center"/>
          </w:tcPr>
          <w:p w14:paraId="30E3D0E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w:t>
            </w:r>
          </w:p>
        </w:tc>
      </w:tr>
      <w:tr w14:paraId="23A5CB8E">
        <w:tblPrEx>
          <w:tblCellMar>
            <w:top w:w="0" w:type="dxa"/>
            <w:left w:w="108" w:type="dxa"/>
            <w:bottom w:w="0" w:type="dxa"/>
            <w:right w:w="108" w:type="dxa"/>
          </w:tblCellMar>
        </w:tblPrEx>
        <w:trPr>
          <w:trHeight w:val="5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413ABD">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37772D">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39B22D6C">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儿童口腔科</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32434E">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1BE324">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02CD34">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0AC928FF">
            <w:pPr>
              <w:jc w:val="center"/>
              <w:rPr>
                <w:rFonts w:ascii="宋体" w:hAnsi="宋体" w:cs="宋体"/>
                <w:color w:val="auto"/>
                <w:sz w:val="21"/>
                <w:szCs w:val="21"/>
                <w:highlight w:val="none"/>
              </w:rPr>
            </w:pPr>
          </w:p>
        </w:tc>
      </w:tr>
      <w:tr w14:paraId="2D131C75">
        <w:tblPrEx>
          <w:tblCellMar>
            <w:top w:w="0" w:type="dxa"/>
            <w:left w:w="108" w:type="dxa"/>
            <w:bottom w:w="0" w:type="dxa"/>
            <w:right w:w="108" w:type="dxa"/>
          </w:tblCellMar>
        </w:tblPrEx>
        <w:trPr>
          <w:trHeight w:val="6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E7954A">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8F0EB8">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48B896D1">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儿童外科/儿童外科皮肤科</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9C50E3">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7DC216">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204636">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471A1635">
            <w:pPr>
              <w:jc w:val="center"/>
              <w:rPr>
                <w:rFonts w:ascii="宋体" w:hAnsi="宋体" w:cs="宋体"/>
                <w:color w:val="auto"/>
                <w:sz w:val="21"/>
                <w:szCs w:val="21"/>
                <w:highlight w:val="none"/>
              </w:rPr>
            </w:pPr>
          </w:p>
        </w:tc>
      </w:tr>
      <w:tr w14:paraId="54094545">
        <w:tblPrEx>
          <w:tblCellMar>
            <w:top w:w="0" w:type="dxa"/>
            <w:left w:w="108" w:type="dxa"/>
            <w:bottom w:w="0" w:type="dxa"/>
            <w:right w:w="108" w:type="dxa"/>
          </w:tblCellMar>
        </w:tblPrEx>
        <w:trPr>
          <w:trHeight w:val="6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6E0916">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0246A1">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4D0EC510">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南北连廊/中大厅/公区/公厕/手扶梯</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801809">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51C706">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B12B7C">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3B7746E5">
            <w:pPr>
              <w:jc w:val="center"/>
              <w:rPr>
                <w:rFonts w:ascii="宋体" w:hAnsi="宋体" w:cs="宋体"/>
                <w:color w:val="auto"/>
                <w:sz w:val="21"/>
                <w:szCs w:val="21"/>
                <w:highlight w:val="none"/>
              </w:rPr>
            </w:pPr>
          </w:p>
        </w:tc>
      </w:tr>
      <w:tr w14:paraId="5F13479B">
        <w:tblPrEx>
          <w:tblCellMar>
            <w:top w:w="0" w:type="dxa"/>
            <w:left w:w="108" w:type="dxa"/>
            <w:bottom w:w="0" w:type="dxa"/>
            <w:right w:w="108" w:type="dxa"/>
          </w:tblCellMar>
        </w:tblPrEx>
        <w:trPr>
          <w:trHeight w:val="6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EEF875">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BEF747">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7156FC9E">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儿童内科/医疗文化展示区</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33FA0A26">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1F</w:t>
            </w: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F20AC2">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BD1871">
            <w:pPr>
              <w:jc w:val="center"/>
              <w:rPr>
                <w:rFonts w:ascii="宋体" w:hAnsi="宋体" w:cs="宋体"/>
                <w:color w:val="auto"/>
                <w:sz w:val="21"/>
                <w:szCs w:val="21"/>
                <w:highlight w:val="none"/>
              </w:rPr>
            </w:pPr>
          </w:p>
        </w:tc>
        <w:tc>
          <w:tcPr>
            <w:tcW w:w="742" w:type="pct"/>
            <w:vMerge w:val="restart"/>
            <w:tcBorders>
              <w:top w:val="single" w:color="000000" w:sz="4" w:space="0"/>
              <w:left w:val="single" w:color="000000" w:sz="4" w:space="0"/>
              <w:bottom w:val="single" w:color="000000" w:sz="4" w:space="0"/>
              <w:right w:val="single" w:color="000000" w:sz="4" w:space="0"/>
            </w:tcBorders>
            <w:noWrap/>
            <w:vAlign w:val="center"/>
          </w:tcPr>
          <w:p w14:paraId="0CF1AB94">
            <w:pPr>
              <w:jc w:val="center"/>
              <w:rPr>
                <w:rFonts w:hint="eastAsia" w:ascii="宋体" w:hAnsi="宋体" w:eastAsia="宋体" w:cs="宋体"/>
                <w:color w:val="auto"/>
                <w:sz w:val="21"/>
                <w:szCs w:val="21"/>
                <w:highlight w:val="none"/>
                <w:lang w:eastAsia="zh-CN"/>
              </w:rPr>
            </w:pPr>
          </w:p>
        </w:tc>
      </w:tr>
      <w:tr w14:paraId="5E12731A">
        <w:tblPrEx>
          <w:tblCellMar>
            <w:top w:w="0" w:type="dxa"/>
            <w:left w:w="108" w:type="dxa"/>
            <w:bottom w:w="0" w:type="dxa"/>
            <w:right w:w="108" w:type="dxa"/>
          </w:tblCellMar>
        </w:tblPrEx>
        <w:trPr>
          <w:trHeight w:val="6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38ED10">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A4ED72">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5B8C7D6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儿童内科/医疗文化展示区/东大厅</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23CF67">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A04E61">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5AC439">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4B3C6323">
            <w:pPr>
              <w:jc w:val="center"/>
              <w:rPr>
                <w:rFonts w:ascii="宋体" w:hAnsi="宋体" w:cs="宋体"/>
                <w:color w:val="auto"/>
                <w:sz w:val="21"/>
                <w:szCs w:val="21"/>
                <w:highlight w:val="none"/>
              </w:rPr>
            </w:pPr>
          </w:p>
        </w:tc>
      </w:tr>
      <w:tr w14:paraId="35BCD022">
        <w:tblPrEx>
          <w:tblCellMar>
            <w:top w:w="0" w:type="dxa"/>
            <w:left w:w="108" w:type="dxa"/>
            <w:bottom w:w="0" w:type="dxa"/>
            <w:right w:w="108" w:type="dxa"/>
          </w:tblCellMar>
        </w:tblPrEx>
        <w:trPr>
          <w:trHeight w:val="52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213518">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FCA38C">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4A555154">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办公/挂号收费</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3F7CF8">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1DD8A4">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ABF394">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65BBA8AE">
            <w:pPr>
              <w:jc w:val="center"/>
              <w:rPr>
                <w:rFonts w:ascii="宋体" w:hAnsi="宋体" w:cs="宋体"/>
                <w:color w:val="auto"/>
                <w:sz w:val="21"/>
                <w:szCs w:val="21"/>
                <w:highlight w:val="none"/>
              </w:rPr>
            </w:pPr>
          </w:p>
        </w:tc>
      </w:tr>
      <w:tr w14:paraId="74BCFF09">
        <w:tblPrEx>
          <w:tblCellMar>
            <w:top w:w="0" w:type="dxa"/>
            <w:left w:w="108" w:type="dxa"/>
            <w:bottom w:w="0" w:type="dxa"/>
            <w:right w:w="108" w:type="dxa"/>
          </w:tblCellMar>
        </w:tblPrEx>
        <w:trPr>
          <w:trHeight w:val="7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D11DC5B">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180E4C">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7D851394">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南北连廊/中大厅/公区/公厕/手扶梯</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99A879">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3A8D2D">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D27A67">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331E689F">
            <w:pPr>
              <w:jc w:val="center"/>
              <w:rPr>
                <w:rFonts w:ascii="宋体" w:hAnsi="宋体" w:cs="宋体"/>
                <w:color w:val="auto"/>
                <w:sz w:val="21"/>
                <w:szCs w:val="21"/>
                <w:highlight w:val="none"/>
              </w:rPr>
            </w:pPr>
          </w:p>
        </w:tc>
      </w:tr>
      <w:tr w14:paraId="5DD8BE8F">
        <w:tblPrEx>
          <w:tblCellMar>
            <w:top w:w="0" w:type="dxa"/>
            <w:left w:w="108" w:type="dxa"/>
            <w:bottom w:w="0" w:type="dxa"/>
            <w:right w:w="108" w:type="dxa"/>
          </w:tblCellMar>
        </w:tblPrEx>
        <w:trPr>
          <w:trHeight w:val="52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C9EA9D">
            <w:pPr>
              <w:jc w:val="center"/>
              <w:rPr>
                <w:rFonts w:ascii="宋体" w:hAnsi="宋体" w:cs="宋体"/>
                <w:b/>
                <w:bCs/>
                <w:color w:val="auto"/>
                <w:sz w:val="21"/>
                <w:szCs w:val="21"/>
                <w:highlight w:val="none"/>
              </w:rPr>
            </w:pPr>
          </w:p>
        </w:tc>
        <w:tc>
          <w:tcPr>
            <w:tcW w:w="2066" w:type="pct"/>
            <w:gridSpan w:val="2"/>
            <w:tcBorders>
              <w:top w:val="single" w:color="000000" w:sz="4" w:space="0"/>
              <w:left w:val="single" w:color="000000" w:sz="4" w:space="0"/>
              <w:bottom w:val="single" w:color="000000" w:sz="4" w:space="0"/>
              <w:right w:val="single" w:color="000000" w:sz="4" w:space="0"/>
            </w:tcBorders>
            <w:noWrap w:val="0"/>
            <w:vAlign w:val="center"/>
          </w:tcPr>
          <w:p w14:paraId="3ED820C7">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儿科门诊楼替班人员</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4775F432">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754A750F">
            <w:pPr>
              <w:jc w:val="center"/>
              <w:rPr>
                <w:rFonts w:ascii="宋体" w:hAnsi="宋体" w:cs="宋体"/>
                <w:b/>
                <w:bCs/>
                <w:color w:val="auto"/>
                <w:sz w:val="21"/>
                <w:szCs w:val="21"/>
                <w:highlight w:val="none"/>
              </w:rPr>
            </w:pPr>
          </w:p>
        </w:tc>
      </w:tr>
      <w:tr w14:paraId="4DC82EE7">
        <w:tblPrEx>
          <w:tblCellMar>
            <w:top w:w="0" w:type="dxa"/>
            <w:left w:w="108" w:type="dxa"/>
            <w:bottom w:w="0" w:type="dxa"/>
            <w:right w:w="108" w:type="dxa"/>
          </w:tblCellMar>
        </w:tblPrEx>
        <w:trPr>
          <w:trHeight w:val="520" w:hRule="atLeast"/>
          <w:jc w:val="center"/>
        </w:trPr>
        <w:tc>
          <w:tcPr>
            <w:tcW w:w="2390" w:type="pct"/>
            <w:gridSpan w:val="3"/>
            <w:tcBorders>
              <w:top w:val="single" w:color="000000" w:sz="4" w:space="0"/>
              <w:left w:val="single" w:color="000000" w:sz="4" w:space="0"/>
              <w:bottom w:val="single" w:color="000000" w:sz="4" w:space="0"/>
              <w:right w:val="single" w:color="000000" w:sz="4" w:space="0"/>
            </w:tcBorders>
            <w:noWrap w:val="0"/>
            <w:vAlign w:val="center"/>
          </w:tcPr>
          <w:p w14:paraId="7C34BD9B">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儿科门诊楼人员小计</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0F48A9B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43E9D561">
            <w:pPr>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w:t>
            </w:r>
          </w:p>
        </w:tc>
      </w:tr>
      <w:tr w14:paraId="25E4F9E2">
        <w:tblPrEx>
          <w:tblCellMar>
            <w:top w:w="0" w:type="dxa"/>
            <w:left w:w="108" w:type="dxa"/>
            <w:bottom w:w="0" w:type="dxa"/>
            <w:right w:w="108" w:type="dxa"/>
          </w:tblCellMar>
        </w:tblPrEx>
        <w:trPr>
          <w:trHeight w:val="380" w:hRule="atLeast"/>
          <w:jc w:val="center"/>
        </w:trPr>
        <w:tc>
          <w:tcPr>
            <w:tcW w:w="324" w:type="pct"/>
            <w:vMerge w:val="restart"/>
            <w:tcBorders>
              <w:top w:val="single" w:color="000000" w:sz="4" w:space="0"/>
              <w:left w:val="single" w:color="000000" w:sz="4" w:space="0"/>
              <w:bottom w:val="single" w:color="000000" w:sz="4" w:space="0"/>
              <w:right w:val="single" w:color="000000" w:sz="4" w:space="0"/>
            </w:tcBorders>
            <w:noWrap w:val="0"/>
            <w:vAlign w:val="center"/>
          </w:tcPr>
          <w:p w14:paraId="5E66A6BA">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7</w:t>
            </w:r>
          </w:p>
        </w:tc>
        <w:tc>
          <w:tcPr>
            <w:tcW w:w="774" w:type="pct"/>
            <w:vMerge w:val="restart"/>
            <w:tcBorders>
              <w:top w:val="single" w:color="000000" w:sz="4" w:space="0"/>
              <w:left w:val="single" w:color="000000" w:sz="4" w:space="0"/>
              <w:bottom w:val="single" w:color="000000" w:sz="4" w:space="0"/>
              <w:right w:val="single" w:color="000000" w:sz="4" w:space="0"/>
            </w:tcBorders>
            <w:noWrap w:val="0"/>
            <w:vAlign w:val="center"/>
          </w:tcPr>
          <w:p w14:paraId="26CD8E5D">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妇科门诊楼</w:t>
            </w: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6F1950AF">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VIP体检中心</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4B468564">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4F</w:t>
            </w:r>
          </w:p>
        </w:tc>
        <w:tc>
          <w:tcPr>
            <w:tcW w:w="701" w:type="pct"/>
            <w:vMerge w:val="restart"/>
            <w:tcBorders>
              <w:top w:val="single" w:color="000000" w:sz="4" w:space="0"/>
              <w:left w:val="single" w:color="000000" w:sz="4" w:space="0"/>
              <w:bottom w:val="single" w:color="000000" w:sz="4" w:space="0"/>
              <w:right w:val="single" w:color="000000" w:sz="4" w:space="0"/>
            </w:tcBorders>
            <w:noWrap w:val="0"/>
            <w:vAlign w:val="center"/>
          </w:tcPr>
          <w:p w14:paraId="5CEF1AB8">
            <w:pPr>
              <w:jc w:val="center"/>
              <w:rPr>
                <w:rFonts w:ascii="宋体" w:hAnsi="宋体" w:cs="宋体"/>
                <w:color w:val="auto"/>
                <w:sz w:val="21"/>
                <w:szCs w:val="21"/>
                <w:highlight w:val="none"/>
              </w:rPr>
            </w:pPr>
          </w:p>
        </w:tc>
        <w:tc>
          <w:tcPr>
            <w:tcW w:w="685" w:type="pct"/>
            <w:vMerge w:val="restart"/>
            <w:tcBorders>
              <w:top w:val="single" w:color="000000" w:sz="4" w:space="0"/>
              <w:left w:val="single" w:color="000000" w:sz="4" w:space="0"/>
              <w:bottom w:val="single" w:color="000000" w:sz="4" w:space="0"/>
              <w:right w:val="single" w:color="000000" w:sz="4" w:space="0"/>
            </w:tcBorders>
            <w:noWrap w:val="0"/>
            <w:vAlign w:val="center"/>
          </w:tcPr>
          <w:p w14:paraId="54279F04">
            <w:pPr>
              <w:jc w:val="center"/>
              <w:rPr>
                <w:rFonts w:ascii="宋体" w:hAnsi="宋体" w:cs="宋体"/>
                <w:color w:val="auto"/>
                <w:sz w:val="21"/>
                <w:szCs w:val="21"/>
                <w:highlight w:val="none"/>
              </w:rPr>
            </w:pPr>
          </w:p>
        </w:tc>
        <w:tc>
          <w:tcPr>
            <w:tcW w:w="742" w:type="pct"/>
            <w:vMerge w:val="restart"/>
            <w:tcBorders>
              <w:top w:val="single" w:color="000000" w:sz="4" w:space="0"/>
              <w:left w:val="single" w:color="000000" w:sz="4" w:space="0"/>
              <w:bottom w:val="single" w:color="000000" w:sz="4" w:space="0"/>
              <w:right w:val="single" w:color="000000" w:sz="4" w:space="0"/>
            </w:tcBorders>
            <w:noWrap/>
            <w:vAlign w:val="center"/>
          </w:tcPr>
          <w:p w14:paraId="1E3B7BC1">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1</w:t>
            </w:r>
          </w:p>
        </w:tc>
      </w:tr>
      <w:tr w14:paraId="20761C6C">
        <w:tblPrEx>
          <w:tblCellMar>
            <w:top w:w="0" w:type="dxa"/>
            <w:left w:w="108" w:type="dxa"/>
            <w:bottom w:w="0" w:type="dxa"/>
            <w:right w:w="108" w:type="dxa"/>
          </w:tblCellMar>
        </w:tblPrEx>
        <w:trPr>
          <w:trHeight w:val="3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325708">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BF6DB0">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73BF1D84">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体检中心</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B93FA2">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696BF6">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16105E">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7C7A1118">
            <w:pPr>
              <w:jc w:val="center"/>
              <w:rPr>
                <w:rFonts w:ascii="宋体" w:hAnsi="宋体" w:cs="宋体"/>
                <w:color w:val="auto"/>
                <w:sz w:val="21"/>
                <w:szCs w:val="21"/>
                <w:highlight w:val="none"/>
              </w:rPr>
            </w:pPr>
          </w:p>
        </w:tc>
      </w:tr>
      <w:tr w14:paraId="3D9F5B05">
        <w:tblPrEx>
          <w:tblCellMar>
            <w:top w:w="0" w:type="dxa"/>
            <w:left w:w="108" w:type="dxa"/>
            <w:bottom w:w="0" w:type="dxa"/>
            <w:right w:w="108" w:type="dxa"/>
          </w:tblCellMar>
        </w:tblPrEx>
        <w:trPr>
          <w:trHeight w:val="3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5AAFA3">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74C271">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7D4AD956">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乳腺科</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DAB511">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D68317">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FE00FA">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752496A3">
            <w:pPr>
              <w:jc w:val="center"/>
              <w:rPr>
                <w:rFonts w:ascii="宋体" w:hAnsi="宋体" w:cs="宋体"/>
                <w:color w:val="auto"/>
                <w:sz w:val="21"/>
                <w:szCs w:val="21"/>
                <w:highlight w:val="none"/>
              </w:rPr>
            </w:pPr>
          </w:p>
        </w:tc>
      </w:tr>
      <w:tr w14:paraId="2318DD70">
        <w:tblPrEx>
          <w:tblCellMar>
            <w:top w:w="0" w:type="dxa"/>
            <w:left w:w="108" w:type="dxa"/>
            <w:bottom w:w="0" w:type="dxa"/>
            <w:right w:w="108" w:type="dxa"/>
          </w:tblCellMar>
        </w:tblPrEx>
        <w:trPr>
          <w:trHeight w:val="6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F0A182">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711ACD">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1806469C">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南北连廊/中大厅/公区/公厕/手扶梯</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332C6E">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33C3AD">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376723">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5C8EFF99">
            <w:pPr>
              <w:jc w:val="center"/>
              <w:rPr>
                <w:rFonts w:ascii="宋体" w:hAnsi="宋体" w:cs="宋体"/>
                <w:color w:val="auto"/>
                <w:sz w:val="21"/>
                <w:szCs w:val="21"/>
                <w:highlight w:val="none"/>
              </w:rPr>
            </w:pPr>
          </w:p>
        </w:tc>
      </w:tr>
      <w:tr w14:paraId="55816374">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B418CE">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86FF42">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6DC18A1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孕期保健科</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43B7C78E">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3F</w:t>
            </w: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A8E162">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6A7462">
            <w:pPr>
              <w:jc w:val="center"/>
              <w:rPr>
                <w:rFonts w:ascii="宋体" w:hAnsi="宋体" w:cs="宋体"/>
                <w:color w:val="auto"/>
                <w:sz w:val="21"/>
                <w:szCs w:val="21"/>
                <w:highlight w:val="none"/>
              </w:rPr>
            </w:pPr>
          </w:p>
        </w:tc>
        <w:tc>
          <w:tcPr>
            <w:tcW w:w="742" w:type="pct"/>
            <w:vMerge w:val="restart"/>
            <w:tcBorders>
              <w:top w:val="single" w:color="000000" w:sz="4" w:space="0"/>
              <w:left w:val="single" w:color="000000" w:sz="4" w:space="0"/>
              <w:bottom w:val="single" w:color="000000" w:sz="4" w:space="0"/>
              <w:right w:val="single" w:color="000000" w:sz="4" w:space="0"/>
            </w:tcBorders>
            <w:noWrap/>
            <w:vAlign w:val="center"/>
          </w:tcPr>
          <w:p w14:paraId="1DA9DE76">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1</w:t>
            </w:r>
          </w:p>
        </w:tc>
      </w:tr>
      <w:tr w14:paraId="3774E092">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FB842D">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264D50D">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23B99860">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婚前保健门诊</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A9FEBB">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016794">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1DDC614">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1A6984BE">
            <w:pPr>
              <w:jc w:val="center"/>
              <w:rPr>
                <w:rFonts w:ascii="宋体" w:hAnsi="宋体" w:cs="宋体"/>
                <w:color w:val="auto"/>
                <w:sz w:val="21"/>
                <w:szCs w:val="21"/>
                <w:highlight w:val="none"/>
              </w:rPr>
            </w:pPr>
          </w:p>
        </w:tc>
      </w:tr>
      <w:tr w14:paraId="3AC51103">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4BC694">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66B05E">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0523763F">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围产保健科</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72E3F8">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747ACF">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BBBB09">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08EAD67D">
            <w:pPr>
              <w:jc w:val="center"/>
              <w:rPr>
                <w:rFonts w:ascii="宋体" w:hAnsi="宋体" w:cs="宋体"/>
                <w:color w:val="auto"/>
                <w:sz w:val="21"/>
                <w:szCs w:val="21"/>
                <w:highlight w:val="none"/>
              </w:rPr>
            </w:pPr>
          </w:p>
        </w:tc>
      </w:tr>
      <w:tr w14:paraId="40BA29EE">
        <w:tblPrEx>
          <w:tblCellMar>
            <w:top w:w="0" w:type="dxa"/>
            <w:left w:w="108" w:type="dxa"/>
            <w:bottom w:w="0" w:type="dxa"/>
            <w:right w:w="108" w:type="dxa"/>
          </w:tblCellMar>
        </w:tblPrEx>
        <w:trPr>
          <w:trHeight w:val="7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619B4D">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ED8C38">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1730EB0C">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南北连廊/中大厅/公区/公厕/手扶梯</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E3E8A3">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5A9DE0">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16DD81">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1C8B33F0">
            <w:pPr>
              <w:jc w:val="center"/>
              <w:rPr>
                <w:rFonts w:ascii="宋体" w:hAnsi="宋体" w:cs="宋体"/>
                <w:color w:val="auto"/>
                <w:sz w:val="21"/>
                <w:szCs w:val="21"/>
                <w:highlight w:val="none"/>
              </w:rPr>
            </w:pPr>
          </w:p>
        </w:tc>
      </w:tr>
      <w:tr w14:paraId="4C6B98FE">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6DDBA6">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A19F8E">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4682268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妇科</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7A1A28E8">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2F</w:t>
            </w: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109C42">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FF4455">
            <w:pPr>
              <w:jc w:val="center"/>
              <w:rPr>
                <w:rFonts w:ascii="宋体" w:hAnsi="宋体" w:cs="宋体"/>
                <w:color w:val="auto"/>
                <w:sz w:val="21"/>
                <w:szCs w:val="21"/>
                <w:highlight w:val="none"/>
              </w:rPr>
            </w:pPr>
          </w:p>
        </w:tc>
        <w:tc>
          <w:tcPr>
            <w:tcW w:w="742" w:type="pct"/>
            <w:vMerge w:val="restart"/>
            <w:tcBorders>
              <w:top w:val="single" w:color="000000" w:sz="4" w:space="0"/>
              <w:left w:val="single" w:color="000000" w:sz="4" w:space="0"/>
              <w:bottom w:val="single" w:color="000000" w:sz="4" w:space="0"/>
              <w:right w:val="single" w:color="000000" w:sz="4" w:space="0"/>
            </w:tcBorders>
            <w:noWrap/>
            <w:vAlign w:val="center"/>
          </w:tcPr>
          <w:p w14:paraId="6E3A6BC1">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r>
      <w:tr w14:paraId="2016E39E">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E4154A">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E8F0D8">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1AC9E2AA">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妇科</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70BBB5">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C09F3C">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850C46">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37DA4B8B">
            <w:pPr>
              <w:jc w:val="center"/>
              <w:rPr>
                <w:rFonts w:ascii="宋体" w:hAnsi="宋体" w:cs="宋体"/>
                <w:color w:val="auto"/>
                <w:sz w:val="21"/>
                <w:szCs w:val="21"/>
                <w:highlight w:val="none"/>
              </w:rPr>
            </w:pPr>
          </w:p>
        </w:tc>
      </w:tr>
      <w:tr w14:paraId="1751D07A">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A38466">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743C4C">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53900B02">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计划生育中心</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41FCC1">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7666B6">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228410">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06760228">
            <w:pPr>
              <w:jc w:val="center"/>
              <w:rPr>
                <w:rFonts w:ascii="宋体" w:hAnsi="宋体" w:cs="宋体"/>
                <w:color w:val="auto"/>
                <w:sz w:val="21"/>
                <w:szCs w:val="21"/>
                <w:highlight w:val="none"/>
              </w:rPr>
            </w:pPr>
          </w:p>
        </w:tc>
      </w:tr>
      <w:tr w14:paraId="750EAFEB">
        <w:tblPrEx>
          <w:tblCellMar>
            <w:top w:w="0" w:type="dxa"/>
            <w:left w:w="108" w:type="dxa"/>
            <w:bottom w:w="0" w:type="dxa"/>
            <w:right w:w="108" w:type="dxa"/>
          </w:tblCellMar>
        </w:tblPrEx>
        <w:trPr>
          <w:trHeight w:val="7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562334">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C07AF0">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290BB1A1">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南北连廊/中大厅/公区/公厕/手扶梯</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24A8F3">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0F8019">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C4475B">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44598AF6">
            <w:pPr>
              <w:jc w:val="center"/>
              <w:rPr>
                <w:rFonts w:ascii="宋体" w:hAnsi="宋体" w:cs="宋体"/>
                <w:color w:val="auto"/>
                <w:sz w:val="21"/>
                <w:szCs w:val="21"/>
                <w:highlight w:val="none"/>
              </w:rPr>
            </w:pPr>
          </w:p>
        </w:tc>
      </w:tr>
      <w:tr w14:paraId="1EACC2C6">
        <w:tblPrEx>
          <w:tblCellMar>
            <w:top w:w="0" w:type="dxa"/>
            <w:left w:w="108" w:type="dxa"/>
            <w:bottom w:w="0" w:type="dxa"/>
            <w:right w:w="108" w:type="dxa"/>
          </w:tblCellMar>
        </w:tblPrEx>
        <w:trPr>
          <w:trHeight w:val="8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F1F0E3">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9BC5F3">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31900781">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挂号收费/办公区/医疗文化展示区</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4A762114">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1F</w:t>
            </w: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5EDA5B">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CB0EA6">
            <w:pPr>
              <w:jc w:val="center"/>
              <w:rPr>
                <w:rFonts w:ascii="宋体" w:hAnsi="宋体" w:cs="宋体"/>
                <w:color w:val="auto"/>
                <w:sz w:val="21"/>
                <w:szCs w:val="21"/>
                <w:highlight w:val="none"/>
              </w:rPr>
            </w:pPr>
          </w:p>
        </w:tc>
        <w:tc>
          <w:tcPr>
            <w:tcW w:w="742" w:type="pct"/>
            <w:vMerge w:val="restart"/>
            <w:tcBorders>
              <w:top w:val="single" w:color="000000" w:sz="4" w:space="0"/>
              <w:left w:val="single" w:color="000000" w:sz="4" w:space="0"/>
              <w:bottom w:val="single" w:color="000000" w:sz="4" w:space="0"/>
              <w:right w:val="single" w:color="000000" w:sz="4" w:space="0"/>
            </w:tcBorders>
            <w:noWrap/>
            <w:vAlign w:val="center"/>
          </w:tcPr>
          <w:p w14:paraId="68909898">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3</w:t>
            </w:r>
          </w:p>
        </w:tc>
      </w:tr>
      <w:tr w14:paraId="1B2C5A09">
        <w:tblPrEx>
          <w:tblCellMar>
            <w:top w:w="0" w:type="dxa"/>
            <w:left w:w="108" w:type="dxa"/>
            <w:bottom w:w="0" w:type="dxa"/>
            <w:right w:w="108" w:type="dxa"/>
          </w:tblCellMar>
        </w:tblPrEx>
        <w:trPr>
          <w:trHeight w:val="8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E96E1A">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B0D568">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75116CE8">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小综门诊/儿童雾化/儿童输液/东大厅</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B4FD22">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E714D9">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CCC128">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5C062481">
            <w:pPr>
              <w:jc w:val="center"/>
              <w:rPr>
                <w:rFonts w:ascii="宋体" w:hAnsi="宋体" w:cs="宋体"/>
                <w:color w:val="auto"/>
                <w:sz w:val="21"/>
                <w:szCs w:val="21"/>
                <w:highlight w:val="none"/>
              </w:rPr>
            </w:pPr>
          </w:p>
        </w:tc>
      </w:tr>
      <w:tr w14:paraId="7C7B0EE0">
        <w:tblPrEx>
          <w:tblCellMar>
            <w:top w:w="0" w:type="dxa"/>
            <w:left w:w="108" w:type="dxa"/>
            <w:bottom w:w="0" w:type="dxa"/>
            <w:right w:w="108" w:type="dxa"/>
          </w:tblCellMar>
        </w:tblPrEx>
        <w:trPr>
          <w:trHeight w:val="6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53EB31">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8CF654">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6D4826F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成人输液/急诊药房/成人接种/公厕</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47D13B">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33746B">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395F2E">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6A7B1B1C">
            <w:pPr>
              <w:jc w:val="center"/>
              <w:rPr>
                <w:rFonts w:ascii="宋体" w:hAnsi="宋体" w:cs="宋体"/>
                <w:color w:val="auto"/>
                <w:sz w:val="21"/>
                <w:szCs w:val="21"/>
                <w:highlight w:val="none"/>
              </w:rPr>
            </w:pPr>
          </w:p>
        </w:tc>
      </w:tr>
      <w:tr w14:paraId="6B49F33D">
        <w:tblPrEx>
          <w:tblCellMar>
            <w:top w:w="0" w:type="dxa"/>
            <w:left w:w="108" w:type="dxa"/>
            <w:bottom w:w="0" w:type="dxa"/>
            <w:right w:w="108" w:type="dxa"/>
          </w:tblCellMar>
        </w:tblPrEx>
        <w:trPr>
          <w:trHeight w:val="72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A2E2EF">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B99FE2">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4A4C1B6F">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南北连廊/中大厅/公区/公厕/手扶梯</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DC21DC">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20245D">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5D86D4">
            <w:pPr>
              <w:jc w:val="center"/>
              <w:rPr>
                <w:rFonts w:ascii="宋体" w:hAnsi="宋体" w:cs="宋体"/>
                <w:color w:val="auto"/>
                <w:sz w:val="21"/>
                <w:szCs w:val="21"/>
                <w:highlight w:val="none"/>
              </w:rPr>
            </w:pPr>
          </w:p>
        </w:tc>
        <w:tc>
          <w:tcPr>
            <w:tcW w:w="742" w:type="pct"/>
            <w:vMerge w:val="continue"/>
            <w:tcBorders>
              <w:top w:val="single" w:color="000000" w:sz="4" w:space="0"/>
              <w:left w:val="single" w:color="000000" w:sz="4" w:space="0"/>
              <w:bottom w:val="single" w:color="000000" w:sz="4" w:space="0"/>
              <w:right w:val="single" w:color="000000" w:sz="4" w:space="0"/>
            </w:tcBorders>
            <w:noWrap/>
            <w:vAlign w:val="center"/>
          </w:tcPr>
          <w:p w14:paraId="2C052EF6">
            <w:pPr>
              <w:jc w:val="center"/>
              <w:rPr>
                <w:rFonts w:ascii="宋体" w:hAnsi="宋体" w:cs="宋体"/>
                <w:color w:val="auto"/>
                <w:sz w:val="21"/>
                <w:szCs w:val="21"/>
                <w:highlight w:val="none"/>
              </w:rPr>
            </w:pPr>
          </w:p>
        </w:tc>
      </w:tr>
      <w:tr w14:paraId="6054AA19">
        <w:tblPrEx>
          <w:tblCellMar>
            <w:top w:w="0" w:type="dxa"/>
            <w:left w:w="108" w:type="dxa"/>
            <w:bottom w:w="0" w:type="dxa"/>
            <w:right w:w="108" w:type="dxa"/>
          </w:tblCellMar>
        </w:tblPrEx>
        <w:trPr>
          <w:trHeight w:val="5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551CC9">
            <w:pPr>
              <w:jc w:val="center"/>
              <w:rPr>
                <w:rFonts w:ascii="宋体" w:hAnsi="宋体" w:cs="宋体"/>
                <w:b/>
                <w:bCs/>
                <w:color w:val="auto"/>
                <w:sz w:val="21"/>
                <w:szCs w:val="21"/>
                <w:highlight w:val="none"/>
              </w:rPr>
            </w:pPr>
          </w:p>
        </w:tc>
        <w:tc>
          <w:tcPr>
            <w:tcW w:w="2066" w:type="pct"/>
            <w:gridSpan w:val="2"/>
            <w:tcBorders>
              <w:top w:val="single" w:color="000000" w:sz="4" w:space="0"/>
              <w:left w:val="single" w:color="000000" w:sz="4" w:space="0"/>
              <w:bottom w:val="single" w:color="000000" w:sz="4" w:space="0"/>
              <w:right w:val="single" w:color="000000" w:sz="4" w:space="0"/>
            </w:tcBorders>
            <w:noWrap w:val="0"/>
            <w:vAlign w:val="center"/>
          </w:tcPr>
          <w:p w14:paraId="5B8875D1">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妇科门诊楼替班人员</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14A94DF6">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6A117257">
            <w:pPr>
              <w:jc w:val="center"/>
              <w:rPr>
                <w:rFonts w:ascii="宋体" w:hAnsi="宋体" w:cs="宋体"/>
                <w:b/>
                <w:bCs/>
                <w:color w:val="auto"/>
                <w:sz w:val="21"/>
                <w:szCs w:val="21"/>
                <w:highlight w:val="none"/>
              </w:rPr>
            </w:pPr>
          </w:p>
        </w:tc>
      </w:tr>
      <w:tr w14:paraId="198DB4EB">
        <w:tblPrEx>
          <w:tblCellMar>
            <w:top w:w="0" w:type="dxa"/>
            <w:left w:w="108" w:type="dxa"/>
            <w:bottom w:w="0" w:type="dxa"/>
            <w:right w:w="108" w:type="dxa"/>
          </w:tblCellMar>
        </w:tblPrEx>
        <w:trPr>
          <w:trHeight w:val="560" w:hRule="atLeast"/>
          <w:jc w:val="center"/>
        </w:trPr>
        <w:tc>
          <w:tcPr>
            <w:tcW w:w="2390" w:type="pct"/>
            <w:gridSpan w:val="3"/>
            <w:tcBorders>
              <w:top w:val="single" w:color="000000" w:sz="4" w:space="0"/>
              <w:left w:val="single" w:color="000000" w:sz="4" w:space="0"/>
              <w:bottom w:val="single" w:color="000000" w:sz="4" w:space="0"/>
              <w:right w:val="single" w:color="000000" w:sz="4" w:space="0"/>
            </w:tcBorders>
            <w:noWrap w:val="0"/>
            <w:vAlign w:val="center"/>
          </w:tcPr>
          <w:p w14:paraId="3F24CB57">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妇科门诊楼人员小计</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09814CA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5CA30112">
            <w:pPr>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bidi="ar"/>
              </w:rPr>
              <w:t>6</w:t>
            </w:r>
          </w:p>
        </w:tc>
      </w:tr>
      <w:tr w14:paraId="0C73E7A4">
        <w:tblPrEx>
          <w:tblCellMar>
            <w:top w:w="0" w:type="dxa"/>
            <w:left w:w="108" w:type="dxa"/>
            <w:bottom w:w="0" w:type="dxa"/>
            <w:right w:w="108" w:type="dxa"/>
          </w:tblCellMar>
        </w:tblPrEx>
        <w:trPr>
          <w:trHeight w:val="440" w:hRule="atLeast"/>
          <w:jc w:val="center"/>
        </w:trPr>
        <w:tc>
          <w:tcPr>
            <w:tcW w:w="324" w:type="pct"/>
            <w:vMerge w:val="restart"/>
            <w:tcBorders>
              <w:top w:val="single" w:color="000000" w:sz="4" w:space="0"/>
              <w:left w:val="single" w:color="000000" w:sz="4" w:space="0"/>
              <w:bottom w:val="single" w:color="000000" w:sz="4" w:space="0"/>
              <w:right w:val="single" w:color="000000" w:sz="4" w:space="0"/>
            </w:tcBorders>
            <w:noWrap w:val="0"/>
            <w:vAlign w:val="center"/>
          </w:tcPr>
          <w:p w14:paraId="71B8155C">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8</w:t>
            </w:r>
          </w:p>
        </w:tc>
        <w:tc>
          <w:tcPr>
            <w:tcW w:w="774" w:type="pct"/>
            <w:vMerge w:val="restart"/>
            <w:tcBorders>
              <w:top w:val="single" w:color="000000" w:sz="4" w:space="0"/>
              <w:left w:val="single" w:color="000000" w:sz="4" w:space="0"/>
              <w:bottom w:val="single" w:color="000000" w:sz="4" w:space="0"/>
              <w:right w:val="single" w:color="000000" w:sz="4" w:space="0"/>
            </w:tcBorders>
            <w:noWrap w:val="0"/>
            <w:vAlign w:val="center"/>
          </w:tcPr>
          <w:p w14:paraId="027560F2">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医技北楼</w:t>
            </w: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7B6E116B">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PICU</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0A08C17D">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4F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1429E705">
            <w:pPr>
              <w:jc w:val="center"/>
              <w:rPr>
                <w:rFonts w:ascii="宋体" w:hAnsi="宋体" w:cs="宋体"/>
                <w:color w:val="auto"/>
                <w:sz w:val="21"/>
                <w:szCs w:val="21"/>
                <w:highlight w:val="none"/>
              </w:rPr>
            </w:pPr>
          </w:p>
        </w:tc>
        <w:tc>
          <w:tcPr>
            <w:tcW w:w="685" w:type="pct"/>
            <w:vMerge w:val="restart"/>
            <w:tcBorders>
              <w:top w:val="single" w:color="000000" w:sz="4" w:space="0"/>
              <w:left w:val="single" w:color="000000" w:sz="4" w:space="0"/>
              <w:bottom w:val="single" w:color="000000" w:sz="4" w:space="0"/>
              <w:right w:val="single" w:color="000000" w:sz="4" w:space="0"/>
            </w:tcBorders>
            <w:noWrap w:val="0"/>
            <w:vAlign w:val="center"/>
          </w:tcPr>
          <w:p w14:paraId="3956D8F1">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331B334B">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6783B88F">
        <w:tblPrEx>
          <w:tblCellMar>
            <w:top w:w="0" w:type="dxa"/>
            <w:left w:w="108" w:type="dxa"/>
            <w:bottom w:w="0" w:type="dxa"/>
            <w:right w:w="108" w:type="dxa"/>
          </w:tblCellMar>
        </w:tblPrEx>
        <w:trPr>
          <w:trHeight w:val="4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4B248A">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ADB167">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74E950A9">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消毒供应中心</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209B34C4">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3F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50384D5E">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8</w:t>
            </w: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BECD18">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7C04C8BD">
            <w:pPr>
              <w:jc w:val="center"/>
              <w:rPr>
                <w:rFonts w:ascii="宋体" w:hAnsi="宋体" w:cs="宋体"/>
                <w:color w:val="auto"/>
                <w:sz w:val="21"/>
                <w:szCs w:val="21"/>
                <w:highlight w:val="none"/>
              </w:rPr>
            </w:pPr>
          </w:p>
        </w:tc>
      </w:tr>
      <w:tr w14:paraId="7CBC38BB">
        <w:tblPrEx>
          <w:tblCellMar>
            <w:top w:w="0" w:type="dxa"/>
            <w:left w:w="108" w:type="dxa"/>
            <w:bottom w:w="0" w:type="dxa"/>
            <w:right w:w="108" w:type="dxa"/>
          </w:tblCellMar>
        </w:tblPrEx>
        <w:trPr>
          <w:trHeight w:val="4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E9EAF9">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46A90E">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61BCE37D">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病理科</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AE967E">
            <w:pPr>
              <w:jc w:val="center"/>
              <w:rPr>
                <w:rFonts w:ascii="宋体" w:hAnsi="宋体" w:cs="宋体"/>
                <w:color w:val="auto"/>
                <w:sz w:val="21"/>
                <w:szCs w:val="21"/>
                <w:highlight w:val="none"/>
              </w:rPr>
            </w:pP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7E3C98B3">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A0F446">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1BB235C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294B4567">
        <w:tblPrEx>
          <w:tblCellMar>
            <w:top w:w="0" w:type="dxa"/>
            <w:left w:w="108" w:type="dxa"/>
            <w:bottom w:w="0" w:type="dxa"/>
            <w:right w:w="108" w:type="dxa"/>
          </w:tblCellMar>
        </w:tblPrEx>
        <w:trPr>
          <w:trHeight w:val="4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D65B9B">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5607CE">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739D7198">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bidi="ar"/>
              </w:rPr>
              <w:t>输血科</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检验）</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2C5A4359">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2F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1897B9E5">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2</w:t>
            </w: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651115">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5C1A43D3">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6009F4AF">
        <w:tblPrEx>
          <w:tblCellMar>
            <w:top w:w="0" w:type="dxa"/>
            <w:left w:w="108" w:type="dxa"/>
            <w:bottom w:w="0" w:type="dxa"/>
            <w:right w:w="108" w:type="dxa"/>
          </w:tblCellMar>
        </w:tblPrEx>
        <w:trPr>
          <w:trHeight w:val="4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BD043B">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694391">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288F985E">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体检中心</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45D7B4">
            <w:pPr>
              <w:jc w:val="center"/>
              <w:rPr>
                <w:rFonts w:ascii="宋体" w:hAnsi="宋体" w:cs="宋体"/>
                <w:color w:val="auto"/>
                <w:sz w:val="21"/>
                <w:szCs w:val="21"/>
                <w:highlight w:val="none"/>
              </w:rPr>
            </w:pP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630A2ACF">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7FFB8F">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456C4A38">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2</w:t>
            </w:r>
          </w:p>
        </w:tc>
      </w:tr>
      <w:tr w14:paraId="65BCF6DB">
        <w:tblPrEx>
          <w:tblCellMar>
            <w:top w:w="0" w:type="dxa"/>
            <w:left w:w="108" w:type="dxa"/>
            <w:bottom w:w="0" w:type="dxa"/>
            <w:right w:w="108" w:type="dxa"/>
          </w:tblCellMar>
        </w:tblPrEx>
        <w:trPr>
          <w:trHeight w:val="4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636077">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7D8E71">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1218990C">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静脉配置中心</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5EC5E1A0">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2CB8D46D">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F61E18">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2D1F295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5A2EC8BF">
        <w:tblPrEx>
          <w:tblCellMar>
            <w:top w:w="0" w:type="dxa"/>
            <w:left w:w="108" w:type="dxa"/>
            <w:bottom w:w="0" w:type="dxa"/>
            <w:right w:w="108" w:type="dxa"/>
          </w:tblCellMar>
        </w:tblPrEx>
        <w:trPr>
          <w:trHeight w:val="68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F26FF6">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21A59D">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7101CCF2">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中心药房/儿童、成人侯药区</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2B4676">
            <w:pPr>
              <w:jc w:val="center"/>
              <w:rPr>
                <w:rFonts w:ascii="宋体" w:hAnsi="宋体" w:cs="宋体"/>
                <w:color w:val="auto"/>
                <w:sz w:val="21"/>
                <w:szCs w:val="21"/>
                <w:highlight w:val="none"/>
              </w:rPr>
            </w:pP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5FD341E5">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1</w:t>
            </w: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865585">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01D3F50B">
            <w:pPr>
              <w:jc w:val="center"/>
              <w:rPr>
                <w:rFonts w:ascii="宋体" w:hAnsi="宋体" w:cs="宋体"/>
                <w:color w:val="auto"/>
                <w:sz w:val="21"/>
                <w:szCs w:val="21"/>
                <w:highlight w:val="none"/>
              </w:rPr>
            </w:pPr>
          </w:p>
        </w:tc>
      </w:tr>
      <w:tr w14:paraId="176CFF17">
        <w:tblPrEx>
          <w:tblCellMar>
            <w:top w:w="0" w:type="dxa"/>
            <w:left w:w="108" w:type="dxa"/>
            <w:bottom w:w="0" w:type="dxa"/>
            <w:right w:w="108" w:type="dxa"/>
          </w:tblCellMar>
        </w:tblPrEx>
        <w:trPr>
          <w:trHeight w:val="56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BFADB8">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FE75B6">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251CEB84">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药库/器械库/公区</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31620F80">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3FD0DF43">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B97B78">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65D9F0F9">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79E4D2A7">
        <w:tblPrEx>
          <w:tblCellMar>
            <w:top w:w="0" w:type="dxa"/>
            <w:left w:w="108" w:type="dxa"/>
            <w:bottom w:w="0" w:type="dxa"/>
            <w:right w:w="108" w:type="dxa"/>
          </w:tblCellMar>
        </w:tblPrEx>
        <w:trPr>
          <w:trHeight w:val="44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E9BB2C">
            <w:pPr>
              <w:jc w:val="center"/>
              <w:rPr>
                <w:rFonts w:ascii="宋体" w:hAnsi="宋体" w:cs="宋体"/>
                <w:b/>
                <w:bCs/>
                <w:color w:val="auto"/>
                <w:sz w:val="21"/>
                <w:szCs w:val="21"/>
                <w:highlight w:val="none"/>
              </w:rPr>
            </w:pPr>
          </w:p>
        </w:tc>
        <w:tc>
          <w:tcPr>
            <w:tcW w:w="2066" w:type="pct"/>
            <w:gridSpan w:val="2"/>
            <w:tcBorders>
              <w:top w:val="single" w:color="000000" w:sz="4" w:space="0"/>
              <w:left w:val="single" w:color="000000" w:sz="4" w:space="0"/>
              <w:bottom w:val="single" w:color="000000" w:sz="4" w:space="0"/>
              <w:right w:val="single" w:color="000000" w:sz="4" w:space="0"/>
            </w:tcBorders>
            <w:noWrap w:val="0"/>
            <w:vAlign w:val="center"/>
          </w:tcPr>
          <w:p w14:paraId="1053CFAB">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医技北楼替班人员</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50F30E4A">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7227C3A0">
            <w:pPr>
              <w:jc w:val="center"/>
              <w:rPr>
                <w:rFonts w:ascii="宋体" w:hAnsi="宋体" w:cs="宋体"/>
                <w:b/>
                <w:bCs/>
                <w:color w:val="auto"/>
                <w:sz w:val="21"/>
                <w:szCs w:val="21"/>
                <w:highlight w:val="none"/>
              </w:rPr>
            </w:pPr>
          </w:p>
        </w:tc>
      </w:tr>
      <w:tr w14:paraId="12C2F10A">
        <w:tblPrEx>
          <w:tblCellMar>
            <w:top w:w="0" w:type="dxa"/>
            <w:left w:w="108" w:type="dxa"/>
            <w:bottom w:w="0" w:type="dxa"/>
            <w:right w:w="108" w:type="dxa"/>
          </w:tblCellMar>
        </w:tblPrEx>
        <w:trPr>
          <w:trHeight w:val="440" w:hRule="atLeast"/>
          <w:jc w:val="center"/>
        </w:trPr>
        <w:tc>
          <w:tcPr>
            <w:tcW w:w="2390" w:type="pct"/>
            <w:gridSpan w:val="3"/>
            <w:tcBorders>
              <w:top w:val="single" w:color="000000" w:sz="4" w:space="0"/>
              <w:left w:val="single" w:color="000000" w:sz="4" w:space="0"/>
              <w:bottom w:val="single" w:color="000000" w:sz="4" w:space="0"/>
              <w:right w:val="single" w:color="000000" w:sz="4" w:space="0"/>
            </w:tcBorders>
            <w:noWrap w:val="0"/>
            <w:vAlign w:val="center"/>
          </w:tcPr>
          <w:p w14:paraId="0C650F9C">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医技北楼人员小计</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48CE33C6">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4D0A9BD7">
            <w:pPr>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13</w:t>
            </w:r>
          </w:p>
        </w:tc>
      </w:tr>
      <w:tr w14:paraId="3697E4CB">
        <w:tblPrEx>
          <w:tblCellMar>
            <w:top w:w="0" w:type="dxa"/>
            <w:left w:w="108" w:type="dxa"/>
            <w:bottom w:w="0" w:type="dxa"/>
            <w:right w:w="108" w:type="dxa"/>
          </w:tblCellMar>
        </w:tblPrEx>
        <w:trPr>
          <w:trHeight w:val="500" w:hRule="atLeast"/>
          <w:jc w:val="center"/>
        </w:trPr>
        <w:tc>
          <w:tcPr>
            <w:tcW w:w="324" w:type="pct"/>
            <w:vMerge w:val="restart"/>
            <w:tcBorders>
              <w:top w:val="single" w:color="000000" w:sz="4" w:space="0"/>
              <w:left w:val="single" w:color="000000" w:sz="4" w:space="0"/>
              <w:bottom w:val="single" w:color="000000" w:sz="4" w:space="0"/>
              <w:right w:val="single" w:color="000000" w:sz="4" w:space="0"/>
            </w:tcBorders>
            <w:noWrap w:val="0"/>
            <w:vAlign w:val="center"/>
          </w:tcPr>
          <w:p w14:paraId="4121A34B">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9</w:t>
            </w:r>
          </w:p>
        </w:tc>
        <w:tc>
          <w:tcPr>
            <w:tcW w:w="774" w:type="pct"/>
            <w:vMerge w:val="restart"/>
            <w:tcBorders>
              <w:top w:val="single" w:color="000000" w:sz="4" w:space="0"/>
              <w:left w:val="single" w:color="000000" w:sz="4" w:space="0"/>
              <w:bottom w:val="single" w:color="000000" w:sz="4" w:space="0"/>
              <w:right w:val="single" w:color="000000" w:sz="4" w:space="0"/>
            </w:tcBorders>
            <w:noWrap w:val="0"/>
            <w:vAlign w:val="center"/>
          </w:tcPr>
          <w:p w14:paraId="1AE46BF8">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医技南楼</w:t>
            </w: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5DCE17F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中心手术室</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3E4C860E">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4F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7B4F6FF2">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8</w:t>
            </w:r>
          </w:p>
        </w:tc>
        <w:tc>
          <w:tcPr>
            <w:tcW w:w="685" w:type="pct"/>
            <w:tcBorders>
              <w:top w:val="single" w:color="000000" w:sz="4" w:space="0"/>
              <w:left w:val="single" w:color="000000" w:sz="4" w:space="0"/>
              <w:bottom w:val="single" w:color="000000" w:sz="4" w:space="0"/>
              <w:right w:val="single" w:color="000000" w:sz="4" w:space="0"/>
            </w:tcBorders>
            <w:noWrap w:val="0"/>
            <w:vAlign w:val="center"/>
          </w:tcPr>
          <w:p w14:paraId="5D4C9FA7">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62F42875">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r>
      <w:tr w14:paraId="0F43DE5F">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0226073">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EF7008">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62D7DCCA">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功能检查科</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6726B29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3F</w:t>
            </w:r>
          </w:p>
        </w:tc>
        <w:tc>
          <w:tcPr>
            <w:tcW w:w="701" w:type="pct"/>
            <w:vMerge w:val="restart"/>
            <w:tcBorders>
              <w:top w:val="single" w:color="000000" w:sz="4" w:space="0"/>
              <w:left w:val="single" w:color="000000" w:sz="4" w:space="0"/>
              <w:bottom w:val="single" w:color="000000" w:sz="4" w:space="0"/>
              <w:right w:val="single" w:color="000000" w:sz="4" w:space="0"/>
            </w:tcBorders>
            <w:noWrap w:val="0"/>
            <w:vAlign w:val="center"/>
          </w:tcPr>
          <w:p w14:paraId="25F4B488">
            <w:pPr>
              <w:jc w:val="center"/>
              <w:rPr>
                <w:rFonts w:ascii="宋体" w:hAnsi="宋体" w:cs="宋体"/>
                <w:color w:val="auto"/>
                <w:sz w:val="21"/>
                <w:szCs w:val="21"/>
                <w:highlight w:val="none"/>
              </w:rPr>
            </w:pPr>
          </w:p>
        </w:tc>
        <w:tc>
          <w:tcPr>
            <w:tcW w:w="685" w:type="pct"/>
            <w:vMerge w:val="restart"/>
            <w:tcBorders>
              <w:top w:val="single" w:color="000000" w:sz="4" w:space="0"/>
              <w:left w:val="single" w:color="000000" w:sz="4" w:space="0"/>
              <w:bottom w:val="single" w:color="000000" w:sz="4" w:space="0"/>
              <w:right w:val="single" w:color="000000" w:sz="4" w:space="0"/>
            </w:tcBorders>
            <w:noWrap w:val="0"/>
            <w:vAlign w:val="center"/>
          </w:tcPr>
          <w:p w14:paraId="2E7597CF">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0FD9C29E">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r>
      <w:tr w14:paraId="6CB3EE35">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E38D39">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982E62">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5EFF33C9">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超声医学科</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A1AE50">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430D54">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5E1C56">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7C13ABE1">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6</w:t>
            </w:r>
          </w:p>
        </w:tc>
      </w:tr>
      <w:tr w14:paraId="37034C99">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7839BD">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19075C">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0429192F">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遗传实验室</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209ED24D">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2F</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3BFEC5BF">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446F09">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5C643273">
            <w:pPr>
              <w:jc w:val="center"/>
              <w:rPr>
                <w:rFonts w:ascii="宋体" w:hAnsi="宋体" w:cs="宋体"/>
                <w:color w:val="auto"/>
                <w:sz w:val="21"/>
                <w:szCs w:val="21"/>
                <w:highlight w:val="none"/>
              </w:rPr>
            </w:pPr>
          </w:p>
        </w:tc>
      </w:tr>
      <w:tr w14:paraId="150F4530">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216BA5">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B97670">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570325D9">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内镜中心</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076F9D">
            <w:pPr>
              <w:jc w:val="center"/>
              <w:rPr>
                <w:rFonts w:ascii="宋体" w:hAnsi="宋体" w:cs="宋体"/>
                <w:color w:val="auto"/>
                <w:sz w:val="21"/>
                <w:szCs w:val="21"/>
                <w:highlight w:val="none"/>
              </w:rPr>
            </w:pP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6BFE80D6">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2</w:t>
            </w: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662A71">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6D50959E">
            <w:pPr>
              <w:jc w:val="center"/>
              <w:rPr>
                <w:rFonts w:ascii="宋体" w:hAnsi="宋体" w:cs="宋体"/>
                <w:color w:val="auto"/>
                <w:sz w:val="21"/>
                <w:szCs w:val="21"/>
                <w:highlight w:val="none"/>
              </w:rPr>
            </w:pPr>
          </w:p>
        </w:tc>
      </w:tr>
      <w:tr w14:paraId="351FAB15">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B924F4">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439726">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2FE7452B">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放射影像科（西）</w:t>
            </w:r>
          </w:p>
        </w:tc>
        <w:tc>
          <w:tcPr>
            <w:tcW w:w="479" w:type="pct"/>
            <w:vMerge w:val="restart"/>
            <w:tcBorders>
              <w:top w:val="single" w:color="000000" w:sz="4" w:space="0"/>
              <w:left w:val="single" w:color="000000" w:sz="4" w:space="0"/>
              <w:bottom w:val="single" w:color="000000" w:sz="4" w:space="0"/>
              <w:right w:val="single" w:color="000000" w:sz="4" w:space="0"/>
            </w:tcBorders>
            <w:noWrap w:val="0"/>
            <w:vAlign w:val="center"/>
          </w:tcPr>
          <w:p w14:paraId="4F7F5647">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1F</w:t>
            </w:r>
          </w:p>
        </w:tc>
        <w:tc>
          <w:tcPr>
            <w:tcW w:w="701" w:type="pct"/>
            <w:vMerge w:val="restart"/>
            <w:tcBorders>
              <w:top w:val="single" w:color="000000" w:sz="4" w:space="0"/>
              <w:left w:val="single" w:color="000000" w:sz="4" w:space="0"/>
              <w:bottom w:val="single" w:color="000000" w:sz="4" w:space="0"/>
              <w:right w:val="single" w:color="000000" w:sz="4" w:space="0"/>
            </w:tcBorders>
            <w:noWrap w:val="0"/>
            <w:vAlign w:val="center"/>
          </w:tcPr>
          <w:p w14:paraId="6E37A6E3">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1</w:t>
            </w: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1AE49F">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73FE92E9">
            <w:pPr>
              <w:jc w:val="center"/>
              <w:rPr>
                <w:rFonts w:ascii="宋体" w:hAnsi="宋体" w:cs="宋体"/>
                <w:color w:val="auto"/>
                <w:sz w:val="21"/>
                <w:szCs w:val="21"/>
                <w:highlight w:val="none"/>
              </w:rPr>
            </w:pPr>
          </w:p>
        </w:tc>
      </w:tr>
      <w:tr w14:paraId="13BE3A54">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35F0AC">
            <w:pPr>
              <w:jc w:val="center"/>
              <w:rPr>
                <w:rFonts w:ascii="宋体" w:hAnsi="宋体" w:cs="宋体"/>
                <w:b/>
                <w:bCs/>
                <w:color w:val="auto"/>
                <w:sz w:val="21"/>
                <w:szCs w:val="21"/>
                <w:highlight w:val="none"/>
              </w:rPr>
            </w:pPr>
          </w:p>
        </w:tc>
        <w:tc>
          <w:tcPr>
            <w:tcW w:w="77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9DE87E">
            <w:pPr>
              <w:jc w:val="center"/>
              <w:rPr>
                <w:rFonts w:ascii="宋体" w:hAnsi="宋体" w:cs="宋体"/>
                <w:b/>
                <w:bCs/>
                <w:color w:val="auto"/>
                <w:sz w:val="21"/>
                <w:szCs w:val="21"/>
                <w:highlight w:val="none"/>
              </w:rPr>
            </w:pPr>
          </w:p>
        </w:tc>
        <w:tc>
          <w:tcPr>
            <w:tcW w:w="1292" w:type="pct"/>
            <w:tcBorders>
              <w:top w:val="single" w:color="000000" w:sz="4" w:space="0"/>
              <w:left w:val="single" w:color="000000" w:sz="4" w:space="0"/>
              <w:bottom w:val="single" w:color="000000" w:sz="4" w:space="0"/>
              <w:right w:val="single" w:color="000000" w:sz="4" w:space="0"/>
            </w:tcBorders>
            <w:noWrap w:val="0"/>
            <w:vAlign w:val="center"/>
          </w:tcPr>
          <w:p w14:paraId="1D35969B">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放射影像科（东）</w:t>
            </w:r>
          </w:p>
        </w:tc>
        <w:tc>
          <w:tcPr>
            <w:tcW w:w="47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5FF060">
            <w:pPr>
              <w:jc w:val="center"/>
              <w:rPr>
                <w:rFonts w:ascii="宋体" w:hAnsi="宋体" w:cs="宋体"/>
                <w:color w:val="auto"/>
                <w:sz w:val="21"/>
                <w:szCs w:val="21"/>
                <w:highlight w:val="none"/>
              </w:rPr>
            </w:pPr>
          </w:p>
        </w:tc>
        <w:tc>
          <w:tcPr>
            <w:tcW w:w="7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546842">
            <w:pPr>
              <w:jc w:val="center"/>
              <w:rPr>
                <w:rFonts w:ascii="宋体" w:hAnsi="宋体" w:cs="宋体"/>
                <w:color w:val="auto"/>
                <w:sz w:val="21"/>
                <w:szCs w:val="21"/>
                <w:highlight w:val="none"/>
              </w:rPr>
            </w:pPr>
          </w:p>
        </w:tc>
        <w:tc>
          <w:tcPr>
            <w:tcW w:w="68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DE0784">
            <w:pPr>
              <w:jc w:val="center"/>
              <w:rPr>
                <w:rFonts w:ascii="宋体" w:hAnsi="宋体" w:cs="宋体"/>
                <w:color w:val="auto"/>
                <w:sz w:val="21"/>
                <w:szCs w:val="21"/>
                <w:highlight w:val="none"/>
              </w:rPr>
            </w:pPr>
          </w:p>
        </w:tc>
        <w:tc>
          <w:tcPr>
            <w:tcW w:w="742" w:type="pct"/>
            <w:tcBorders>
              <w:top w:val="single" w:color="000000" w:sz="4" w:space="0"/>
              <w:left w:val="single" w:color="000000" w:sz="4" w:space="0"/>
              <w:bottom w:val="single" w:color="000000" w:sz="4" w:space="0"/>
              <w:right w:val="single" w:color="000000" w:sz="4" w:space="0"/>
            </w:tcBorders>
            <w:noWrap/>
            <w:vAlign w:val="center"/>
          </w:tcPr>
          <w:p w14:paraId="23A39E1C">
            <w:pPr>
              <w:jc w:val="center"/>
              <w:rPr>
                <w:rFonts w:ascii="宋体" w:hAnsi="宋体" w:cs="宋体"/>
                <w:color w:val="auto"/>
                <w:sz w:val="21"/>
                <w:szCs w:val="21"/>
                <w:highlight w:val="none"/>
              </w:rPr>
            </w:pPr>
          </w:p>
        </w:tc>
      </w:tr>
      <w:tr w14:paraId="41D8B21A">
        <w:tblPrEx>
          <w:tblCellMar>
            <w:top w:w="0" w:type="dxa"/>
            <w:left w:w="108" w:type="dxa"/>
            <w:bottom w:w="0" w:type="dxa"/>
            <w:right w:w="108" w:type="dxa"/>
          </w:tblCellMar>
        </w:tblPrEx>
        <w:trPr>
          <w:trHeight w:val="500" w:hRule="atLeast"/>
          <w:jc w:val="center"/>
        </w:trPr>
        <w:tc>
          <w:tcPr>
            <w:tcW w:w="32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0609BB">
            <w:pPr>
              <w:jc w:val="center"/>
              <w:rPr>
                <w:rFonts w:ascii="宋体" w:hAnsi="宋体" w:cs="宋体"/>
                <w:b/>
                <w:bCs/>
                <w:color w:val="auto"/>
                <w:sz w:val="21"/>
                <w:szCs w:val="21"/>
                <w:highlight w:val="none"/>
              </w:rPr>
            </w:pPr>
          </w:p>
        </w:tc>
        <w:tc>
          <w:tcPr>
            <w:tcW w:w="2066" w:type="pct"/>
            <w:gridSpan w:val="2"/>
            <w:tcBorders>
              <w:top w:val="single" w:color="000000" w:sz="4" w:space="0"/>
              <w:left w:val="single" w:color="000000" w:sz="4" w:space="0"/>
              <w:bottom w:val="single" w:color="000000" w:sz="4" w:space="0"/>
              <w:right w:val="single" w:color="000000" w:sz="4" w:space="0"/>
            </w:tcBorders>
            <w:noWrap w:val="0"/>
            <w:vAlign w:val="center"/>
          </w:tcPr>
          <w:p w14:paraId="564F994C">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医技南楼替班人员</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5F7BEED1">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6C105B7B">
            <w:pPr>
              <w:jc w:val="center"/>
              <w:rPr>
                <w:rFonts w:ascii="宋体" w:hAnsi="宋体" w:cs="宋体"/>
                <w:b/>
                <w:bCs/>
                <w:color w:val="auto"/>
                <w:sz w:val="21"/>
                <w:szCs w:val="21"/>
                <w:highlight w:val="none"/>
              </w:rPr>
            </w:pPr>
          </w:p>
        </w:tc>
      </w:tr>
      <w:tr w14:paraId="6A13E977">
        <w:tblPrEx>
          <w:tblCellMar>
            <w:top w:w="0" w:type="dxa"/>
            <w:left w:w="108" w:type="dxa"/>
            <w:bottom w:w="0" w:type="dxa"/>
            <w:right w:w="108" w:type="dxa"/>
          </w:tblCellMar>
        </w:tblPrEx>
        <w:trPr>
          <w:trHeight w:val="500" w:hRule="atLeast"/>
          <w:jc w:val="center"/>
        </w:trPr>
        <w:tc>
          <w:tcPr>
            <w:tcW w:w="2390" w:type="pct"/>
            <w:gridSpan w:val="3"/>
            <w:tcBorders>
              <w:top w:val="single" w:color="000000" w:sz="4" w:space="0"/>
              <w:left w:val="single" w:color="000000" w:sz="4" w:space="0"/>
              <w:bottom w:val="single" w:color="000000" w:sz="4" w:space="0"/>
              <w:right w:val="single" w:color="000000" w:sz="4" w:space="0"/>
            </w:tcBorders>
            <w:noWrap w:val="0"/>
            <w:vAlign w:val="center"/>
          </w:tcPr>
          <w:p w14:paraId="438380AE">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医技南楼人员小计</w:t>
            </w:r>
          </w:p>
        </w:tc>
        <w:tc>
          <w:tcPr>
            <w:tcW w:w="479" w:type="pct"/>
            <w:tcBorders>
              <w:top w:val="single" w:color="000000" w:sz="4" w:space="0"/>
              <w:left w:val="single" w:color="000000" w:sz="4" w:space="0"/>
              <w:bottom w:val="single" w:color="000000" w:sz="4" w:space="0"/>
              <w:right w:val="single" w:color="000000" w:sz="4" w:space="0"/>
            </w:tcBorders>
            <w:noWrap w:val="0"/>
            <w:vAlign w:val="center"/>
          </w:tcPr>
          <w:p w14:paraId="1FEA662A">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w:t>
            </w:r>
          </w:p>
        </w:tc>
        <w:tc>
          <w:tcPr>
            <w:tcW w:w="2129" w:type="pct"/>
            <w:gridSpan w:val="3"/>
            <w:tcBorders>
              <w:top w:val="single" w:color="000000" w:sz="4" w:space="0"/>
              <w:left w:val="single" w:color="000000" w:sz="4" w:space="0"/>
              <w:bottom w:val="single" w:color="000000" w:sz="4" w:space="0"/>
              <w:right w:val="single" w:color="000000" w:sz="4" w:space="0"/>
            </w:tcBorders>
            <w:noWrap/>
            <w:vAlign w:val="center"/>
          </w:tcPr>
          <w:p w14:paraId="3A87F0B5">
            <w:pPr>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bidi="ar"/>
              </w:rPr>
              <w:t>18</w:t>
            </w:r>
          </w:p>
        </w:tc>
      </w:tr>
      <w:tr w14:paraId="54CA8F44">
        <w:tblPrEx>
          <w:tblCellMar>
            <w:top w:w="0" w:type="dxa"/>
            <w:left w:w="108" w:type="dxa"/>
            <w:bottom w:w="0" w:type="dxa"/>
            <w:right w:w="108" w:type="dxa"/>
          </w:tblCellMar>
        </w:tblPrEx>
        <w:trPr>
          <w:trHeight w:val="500" w:hRule="atLeast"/>
          <w:jc w:val="center"/>
        </w:trPr>
        <w:tc>
          <w:tcPr>
            <w:tcW w:w="324" w:type="pct"/>
            <w:tcBorders>
              <w:top w:val="single" w:color="000000" w:sz="4" w:space="0"/>
              <w:left w:val="single" w:color="000000" w:sz="4" w:space="0"/>
              <w:bottom w:val="single" w:color="000000" w:sz="4" w:space="0"/>
              <w:right w:val="single" w:color="000000" w:sz="4" w:space="0"/>
            </w:tcBorders>
            <w:noWrap w:val="0"/>
            <w:vAlign w:val="center"/>
          </w:tcPr>
          <w:p w14:paraId="78DBB04F">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10</w:t>
            </w:r>
          </w:p>
        </w:tc>
        <w:tc>
          <w:tcPr>
            <w:tcW w:w="2066" w:type="pct"/>
            <w:gridSpan w:val="2"/>
            <w:tcBorders>
              <w:top w:val="single" w:color="000000" w:sz="4" w:space="0"/>
              <w:left w:val="single" w:color="000000" w:sz="4" w:space="0"/>
              <w:bottom w:val="single" w:color="000000" w:sz="4" w:space="0"/>
              <w:right w:val="single" w:color="000000" w:sz="4" w:space="0"/>
            </w:tcBorders>
            <w:noWrap w:val="0"/>
            <w:vAlign w:val="center"/>
          </w:tcPr>
          <w:p w14:paraId="70A019B8">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合   计</w:t>
            </w:r>
          </w:p>
        </w:tc>
        <w:tc>
          <w:tcPr>
            <w:tcW w:w="2609" w:type="pct"/>
            <w:gridSpan w:val="4"/>
            <w:tcBorders>
              <w:top w:val="single" w:color="000000" w:sz="4" w:space="0"/>
              <w:left w:val="single" w:color="000000" w:sz="4" w:space="0"/>
              <w:bottom w:val="single" w:color="000000" w:sz="4" w:space="0"/>
              <w:right w:val="single" w:color="000000" w:sz="4" w:space="0"/>
            </w:tcBorders>
            <w:noWrap w:val="0"/>
            <w:vAlign w:val="center"/>
          </w:tcPr>
          <w:p w14:paraId="08924BBF">
            <w:pPr>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101</w:t>
            </w:r>
          </w:p>
        </w:tc>
      </w:tr>
      <w:tr w14:paraId="4659202C">
        <w:tblPrEx>
          <w:tblCellMar>
            <w:top w:w="0" w:type="dxa"/>
            <w:left w:w="108" w:type="dxa"/>
            <w:bottom w:w="0" w:type="dxa"/>
            <w:right w:w="108" w:type="dxa"/>
          </w:tblCellMar>
        </w:tblPrEx>
        <w:trPr>
          <w:trHeight w:val="500" w:hRule="atLeast"/>
          <w:jc w:val="center"/>
        </w:trPr>
        <w:tc>
          <w:tcPr>
            <w:tcW w:w="324" w:type="pct"/>
            <w:tcBorders>
              <w:top w:val="single" w:color="000000" w:sz="4" w:space="0"/>
              <w:left w:val="single" w:color="000000" w:sz="4" w:space="0"/>
              <w:bottom w:val="single" w:color="000000" w:sz="4" w:space="0"/>
              <w:right w:val="single" w:color="000000" w:sz="4" w:space="0"/>
            </w:tcBorders>
            <w:noWrap w:val="0"/>
            <w:vAlign w:val="center"/>
          </w:tcPr>
          <w:p w14:paraId="5D140AAE">
            <w:pPr>
              <w:jc w:val="center"/>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11</w:t>
            </w:r>
          </w:p>
        </w:tc>
        <w:tc>
          <w:tcPr>
            <w:tcW w:w="2066" w:type="pct"/>
            <w:gridSpan w:val="2"/>
            <w:tcBorders>
              <w:top w:val="single" w:color="000000" w:sz="4" w:space="0"/>
              <w:left w:val="single" w:color="000000" w:sz="4" w:space="0"/>
              <w:bottom w:val="single" w:color="000000" w:sz="4" w:space="0"/>
              <w:right w:val="single" w:color="000000" w:sz="4" w:space="0"/>
            </w:tcBorders>
            <w:noWrap w:val="0"/>
            <w:vAlign w:val="center"/>
          </w:tcPr>
          <w:p w14:paraId="121C2588">
            <w:pPr>
              <w:jc w:val="center"/>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B地块</w:t>
            </w:r>
          </w:p>
        </w:tc>
        <w:tc>
          <w:tcPr>
            <w:tcW w:w="2609" w:type="pct"/>
            <w:gridSpan w:val="4"/>
            <w:tcBorders>
              <w:top w:val="single" w:color="000000" w:sz="4" w:space="0"/>
              <w:left w:val="single" w:color="000000" w:sz="4" w:space="0"/>
              <w:bottom w:val="single" w:color="000000" w:sz="4" w:space="0"/>
              <w:right w:val="single" w:color="000000" w:sz="4" w:space="0"/>
            </w:tcBorders>
            <w:noWrap w:val="0"/>
            <w:vAlign w:val="center"/>
          </w:tcPr>
          <w:p w14:paraId="5B35C5F2">
            <w:pPr>
              <w:jc w:val="center"/>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10</w:t>
            </w:r>
          </w:p>
        </w:tc>
      </w:tr>
      <w:tr w14:paraId="7F8AFCAC">
        <w:tblPrEx>
          <w:tblCellMar>
            <w:top w:w="0" w:type="dxa"/>
            <w:left w:w="108" w:type="dxa"/>
            <w:bottom w:w="0" w:type="dxa"/>
            <w:right w:w="108" w:type="dxa"/>
          </w:tblCellMar>
        </w:tblPrEx>
        <w:trPr>
          <w:trHeight w:val="500" w:hRule="atLeast"/>
          <w:jc w:val="center"/>
        </w:trPr>
        <w:tc>
          <w:tcPr>
            <w:tcW w:w="324" w:type="pct"/>
            <w:tcBorders>
              <w:top w:val="single" w:color="000000" w:sz="4" w:space="0"/>
              <w:left w:val="single" w:color="000000" w:sz="4" w:space="0"/>
              <w:bottom w:val="single" w:color="000000" w:sz="4" w:space="0"/>
              <w:right w:val="single" w:color="000000" w:sz="4" w:space="0"/>
            </w:tcBorders>
            <w:noWrap w:val="0"/>
            <w:vAlign w:val="center"/>
          </w:tcPr>
          <w:p w14:paraId="253EA2F1">
            <w:pPr>
              <w:jc w:val="center"/>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12</w:t>
            </w:r>
          </w:p>
        </w:tc>
        <w:tc>
          <w:tcPr>
            <w:tcW w:w="2066" w:type="pct"/>
            <w:gridSpan w:val="2"/>
            <w:tcBorders>
              <w:top w:val="single" w:color="000000" w:sz="4" w:space="0"/>
              <w:left w:val="single" w:color="000000" w:sz="4" w:space="0"/>
              <w:bottom w:val="single" w:color="000000" w:sz="4" w:space="0"/>
              <w:right w:val="single" w:color="000000" w:sz="4" w:space="0"/>
            </w:tcBorders>
            <w:noWrap w:val="0"/>
            <w:vAlign w:val="center"/>
          </w:tcPr>
          <w:p w14:paraId="6242DEAA">
            <w:pPr>
              <w:jc w:val="center"/>
              <w:rPr>
                <w:rFonts w:hint="eastAsia" w:ascii="宋体" w:hAnsi="宋体" w:eastAsia="宋体" w:cs="宋体"/>
                <w:b/>
                <w:bCs/>
                <w:color w:val="auto"/>
                <w:sz w:val="21"/>
                <w:szCs w:val="21"/>
                <w:highlight w:val="none"/>
                <w:lang w:eastAsia="zh-CN" w:bidi="ar"/>
              </w:rPr>
            </w:pPr>
            <w:r>
              <w:rPr>
                <w:rFonts w:hint="eastAsia" w:ascii="宋体" w:hAnsi="宋体" w:cs="宋体"/>
                <w:b/>
                <w:bCs/>
                <w:color w:val="auto"/>
                <w:sz w:val="21"/>
                <w:szCs w:val="21"/>
                <w:highlight w:val="none"/>
                <w:lang w:eastAsia="zh-CN" w:bidi="ar"/>
              </w:rPr>
              <w:t>合计</w:t>
            </w:r>
          </w:p>
        </w:tc>
        <w:tc>
          <w:tcPr>
            <w:tcW w:w="2609" w:type="pct"/>
            <w:gridSpan w:val="4"/>
            <w:tcBorders>
              <w:top w:val="single" w:color="000000" w:sz="4" w:space="0"/>
              <w:left w:val="single" w:color="000000" w:sz="4" w:space="0"/>
              <w:bottom w:val="single" w:color="000000" w:sz="4" w:space="0"/>
              <w:right w:val="single" w:color="000000" w:sz="4" w:space="0"/>
            </w:tcBorders>
            <w:noWrap w:val="0"/>
            <w:vAlign w:val="center"/>
          </w:tcPr>
          <w:p w14:paraId="0AE6B7D9">
            <w:pPr>
              <w:jc w:val="center"/>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111</w:t>
            </w:r>
          </w:p>
        </w:tc>
      </w:tr>
      <w:bookmarkEnd w:id="73"/>
    </w:tbl>
    <w:p w14:paraId="4D87AC65">
      <w:pPr>
        <w:spacing w:line="360" w:lineRule="auto"/>
        <w:ind w:firstLine="422"/>
        <w:rPr>
          <w:rFonts w:ascii="宋体" w:hAnsi="宋体" w:cs="宋体"/>
          <w:b/>
          <w:bCs/>
          <w:color w:val="auto"/>
          <w:sz w:val="21"/>
          <w:szCs w:val="21"/>
          <w:highlight w:val="none"/>
        </w:rPr>
        <w:sectPr>
          <w:footerReference r:id="rId4" w:type="default"/>
          <w:pgSz w:w="11906" w:h="16838"/>
          <w:pgMar w:top="1440" w:right="1803" w:bottom="1440" w:left="1803" w:header="851" w:footer="992" w:gutter="0"/>
          <w:pgNumType w:fmt="decimal"/>
          <w:cols w:space="0" w:num="1"/>
          <w:rtlGutter w:val="0"/>
          <w:docGrid w:linePitch="360" w:charSpace="0"/>
        </w:sectPr>
      </w:pPr>
    </w:p>
    <w:p w14:paraId="3428A76C">
      <w:pPr>
        <w:spacing w:line="360" w:lineRule="auto"/>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七、考核内容及考核办法</w:t>
      </w:r>
    </w:p>
    <w:p w14:paraId="0885EC6F">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为加强对服务项目的管理和监督,保证辅医及物流服务质量,采购人按以下内容和标准对乙方进行考核：</w:t>
      </w:r>
    </w:p>
    <w:p w14:paraId="5A8CAD31">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1、采购人相关职能部门对中标供应商的日常管理及所有服务项目有权进行监督。</w:t>
      </w:r>
    </w:p>
    <w:p w14:paraId="5728BEC1">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2、采购人对中标供应商的服务项目、服务质量等进行考核。有缺额时应向采购人</w:t>
      </w:r>
      <w:r>
        <w:rPr>
          <w:rFonts w:hint="eastAsia" w:ascii="宋体" w:hAnsi="宋体" w:cs="宋体"/>
          <w:color w:val="auto"/>
          <w:sz w:val="21"/>
          <w:szCs w:val="21"/>
          <w:highlight w:val="none"/>
          <w:lang w:eastAsia="zh-CN"/>
        </w:rPr>
        <w:t>后勤保障处或人力资源处</w:t>
      </w:r>
      <w:r>
        <w:rPr>
          <w:rFonts w:hint="eastAsia" w:ascii="宋体" w:hAnsi="宋体" w:cs="宋体"/>
          <w:color w:val="auto"/>
          <w:sz w:val="21"/>
          <w:szCs w:val="21"/>
          <w:highlight w:val="none"/>
          <w:lang w:val="en-US" w:eastAsia="zh-CN"/>
        </w:rPr>
        <w:t>或人力资源处</w:t>
      </w:r>
      <w:r>
        <w:rPr>
          <w:rFonts w:hint="eastAsia" w:ascii="宋体" w:hAnsi="宋体" w:cs="宋体"/>
          <w:color w:val="auto"/>
          <w:sz w:val="21"/>
          <w:szCs w:val="21"/>
          <w:highlight w:val="none"/>
        </w:rPr>
        <w:t>报告备案，在定岗定编区域如有人员调动应提前通知该区域（科室）负责人，并做好人员工作交接，确保所在区域（科室）工作有序进行。主管人员调配应向采购人主管科室负责人通报。</w:t>
      </w:r>
    </w:p>
    <w:p w14:paraId="3A364EEF">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3、考核办法采取定期和不定期抽查相结合：</w:t>
      </w:r>
    </w:p>
    <w:p w14:paraId="25FB094D">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3.1定期：每月一次，由后勤保障处、</w:t>
      </w:r>
      <w:r>
        <w:rPr>
          <w:rFonts w:hint="eastAsia" w:ascii="宋体" w:hAnsi="宋体" w:cs="宋体"/>
          <w:color w:val="auto"/>
          <w:sz w:val="21"/>
          <w:szCs w:val="21"/>
          <w:highlight w:val="none"/>
          <w:lang w:val="en-US" w:eastAsia="zh-CN"/>
        </w:rPr>
        <w:t>人力资源处、</w:t>
      </w:r>
      <w:r>
        <w:rPr>
          <w:rFonts w:hint="eastAsia" w:ascii="宋体" w:hAnsi="宋体" w:cs="宋体"/>
          <w:color w:val="auto"/>
          <w:sz w:val="21"/>
          <w:szCs w:val="21"/>
          <w:highlight w:val="none"/>
        </w:rPr>
        <w:t>被服务科室、病区考核；每次考核后中标供应商应针对不足之处提出整改措施并落实在一周内整改到位，后勤保障处</w:t>
      </w:r>
      <w:r>
        <w:rPr>
          <w:rFonts w:hint="eastAsia" w:ascii="宋体" w:hAnsi="宋体" w:cs="宋体"/>
          <w:color w:val="auto"/>
          <w:sz w:val="21"/>
          <w:szCs w:val="21"/>
          <w:highlight w:val="none"/>
          <w:lang w:val="en-US" w:eastAsia="zh-CN"/>
        </w:rPr>
        <w:t>和人力资源处分别</w:t>
      </w:r>
      <w:r>
        <w:rPr>
          <w:rFonts w:hint="eastAsia" w:ascii="宋体" w:hAnsi="宋体" w:cs="宋体"/>
          <w:color w:val="auto"/>
          <w:sz w:val="21"/>
          <w:szCs w:val="21"/>
          <w:highlight w:val="none"/>
        </w:rPr>
        <w:t>填报《服务检查考核记录督查、整改、持续改进表》，双方签字确认。</w:t>
      </w:r>
    </w:p>
    <w:p w14:paraId="6E9CEDB1">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3.2不定期：由后勤保障处</w:t>
      </w:r>
      <w:r>
        <w:rPr>
          <w:rFonts w:hint="eastAsia" w:ascii="宋体" w:hAnsi="宋体" w:cs="宋体"/>
          <w:color w:val="auto"/>
          <w:sz w:val="21"/>
          <w:szCs w:val="21"/>
          <w:highlight w:val="none"/>
          <w:lang w:val="en-US" w:eastAsia="zh-CN"/>
        </w:rPr>
        <w:t>或人力资源处</w:t>
      </w:r>
      <w:r>
        <w:rPr>
          <w:rFonts w:hint="eastAsia" w:ascii="宋体" w:hAnsi="宋体" w:cs="宋体"/>
          <w:color w:val="auto"/>
          <w:sz w:val="21"/>
          <w:szCs w:val="21"/>
          <w:highlight w:val="none"/>
        </w:rPr>
        <w:t>，协同护理部、院感科、门诊部，对中标供应商的服务质量进行联合检查，采取集中联合检查、日常督查、暗查、夜查、节假日、随机检查等方式对服务公司的服务质量进行效果评定，并根据检查结果发放服务质量问题整改通知书；服务公司按甲方要求上交整改措施及效果，如未按期整改每次扣罚300元，每月累计以扣罚服务费用的方式进行结算处理。</w:t>
      </w:r>
    </w:p>
    <w:p w14:paraId="48A10A07">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 xml:space="preserve">4、考核内容： </w:t>
      </w:r>
    </w:p>
    <w:p w14:paraId="4827AE2F">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4.1服务公司应每周至少1次（至少2个区域）组织经理和主管联合检查并有记录；主管每天现场指导监督工人的工作质量并做好记录（每天将电子版发至群里）；服务公司每月底将所有检查监督的记录资料交后勤保障</w:t>
      </w:r>
      <w:r>
        <w:rPr>
          <w:rFonts w:hint="eastAsia" w:ascii="宋体" w:hAnsi="宋体" w:cs="宋体"/>
          <w:color w:val="auto"/>
          <w:sz w:val="21"/>
          <w:szCs w:val="21"/>
          <w:highlight w:val="none"/>
          <w:lang w:val="en-US" w:eastAsia="zh-CN"/>
        </w:rPr>
        <w:t>处或人力资源处</w:t>
      </w:r>
      <w:r>
        <w:rPr>
          <w:rFonts w:hint="eastAsia" w:ascii="宋体" w:hAnsi="宋体" w:cs="宋体"/>
          <w:color w:val="auto"/>
          <w:sz w:val="21"/>
          <w:szCs w:val="21"/>
          <w:highlight w:val="none"/>
        </w:rPr>
        <w:t>审查。服务公司未上交检查结果扣100元。</w:t>
      </w:r>
    </w:p>
    <w:p w14:paraId="74958868">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4.2其它考核服务质量的相关事项</w:t>
      </w:r>
    </w:p>
    <w:p w14:paraId="10F25BD6">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4.3服务公司管理人员未执行排班管理规定的一次扣1000元，有值班未行使监督职责扣500元。</w:t>
      </w:r>
    </w:p>
    <w:p w14:paraId="6E9D510F">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4.4对突发事件处置不力，将视情节轻重扣罚500至10000元。</w:t>
      </w:r>
    </w:p>
    <w:p w14:paraId="6D29C31F">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4.5中标供应商工作人员严禁私自掖藏及买卖医疗废物，否则需承担相应法律责任及相关后果：发现相关人员买卖或收藏医疗废物，采购人发现扣罚中标供应商500元/次；市级督察发现扣罚中标供应商5000元-30000元/次。院内可回收垃圾处置权及收益归采购人所有，做到规范处置、严格监督管控，禁止私自买卖。发现相关人员买卖或收藏可回收垃圾，采购人发现扣罚服务公司200元/次。</w:t>
      </w:r>
    </w:p>
    <w:p w14:paraId="54C8FE3D">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4.6请销假相关事宜：服务公司人员请假需要上报</w:t>
      </w:r>
      <w:r>
        <w:rPr>
          <w:rFonts w:hint="eastAsia" w:ascii="宋体" w:hAnsi="宋体" w:cs="宋体"/>
          <w:color w:val="auto"/>
          <w:sz w:val="21"/>
          <w:szCs w:val="21"/>
          <w:highlight w:val="none"/>
          <w:lang w:eastAsia="zh-CN"/>
        </w:rPr>
        <w:t>后勤保障处或人力资源处</w:t>
      </w:r>
      <w:r>
        <w:rPr>
          <w:rFonts w:hint="eastAsia" w:ascii="宋体" w:hAnsi="宋体" w:cs="宋体"/>
          <w:color w:val="auto"/>
          <w:sz w:val="21"/>
          <w:szCs w:val="21"/>
          <w:highlight w:val="none"/>
        </w:rPr>
        <w:t>，请假期间公司需要及时安排机动人员做好相关工作，保持环境卫生质量，否则视为缺岗；管理人员不可两位及以上同时请假或休息（节假日值班除外），如超过3天者需服务公司向</w:t>
      </w:r>
      <w:r>
        <w:rPr>
          <w:rFonts w:hint="eastAsia" w:ascii="宋体" w:hAnsi="宋体" w:cs="宋体"/>
          <w:color w:val="auto"/>
          <w:sz w:val="21"/>
          <w:szCs w:val="21"/>
          <w:highlight w:val="none"/>
          <w:lang w:eastAsia="zh-CN"/>
        </w:rPr>
        <w:t>后勤保障处或人力资源处</w:t>
      </w:r>
      <w:r>
        <w:rPr>
          <w:rFonts w:hint="eastAsia" w:ascii="宋体" w:hAnsi="宋体" w:cs="宋体"/>
          <w:color w:val="auto"/>
          <w:sz w:val="21"/>
          <w:szCs w:val="21"/>
          <w:highlight w:val="none"/>
        </w:rPr>
        <w:t>出具书面文件及派遣相应的管理人员到岗代理工作，否则算缺岗；如果查岗期间发现恶意作弊的行为，将双倍按缺岗处罚。</w:t>
      </w:r>
    </w:p>
    <w:p w14:paraId="05BB54B9">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4.7服务公司管理人员服从院方</w:t>
      </w:r>
      <w:r>
        <w:rPr>
          <w:rFonts w:hint="eastAsia" w:ascii="宋体" w:hAnsi="宋体" w:cs="宋体"/>
          <w:color w:val="auto"/>
          <w:sz w:val="21"/>
          <w:szCs w:val="21"/>
          <w:highlight w:val="none"/>
          <w:lang w:eastAsia="zh-CN"/>
        </w:rPr>
        <w:t>后勤保障处或人力资源处</w:t>
      </w:r>
      <w:r>
        <w:rPr>
          <w:rFonts w:hint="eastAsia" w:ascii="宋体" w:hAnsi="宋体" w:cs="宋体"/>
          <w:color w:val="auto"/>
          <w:sz w:val="21"/>
          <w:szCs w:val="21"/>
          <w:highlight w:val="none"/>
        </w:rPr>
        <w:t>管理，如不服从管理，将视情节轻重扣罚500—5000元，服务公司人员应服从各病区、各科室管理，如不服从管理，将视情节轻重扣罚200—2000元。</w:t>
      </w:r>
    </w:p>
    <w:p w14:paraId="117749DE">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5.考核结果说明</w:t>
      </w:r>
    </w:p>
    <w:p w14:paraId="6FFCA86F">
      <w:pPr>
        <w:spacing w:line="360" w:lineRule="auto"/>
        <w:ind w:firstLine="420"/>
        <w:jc w:val="both"/>
        <w:rPr>
          <w:rFonts w:ascii="宋体" w:hAnsi="宋体" w:cs="宋体"/>
          <w:b/>
          <w:color w:val="auto"/>
          <w:sz w:val="21"/>
          <w:szCs w:val="21"/>
          <w:highlight w:val="none"/>
        </w:rPr>
      </w:pPr>
      <w:r>
        <w:rPr>
          <w:rFonts w:hint="eastAsia" w:ascii="宋体" w:hAnsi="宋体" w:cs="宋体"/>
          <w:color w:val="auto"/>
          <w:sz w:val="21"/>
          <w:szCs w:val="21"/>
          <w:highlight w:val="none"/>
        </w:rPr>
        <w:t>5.1考核及考评结果用于双方费用结算，以及合同是否终止、续签。</w:t>
      </w:r>
    </w:p>
    <w:p w14:paraId="1A223B2C">
      <w:pPr>
        <w:tabs>
          <w:tab w:val="left" w:pos="567"/>
          <w:tab w:val="left" w:pos="709"/>
          <w:tab w:val="left" w:pos="900"/>
          <w:tab w:val="left" w:pos="1080"/>
        </w:tabs>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5.2每个月实际支付服务费的数额与乙方月度考核汇总得分相结合。如因中标人履行合同约定的某一项服务内容不到位或不能履行合同约定的某一项服务内容的，采购人有权从当次服务费中直接扣除。</w:t>
      </w:r>
    </w:p>
    <w:p w14:paraId="043296EF">
      <w:pPr>
        <w:spacing w:line="360" w:lineRule="auto"/>
        <w:ind w:firstLine="420"/>
        <w:jc w:val="both"/>
        <w:rPr>
          <w:rFonts w:ascii="宋体" w:hAnsi="宋体" w:cs="宋体"/>
          <w:bCs/>
          <w:color w:val="auto"/>
          <w:sz w:val="21"/>
          <w:szCs w:val="21"/>
          <w:highlight w:val="none"/>
        </w:rPr>
      </w:pPr>
      <w:r>
        <w:rPr>
          <w:rFonts w:hint="eastAsia" w:ascii="宋体" w:hAnsi="宋体" w:cs="宋体"/>
          <w:color w:val="auto"/>
          <w:sz w:val="21"/>
          <w:szCs w:val="21"/>
          <w:highlight w:val="none"/>
        </w:rPr>
        <w:t>5.3</w:t>
      </w:r>
      <w:r>
        <w:rPr>
          <w:rFonts w:hint="eastAsia" w:ascii="宋体" w:hAnsi="宋体" w:cs="宋体"/>
          <w:bCs/>
          <w:color w:val="auto"/>
          <w:sz w:val="21"/>
          <w:szCs w:val="21"/>
          <w:highlight w:val="none"/>
        </w:rPr>
        <w:t>如入场后中标人前2个月不能按照采购人要求履行合同，临床满意度月均得分≤80分，则采购人有权利终止合同，中标人须无条件配合，由此造成的损失全部由中标人承担。</w:t>
      </w:r>
    </w:p>
    <w:p w14:paraId="7A661434">
      <w:pPr>
        <w:ind w:firstLine="422"/>
        <w:jc w:val="both"/>
        <w:rPr>
          <w:rFonts w:ascii="宋体" w:hAnsi="宋体" w:cs="宋体"/>
          <w:b/>
          <w:color w:val="auto"/>
          <w:sz w:val="21"/>
          <w:szCs w:val="21"/>
          <w:highlight w:val="none"/>
        </w:rPr>
      </w:pPr>
      <w:r>
        <w:rPr>
          <w:rFonts w:hint="eastAsia" w:ascii="宋体" w:hAnsi="宋体" w:cs="宋体"/>
          <w:b/>
          <w:color w:val="auto"/>
          <w:sz w:val="21"/>
          <w:szCs w:val="21"/>
          <w:highlight w:val="none"/>
        </w:rPr>
        <w:t>6.考核表：</w:t>
      </w:r>
    </w:p>
    <w:p w14:paraId="32CDFA16">
      <w:pPr>
        <w:spacing w:line="360" w:lineRule="auto"/>
        <w:jc w:val="center"/>
        <w:rPr>
          <w:rFonts w:ascii="宋体" w:hAnsi="宋体" w:cs="宋体"/>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服务质量检查表1：运送陪检服务（满分100分）</w:t>
      </w:r>
    </w:p>
    <w:tbl>
      <w:tblPr>
        <w:tblStyle w:val="38"/>
        <w:tblW w:w="0" w:type="auto"/>
        <w:tblInd w:w="0" w:type="dxa"/>
        <w:tblLayout w:type="fixed"/>
        <w:tblCellMar>
          <w:top w:w="0" w:type="dxa"/>
          <w:left w:w="108" w:type="dxa"/>
          <w:bottom w:w="0" w:type="dxa"/>
          <w:right w:w="108" w:type="dxa"/>
        </w:tblCellMar>
      </w:tblPr>
      <w:tblGrid>
        <w:gridCol w:w="1120"/>
        <w:gridCol w:w="4475"/>
        <w:gridCol w:w="750"/>
        <w:gridCol w:w="2492"/>
      </w:tblGrid>
      <w:tr w14:paraId="2E5574F9">
        <w:tblPrEx>
          <w:tblCellMar>
            <w:top w:w="0" w:type="dxa"/>
            <w:left w:w="108" w:type="dxa"/>
            <w:bottom w:w="0" w:type="dxa"/>
            <w:right w:w="108" w:type="dxa"/>
          </w:tblCellMar>
        </w:tblPrEx>
        <w:trPr>
          <w:trHeight w:val="409" w:hRule="atLeast"/>
        </w:trPr>
        <w:tc>
          <w:tcPr>
            <w:tcW w:w="1120" w:type="dxa"/>
            <w:tcBorders>
              <w:top w:val="single" w:color="auto" w:sz="4" w:space="0"/>
              <w:left w:val="single" w:color="auto" w:sz="4" w:space="0"/>
              <w:bottom w:val="single" w:color="auto" w:sz="4" w:space="0"/>
              <w:right w:val="single" w:color="auto" w:sz="4" w:space="0"/>
            </w:tcBorders>
            <w:noWrap/>
            <w:vAlign w:val="center"/>
          </w:tcPr>
          <w:p w14:paraId="0333034F">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考核</w:t>
            </w:r>
          </w:p>
        </w:tc>
        <w:tc>
          <w:tcPr>
            <w:tcW w:w="4475" w:type="dxa"/>
            <w:tcBorders>
              <w:top w:val="single" w:color="auto" w:sz="4" w:space="0"/>
              <w:left w:val="nil"/>
              <w:bottom w:val="single" w:color="auto" w:sz="4" w:space="0"/>
              <w:right w:val="single" w:color="auto" w:sz="4" w:space="0"/>
            </w:tcBorders>
            <w:noWrap/>
            <w:vAlign w:val="center"/>
          </w:tcPr>
          <w:p w14:paraId="38FC5E8B">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考核内容</w:t>
            </w:r>
          </w:p>
        </w:tc>
        <w:tc>
          <w:tcPr>
            <w:tcW w:w="750" w:type="dxa"/>
            <w:tcBorders>
              <w:top w:val="single" w:color="auto" w:sz="4" w:space="0"/>
              <w:left w:val="nil"/>
              <w:bottom w:val="single" w:color="auto" w:sz="4" w:space="0"/>
              <w:right w:val="single" w:color="auto" w:sz="4" w:space="0"/>
            </w:tcBorders>
            <w:noWrap/>
            <w:vAlign w:val="center"/>
          </w:tcPr>
          <w:p w14:paraId="77F1904D">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分值</w:t>
            </w:r>
          </w:p>
        </w:tc>
        <w:tc>
          <w:tcPr>
            <w:tcW w:w="2492" w:type="dxa"/>
            <w:tcBorders>
              <w:top w:val="single" w:color="auto" w:sz="4" w:space="0"/>
              <w:left w:val="nil"/>
              <w:bottom w:val="single" w:color="auto" w:sz="4" w:space="0"/>
              <w:right w:val="single" w:color="auto" w:sz="4" w:space="0"/>
            </w:tcBorders>
            <w:noWrap/>
            <w:vAlign w:val="center"/>
          </w:tcPr>
          <w:p w14:paraId="25EE5A55">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扣分标准</w:t>
            </w:r>
          </w:p>
        </w:tc>
      </w:tr>
      <w:tr w14:paraId="18ED7253">
        <w:tblPrEx>
          <w:tblCellMar>
            <w:top w:w="0" w:type="dxa"/>
            <w:left w:w="108" w:type="dxa"/>
            <w:bottom w:w="0" w:type="dxa"/>
            <w:right w:w="108" w:type="dxa"/>
          </w:tblCellMar>
        </w:tblPrEx>
        <w:trPr>
          <w:trHeight w:val="20" w:hRule="atLeast"/>
        </w:trPr>
        <w:tc>
          <w:tcPr>
            <w:tcW w:w="1120" w:type="dxa"/>
            <w:vMerge w:val="restart"/>
            <w:tcBorders>
              <w:top w:val="nil"/>
              <w:left w:val="single" w:color="auto" w:sz="4" w:space="0"/>
              <w:bottom w:val="single" w:color="auto" w:sz="4" w:space="0"/>
              <w:right w:val="single" w:color="auto" w:sz="4" w:space="0"/>
            </w:tcBorders>
            <w:noWrap/>
            <w:vAlign w:val="center"/>
          </w:tcPr>
          <w:p w14:paraId="3BBE34E8">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基本要求（10%）</w:t>
            </w:r>
          </w:p>
        </w:tc>
        <w:tc>
          <w:tcPr>
            <w:tcW w:w="4475" w:type="dxa"/>
            <w:tcBorders>
              <w:top w:val="single" w:color="auto" w:sz="4" w:space="0"/>
              <w:left w:val="nil"/>
              <w:bottom w:val="single" w:color="auto" w:sz="4" w:space="0"/>
              <w:right w:val="single" w:color="auto" w:sz="4" w:space="0"/>
            </w:tcBorders>
            <w:noWrap/>
            <w:vAlign w:val="center"/>
          </w:tcPr>
          <w:p w14:paraId="08914B4B">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1按要求着装，仪表端庄；文明用语，微笑服务，礼貌待人。</w:t>
            </w:r>
          </w:p>
        </w:tc>
        <w:tc>
          <w:tcPr>
            <w:tcW w:w="750" w:type="dxa"/>
            <w:vMerge w:val="restart"/>
            <w:tcBorders>
              <w:top w:val="nil"/>
              <w:left w:val="nil"/>
              <w:bottom w:val="single" w:color="auto" w:sz="4" w:space="0"/>
              <w:right w:val="single" w:color="auto" w:sz="4" w:space="0"/>
            </w:tcBorders>
            <w:noWrap/>
            <w:vAlign w:val="center"/>
          </w:tcPr>
          <w:p w14:paraId="092B7FC9">
            <w:pPr>
              <w:spacing w:line="288"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10</w:t>
            </w:r>
          </w:p>
        </w:tc>
        <w:tc>
          <w:tcPr>
            <w:tcW w:w="2492" w:type="dxa"/>
            <w:tcBorders>
              <w:top w:val="nil"/>
              <w:left w:val="nil"/>
              <w:bottom w:val="single" w:color="auto" w:sz="4" w:space="0"/>
              <w:right w:val="single" w:color="auto" w:sz="4" w:space="0"/>
            </w:tcBorders>
            <w:noWrap/>
            <w:vAlign w:val="center"/>
          </w:tcPr>
          <w:p w14:paraId="49CB2FEB">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一人不符扣1分</w:t>
            </w:r>
          </w:p>
        </w:tc>
      </w:tr>
      <w:tr w14:paraId="602A0F1C">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25C96D64">
            <w:pPr>
              <w:spacing w:line="288" w:lineRule="auto"/>
              <w:jc w:val="center"/>
              <w:rPr>
                <w:rFonts w:ascii="宋体" w:hAnsi="宋体" w:cs="宋体"/>
                <w:b/>
                <w:bCs/>
                <w:color w:val="auto"/>
                <w:sz w:val="21"/>
                <w:szCs w:val="21"/>
                <w:highlight w:val="none"/>
              </w:rPr>
            </w:pPr>
          </w:p>
        </w:tc>
        <w:tc>
          <w:tcPr>
            <w:tcW w:w="4475" w:type="dxa"/>
            <w:tcBorders>
              <w:top w:val="single" w:color="auto" w:sz="4" w:space="0"/>
              <w:left w:val="nil"/>
              <w:bottom w:val="single" w:color="auto" w:sz="4" w:space="0"/>
              <w:right w:val="single" w:color="000000" w:sz="4" w:space="0"/>
            </w:tcBorders>
            <w:noWrap/>
            <w:vAlign w:val="center"/>
          </w:tcPr>
          <w:p w14:paraId="2BA18ACA">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2无有效投诉。</w:t>
            </w:r>
          </w:p>
        </w:tc>
        <w:tc>
          <w:tcPr>
            <w:tcW w:w="750" w:type="dxa"/>
            <w:vMerge w:val="continue"/>
            <w:tcBorders>
              <w:top w:val="nil"/>
              <w:left w:val="nil"/>
              <w:bottom w:val="single" w:color="auto" w:sz="4" w:space="0"/>
              <w:right w:val="single" w:color="auto" w:sz="4" w:space="0"/>
            </w:tcBorders>
            <w:noWrap w:val="0"/>
            <w:vAlign w:val="center"/>
          </w:tcPr>
          <w:p w14:paraId="7648527E">
            <w:pPr>
              <w:spacing w:line="288" w:lineRule="auto"/>
              <w:jc w:val="center"/>
              <w:rPr>
                <w:rFonts w:ascii="宋体" w:hAnsi="宋体" w:cs="宋体"/>
                <w:color w:val="auto"/>
                <w:sz w:val="21"/>
                <w:szCs w:val="21"/>
                <w:highlight w:val="none"/>
              </w:rPr>
            </w:pPr>
          </w:p>
        </w:tc>
        <w:tc>
          <w:tcPr>
            <w:tcW w:w="2492" w:type="dxa"/>
            <w:tcBorders>
              <w:top w:val="nil"/>
              <w:left w:val="nil"/>
              <w:bottom w:val="single" w:color="auto" w:sz="4" w:space="0"/>
              <w:right w:val="single" w:color="auto" w:sz="4" w:space="0"/>
            </w:tcBorders>
            <w:noWrap/>
            <w:vAlign w:val="center"/>
          </w:tcPr>
          <w:p w14:paraId="775AC5E8">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有投诉扣5分</w:t>
            </w:r>
          </w:p>
        </w:tc>
      </w:tr>
      <w:tr w14:paraId="6E4331C0">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218394BC">
            <w:pPr>
              <w:spacing w:line="288" w:lineRule="auto"/>
              <w:jc w:val="center"/>
              <w:rPr>
                <w:rFonts w:ascii="宋体" w:hAnsi="宋体" w:cs="宋体"/>
                <w:b/>
                <w:bCs/>
                <w:color w:val="auto"/>
                <w:sz w:val="21"/>
                <w:szCs w:val="21"/>
                <w:highlight w:val="none"/>
              </w:rPr>
            </w:pPr>
          </w:p>
        </w:tc>
        <w:tc>
          <w:tcPr>
            <w:tcW w:w="4475" w:type="dxa"/>
            <w:tcBorders>
              <w:top w:val="single" w:color="auto" w:sz="4" w:space="0"/>
              <w:left w:val="nil"/>
              <w:bottom w:val="single" w:color="auto" w:sz="4" w:space="0"/>
              <w:right w:val="single" w:color="000000" w:sz="4" w:space="0"/>
            </w:tcBorders>
            <w:noWrap/>
            <w:vAlign w:val="center"/>
          </w:tcPr>
          <w:p w14:paraId="207A2264">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3熟悉本职工作中应知应会的知识。</w:t>
            </w:r>
          </w:p>
        </w:tc>
        <w:tc>
          <w:tcPr>
            <w:tcW w:w="750" w:type="dxa"/>
            <w:vMerge w:val="continue"/>
            <w:tcBorders>
              <w:top w:val="nil"/>
              <w:left w:val="nil"/>
              <w:bottom w:val="single" w:color="auto" w:sz="4" w:space="0"/>
              <w:right w:val="single" w:color="auto" w:sz="4" w:space="0"/>
            </w:tcBorders>
            <w:noWrap w:val="0"/>
            <w:vAlign w:val="center"/>
          </w:tcPr>
          <w:p w14:paraId="3E07B530">
            <w:pPr>
              <w:spacing w:line="288" w:lineRule="auto"/>
              <w:jc w:val="center"/>
              <w:rPr>
                <w:rFonts w:ascii="宋体" w:hAnsi="宋体" w:cs="宋体"/>
                <w:color w:val="auto"/>
                <w:sz w:val="21"/>
                <w:szCs w:val="21"/>
                <w:highlight w:val="none"/>
              </w:rPr>
            </w:pPr>
          </w:p>
        </w:tc>
        <w:tc>
          <w:tcPr>
            <w:tcW w:w="2492" w:type="dxa"/>
            <w:tcBorders>
              <w:top w:val="nil"/>
              <w:left w:val="nil"/>
              <w:bottom w:val="single" w:color="auto" w:sz="4" w:space="0"/>
              <w:right w:val="single" w:color="auto" w:sz="4" w:space="0"/>
            </w:tcBorders>
            <w:noWrap/>
            <w:vAlign w:val="center"/>
          </w:tcPr>
          <w:p w14:paraId="62794F1B">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不知晓扣2分</w:t>
            </w:r>
          </w:p>
        </w:tc>
      </w:tr>
      <w:tr w14:paraId="2A16578D">
        <w:tblPrEx>
          <w:tblCellMar>
            <w:top w:w="0" w:type="dxa"/>
            <w:left w:w="108" w:type="dxa"/>
            <w:bottom w:w="0" w:type="dxa"/>
            <w:right w:w="108" w:type="dxa"/>
          </w:tblCellMar>
        </w:tblPrEx>
        <w:trPr>
          <w:trHeight w:val="20" w:hRule="atLeast"/>
        </w:trPr>
        <w:tc>
          <w:tcPr>
            <w:tcW w:w="1120" w:type="dxa"/>
            <w:vMerge w:val="restart"/>
            <w:tcBorders>
              <w:top w:val="nil"/>
              <w:left w:val="single" w:color="auto" w:sz="4" w:space="0"/>
              <w:bottom w:val="single" w:color="auto" w:sz="4" w:space="0"/>
              <w:right w:val="single" w:color="auto" w:sz="4" w:space="0"/>
            </w:tcBorders>
            <w:noWrap/>
            <w:vAlign w:val="center"/>
          </w:tcPr>
          <w:p w14:paraId="38705484">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行为规范（10%）</w:t>
            </w:r>
          </w:p>
        </w:tc>
        <w:tc>
          <w:tcPr>
            <w:tcW w:w="4475" w:type="dxa"/>
            <w:tcBorders>
              <w:top w:val="single" w:color="auto" w:sz="4" w:space="0"/>
              <w:left w:val="nil"/>
              <w:bottom w:val="single" w:color="auto" w:sz="4" w:space="0"/>
              <w:right w:val="single" w:color="auto" w:sz="4" w:space="0"/>
            </w:tcBorders>
            <w:noWrap/>
            <w:vAlign w:val="center"/>
          </w:tcPr>
          <w:p w14:paraId="3054C836">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1认真执行岗位职责，严格遵守公司规章制度、操作常规及流程.</w:t>
            </w:r>
          </w:p>
        </w:tc>
        <w:tc>
          <w:tcPr>
            <w:tcW w:w="750" w:type="dxa"/>
            <w:vMerge w:val="restart"/>
            <w:tcBorders>
              <w:top w:val="nil"/>
              <w:left w:val="nil"/>
              <w:bottom w:val="single" w:color="auto" w:sz="4" w:space="0"/>
              <w:right w:val="single" w:color="auto" w:sz="4" w:space="0"/>
            </w:tcBorders>
            <w:noWrap/>
            <w:vAlign w:val="center"/>
          </w:tcPr>
          <w:p w14:paraId="3B0791DF">
            <w:pPr>
              <w:spacing w:line="288" w:lineRule="auto"/>
              <w:jc w:val="center"/>
              <w:rPr>
                <w:rFonts w:ascii="宋体" w:hAnsi="宋体" w:cs="宋体"/>
                <w:b/>
                <w:bCs/>
                <w:color w:val="auto"/>
                <w:sz w:val="21"/>
                <w:szCs w:val="21"/>
                <w:highlight w:val="none"/>
              </w:rPr>
            </w:pPr>
            <w:r>
              <w:rPr>
                <w:rFonts w:hint="eastAsia" w:ascii="宋体" w:hAnsi="宋体" w:cs="宋体"/>
                <w:color w:val="auto"/>
                <w:sz w:val="21"/>
                <w:szCs w:val="21"/>
                <w:highlight w:val="none"/>
              </w:rPr>
              <w:t>10</w:t>
            </w:r>
          </w:p>
        </w:tc>
        <w:tc>
          <w:tcPr>
            <w:tcW w:w="2492" w:type="dxa"/>
            <w:tcBorders>
              <w:top w:val="nil"/>
              <w:left w:val="nil"/>
              <w:bottom w:val="single" w:color="auto" w:sz="4" w:space="0"/>
              <w:right w:val="single" w:color="auto" w:sz="4" w:space="0"/>
            </w:tcBorders>
            <w:noWrap/>
            <w:vAlign w:val="center"/>
          </w:tcPr>
          <w:p w14:paraId="16D04E9B">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r>
      <w:tr w14:paraId="1D4925E9">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6B9D6A52">
            <w:pPr>
              <w:spacing w:line="288" w:lineRule="auto"/>
              <w:jc w:val="center"/>
              <w:rPr>
                <w:rFonts w:ascii="宋体" w:hAnsi="宋体" w:cs="宋体"/>
                <w:b/>
                <w:bCs/>
                <w:color w:val="auto"/>
                <w:sz w:val="21"/>
                <w:szCs w:val="21"/>
                <w:highlight w:val="none"/>
              </w:rPr>
            </w:pPr>
          </w:p>
        </w:tc>
        <w:tc>
          <w:tcPr>
            <w:tcW w:w="4475" w:type="dxa"/>
            <w:tcBorders>
              <w:top w:val="single" w:color="auto" w:sz="4" w:space="0"/>
              <w:left w:val="nil"/>
              <w:bottom w:val="single" w:color="auto" w:sz="4" w:space="0"/>
              <w:right w:val="single" w:color="auto" w:sz="4" w:space="0"/>
            </w:tcBorders>
            <w:noWrap/>
            <w:vAlign w:val="center"/>
          </w:tcPr>
          <w:p w14:paraId="7DDC2EDF">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2不迟到不早退，不串岗、不脱（离）岗，不干私活。</w:t>
            </w:r>
          </w:p>
        </w:tc>
        <w:tc>
          <w:tcPr>
            <w:tcW w:w="750" w:type="dxa"/>
            <w:vMerge w:val="continue"/>
            <w:tcBorders>
              <w:top w:val="nil"/>
              <w:left w:val="nil"/>
              <w:bottom w:val="single" w:color="auto" w:sz="4" w:space="0"/>
              <w:right w:val="single" w:color="auto" w:sz="4" w:space="0"/>
            </w:tcBorders>
            <w:noWrap w:val="0"/>
            <w:vAlign w:val="center"/>
          </w:tcPr>
          <w:p w14:paraId="3B685139">
            <w:pPr>
              <w:spacing w:line="288" w:lineRule="auto"/>
              <w:jc w:val="center"/>
              <w:rPr>
                <w:rFonts w:ascii="宋体" w:hAnsi="宋体" w:cs="宋体"/>
                <w:b/>
                <w:bCs/>
                <w:color w:val="auto"/>
                <w:sz w:val="21"/>
                <w:szCs w:val="21"/>
                <w:highlight w:val="none"/>
              </w:rPr>
            </w:pPr>
          </w:p>
        </w:tc>
        <w:tc>
          <w:tcPr>
            <w:tcW w:w="2492" w:type="dxa"/>
            <w:tcBorders>
              <w:top w:val="nil"/>
              <w:left w:val="nil"/>
              <w:bottom w:val="single" w:color="auto" w:sz="4" w:space="0"/>
              <w:right w:val="single" w:color="auto" w:sz="4" w:space="0"/>
            </w:tcBorders>
            <w:noWrap/>
            <w:vAlign w:val="center"/>
          </w:tcPr>
          <w:p w14:paraId="5F42ACA8">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r>
      <w:tr w14:paraId="20483787">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18D274F9">
            <w:pPr>
              <w:spacing w:line="288" w:lineRule="auto"/>
              <w:jc w:val="center"/>
              <w:rPr>
                <w:rFonts w:ascii="宋体" w:hAnsi="宋体" w:cs="宋体"/>
                <w:b/>
                <w:bCs/>
                <w:color w:val="auto"/>
                <w:sz w:val="21"/>
                <w:szCs w:val="21"/>
                <w:highlight w:val="none"/>
              </w:rPr>
            </w:pPr>
          </w:p>
        </w:tc>
        <w:tc>
          <w:tcPr>
            <w:tcW w:w="4475" w:type="dxa"/>
            <w:tcBorders>
              <w:top w:val="single" w:color="auto" w:sz="4" w:space="0"/>
              <w:left w:val="nil"/>
              <w:bottom w:val="single" w:color="auto" w:sz="4" w:space="0"/>
              <w:right w:val="single" w:color="auto" w:sz="4" w:space="0"/>
            </w:tcBorders>
            <w:noWrap/>
            <w:vAlign w:val="center"/>
          </w:tcPr>
          <w:p w14:paraId="5B4D61E6">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3上班不玩手机，不扎堆聊天，不吃零食。</w:t>
            </w:r>
          </w:p>
        </w:tc>
        <w:tc>
          <w:tcPr>
            <w:tcW w:w="750" w:type="dxa"/>
            <w:vMerge w:val="continue"/>
            <w:tcBorders>
              <w:top w:val="nil"/>
              <w:left w:val="nil"/>
              <w:bottom w:val="single" w:color="auto" w:sz="4" w:space="0"/>
              <w:right w:val="single" w:color="auto" w:sz="4" w:space="0"/>
            </w:tcBorders>
            <w:noWrap w:val="0"/>
            <w:vAlign w:val="center"/>
          </w:tcPr>
          <w:p w14:paraId="54FB8F70">
            <w:pPr>
              <w:spacing w:line="288" w:lineRule="auto"/>
              <w:jc w:val="center"/>
              <w:rPr>
                <w:rFonts w:ascii="宋体" w:hAnsi="宋体" w:cs="宋体"/>
                <w:b/>
                <w:bCs/>
                <w:color w:val="auto"/>
                <w:sz w:val="21"/>
                <w:szCs w:val="21"/>
                <w:highlight w:val="none"/>
              </w:rPr>
            </w:pPr>
          </w:p>
        </w:tc>
        <w:tc>
          <w:tcPr>
            <w:tcW w:w="2492" w:type="dxa"/>
            <w:tcBorders>
              <w:top w:val="nil"/>
              <w:left w:val="nil"/>
              <w:bottom w:val="single" w:color="auto" w:sz="4" w:space="0"/>
              <w:right w:val="single" w:color="auto" w:sz="4" w:space="0"/>
            </w:tcBorders>
            <w:noWrap/>
            <w:vAlign w:val="center"/>
          </w:tcPr>
          <w:p w14:paraId="2745F724">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r>
      <w:tr w14:paraId="0C83EB38">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1E1A1837">
            <w:pPr>
              <w:spacing w:line="288" w:lineRule="auto"/>
              <w:jc w:val="center"/>
              <w:rPr>
                <w:rFonts w:ascii="宋体" w:hAnsi="宋体" w:cs="宋体"/>
                <w:b/>
                <w:bCs/>
                <w:color w:val="auto"/>
                <w:sz w:val="21"/>
                <w:szCs w:val="21"/>
                <w:highlight w:val="none"/>
              </w:rPr>
            </w:pPr>
          </w:p>
        </w:tc>
        <w:tc>
          <w:tcPr>
            <w:tcW w:w="4475" w:type="dxa"/>
            <w:tcBorders>
              <w:top w:val="single" w:color="auto" w:sz="4" w:space="0"/>
              <w:left w:val="nil"/>
              <w:bottom w:val="single" w:color="auto" w:sz="4" w:space="0"/>
              <w:right w:val="single" w:color="000000" w:sz="4" w:space="0"/>
            </w:tcBorders>
            <w:noWrap/>
            <w:vAlign w:val="center"/>
          </w:tcPr>
          <w:p w14:paraId="02211C5E">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4爱护公物、节约能源。服从医务人员管理，主动报修。</w:t>
            </w:r>
          </w:p>
        </w:tc>
        <w:tc>
          <w:tcPr>
            <w:tcW w:w="750" w:type="dxa"/>
            <w:vMerge w:val="continue"/>
            <w:tcBorders>
              <w:top w:val="nil"/>
              <w:left w:val="nil"/>
              <w:bottom w:val="single" w:color="auto" w:sz="4" w:space="0"/>
              <w:right w:val="single" w:color="auto" w:sz="4" w:space="0"/>
            </w:tcBorders>
            <w:noWrap w:val="0"/>
            <w:vAlign w:val="center"/>
          </w:tcPr>
          <w:p w14:paraId="081AFDC7">
            <w:pPr>
              <w:spacing w:line="288" w:lineRule="auto"/>
              <w:jc w:val="center"/>
              <w:rPr>
                <w:rFonts w:ascii="宋体" w:hAnsi="宋体" w:cs="宋体"/>
                <w:b/>
                <w:bCs/>
                <w:color w:val="auto"/>
                <w:sz w:val="21"/>
                <w:szCs w:val="21"/>
                <w:highlight w:val="none"/>
              </w:rPr>
            </w:pPr>
          </w:p>
        </w:tc>
        <w:tc>
          <w:tcPr>
            <w:tcW w:w="2492" w:type="dxa"/>
            <w:tcBorders>
              <w:top w:val="nil"/>
              <w:left w:val="nil"/>
              <w:bottom w:val="single" w:color="auto" w:sz="4" w:space="0"/>
              <w:right w:val="single" w:color="auto" w:sz="4" w:space="0"/>
            </w:tcBorders>
            <w:noWrap/>
            <w:vAlign w:val="center"/>
          </w:tcPr>
          <w:p w14:paraId="71EC13E2">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一项不符扣1分</w:t>
            </w:r>
          </w:p>
        </w:tc>
      </w:tr>
      <w:tr w14:paraId="77CEAE77">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0E460D8C">
            <w:pPr>
              <w:spacing w:line="288" w:lineRule="auto"/>
              <w:jc w:val="center"/>
              <w:rPr>
                <w:rFonts w:ascii="宋体" w:hAnsi="宋体" w:cs="宋体"/>
                <w:b/>
                <w:bCs/>
                <w:color w:val="auto"/>
                <w:sz w:val="21"/>
                <w:szCs w:val="21"/>
                <w:highlight w:val="none"/>
              </w:rPr>
            </w:pPr>
          </w:p>
        </w:tc>
        <w:tc>
          <w:tcPr>
            <w:tcW w:w="4475" w:type="dxa"/>
            <w:tcBorders>
              <w:top w:val="single" w:color="auto" w:sz="4" w:space="0"/>
              <w:left w:val="nil"/>
              <w:bottom w:val="single" w:color="auto" w:sz="4" w:space="0"/>
              <w:right w:val="single" w:color="auto" w:sz="4" w:space="0"/>
            </w:tcBorders>
            <w:noWrap/>
            <w:vAlign w:val="center"/>
          </w:tcPr>
          <w:p w14:paraId="28538914">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5不得窃取医院财务，私用医疗器械、药品、敷料。</w:t>
            </w:r>
          </w:p>
        </w:tc>
        <w:tc>
          <w:tcPr>
            <w:tcW w:w="750" w:type="dxa"/>
            <w:vMerge w:val="continue"/>
            <w:tcBorders>
              <w:top w:val="nil"/>
              <w:left w:val="nil"/>
              <w:bottom w:val="single" w:color="auto" w:sz="4" w:space="0"/>
              <w:right w:val="single" w:color="auto" w:sz="4" w:space="0"/>
            </w:tcBorders>
            <w:noWrap w:val="0"/>
            <w:vAlign w:val="center"/>
          </w:tcPr>
          <w:p w14:paraId="2704E7B1">
            <w:pPr>
              <w:spacing w:line="288" w:lineRule="auto"/>
              <w:jc w:val="center"/>
              <w:rPr>
                <w:rFonts w:ascii="宋体" w:hAnsi="宋体" w:cs="宋体"/>
                <w:b/>
                <w:bCs/>
                <w:color w:val="auto"/>
                <w:sz w:val="21"/>
                <w:szCs w:val="21"/>
                <w:highlight w:val="none"/>
              </w:rPr>
            </w:pPr>
          </w:p>
        </w:tc>
        <w:tc>
          <w:tcPr>
            <w:tcW w:w="2492" w:type="dxa"/>
            <w:tcBorders>
              <w:top w:val="nil"/>
              <w:left w:val="nil"/>
              <w:bottom w:val="single" w:color="auto" w:sz="4" w:space="0"/>
              <w:right w:val="single" w:color="auto" w:sz="4" w:space="0"/>
            </w:tcBorders>
            <w:noWrap/>
            <w:vAlign w:val="center"/>
          </w:tcPr>
          <w:p w14:paraId="2116201C">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一项不符扣3分</w:t>
            </w:r>
          </w:p>
        </w:tc>
      </w:tr>
      <w:tr w14:paraId="182C75A5">
        <w:tblPrEx>
          <w:tblCellMar>
            <w:top w:w="0" w:type="dxa"/>
            <w:left w:w="108" w:type="dxa"/>
            <w:bottom w:w="0" w:type="dxa"/>
            <w:right w:w="108" w:type="dxa"/>
          </w:tblCellMar>
        </w:tblPrEx>
        <w:trPr>
          <w:trHeight w:val="20" w:hRule="atLeast"/>
        </w:trPr>
        <w:tc>
          <w:tcPr>
            <w:tcW w:w="1120" w:type="dxa"/>
            <w:vMerge w:val="restart"/>
            <w:tcBorders>
              <w:top w:val="nil"/>
              <w:left w:val="single" w:color="auto" w:sz="4" w:space="0"/>
              <w:bottom w:val="single" w:color="auto" w:sz="4" w:space="0"/>
              <w:right w:val="single" w:color="auto" w:sz="4" w:space="0"/>
            </w:tcBorders>
            <w:noWrap/>
            <w:vAlign w:val="center"/>
          </w:tcPr>
          <w:p w14:paraId="08609AD6">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运送陪检质量（50%）</w:t>
            </w:r>
          </w:p>
        </w:tc>
        <w:tc>
          <w:tcPr>
            <w:tcW w:w="4475" w:type="dxa"/>
            <w:tcBorders>
              <w:top w:val="single" w:color="auto" w:sz="4" w:space="0"/>
              <w:left w:val="nil"/>
              <w:bottom w:val="single" w:color="auto" w:sz="4" w:space="0"/>
              <w:right w:val="single" w:color="auto" w:sz="4" w:space="0"/>
            </w:tcBorders>
            <w:noWrap/>
            <w:vAlign w:val="center"/>
          </w:tcPr>
          <w:p w14:paraId="39B54788">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4不得参与医疗活动、医疗技术工作；不得参加非急救患者转运非法营运行为，谋取不正当利益。</w:t>
            </w:r>
          </w:p>
        </w:tc>
        <w:tc>
          <w:tcPr>
            <w:tcW w:w="750" w:type="dxa"/>
            <w:vMerge w:val="restart"/>
            <w:tcBorders>
              <w:top w:val="nil"/>
              <w:left w:val="nil"/>
              <w:bottom w:val="single" w:color="auto" w:sz="4" w:space="0"/>
              <w:right w:val="single" w:color="auto" w:sz="4" w:space="0"/>
            </w:tcBorders>
            <w:noWrap/>
            <w:vAlign w:val="center"/>
          </w:tcPr>
          <w:p w14:paraId="405C53C2">
            <w:pPr>
              <w:spacing w:line="288"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50</w:t>
            </w:r>
          </w:p>
        </w:tc>
        <w:tc>
          <w:tcPr>
            <w:tcW w:w="2492" w:type="dxa"/>
            <w:tcBorders>
              <w:top w:val="nil"/>
              <w:left w:val="nil"/>
              <w:bottom w:val="single" w:color="auto" w:sz="4" w:space="0"/>
              <w:right w:val="single" w:color="auto" w:sz="4" w:space="0"/>
            </w:tcBorders>
            <w:noWrap/>
            <w:vAlign w:val="center"/>
          </w:tcPr>
          <w:p w14:paraId="4395003B">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一项不符扣5分</w:t>
            </w:r>
          </w:p>
        </w:tc>
      </w:tr>
      <w:tr w14:paraId="59CFAFA5">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70FC085B">
            <w:pPr>
              <w:spacing w:line="288" w:lineRule="auto"/>
              <w:jc w:val="center"/>
              <w:rPr>
                <w:rFonts w:ascii="宋体" w:hAnsi="宋体" w:cs="宋体"/>
                <w:b/>
                <w:bCs/>
                <w:color w:val="auto"/>
                <w:sz w:val="21"/>
                <w:szCs w:val="21"/>
                <w:highlight w:val="none"/>
              </w:rPr>
            </w:pPr>
          </w:p>
        </w:tc>
        <w:tc>
          <w:tcPr>
            <w:tcW w:w="4475" w:type="dxa"/>
            <w:tcBorders>
              <w:top w:val="single" w:color="auto" w:sz="4" w:space="0"/>
              <w:left w:val="nil"/>
              <w:bottom w:val="single" w:color="auto" w:sz="4" w:space="0"/>
              <w:right w:val="single" w:color="auto" w:sz="4" w:space="0"/>
            </w:tcBorders>
            <w:noWrap/>
            <w:vAlign w:val="center"/>
          </w:tcPr>
          <w:p w14:paraId="469E416A">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2掌握医院各医技科室及病区的分布图，有楼层调整及时知晓，运送患者准确、及时。</w:t>
            </w:r>
          </w:p>
        </w:tc>
        <w:tc>
          <w:tcPr>
            <w:tcW w:w="750" w:type="dxa"/>
            <w:vMerge w:val="continue"/>
            <w:tcBorders>
              <w:top w:val="nil"/>
              <w:left w:val="nil"/>
              <w:bottom w:val="single" w:color="auto" w:sz="4" w:space="0"/>
              <w:right w:val="single" w:color="auto" w:sz="4" w:space="0"/>
            </w:tcBorders>
            <w:noWrap w:val="0"/>
            <w:vAlign w:val="center"/>
          </w:tcPr>
          <w:p w14:paraId="6B4D3DDB">
            <w:pPr>
              <w:spacing w:line="288" w:lineRule="auto"/>
              <w:jc w:val="center"/>
              <w:rPr>
                <w:rFonts w:ascii="宋体" w:hAnsi="宋体" w:cs="宋体"/>
                <w:color w:val="auto"/>
                <w:sz w:val="21"/>
                <w:szCs w:val="21"/>
                <w:highlight w:val="none"/>
              </w:rPr>
            </w:pPr>
          </w:p>
        </w:tc>
        <w:tc>
          <w:tcPr>
            <w:tcW w:w="2492" w:type="dxa"/>
            <w:tcBorders>
              <w:top w:val="nil"/>
              <w:left w:val="nil"/>
              <w:bottom w:val="single" w:color="auto" w:sz="4" w:space="0"/>
              <w:right w:val="single" w:color="auto" w:sz="4" w:space="0"/>
            </w:tcBorders>
            <w:noWrap/>
            <w:vAlign w:val="center"/>
          </w:tcPr>
          <w:p w14:paraId="7FE96187">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r>
      <w:tr w14:paraId="23C30E16">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7C7EEFF7">
            <w:pPr>
              <w:spacing w:line="288" w:lineRule="auto"/>
              <w:jc w:val="center"/>
              <w:rPr>
                <w:rFonts w:ascii="宋体" w:hAnsi="宋体" w:cs="宋体"/>
                <w:b/>
                <w:bCs/>
                <w:color w:val="auto"/>
                <w:sz w:val="21"/>
                <w:szCs w:val="21"/>
                <w:highlight w:val="none"/>
              </w:rPr>
            </w:pPr>
          </w:p>
        </w:tc>
        <w:tc>
          <w:tcPr>
            <w:tcW w:w="4475" w:type="dxa"/>
            <w:tcBorders>
              <w:top w:val="single" w:color="auto" w:sz="4" w:space="0"/>
              <w:left w:val="nil"/>
              <w:bottom w:val="single" w:color="auto" w:sz="4" w:space="0"/>
              <w:right w:val="single" w:color="auto" w:sz="4" w:space="0"/>
            </w:tcBorders>
            <w:noWrap/>
            <w:vAlign w:val="center"/>
          </w:tcPr>
          <w:p w14:paraId="13C1FADA">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3各类物品运送符合规范，运输用具按规范做好清洁消毒记录。特殊感染按院感要求做好消毒隔离。</w:t>
            </w:r>
          </w:p>
        </w:tc>
        <w:tc>
          <w:tcPr>
            <w:tcW w:w="750" w:type="dxa"/>
            <w:vMerge w:val="continue"/>
            <w:tcBorders>
              <w:top w:val="nil"/>
              <w:left w:val="nil"/>
              <w:bottom w:val="single" w:color="auto" w:sz="4" w:space="0"/>
              <w:right w:val="single" w:color="auto" w:sz="4" w:space="0"/>
            </w:tcBorders>
            <w:noWrap w:val="0"/>
            <w:vAlign w:val="center"/>
          </w:tcPr>
          <w:p w14:paraId="20A56A3A">
            <w:pPr>
              <w:spacing w:line="288" w:lineRule="auto"/>
              <w:jc w:val="center"/>
              <w:rPr>
                <w:rFonts w:ascii="宋体" w:hAnsi="宋体" w:cs="宋体"/>
                <w:color w:val="auto"/>
                <w:sz w:val="21"/>
                <w:szCs w:val="21"/>
                <w:highlight w:val="none"/>
              </w:rPr>
            </w:pPr>
          </w:p>
        </w:tc>
        <w:tc>
          <w:tcPr>
            <w:tcW w:w="2492" w:type="dxa"/>
            <w:tcBorders>
              <w:top w:val="nil"/>
              <w:left w:val="nil"/>
              <w:bottom w:val="single" w:color="auto" w:sz="4" w:space="0"/>
              <w:right w:val="single" w:color="auto" w:sz="4" w:space="0"/>
            </w:tcBorders>
            <w:noWrap/>
            <w:vAlign w:val="center"/>
          </w:tcPr>
          <w:p w14:paraId="0236D32B">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r>
      <w:tr w14:paraId="418E6BB6">
        <w:tblPrEx>
          <w:tblCellMar>
            <w:top w:w="0" w:type="dxa"/>
            <w:left w:w="108" w:type="dxa"/>
            <w:bottom w:w="0" w:type="dxa"/>
            <w:right w:w="108" w:type="dxa"/>
          </w:tblCellMar>
        </w:tblPrEx>
        <w:trPr>
          <w:trHeight w:val="439"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117A12C2">
            <w:pPr>
              <w:spacing w:line="288" w:lineRule="auto"/>
              <w:jc w:val="center"/>
              <w:rPr>
                <w:rFonts w:ascii="宋体" w:hAnsi="宋体" w:cs="宋体"/>
                <w:b/>
                <w:bCs/>
                <w:color w:val="auto"/>
                <w:sz w:val="21"/>
                <w:szCs w:val="21"/>
                <w:highlight w:val="none"/>
              </w:rPr>
            </w:pPr>
          </w:p>
        </w:tc>
        <w:tc>
          <w:tcPr>
            <w:tcW w:w="4475" w:type="dxa"/>
            <w:tcBorders>
              <w:top w:val="single" w:color="auto" w:sz="4" w:space="0"/>
              <w:left w:val="nil"/>
              <w:bottom w:val="single" w:color="auto" w:sz="4" w:space="0"/>
              <w:right w:val="single" w:color="000000" w:sz="4" w:space="0"/>
            </w:tcBorders>
            <w:noWrap/>
            <w:vAlign w:val="center"/>
          </w:tcPr>
          <w:p w14:paraId="7AABC0FC">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4急诊项目接电话十分钟内到达现场。</w:t>
            </w:r>
          </w:p>
        </w:tc>
        <w:tc>
          <w:tcPr>
            <w:tcW w:w="750" w:type="dxa"/>
            <w:vMerge w:val="continue"/>
            <w:tcBorders>
              <w:top w:val="nil"/>
              <w:left w:val="nil"/>
              <w:bottom w:val="single" w:color="auto" w:sz="4" w:space="0"/>
              <w:right w:val="single" w:color="auto" w:sz="4" w:space="0"/>
            </w:tcBorders>
            <w:noWrap w:val="0"/>
            <w:vAlign w:val="center"/>
          </w:tcPr>
          <w:p w14:paraId="068D2925">
            <w:pPr>
              <w:spacing w:line="288" w:lineRule="auto"/>
              <w:jc w:val="center"/>
              <w:rPr>
                <w:rFonts w:ascii="宋体" w:hAnsi="宋体" w:cs="宋体"/>
                <w:color w:val="auto"/>
                <w:sz w:val="21"/>
                <w:szCs w:val="21"/>
                <w:highlight w:val="none"/>
              </w:rPr>
            </w:pPr>
          </w:p>
        </w:tc>
        <w:tc>
          <w:tcPr>
            <w:tcW w:w="2492" w:type="dxa"/>
            <w:tcBorders>
              <w:top w:val="nil"/>
              <w:left w:val="nil"/>
              <w:bottom w:val="single" w:color="auto" w:sz="4" w:space="0"/>
              <w:right w:val="single" w:color="auto" w:sz="4" w:space="0"/>
            </w:tcBorders>
            <w:noWrap/>
            <w:vAlign w:val="center"/>
          </w:tcPr>
          <w:p w14:paraId="5B8AE7D2">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10分钟内不能到达扣2分</w:t>
            </w:r>
          </w:p>
        </w:tc>
      </w:tr>
      <w:tr w14:paraId="0CA4ABFE">
        <w:tblPrEx>
          <w:tblCellMar>
            <w:top w:w="0" w:type="dxa"/>
            <w:left w:w="108" w:type="dxa"/>
            <w:bottom w:w="0" w:type="dxa"/>
            <w:right w:w="108" w:type="dxa"/>
          </w:tblCellMar>
        </w:tblPrEx>
        <w:trPr>
          <w:trHeight w:val="613"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4EF5C5B4">
            <w:pPr>
              <w:spacing w:line="288" w:lineRule="auto"/>
              <w:jc w:val="center"/>
              <w:rPr>
                <w:rFonts w:ascii="宋体" w:hAnsi="宋体" w:cs="宋体"/>
                <w:b/>
                <w:bCs/>
                <w:color w:val="auto"/>
                <w:sz w:val="21"/>
                <w:szCs w:val="21"/>
                <w:highlight w:val="none"/>
              </w:rPr>
            </w:pPr>
          </w:p>
        </w:tc>
        <w:tc>
          <w:tcPr>
            <w:tcW w:w="4475" w:type="dxa"/>
            <w:tcBorders>
              <w:top w:val="single" w:color="auto" w:sz="4" w:space="0"/>
              <w:left w:val="nil"/>
              <w:bottom w:val="single" w:color="auto" w:sz="4" w:space="0"/>
              <w:right w:val="single" w:color="auto" w:sz="4" w:space="0"/>
            </w:tcBorders>
            <w:noWrap/>
            <w:vAlign w:val="center"/>
          </w:tcPr>
          <w:p w14:paraId="7FA4936E">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5严格执行运送物品交接手续、认真查对签字，无漏、无差错发生，及时准确安全。</w:t>
            </w:r>
          </w:p>
        </w:tc>
        <w:tc>
          <w:tcPr>
            <w:tcW w:w="750" w:type="dxa"/>
            <w:vMerge w:val="continue"/>
            <w:tcBorders>
              <w:top w:val="nil"/>
              <w:left w:val="nil"/>
              <w:bottom w:val="single" w:color="auto" w:sz="4" w:space="0"/>
              <w:right w:val="single" w:color="auto" w:sz="4" w:space="0"/>
            </w:tcBorders>
            <w:noWrap w:val="0"/>
            <w:vAlign w:val="center"/>
          </w:tcPr>
          <w:p w14:paraId="5D5100BB">
            <w:pPr>
              <w:spacing w:line="288" w:lineRule="auto"/>
              <w:jc w:val="center"/>
              <w:rPr>
                <w:rFonts w:ascii="宋体" w:hAnsi="宋体" w:cs="宋体"/>
                <w:color w:val="auto"/>
                <w:sz w:val="21"/>
                <w:szCs w:val="21"/>
                <w:highlight w:val="none"/>
              </w:rPr>
            </w:pPr>
          </w:p>
        </w:tc>
        <w:tc>
          <w:tcPr>
            <w:tcW w:w="2492" w:type="dxa"/>
            <w:tcBorders>
              <w:top w:val="nil"/>
              <w:left w:val="nil"/>
              <w:bottom w:val="single" w:color="auto" w:sz="4" w:space="0"/>
              <w:right w:val="single" w:color="auto" w:sz="4" w:space="0"/>
            </w:tcBorders>
            <w:noWrap/>
            <w:vAlign w:val="center"/>
          </w:tcPr>
          <w:p w14:paraId="566C9F9A">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r>
      <w:tr w14:paraId="3C9AF228">
        <w:tblPrEx>
          <w:tblCellMar>
            <w:top w:w="0" w:type="dxa"/>
            <w:left w:w="108" w:type="dxa"/>
            <w:bottom w:w="0" w:type="dxa"/>
            <w:right w:w="108" w:type="dxa"/>
          </w:tblCellMar>
        </w:tblPrEx>
        <w:trPr>
          <w:trHeight w:val="20" w:hRule="atLeast"/>
        </w:trPr>
        <w:tc>
          <w:tcPr>
            <w:tcW w:w="1120" w:type="dxa"/>
            <w:vMerge w:val="restart"/>
            <w:tcBorders>
              <w:top w:val="nil"/>
              <w:left w:val="single" w:color="auto" w:sz="4" w:space="0"/>
              <w:bottom w:val="single" w:color="auto" w:sz="4" w:space="0"/>
              <w:right w:val="single" w:color="auto" w:sz="4" w:space="0"/>
            </w:tcBorders>
            <w:noWrap/>
            <w:vAlign w:val="center"/>
          </w:tcPr>
          <w:p w14:paraId="17B0469C">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运送陪检管理质量（20%）</w:t>
            </w:r>
          </w:p>
        </w:tc>
        <w:tc>
          <w:tcPr>
            <w:tcW w:w="4475" w:type="dxa"/>
            <w:tcBorders>
              <w:top w:val="single" w:color="auto" w:sz="4" w:space="0"/>
              <w:left w:val="nil"/>
              <w:bottom w:val="single" w:color="auto" w:sz="4" w:space="0"/>
              <w:right w:val="single" w:color="auto" w:sz="4" w:space="0"/>
            </w:tcBorders>
            <w:noWrap/>
            <w:vAlign w:val="center"/>
          </w:tcPr>
          <w:p w14:paraId="02F3E9A2">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1有完善的员工培训计划并组织实施。</w:t>
            </w:r>
          </w:p>
        </w:tc>
        <w:tc>
          <w:tcPr>
            <w:tcW w:w="750" w:type="dxa"/>
            <w:vMerge w:val="restart"/>
            <w:tcBorders>
              <w:top w:val="nil"/>
              <w:left w:val="nil"/>
              <w:bottom w:val="single" w:color="auto" w:sz="4" w:space="0"/>
              <w:right w:val="single" w:color="auto" w:sz="4" w:space="0"/>
            </w:tcBorders>
            <w:noWrap/>
            <w:vAlign w:val="center"/>
          </w:tcPr>
          <w:p w14:paraId="1FFB7E56">
            <w:pPr>
              <w:spacing w:line="288"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20</w:t>
            </w:r>
          </w:p>
        </w:tc>
        <w:tc>
          <w:tcPr>
            <w:tcW w:w="2492" w:type="dxa"/>
            <w:tcBorders>
              <w:top w:val="nil"/>
              <w:left w:val="nil"/>
              <w:bottom w:val="single" w:color="auto" w:sz="4" w:space="0"/>
              <w:right w:val="single" w:color="auto" w:sz="4" w:space="0"/>
            </w:tcBorders>
            <w:noWrap/>
            <w:vAlign w:val="center"/>
          </w:tcPr>
          <w:p w14:paraId="41447011">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r>
      <w:tr w14:paraId="7D371C20">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5ED2C6CA">
            <w:pPr>
              <w:spacing w:line="288" w:lineRule="auto"/>
              <w:jc w:val="center"/>
              <w:rPr>
                <w:rFonts w:ascii="宋体" w:hAnsi="宋体" w:cs="宋体"/>
                <w:b/>
                <w:bCs/>
                <w:color w:val="auto"/>
                <w:sz w:val="21"/>
                <w:szCs w:val="21"/>
                <w:highlight w:val="none"/>
              </w:rPr>
            </w:pPr>
          </w:p>
        </w:tc>
        <w:tc>
          <w:tcPr>
            <w:tcW w:w="4475" w:type="dxa"/>
            <w:tcBorders>
              <w:top w:val="single" w:color="auto" w:sz="4" w:space="0"/>
              <w:left w:val="nil"/>
              <w:bottom w:val="single" w:color="auto" w:sz="4" w:space="0"/>
              <w:right w:val="single" w:color="auto" w:sz="4" w:space="0"/>
            </w:tcBorders>
            <w:noWrap/>
            <w:vAlign w:val="center"/>
          </w:tcPr>
          <w:p w14:paraId="746C2A82">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2 有信息化系统数据每月汇总。</w:t>
            </w:r>
          </w:p>
        </w:tc>
        <w:tc>
          <w:tcPr>
            <w:tcW w:w="750" w:type="dxa"/>
            <w:vMerge w:val="continue"/>
            <w:tcBorders>
              <w:top w:val="nil"/>
              <w:left w:val="nil"/>
              <w:bottom w:val="single" w:color="auto" w:sz="4" w:space="0"/>
              <w:right w:val="single" w:color="auto" w:sz="4" w:space="0"/>
            </w:tcBorders>
            <w:noWrap w:val="0"/>
            <w:vAlign w:val="center"/>
          </w:tcPr>
          <w:p w14:paraId="628DBBB5">
            <w:pPr>
              <w:spacing w:line="288" w:lineRule="auto"/>
              <w:jc w:val="center"/>
              <w:rPr>
                <w:rFonts w:ascii="宋体" w:hAnsi="宋体" w:cs="宋体"/>
                <w:color w:val="auto"/>
                <w:sz w:val="21"/>
                <w:szCs w:val="21"/>
                <w:highlight w:val="none"/>
              </w:rPr>
            </w:pPr>
          </w:p>
        </w:tc>
        <w:tc>
          <w:tcPr>
            <w:tcW w:w="2492" w:type="dxa"/>
            <w:tcBorders>
              <w:top w:val="nil"/>
              <w:left w:val="nil"/>
              <w:bottom w:val="single" w:color="auto" w:sz="4" w:space="0"/>
              <w:right w:val="single" w:color="auto" w:sz="4" w:space="0"/>
            </w:tcBorders>
            <w:noWrap/>
            <w:vAlign w:val="center"/>
          </w:tcPr>
          <w:p w14:paraId="1EE5EB39">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r>
      <w:tr w14:paraId="5990A7AD">
        <w:tblPrEx>
          <w:tblCellMar>
            <w:top w:w="0" w:type="dxa"/>
            <w:left w:w="108" w:type="dxa"/>
            <w:bottom w:w="0" w:type="dxa"/>
            <w:right w:w="108" w:type="dxa"/>
          </w:tblCellMar>
        </w:tblPrEx>
        <w:trPr>
          <w:trHeight w:val="1806"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07E5575A">
            <w:pPr>
              <w:spacing w:line="288" w:lineRule="auto"/>
              <w:jc w:val="center"/>
              <w:rPr>
                <w:rFonts w:ascii="宋体" w:hAnsi="宋体" w:cs="宋体"/>
                <w:b/>
                <w:bCs/>
                <w:color w:val="auto"/>
                <w:sz w:val="21"/>
                <w:szCs w:val="21"/>
                <w:highlight w:val="none"/>
              </w:rPr>
            </w:pPr>
          </w:p>
        </w:tc>
        <w:tc>
          <w:tcPr>
            <w:tcW w:w="4475" w:type="dxa"/>
            <w:tcBorders>
              <w:top w:val="single" w:color="auto" w:sz="4" w:space="0"/>
              <w:left w:val="nil"/>
              <w:bottom w:val="single" w:color="auto" w:sz="4" w:space="0"/>
              <w:right w:val="single" w:color="auto" w:sz="4" w:space="0"/>
            </w:tcBorders>
            <w:noWrap/>
            <w:vAlign w:val="center"/>
          </w:tcPr>
          <w:p w14:paraId="66AB38D0">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3不断巡视运送各项工作情况，发现问题及时解决；每周进行一次运送质量抽查考核，并与运送工作人员的工资挂钩。</w:t>
            </w:r>
          </w:p>
        </w:tc>
        <w:tc>
          <w:tcPr>
            <w:tcW w:w="750" w:type="dxa"/>
            <w:vMerge w:val="continue"/>
            <w:tcBorders>
              <w:top w:val="nil"/>
              <w:left w:val="nil"/>
              <w:bottom w:val="single" w:color="auto" w:sz="4" w:space="0"/>
              <w:right w:val="single" w:color="auto" w:sz="4" w:space="0"/>
            </w:tcBorders>
            <w:noWrap w:val="0"/>
            <w:vAlign w:val="center"/>
          </w:tcPr>
          <w:p w14:paraId="4FFB9B46">
            <w:pPr>
              <w:spacing w:line="288" w:lineRule="auto"/>
              <w:jc w:val="center"/>
              <w:rPr>
                <w:rFonts w:ascii="宋体" w:hAnsi="宋体" w:cs="宋体"/>
                <w:color w:val="auto"/>
                <w:sz w:val="21"/>
                <w:szCs w:val="21"/>
                <w:highlight w:val="none"/>
              </w:rPr>
            </w:pPr>
          </w:p>
        </w:tc>
        <w:tc>
          <w:tcPr>
            <w:tcW w:w="2492" w:type="dxa"/>
            <w:tcBorders>
              <w:top w:val="nil"/>
              <w:left w:val="nil"/>
              <w:bottom w:val="single" w:color="auto" w:sz="4" w:space="0"/>
              <w:right w:val="single" w:color="auto" w:sz="4" w:space="0"/>
            </w:tcBorders>
            <w:noWrap/>
            <w:vAlign w:val="center"/>
          </w:tcPr>
          <w:p w14:paraId="42E8235E">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无督查计划扣2分，有计划未落实扣2分，未与服务部门主动联系扣1分，未记录及未落实考核挂钩扣1分。</w:t>
            </w:r>
          </w:p>
        </w:tc>
      </w:tr>
      <w:tr w14:paraId="22FA29F9">
        <w:tblPrEx>
          <w:tblCellMar>
            <w:top w:w="0" w:type="dxa"/>
            <w:left w:w="108" w:type="dxa"/>
            <w:bottom w:w="0" w:type="dxa"/>
            <w:right w:w="108" w:type="dxa"/>
          </w:tblCellMar>
        </w:tblPrEx>
        <w:trPr>
          <w:trHeight w:val="958" w:hRule="atLeast"/>
        </w:trPr>
        <w:tc>
          <w:tcPr>
            <w:tcW w:w="1120" w:type="dxa"/>
            <w:tcBorders>
              <w:top w:val="nil"/>
              <w:left w:val="single" w:color="auto" w:sz="4" w:space="0"/>
              <w:bottom w:val="single" w:color="auto" w:sz="4" w:space="0"/>
              <w:right w:val="single" w:color="auto" w:sz="4" w:space="0"/>
            </w:tcBorders>
            <w:noWrap/>
            <w:vAlign w:val="center"/>
          </w:tcPr>
          <w:p w14:paraId="6E864F01">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服务满意度（10%）</w:t>
            </w:r>
          </w:p>
        </w:tc>
        <w:tc>
          <w:tcPr>
            <w:tcW w:w="4475" w:type="dxa"/>
            <w:tcBorders>
              <w:top w:val="single" w:color="auto" w:sz="4" w:space="0"/>
              <w:left w:val="nil"/>
              <w:bottom w:val="single" w:color="auto" w:sz="4" w:space="0"/>
              <w:right w:val="single" w:color="auto" w:sz="4" w:space="0"/>
            </w:tcBorders>
            <w:noWrap/>
            <w:vAlign w:val="center"/>
          </w:tcPr>
          <w:p w14:paraId="722F420C">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整体服务月平均满意度（医护人员、住院病人）不得低于90%</w:t>
            </w:r>
          </w:p>
        </w:tc>
        <w:tc>
          <w:tcPr>
            <w:tcW w:w="750" w:type="dxa"/>
            <w:tcBorders>
              <w:top w:val="nil"/>
              <w:left w:val="nil"/>
              <w:bottom w:val="single" w:color="auto" w:sz="4" w:space="0"/>
              <w:right w:val="single" w:color="auto" w:sz="4" w:space="0"/>
            </w:tcBorders>
            <w:noWrap/>
            <w:vAlign w:val="center"/>
          </w:tcPr>
          <w:p w14:paraId="4FC860EA">
            <w:pPr>
              <w:spacing w:line="288"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10</w:t>
            </w:r>
          </w:p>
        </w:tc>
        <w:tc>
          <w:tcPr>
            <w:tcW w:w="2492" w:type="dxa"/>
            <w:tcBorders>
              <w:top w:val="nil"/>
              <w:left w:val="nil"/>
              <w:bottom w:val="single" w:color="auto" w:sz="4" w:space="0"/>
              <w:right w:val="single" w:color="auto" w:sz="4" w:space="0"/>
            </w:tcBorders>
            <w:noWrap/>
            <w:vAlign w:val="center"/>
          </w:tcPr>
          <w:p w14:paraId="5CD5608C">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每低于90%一个点,扣1分,以此类推，扣完为止。</w:t>
            </w:r>
          </w:p>
        </w:tc>
      </w:tr>
      <w:tr w14:paraId="6C5B0A9D">
        <w:tblPrEx>
          <w:tblCellMar>
            <w:top w:w="0" w:type="dxa"/>
            <w:left w:w="108" w:type="dxa"/>
            <w:bottom w:w="0" w:type="dxa"/>
            <w:right w:w="108" w:type="dxa"/>
          </w:tblCellMar>
        </w:tblPrEx>
        <w:trPr>
          <w:trHeight w:val="599" w:hRule="atLeast"/>
        </w:trPr>
        <w:tc>
          <w:tcPr>
            <w:tcW w:w="1120" w:type="dxa"/>
            <w:tcBorders>
              <w:top w:val="single" w:color="auto" w:sz="4" w:space="0"/>
              <w:left w:val="single" w:color="auto" w:sz="4" w:space="0"/>
              <w:bottom w:val="single" w:color="auto" w:sz="4" w:space="0"/>
              <w:right w:val="single" w:color="auto" w:sz="4" w:space="0"/>
            </w:tcBorders>
            <w:noWrap/>
            <w:vAlign w:val="center"/>
          </w:tcPr>
          <w:p w14:paraId="7A58A506">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总分值</w:t>
            </w:r>
          </w:p>
        </w:tc>
        <w:tc>
          <w:tcPr>
            <w:tcW w:w="4475" w:type="dxa"/>
            <w:tcBorders>
              <w:top w:val="single" w:color="auto" w:sz="4" w:space="0"/>
              <w:left w:val="nil"/>
              <w:bottom w:val="single" w:color="auto" w:sz="4" w:space="0"/>
              <w:right w:val="single" w:color="auto" w:sz="4" w:space="0"/>
            </w:tcBorders>
            <w:noWrap/>
            <w:vAlign w:val="center"/>
          </w:tcPr>
          <w:p w14:paraId="4A452836">
            <w:pPr>
              <w:spacing w:line="288" w:lineRule="auto"/>
              <w:rPr>
                <w:rFonts w:ascii="宋体" w:hAnsi="宋体" w:cs="宋体"/>
                <w:color w:val="auto"/>
                <w:sz w:val="21"/>
                <w:szCs w:val="21"/>
                <w:highlight w:val="none"/>
              </w:rPr>
            </w:pPr>
          </w:p>
        </w:tc>
        <w:tc>
          <w:tcPr>
            <w:tcW w:w="750" w:type="dxa"/>
            <w:tcBorders>
              <w:top w:val="single" w:color="auto" w:sz="4" w:space="0"/>
              <w:left w:val="nil"/>
              <w:bottom w:val="single" w:color="auto" w:sz="4" w:space="0"/>
              <w:right w:val="single" w:color="auto" w:sz="4" w:space="0"/>
            </w:tcBorders>
            <w:noWrap/>
            <w:vAlign w:val="center"/>
          </w:tcPr>
          <w:p w14:paraId="5E4E132D">
            <w:pPr>
              <w:spacing w:line="288" w:lineRule="auto"/>
              <w:jc w:val="center"/>
              <w:rPr>
                <w:rFonts w:ascii="宋体" w:hAnsi="宋体" w:cs="宋体"/>
                <w:color w:val="auto"/>
                <w:sz w:val="21"/>
                <w:szCs w:val="21"/>
                <w:highlight w:val="none"/>
              </w:rPr>
            </w:pPr>
          </w:p>
        </w:tc>
        <w:tc>
          <w:tcPr>
            <w:tcW w:w="2492" w:type="dxa"/>
            <w:tcBorders>
              <w:top w:val="single" w:color="auto" w:sz="4" w:space="0"/>
              <w:left w:val="nil"/>
              <w:bottom w:val="single" w:color="auto" w:sz="4" w:space="0"/>
              <w:right w:val="single" w:color="auto" w:sz="4" w:space="0"/>
            </w:tcBorders>
            <w:noWrap/>
            <w:vAlign w:val="center"/>
          </w:tcPr>
          <w:p w14:paraId="5E8BA20B">
            <w:pPr>
              <w:spacing w:line="288" w:lineRule="auto"/>
              <w:rPr>
                <w:rFonts w:ascii="宋体" w:hAnsi="宋体" w:cs="宋体"/>
                <w:color w:val="auto"/>
                <w:sz w:val="21"/>
                <w:szCs w:val="21"/>
                <w:highlight w:val="none"/>
              </w:rPr>
            </w:pPr>
          </w:p>
        </w:tc>
      </w:tr>
    </w:tbl>
    <w:p w14:paraId="4C5D4326">
      <w:pPr>
        <w:tabs>
          <w:tab w:val="left" w:pos="360"/>
          <w:tab w:val="left" w:pos="4320"/>
        </w:tabs>
        <w:spacing w:line="440" w:lineRule="exact"/>
        <w:jc w:val="both"/>
        <w:rPr>
          <w:rFonts w:ascii="宋体" w:hAnsi="宋体" w:cs="宋体"/>
          <w:b/>
          <w:color w:val="auto"/>
          <w:sz w:val="21"/>
          <w:szCs w:val="21"/>
          <w:highlight w:val="none"/>
        </w:rPr>
      </w:pPr>
      <w:r>
        <w:rPr>
          <w:rFonts w:hint="eastAsia" w:ascii="宋体" w:hAnsi="宋体" w:cs="宋体"/>
          <w:b/>
          <w:color w:val="auto"/>
          <w:sz w:val="21"/>
          <w:szCs w:val="21"/>
          <w:highlight w:val="none"/>
        </w:rPr>
        <w:t>检查人：                中标供应商负责人 ：         检查时间 ：</w:t>
      </w:r>
    </w:p>
    <w:p w14:paraId="35B09D72">
      <w:pPr>
        <w:tabs>
          <w:tab w:val="left" w:pos="360"/>
          <w:tab w:val="left" w:pos="4320"/>
        </w:tabs>
        <w:spacing w:line="360" w:lineRule="auto"/>
        <w:ind w:firstLine="422"/>
        <w:jc w:val="center"/>
        <w:rPr>
          <w:rFonts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服务质量检查表2：</w:t>
      </w:r>
      <w:r>
        <w:rPr>
          <w:rFonts w:hint="eastAsia" w:ascii="宋体" w:hAnsi="宋体" w:cs="宋体"/>
          <w:b/>
          <w:color w:val="auto"/>
          <w:sz w:val="21"/>
          <w:szCs w:val="21"/>
          <w:highlight w:val="none"/>
          <w:lang w:eastAsia="zh-CN"/>
        </w:rPr>
        <w:t>水电工</w:t>
      </w:r>
      <w:r>
        <w:rPr>
          <w:rFonts w:hint="eastAsia" w:ascii="宋体" w:hAnsi="宋体" w:cs="宋体"/>
          <w:b/>
          <w:color w:val="auto"/>
          <w:sz w:val="21"/>
          <w:szCs w:val="21"/>
          <w:highlight w:val="none"/>
        </w:rPr>
        <w:t>服务（满分100分）</w:t>
      </w:r>
    </w:p>
    <w:tbl>
      <w:tblPr>
        <w:tblStyle w:val="38"/>
        <w:tblpPr w:leftFromText="180" w:rightFromText="180" w:vertAnchor="text" w:horzAnchor="page" w:tblpX="742" w:tblpY="16"/>
        <w:tblOverlap w:val="never"/>
        <w:tblW w:w="10605" w:type="dxa"/>
        <w:tblInd w:w="0" w:type="dxa"/>
        <w:tblLayout w:type="fixed"/>
        <w:tblCellMar>
          <w:top w:w="0" w:type="dxa"/>
          <w:left w:w="108" w:type="dxa"/>
          <w:bottom w:w="0" w:type="dxa"/>
          <w:right w:w="108" w:type="dxa"/>
        </w:tblCellMar>
      </w:tblPr>
      <w:tblGrid>
        <w:gridCol w:w="1120"/>
        <w:gridCol w:w="4125"/>
        <w:gridCol w:w="730"/>
        <w:gridCol w:w="3300"/>
        <w:gridCol w:w="1330"/>
      </w:tblGrid>
      <w:tr w14:paraId="16B1743A">
        <w:tblPrEx>
          <w:tblCellMar>
            <w:top w:w="0" w:type="dxa"/>
            <w:left w:w="108" w:type="dxa"/>
            <w:bottom w:w="0" w:type="dxa"/>
            <w:right w:w="108" w:type="dxa"/>
          </w:tblCellMar>
        </w:tblPrEx>
        <w:trPr>
          <w:trHeight w:val="409" w:hRule="atLeast"/>
        </w:trPr>
        <w:tc>
          <w:tcPr>
            <w:tcW w:w="1120" w:type="dxa"/>
            <w:tcBorders>
              <w:top w:val="single" w:color="auto" w:sz="4" w:space="0"/>
              <w:left w:val="single" w:color="auto" w:sz="4" w:space="0"/>
              <w:bottom w:val="single" w:color="auto" w:sz="4" w:space="0"/>
              <w:right w:val="single" w:color="auto" w:sz="4" w:space="0"/>
            </w:tcBorders>
            <w:noWrap/>
            <w:vAlign w:val="center"/>
          </w:tcPr>
          <w:p w14:paraId="17F5A323">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考核</w:t>
            </w:r>
          </w:p>
        </w:tc>
        <w:tc>
          <w:tcPr>
            <w:tcW w:w="4125" w:type="dxa"/>
            <w:tcBorders>
              <w:top w:val="single" w:color="auto" w:sz="4" w:space="0"/>
              <w:left w:val="nil"/>
              <w:bottom w:val="single" w:color="auto" w:sz="4" w:space="0"/>
              <w:right w:val="single" w:color="auto" w:sz="4" w:space="0"/>
            </w:tcBorders>
            <w:noWrap/>
            <w:vAlign w:val="center"/>
          </w:tcPr>
          <w:p w14:paraId="6EEE7165">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考核内容</w:t>
            </w:r>
          </w:p>
        </w:tc>
        <w:tc>
          <w:tcPr>
            <w:tcW w:w="730" w:type="dxa"/>
            <w:tcBorders>
              <w:top w:val="single" w:color="auto" w:sz="4" w:space="0"/>
              <w:left w:val="nil"/>
              <w:bottom w:val="single" w:color="auto" w:sz="4" w:space="0"/>
              <w:right w:val="single" w:color="auto" w:sz="4" w:space="0"/>
            </w:tcBorders>
            <w:noWrap/>
            <w:vAlign w:val="center"/>
          </w:tcPr>
          <w:p w14:paraId="6200AA26">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分值</w:t>
            </w:r>
          </w:p>
        </w:tc>
        <w:tc>
          <w:tcPr>
            <w:tcW w:w="3300" w:type="dxa"/>
            <w:tcBorders>
              <w:top w:val="single" w:color="auto" w:sz="4" w:space="0"/>
              <w:left w:val="nil"/>
              <w:bottom w:val="single" w:color="auto" w:sz="4" w:space="0"/>
              <w:right w:val="single" w:color="auto" w:sz="4" w:space="0"/>
            </w:tcBorders>
            <w:noWrap/>
            <w:vAlign w:val="center"/>
          </w:tcPr>
          <w:p w14:paraId="4D46C126">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扣分标准</w:t>
            </w:r>
          </w:p>
        </w:tc>
        <w:tc>
          <w:tcPr>
            <w:tcW w:w="1330" w:type="dxa"/>
            <w:tcBorders>
              <w:top w:val="single" w:color="auto" w:sz="4" w:space="0"/>
              <w:left w:val="nil"/>
              <w:bottom w:val="single" w:color="auto" w:sz="4" w:space="0"/>
              <w:right w:val="single" w:color="auto" w:sz="4" w:space="0"/>
            </w:tcBorders>
            <w:noWrap/>
            <w:vAlign w:val="center"/>
          </w:tcPr>
          <w:p w14:paraId="4863BAE5">
            <w:pPr>
              <w:spacing w:line="288"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得分</w:t>
            </w:r>
          </w:p>
        </w:tc>
      </w:tr>
      <w:tr w14:paraId="5BE7E317">
        <w:tblPrEx>
          <w:tblCellMar>
            <w:top w:w="0" w:type="dxa"/>
            <w:left w:w="108" w:type="dxa"/>
            <w:bottom w:w="0" w:type="dxa"/>
            <w:right w:w="108" w:type="dxa"/>
          </w:tblCellMar>
        </w:tblPrEx>
        <w:trPr>
          <w:trHeight w:val="20" w:hRule="atLeast"/>
        </w:trPr>
        <w:tc>
          <w:tcPr>
            <w:tcW w:w="1120" w:type="dxa"/>
            <w:vMerge w:val="restart"/>
            <w:tcBorders>
              <w:top w:val="nil"/>
              <w:left w:val="single" w:color="auto" w:sz="4" w:space="0"/>
              <w:bottom w:val="single" w:color="auto" w:sz="4" w:space="0"/>
              <w:right w:val="single" w:color="auto" w:sz="4" w:space="0"/>
            </w:tcBorders>
            <w:noWrap/>
            <w:vAlign w:val="center"/>
          </w:tcPr>
          <w:p w14:paraId="317FE5E6">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基本要求</w:t>
            </w:r>
          </w:p>
        </w:tc>
        <w:tc>
          <w:tcPr>
            <w:tcW w:w="4125" w:type="dxa"/>
            <w:tcBorders>
              <w:top w:val="single" w:color="auto" w:sz="4" w:space="0"/>
              <w:left w:val="nil"/>
              <w:bottom w:val="single" w:color="auto" w:sz="4" w:space="0"/>
              <w:right w:val="single" w:color="auto" w:sz="4" w:space="0"/>
            </w:tcBorders>
            <w:noWrap/>
            <w:vAlign w:val="center"/>
          </w:tcPr>
          <w:p w14:paraId="4CFC8F2F">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1按要求着装，仪表端庄；文明用语，微笑服务，礼貌待人。</w:t>
            </w:r>
          </w:p>
        </w:tc>
        <w:tc>
          <w:tcPr>
            <w:tcW w:w="730" w:type="dxa"/>
            <w:vMerge w:val="restart"/>
            <w:tcBorders>
              <w:top w:val="nil"/>
              <w:left w:val="nil"/>
              <w:bottom w:val="single" w:color="auto" w:sz="4" w:space="0"/>
              <w:right w:val="single" w:color="auto" w:sz="4" w:space="0"/>
            </w:tcBorders>
            <w:noWrap/>
            <w:vAlign w:val="center"/>
          </w:tcPr>
          <w:p w14:paraId="1B1559F0">
            <w:pPr>
              <w:spacing w:line="288"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15</w:t>
            </w:r>
          </w:p>
        </w:tc>
        <w:tc>
          <w:tcPr>
            <w:tcW w:w="3300" w:type="dxa"/>
            <w:tcBorders>
              <w:top w:val="nil"/>
              <w:left w:val="nil"/>
              <w:bottom w:val="single" w:color="auto" w:sz="4" w:space="0"/>
              <w:right w:val="single" w:color="auto" w:sz="4" w:space="0"/>
            </w:tcBorders>
            <w:noWrap/>
            <w:vAlign w:val="center"/>
          </w:tcPr>
          <w:p w14:paraId="46480686">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一人不符扣1分</w:t>
            </w:r>
          </w:p>
        </w:tc>
        <w:tc>
          <w:tcPr>
            <w:tcW w:w="1330" w:type="dxa"/>
            <w:tcBorders>
              <w:top w:val="nil"/>
              <w:left w:val="nil"/>
              <w:bottom w:val="single" w:color="auto" w:sz="4" w:space="0"/>
              <w:right w:val="single" w:color="auto" w:sz="4" w:space="0"/>
            </w:tcBorders>
            <w:noWrap/>
            <w:vAlign w:val="center"/>
          </w:tcPr>
          <w:p w14:paraId="0E0B15D9">
            <w:pPr>
              <w:spacing w:line="288" w:lineRule="auto"/>
              <w:rPr>
                <w:rFonts w:hint="eastAsia" w:ascii="宋体" w:hAnsi="宋体" w:cs="宋体"/>
                <w:color w:val="auto"/>
                <w:sz w:val="21"/>
                <w:szCs w:val="21"/>
                <w:highlight w:val="none"/>
              </w:rPr>
            </w:pPr>
          </w:p>
        </w:tc>
      </w:tr>
      <w:tr w14:paraId="3DD0E45C">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5EADC012">
            <w:pPr>
              <w:spacing w:line="288" w:lineRule="auto"/>
              <w:jc w:val="center"/>
              <w:rPr>
                <w:rFonts w:ascii="宋体" w:hAnsi="宋体" w:cs="宋体"/>
                <w:b/>
                <w:bCs/>
                <w:color w:val="auto"/>
                <w:sz w:val="21"/>
                <w:szCs w:val="21"/>
                <w:highlight w:val="none"/>
              </w:rPr>
            </w:pPr>
          </w:p>
        </w:tc>
        <w:tc>
          <w:tcPr>
            <w:tcW w:w="4125" w:type="dxa"/>
            <w:tcBorders>
              <w:top w:val="single" w:color="auto" w:sz="4" w:space="0"/>
              <w:left w:val="nil"/>
              <w:bottom w:val="single" w:color="auto" w:sz="4" w:space="0"/>
              <w:right w:val="single" w:color="000000" w:sz="4" w:space="0"/>
            </w:tcBorders>
            <w:noWrap/>
            <w:vAlign w:val="center"/>
          </w:tcPr>
          <w:p w14:paraId="6A5E9B24">
            <w:pPr>
              <w:spacing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2无有效投诉。</w:t>
            </w:r>
            <w:r>
              <w:rPr>
                <w:rFonts w:hint="eastAsia" w:ascii="宋体" w:hAnsi="宋体" w:cs="宋体"/>
                <w:color w:val="auto"/>
                <w:sz w:val="21"/>
                <w:szCs w:val="21"/>
                <w:highlight w:val="none"/>
                <w:lang w:val="en-US" w:eastAsia="zh-CN"/>
              </w:rPr>
              <w:t>工作中不得和任何人发生争吵。</w:t>
            </w:r>
          </w:p>
        </w:tc>
        <w:tc>
          <w:tcPr>
            <w:tcW w:w="730" w:type="dxa"/>
            <w:vMerge w:val="continue"/>
            <w:tcBorders>
              <w:top w:val="nil"/>
              <w:left w:val="nil"/>
              <w:bottom w:val="single" w:color="auto" w:sz="4" w:space="0"/>
              <w:right w:val="single" w:color="auto" w:sz="4" w:space="0"/>
            </w:tcBorders>
            <w:noWrap w:val="0"/>
            <w:vAlign w:val="center"/>
          </w:tcPr>
          <w:p w14:paraId="4CEAD76C">
            <w:pPr>
              <w:spacing w:line="288" w:lineRule="auto"/>
              <w:jc w:val="center"/>
              <w:rPr>
                <w:rFonts w:ascii="宋体" w:hAnsi="宋体" w:cs="宋体"/>
                <w:color w:val="auto"/>
                <w:sz w:val="21"/>
                <w:szCs w:val="21"/>
                <w:highlight w:val="none"/>
              </w:rPr>
            </w:pPr>
          </w:p>
        </w:tc>
        <w:tc>
          <w:tcPr>
            <w:tcW w:w="3300" w:type="dxa"/>
            <w:tcBorders>
              <w:top w:val="nil"/>
              <w:left w:val="nil"/>
              <w:bottom w:val="single" w:color="auto" w:sz="4" w:space="0"/>
              <w:right w:val="single" w:color="auto" w:sz="4" w:space="0"/>
            </w:tcBorders>
            <w:noWrap/>
            <w:vAlign w:val="center"/>
          </w:tcPr>
          <w:p w14:paraId="19A364C6">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有投诉扣5分</w:t>
            </w:r>
          </w:p>
        </w:tc>
        <w:tc>
          <w:tcPr>
            <w:tcW w:w="1330" w:type="dxa"/>
            <w:tcBorders>
              <w:top w:val="nil"/>
              <w:left w:val="nil"/>
              <w:bottom w:val="single" w:color="auto" w:sz="4" w:space="0"/>
              <w:right w:val="single" w:color="auto" w:sz="4" w:space="0"/>
            </w:tcBorders>
            <w:noWrap/>
            <w:vAlign w:val="center"/>
          </w:tcPr>
          <w:p w14:paraId="6CE1F1FC">
            <w:pPr>
              <w:spacing w:line="288" w:lineRule="auto"/>
              <w:rPr>
                <w:rFonts w:hint="eastAsia" w:ascii="宋体" w:hAnsi="宋体" w:cs="宋体"/>
                <w:color w:val="auto"/>
                <w:sz w:val="21"/>
                <w:szCs w:val="21"/>
                <w:highlight w:val="none"/>
              </w:rPr>
            </w:pPr>
          </w:p>
        </w:tc>
      </w:tr>
      <w:tr w14:paraId="3D4F3550">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1269D415">
            <w:pPr>
              <w:spacing w:line="288" w:lineRule="auto"/>
              <w:jc w:val="center"/>
              <w:rPr>
                <w:rFonts w:ascii="宋体" w:hAnsi="宋体" w:cs="宋体"/>
                <w:b/>
                <w:bCs/>
                <w:color w:val="auto"/>
                <w:sz w:val="21"/>
                <w:szCs w:val="21"/>
                <w:highlight w:val="none"/>
              </w:rPr>
            </w:pPr>
          </w:p>
        </w:tc>
        <w:tc>
          <w:tcPr>
            <w:tcW w:w="4125" w:type="dxa"/>
            <w:tcBorders>
              <w:top w:val="single" w:color="auto" w:sz="4" w:space="0"/>
              <w:left w:val="nil"/>
              <w:bottom w:val="single" w:color="auto" w:sz="4" w:space="0"/>
              <w:right w:val="single" w:color="000000" w:sz="4" w:space="0"/>
            </w:tcBorders>
            <w:noWrap/>
            <w:vAlign w:val="center"/>
          </w:tcPr>
          <w:p w14:paraId="7ECACDC4">
            <w:pPr>
              <w:spacing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3</w:t>
            </w:r>
            <w:r>
              <w:rPr>
                <w:rFonts w:hint="eastAsia" w:ascii="宋体" w:hAnsi="宋体" w:cs="宋体"/>
                <w:color w:val="auto"/>
                <w:sz w:val="21"/>
                <w:szCs w:val="21"/>
                <w:highlight w:val="none"/>
                <w:lang w:val="en-US" w:eastAsia="zh-CN"/>
              </w:rPr>
              <w:t>持有效上岗证</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进出特殊科室按院感要求</w:t>
            </w:r>
          </w:p>
        </w:tc>
        <w:tc>
          <w:tcPr>
            <w:tcW w:w="730" w:type="dxa"/>
            <w:vMerge w:val="continue"/>
            <w:tcBorders>
              <w:top w:val="nil"/>
              <w:left w:val="nil"/>
              <w:bottom w:val="single" w:color="auto" w:sz="4" w:space="0"/>
              <w:right w:val="single" w:color="auto" w:sz="4" w:space="0"/>
            </w:tcBorders>
            <w:noWrap w:val="0"/>
            <w:vAlign w:val="center"/>
          </w:tcPr>
          <w:p w14:paraId="4C9DF6A5">
            <w:pPr>
              <w:spacing w:line="288" w:lineRule="auto"/>
              <w:jc w:val="center"/>
              <w:rPr>
                <w:rFonts w:ascii="宋体" w:hAnsi="宋体" w:cs="宋体"/>
                <w:color w:val="auto"/>
                <w:sz w:val="21"/>
                <w:szCs w:val="21"/>
                <w:highlight w:val="none"/>
              </w:rPr>
            </w:pPr>
          </w:p>
        </w:tc>
        <w:tc>
          <w:tcPr>
            <w:tcW w:w="3300" w:type="dxa"/>
            <w:tcBorders>
              <w:top w:val="nil"/>
              <w:left w:val="nil"/>
              <w:bottom w:val="single" w:color="auto" w:sz="4" w:space="0"/>
              <w:right w:val="single" w:color="auto" w:sz="4" w:space="0"/>
            </w:tcBorders>
            <w:noWrap/>
            <w:vAlign w:val="center"/>
          </w:tcPr>
          <w:p w14:paraId="5A6B0D54">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证件无效</w:t>
            </w:r>
            <w:r>
              <w:rPr>
                <w:rFonts w:hint="eastAsia" w:ascii="宋体" w:hAnsi="宋体" w:cs="宋体"/>
                <w:color w:val="auto"/>
                <w:sz w:val="21"/>
                <w:szCs w:val="21"/>
                <w:highlight w:val="none"/>
              </w:rPr>
              <w:t>扣2分</w:t>
            </w:r>
          </w:p>
        </w:tc>
        <w:tc>
          <w:tcPr>
            <w:tcW w:w="1330" w:type="dxa"/>
            <w:tcBorders>
              <w:top w:val="nil"/>
              <w:left w:val="nil"/>
              <w:bottom w:val="single" w:color="auto" w:sz="4" w:space="0"/>
              <w:right w:val="single" w:color="auto" w:sz="4" w:space="0"/>
            </w:tcBorders>
            <w:noWrap/>
            <w:vAlign w:val="center"/>
          </w:tcPr>
          <w:p w14:paraId="4744671A">
            <w:pPr>
              <w:spacing w:line="288" w:lineRule="auto"/>
              <w:rPr>
                <w:rFonts w:hint="eastAsia" w:ascii="宋体" w:hAnsi="宋体" w:cs="宋体"/>
                <w:color w:val="auto"/>
                <w:sz w:val="21"/>
                <w:szCs w:val="21"/>
                <w:highlight w:val="none"/>
              </w:rPr>
            </w:pPr>
          </w:p>
        </w:tc>
      </w:tr>
      <w:tr w14:paraId="5DD0D524">
        <w:tblPrEx>
          <w:tblCellMar>
            <w:top w:w="0" w:type="dxa"/>
            <w:left w:w="108" w:type="dxa"/>
            <w:bottom w:w="0" w:type="dxa"/>
            <w:right w:w="108" w:type="dxa"/>
          </w:tblCellMar>
        </w:tblPrEx>
        <w:trPr>
          <w:trHeight w:val="20" w:hRule="atLeast"/>
        </w:trPr>
        <w:tc>
          <w:tcPr>
            <w:tcW w:w="1120" w:type="dxa"/>
            <w:vMerge w:val="restart"/>
            <w:tcBorders>
              <w:top w:val="nil"/>
              <w:left w:val="single" w:color="auto" w:sz="4" w:space="0"/>
              <w:bottom w:val="single" w:color="auto" w:sz="4" w:space="0"/>
              <w:right w:val="single" w:color="auto" w:sz="4" w:space="0"/>
            </w:tcBorders>
            <w:noWrap/>
            <w:vAlign w:val="center"/>
          </w:tcPr>
          <w:p w14:paraId="71C4855A">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行为规范</w:t>
            </w:r>
          </w:p>
        </w:tc>
        <w:tc>
          <w:tcPr>
            <w:tcW w:w="4125" w:type="dxa"/>
            <w:tcBorders>
              <w:top w:val="single" w:color="auto" w:sz="4" w:space="0"/>
              <w:left w:val="nil"/>
              <w:bottom w:val="single" w:color="auto" w:sz="4" w:space="0"/>
              <w:right w:val="single" w:color="auto" w:sz="4" w:space="0"/>
            </w:tcBorders>
            <w:noWrap/>
            <w:vAlign w:val="center"/>
          </w:tcPr>
          <w:p w14:paraId="08EDA17E">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1认真执行岗位职责，严格遵守公司规章制度、操作常规及流程.</w:t>
            </w:r>
          </w:p>
        </w:tc>
        <w:tc>
          <w:tcPr>
            <w:tcW w:w="730" w:type="dxa"/>
            <w:vMerge w:val="restart"/>
            <w:tcBorders>
              <w:top w:val="nil"/>
              <w:left w:val="nil"/>
              <w:bottom w:val="single" w:color="auto" w:sz="4" w:space="0"/>
              <w:right w:val="single" w:color="auto" w:sz="4" w:space="0"/>
            </w:tcBorders>
            <w:noWrap/>
            <w:vAlign w:val="center"/>
          </w:tcPr>
          <w:p w14:paraId="1A4AB04A">
            <w:pPr>
              <w:spacing w:line="288"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15</w:t>
            </w:r>
          </w:p>
        </w:tc>
        <w:tc>
          <w:tcPr>
            <w:tcW w:w="3300" w:type="dxa"/>
            <w:tcBorders>
              <w:top w:val="nil"/>
              <w:left w:val="nil"/>
              <w:bottom w:val="single" w:color="auto" w:sz="4" w:space="0"/>
              <w:right w:val="single" w:color="auto" w:sz="4" w:space="0"/>
            </w:tcBorders>
            <w:noWrap/>
            <w:vAlign w:val="center"/>
          </w:tcPr>
          <w:p w14:paraId="0CF0A68E">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c>
          <w:tcPr>
            <w:tcW w:w="1330" w:type="dxa"/>
            <w:tcBorders>
              <w:top w:val="nil"/>
              <w:left w:val="nil"/>
              <w:bottom w:val="single" w:color="auto" w:sz="4" w:space="0"/>
              <w:right w:val="single" w:color="auto" w:sz="4" w:space="0"/>
            </w:tcBorders>
            <w:noWrap/>
            <w:vAlign w:val="center"/>
          </w:tcPr>
          <w:p w14:paraId="1E067284">
            <w:pPr>
              <w:spacing w:line="288" w:lineRule="auto"/>
              <w:rPr>
                <w:rFonts w:hint="eastAsia" w:ascii="宋体" w:hAnsi="宋体" w:cs="宋体"/>
                <w:color w:val="auto"/>
                <w:sz w:val="21"/>
                <w:szCs w:val="21"/>
                <w:highlight w:val="none"/>
              </w:rPr>
            </w:pPr>
          </w:p>
        </w:tc>
      </w:tr>
      <w:tr w14:paraId="6FAD372F">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703251CC">
            <w:pPr>
              <w:spacing w:line="288" w:lineRule="auto"/>
              <w:jc w:val="center"/>
              <w:rPr>
                <w:rFonts w:ascii="宋体" w:hAnsi="宋体" w:cs="宋体"/>
                <w:b/>
                <w:bCs/>
                <w:color w:val="auto"/>
                <w:sz w:val="21"/>
                <w:szCs w:val="21"/>
                <w:highlight w:val="none"/>
              </w:rPr>
            </w:pPr>
          </w:p>
        </w:tc>
        <w:tc>
          <w:tcPr>
            <w:tcW w:w="4125" w:type="dxa"/>
            <w:tcBorders>
              <w:top w:val="single" w:color="auto" w:sz="4" w:space="0"/>
              <w:left w:val="nil"/>
              <w:bottom w:val="single" w:color="auto" w:sz="4" w:space="0"/>
              <w:right w:val="single" w:color="auto" w:sz="4" w:space="0"/>
            </w:tcBorders>
            <w:noWrap/>
            <w:vAlign w:val="center"/>
          </w:tcPr>
          <w:p w14:paraId="35D4695A">
            <w:pPr>
              <w:spacing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2不迟到不早退，不串岗、不脱（离）岗，不干私活。</w:t>
            </w:r>
            <w:r>
              <w:rPr>
                <w:rFonts w:hint="eastAsia" w:ascii="宋体" w:hAnsi="宋体" w:cs="宋体"/>
                <w:color w:val="auto"/>
                <w:sz w:val="21"/>
                <w:szCs w:val="21"/>
                <w:highlight w:val="none"/>
                <w:lang w:val="en-US" w:eastAsia="zh-CN"/>
              </w:rPr>
              <w:t>有事需请假并安排好顶班。</w:t>
            </w:r>
          </w:p>
        </w:tc>
        <w:tc>
          <w:tcPr>
            <w:tcW w:w="730" w:type="dxa"/>
            <w:vMerge w:val="continue"/>
            <w:tcBorders>
              <w:top w:val="nil"/>
              <w:left w:val="nil"/>
              <w:bottom w:val="single" w:color="auto" w:sz="4" w:space="0"/>
              <w:right w:val="single" w:color="auto" w:sz="4" w:space="0"/>
            </w:tcBorders>
            <w:noWrap w:val="0"/>
            <w:vAlign w:val="center"/>
          </w:tcPr>
          <w:p w14:paraId="71A3421B">
            <w:pPr>
              <w:spacing w:line="288" w:lineRule="auto"/>
              <w:jc w:val="center"/>
              <w:rPr>
                <w:rFonts w:ascii="宋体" w:hAnsi="宋体" w:cs="宋体"/>
                <w:b/>
                <w:bCs/>
                <w:color w:val="auto"/>
                <w:sz w:val="21"/>
                <w:szCs w:val="21"/>
                <w:highlight w:val="none"/>
              </w:rPr>
            </w:pPr>
          </w:p>
        </w:tc>
        <w:tc>
          <w:tcPr>
            <w:tcW w:w="3300" w:type="dxa"/>
            <w:tcBorders>
              <w:top w:val="nil"/>
              <w:left w:val="nil"/>
              <w:bottom w:val="single" w:color="auto" w:sz="4" w:space="0"/>
              <w:right w:val="single" w:color="auto" w:sz="4" w:space="0"/>
            </w:tcBorders>
            <w:noWrap/>
            <w:vAlign w:val="center"/>
          </w:tcPr>
          <w:p w14:paraId="2CC81367">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c>
          <w:tcPr>
            <w:tcW w:w="1330" w:type="dxa"/>
            <w:tcBorders>
              <w:top w:val="nil"/>
              <w:left w:val="nil"/>
              <w:bottom w:val="single" w:color="auto" w:sz="4" w:space="0"/>
              <w:right w:val="single" w:color="auto" w:sz="4" w:space="0"/>
            </w:tcBorders>
            <w:noWrap/>
            <w:vAlign w:val="center"/>
          </w:tcPr>
          <w:p w14:paraId="480AEC45">
            <w:pPr>
              <w:spacing w:line="288" w:lineRule="auto"/>
              <w:rPr>
                <w:rFonts w:hint="eastAsia" w:ascii="宋体" w:hAnsi="宋体" w:cs="宋体"/>
                <w:color w:val="auto"/>
                <w:sz w:val="21"/>
                <w:szCs w:val="21"/>
                <w:highlight w:val="none"/>
              </w:rPr>
            </w:pPr>
          </w:p>
        </w:tc>
      </w:tr>
      <w:tr w14:paraId="09E8603A">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4BC05472">
            <w:pPr>
              <w:spacing w:line="288" w:lineRule="auto"/>
              <w:jc w:val="center"/>
              <w:rPr>
                <w:rFonts w:ascii="宋体" w:hAnsi="宋体" w:cs="宋体"/>
                <w:b/>
                <w:bCs/>
                <w:color w:val="auto"/>
                <w:sz w:val="21"/>
                <w:szCs w:val="21"/>
                <w:highlight w:val="none"/>
              </w:rPr>
            </w:pPr>
          </w:p>
        </w:tc>
        <w:tc>
          <w:tcPr>
            <w:tcW w:w="4125" w:type="dxa"/>
            <w:tcBorders>
              <w:top w:val="single" w:color="auto" w:sz="4" w:space="0"/>
              <w:left w:val="nil"/>
              <w:bottom w:val="single" w:color="auto" w:sz="4" w:space="0"/>
              <w:right w:val="single" w:color="auto" w:sz="4" w:space="0"/>
            </w:tcBorders>
            <w:noWrap/>
            <w:vAlign w:val="center"/>
          </w:tcPr>
          <w:p w14:paraId="38CE23D5">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3上班不玩手机，不</w:t>
            </w:r>
            <w:r>
              <w:rPr>
                <w:rFonts w:hint="eastAsia" w:ascii="宋体" w:hAnsi="宋体" w:cs="宋体"/>
                <w:color w:val="auto"/>
                <w:sz w:val="21"/>
                <w:szCs w:val="21"/>
                <w:highlight w:val="none"/>
                <w:lang w:val="en-US" w:eastAsia="zh-CN"/>
              </w:rPr>
              <w:t>睡觉</w:t>
            </w:r>
            <w:r>
              <w:rPr>
                <w:rFonts w:hint="eastAsia" w:ascii="宋体" w:hAnsi="宋体" w:cs="宋体"/>
                <w:color w:val="auto"/>
                <w:sz w:val="21"/>
                <w:szCs w:val="21"/>
                <w:highlight w:val="none"/>
              </w:rPr>
              <w:t>，不</w:t>
            </w:r>
            <w:r>
              <w:rPr>
                <w:rFonts w:hint="eastAsia" w:ascii="宋体" w:hAnsi="宋体" w:cs="宋体"/>
                <w:color w:val="auto"/>
                <w:sz w:val="21"/>
                <w:szCs w:val="21"/>
                <w:highlight w:val="none"/>
                <w:lang w:val="en-US" w:eastAsia="zh-CN"/>
              </w:rPr>
              <w:t>在禁烟区抽烟</w:t>
            </w:r>
            <w:r>
              <w:rPr>
                <w:rFonts w:hint="eastAsia" w:ascii="宋体" w:hAnsi="宋体" w:cs="宋体"/>
                <w:color w:val="auto"/>
                <w:sz w:val="21"/>
                <w:szCs w:val="21"/>
                <w:highlight w:val="none"/>
              </w:rPr>
              <w:t>。</w:t>
            </w:r>
          </w:p>
        </w:tc>
        <w:tc>
          <w:tcPr>
            <w:tcW w:w="730" w:type="dxa"/>
            <w:vMerge w:val="continue"/>
            <w:tcBorders>
              <w:top w:val="nil"/>
              <w:left w:val="nil"/>
              <w:bottom w:val="single" w:color="auto" w:sz="4" w:space="0"/>
              <w:right w:val="single" w:color="auto" w:sz="4" w:space="0"/>
            </w:tcBorders>
            <w:noWrap w:val="0"/>
            <w:vAlign w:val="center"/>
          </w:tcPr>
          <w:p w14:paraId="200BF9E6">
            <w:pPr>
              <w:spacing w:line="288" w:lineRule="auto"/>
              <w:jc w:val="center"/>
              <w:rPr>
                <w:rFonts w:ascii="宋体" w:hAnsi="宋体" w:cs="宋体"/>
                <w:b/>
                <w:bCs/>
                <w:color w:val="auto"/>
                <w:sz w:val="21"/>
                <w:szCs w:val="21"/>
                <w:highlight w:val="none"/>
              </w:rPr>
            </w:pPr>
          </w:p>
        </w:tc>
        <w:tc>
          <w:tcPr>
            <w:tcW w:w="3300" w:type="dxa"/>
            <w:tcBorders>
              <w:top w:val="nil"/>
              <w:left w:val="nil"/>
              <w:bottom w:val="single" w:color="auto" w:sz="4" w:space="0"/>
              <w:right w:val="single" w:color="auto" w:sz="4" w:space="0"/>
            </w:tcBorders>
            <w:noWrap/>
            <w:vAlign w:val="center"/>
          </w:tcPr>
          <w:p w14:paraId="1C691941">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c>
          <w:tcPr>
            <w:tcW w:w="1330" w:type="dxa"/>
            <w:tcBorders>
              <w:top w:val="nil"/>
              <w:left w:val="nil"/>
              <w:bottom w:val="single" w:color="auto" w:sz="4" w:space="0"/>
              <w:right w:val="single" w:color="auto" w:sz="4" w:space="0"/>
            </w:tcBorders>
            <w:noWrap/>
            <w:vAlign w:val="center"/>
          </w:tcPr>
          <w:p w14:paraId="4126CECC">
            <w:pPr>
              <w:spacing w:line="288" w:lineRule="auto"/>
              <w:rPr>
                <w:rFonts w:hint="eastAsia" w:ascii="宋体" w:hAnsi="宋体" w:cs="宋体"/>
                <w:color w:val="auto"/>
                <w:sz w:val="21"/>
                <w:szCs w:val="21"/>
                <w:highlight w:val="none"/>
              </w:rPr>
            </w:pPr>
          </w:p>
        </w:tc>
      </w:tr>
      <w:tr w14:paraId="65CBC8FC">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0DDF6D42">
            <w:pPr>
              <w:spacing w:line="288" w:lineRule="auto"/>
              <w:jc w:val="center"/>
              <w:rPr>
                <w:rFonts w:ascii="宋体" w:hAnsi="宋体" w:cs="宋体"/>
                <w:b/>
                <w:bCs/>
                <w:color w:val="auto"/>
                <w:sz w:val="21"/>
                <w:szCs w:val="21"/>
                <w:highlight w:val="none"/>
              </w:rPr>
            </w:pPr>
          </w:p>
        </w:tc>
        <w:tc>
          <w:tcPr>
            <w:tcW w:w="4125" w:type="dxa"/>
            <w:tcBorders>
              <w:top w:val="single" w:color="auto" w:sz="4" w:space="0"/>
              <w:left w:val="nil"/>
              <w:bottom w:val="single" w:color="auto" w:sz="4" w:space="0"/>
              <w:right w:val="single" w:color="000000" w:sz="4" w:space="0"/>
            </w:tcBorders>
            <w:noWrap/>
            <w:vAlign w:val="center"/>
          </w:tcPr>
          <w:p w14:paraId="7E929C3C">
            <w:pPr>
              <w:spacing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4爱护公物、节约能源。</w:t>
            </w:r>
            <w:r>
              <w:rPr>
                <w:rFonts w:hint="eastAsia" w:ascii="宋体" w:hAnsi="宋体" w:cs="宋体"/>
                <w:color w:val="auto"/>
                <w:sz w:val="21"/>
                <w:szCs w:val="21"/>
                <w:highlight w:val="none"/>
                <w:lang w:val="en-US" w:eastAsia="zh-CN"/>
              </w:rPr>
              <w:t>不私用小电器。</w:t>
            </w:r>
          </w:p>
        </w:tc>
        <w:tc>
          <w:tcPr>
            <w:tcW w:w="730" w:type="dxa"/>
            <w:vMerge w:val="continue"/>
            <w:tcBorders>
              <w:top w:val="nil"/>
              <w:left w:val="nil"/>
              <w:bottom w:val="single" w:color="auto" w:sz="4" w:space="0"/>
              <w:right w:val="single" w:color="auto" w:sz="4" w:space="0"/>
            </w:tcBorders>
            <w:noWrap w:val="0"/>
            <w:vAlign w:val="center"/>
          </w:tcPr>
          <w:p w14:paraId="629EC5E8">
            <w:pPr>
              <w:spacing w:line="288" w:lineRule="auto"/>
              <w:jc w:val="center"/>
              <w:rPr>
                <w:rFonts w:ascii="宋体" w:hAnsi="宋体" w:cs="宋体"/>
                <w:b/>
                <w:bCs/>
                <w:color w:val="auto"/>
                <w:sz w:val="21"/>
                <w:szCs w:val="21"/>
                <w:highlight w:val="none"/>
              </w:rPr>
            </w:pPr>
          </w:p>
        </w:tc>
        <w:tc>
          <w:tcPr>
            <w:tcW w:w="3300" w:type="dxa"/>
            <w:tcBorders>
              <w:top w:val="nil"/>
              <w:left w:val="nil"/>
              <w:bottom w:val="single" w:color="auto" w:sz="4" w:space="0"/>
              <w:right w:val="single" w:color="auto" w:sz="4" w:space="0"/>
            </w:tcBorders>
            <w:noWrap/>
            <w:vAlign w:val="center"/>
          </w:tcPr>
          <w:p w14:paraId="55BA32FB">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分</w:t>
            </w:r>
          </w:p>
        </w:tc>
        <w:tc>
          <w:tcPr>
            <w:tcW w:w="1330" w:type="dxa"/>
            <w:tcBorders>
              <w:top w:val="nil"/>
              <w:left w:val="nil"/>
              <w:bottom w:val="single" w:color="auto" w:sz="4" w:space="0"/>
              <w:right w:val="single" w:color="auto" w:sz="4" w:space="0"/>
            </w:tcBorders>
            <w:noWrap/>
            <w:vAlign w:val="center"/>
          </w:tcPr>
          <w:p w14:paraId="08A04AF1">
            <w:pPr>
              <w:spacing w:line="288" w:lineRule="auto"/>
              <w:rPr>
                <w:rFonts w:hint="eastAsia" w:ascii="宋体" w:hAnsi="宋体" w:cs="宋体"/>
                <w:color w:val="auto"/>
                <w:sz w:val="21"/>
                <w:szCs w:val="21"/>
                <w:highlight w:val="none"/>
              </w:rPr>
            </w:pPr>
          </w:p>
        </w:tc>
      </w:tr>
      <w:tr w14:paraId="0EA8EA41">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03BF1E18">
            <w:pPr>
              <w:spacing w:line="288" w:lineRule="auto"/>
              <w:jc w:val="center"/>
              <w:rPr>
                <w:rFonts w:ascii="宋体" w:hAnsi="宋体" w:cs="宋体"/>
                <w:b/>
                <w:bCs/>
                <w:color w:val="auto"/>
                <w:sz w:val="21"/>
                <w:szCs w:val="21"/>
                <w:highlight w:val="none"/>
              </w:rPr>
            </w:pPr>
          </w:p>
        </w:tc>
        <w:tc>
          <w:tcPr>
            <w:tcW w:w="4125" w:type="dxa"/>
            <w:tcBorders>
              <w:top w:val="single" w:color="auto" w:sz="4" w:space="0"/>
              <w:left w:val="nil"/>
              <w:bottom w:val="single" w:color="auto" w:sz="4" w:space="0"/>
              <w:right w:val="single" w:color="auto" w:sz="4" w:space="0"/>
            </w:tcBorders>
            <w:noWrap/>
            <w:vAlign w:val="center"/>
          </w:tcPr>
          <w:p w14:paraId="08BEEBF3">
            <w:pPr>
              <w:spacing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5不得窃取医院财</w:t>
            </w:r>
            <w:r>
              <w:rPr>
                <w:rFonts w:hint="eastAsia" w:ascii="宋体" w:hAnsi="宋体" w:cs="宋体"/>
                <w:color w:val="auto"/>
                <w:sz w:val="21"/>
                <w:szCs w:val="21"/>
                <w:highlight w:val="none"/>
                <w:lang w:val="en-US" w:eastAsia="zh-CN"/>
              </w:rPr>
              <w:t>物。私自将维修耗材带离医院。</w:t>
            </w:r>
          </w:p>
        </w:tc>
        <w:tc>
          <w:tcPr>
            <w:tcW w:w="730" w:type="dxa"/>
            <w:vMerge w:val="continue"/>
            <w:tcBorders>
              <w:top w:val="nil"/>
              <w:left w:val="nil"/>
              <w:bottom w:val="single" w:color="auto" w:sz="4" w:space="0"/>
              <w:right w:val="single" w:color="auto" w:sz="4" w:space="0"/>
            </w:tcBorders>
            <w:noWrap w:val="0"/>
            <w:vAlign w:val="center"/>
          </w:tcPr>
          <w:p w14:paraId="2F5AFF3B">
            <w:pPr>
              <w:spacing w:line="288" w:lineRule="auto"/>
              <w:jc w:val="center"/>
              <w:rPr>
                <w:rFonts w:ascii="宋体" w:hAnsi="宋体" w:cs="宋体"/>
                <w:b/>
                <w:bCs/>
                <w:color w:val="auto"/>
                <w:sz w:val="21"/>
                <w:szCs w:val="21"/>
                <w:highlight w:val="none"/>
              </w:rPr>
            </w:pPr>
          </w:p>
        </w:tc>
        <w:tc>
          <w:tcPr>
            <w:tcW w:w="3300" w:type="dxa"/>
            <w:tcBorders>
              <w:top w:val="nil"/>
              <w:left w:val="nil"/>
              <w:bottom w:val="single" w:color="auto" w:sz="4" w:space="0"/>
              <w:right w:val="single" w:color="auto" w:sz="4" w:space="0"/>
            </w:tcBorders>
            <w:noWrap/>
            <w:vAlign w:val="center"/>
          </w:tcPr>
          <w:p w14:paraId="52F1A5AB">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一项不符扣3分</w:t>
            </w:r>
          </w:p>
        </w:tc>
        <w:tc>
          <w:tcPr>
            <w:tcW w:w="1330" w:type="dxa"/>
            <w:tcBorders>
              <w:top w:val="nil"/>
              <w:left w:val="nil"/>
              <w:bottom w:val="single" w:color="auto" w:sz="4" w:space="0"/>
              <w:right w:val="single" w:color="auto" w:sz="4" w:space="0"/>
            </w:tcBorders>
            <w:noWrap/>
            <w:vAlign w:val="center"/>
          </w:tcPr>
          <w:p w14:paraId="6AC8C504">
            <w:pPr>
              <w:spacing w:line="288" w:lineRule="auto"/>
              <w:rPr>
                <w:rFonts w:hint="eastAsia" w:ascii="宋体" w:hAnsi="宋体" w:cs="宋体"/>
                <w:color w:val="auto"/>
                <w:sz w:val="21"/>
                <w:szCs w:val="21"/>
                <w:highlight w:val="none"/>
              </w:rPr>
            </w:pPr>
          </w:p>
        </w:tc>
      </w:tr>
      <w:tr w14:paraId="1B71BF1E">
        <w:tblPrEx>
          <w:tblCellMar>
            <w:top w:w="0" w:type="dxa"/>
            <w:left w:w="108" w:type="dxa"/>
            <w:bottom w:w="0" w:type="dxa"/>
            <w:right w:w="108" w:type="dxa"/>
          </w:tblCellMar>
        </w:tblPrEx>
        <w:trPr>
          <w:trHeight w:val="20" w:hRule="atLeast"/>
        </w:trPr>
        <w:tc>
          <w:tcPr>
            <w:tcW w:w="1120" w:type="dxa"/>
            <w:vMerge w:val="restart"/>
            <w:tcBorders>
              <w:top w:val="nil"/>
              <w:left w:val="single" w:color="auto" w:sz="4" w:space="0"/>
              <w:bottom w:val="single" w:color="auto" w:sz="4" w:space="0"/>
              <w:right w:val="single" w:color="auto" w:sz="4" w:space="0"/>
            </w:tcBorders>
            <w:noWrap/>
            <w:vAlign w:val="center"/>
          </w:tcPr>
          <w:p w14:paraId="0A5D576F">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维修</w:t>
            </w:r>
            <w:r>
              <w:rPr>
                <w:rFonts w:hint="eastAsia" w:ascii="宋体" w:hAnsi="宋体" w:cs="宋体"/>
                <w:b/>
                <w:bCs/>
                <w:color w:val="auto"/>
                <w:sz w:val="21"/>
                <w:szCs w:val="21"/>
                <w:highlight w:val="none"/>
              </w:rPr>
              <w:t>质量</w:t>
            </w:r>
          </w:p>
        </w:tc>
        <w:tc>
          <w:tcPr>
            <w:tcW w:w="4125" w:type="dxa"/>
            <w:tcBorders>
              <w:top w:val="single" w:color="auto" w:sz="4" w:space="0"/>
              <w:left w:val="nil"/>
              <w:bottom w:val="single" w:color="auto" w:sz="4" w:space="0"/>
              <w:right w:val="single" w:color="auto" w:sz="4" w:space="0"/>
            </w:tcBorders>
            <w:noWrap/>
            <w:vAlign w:val="center"/>
          </w:tcPr>
          <w:p w14:paraId="0009C5FF">
            <w:pPr>
              <w:spacing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1接到报修单白天15分钟以内响应。夜班30分钟以内响应。</w:t>
            </w:r>
          </w:p>
        </w:tc>
        <w:tc>
          <w:tcPr>
            <w:tcW w:w="730" w:type="dxa"/>
            <w:vMerge w:val="restart"/>
            <w:tcBorders>
              <w:top w:val="nil"/>
              <w:left w:val="nil"/>
              <w:bottom w:val="single" w:color="auto" w:sz="4" w:space="0"/>
              <w:right w:val="single" w:color="auto" w:sz="4" w:space="0"/>
            </w:tcBorders>
            <w:noWrap/>
            <w:vAlign w:val="center"/>
          </w:tcPr>
          <w:p w14:paraId="6740E9F0">
            <w:pPr>
              <w:spacing w:line="288"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50</w:t>
            </w:r>
          </w:p>
        </w:tc>
        <w:tc>
          <w:tcPr>
            <w:tcW w:w="3300" w:type="dxa"/>
            <w:tcBorders>
              <w:top w:val="nil"/>
              <w:left w:val="nil"/>
              <w:bottom w:val="single" w:color="auto" w:sz="4" w:space="0"/>
              <w:right w:val="single" w:color="auto" w:sz="4" w:space="0"/>
            </w:tcBorders>
            <w:noWrap/>
            <w:vAlign w:val="center"/>
          </w:tcPr>
          <w:p w14:paraId="43969244">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分</w:t>
            </w:r>
          </w:p>
        </w:tc>
        <w:tc>
          <w:tcPr>
            <w:tcW w:w="1330" w:type="dxa"/>
            <w:tcBorders>
              <w:top w:val="nil"/>
              <w:left w:val="nil"/>
              <w:bottom w:val="single" w:color="auto" w:sz="4" w:space="0"/>
              <w:right w:val="single" w:color="auto" w:sz="4" w:space="0"/>
            </w:tcBorders>
            <w:noWrap/>
            <w:vAlign w:val="center"/>
          </w:tcPr>
          <w:p w14:paraId="00EABA47">
            <w:pPr>
              <w:spacing w:line="288" w:lineRule="auto"/>
              <w:rPr>
                <w:rFonts w:hint="eastAsia" w:ascii="宋体" w:hAnsi="宋体" w:cs="宋体"/>
                <w:color w:val="auto"/>
                <w:sz w:val="21"/>
                <w:szCs w:val="21"/>
                <w:highlight w:val="none"/>
              </w:rPr>
            </w:pPr>
          </w:p>
        </w:tc>
      </w:tr>
      <w:tr w14:paraId="570DD676">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31675B6F">
            <w:pPr>
              <w:spacing w:line="288" w:lineRule="auto"/>
              <w:jc w:val="center"/>
              <w:rPr>
                <w:rFonts w:ascii="宋体" w:hAnsi="宋体" w:cs="宋体"/>
                <w:b/>
                <w:bCs/>
                <w:color w:val="auto"/>
                <w:sz w:val="21"/>
                <w:szCs w:val="21"/>
                <w:highlight w:val="none"/>
              </w:rPr>
            </w:pPr>
          </w:p>
        </w:tc>
        <w:tc>
          <w:tcPr>
            <w:tcW w:w="4125" w:type="dxa"/>
            <w:tcBorders>
              <w:top w:val="single" w:color="auto" w:sz="4" w:space="0"/>
              <w:left w:val="nil"/>
              <w:bottom w:val="single" w:color="auto" w:sz="4" w:space="0"/>
              <w:right w:val="single" w:color="auto" w:sz="4" w:space="0"/>
            </w:tcBorders>
            <w:noWrap/>
            <w:vAlign w:val="center"/>
          </w:tcPr>
          <w:p w14:paraId="3C9F3DDF">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2掌握医院各科室及病区的分布图，有楼层调整及时知晓，</w:t>
            </w:r>
            <w:r>
              <w:rPr>
                <w:rFonts w:hint="eastAsia" w:ascii="宋体" w:hAnsi="宋体" w:cs="宋体"/>
                <w:color w:val="auto"/>
                <w:sz w:val="21"/>
                <w:szCs w:val="21"/>
                <w:highlight w:val="none"/>
                <w:lang w:val="en-US" w:eastAsia="zh-CN"/>
              </w:rPr>
              <w:t>摸查报修点</w:t>
            </w:r>
            <w:r>
              <w:rPr>
                <w:rFonts w:hint="eastAsia" w:ascii="宋体" w:hAnsi="宋体" w:cs="宋体"/>
                <w:color w:val="auto"/>
                <w:sz w:val="21"/>
                <w:szCs w:val="21"/>
                <w:highlight w:val="none"/>
              </w:rPr>
              <w:t>准确、及时。</w:t>
            </w:r>
          </w:p>
        </w:tc>
        <w:tc>
          <w:tcPr>
            <w:tcW w:w="730" w:type="dxa"/>
            <w:vMerge w:val="continue"/>
            <w:tcBorders>
              <w:top w:val="nil"/>
              <w:left w:val="nil"/>
              <w:bottom w:val="single" w:color="auto" w:sz="4" w:space="0"/>
              <w:right w:val="single" w:color="auto" w:sz="4" w:space="0"/>
            </w:tcBorders>
            <w:noWrap w:val="0"/>
            <w:vAlign w:val="center"/>
          </w:tcPr>
          <w:p w14:paraId="6A3D90E7">
            <w:pPr>
              <w:spacing w:line="288" w:lineRule="auto"/>
              <w:jc w:val="center"/>
              <w:rPr>
                <w:rFonts w:ascii="宋体" w:hAnsi="宋体" w:cs="宋体"/>
                <w:color w:val="auto"/>
                <w:sz w:val="21"/>
                <w:szCs w:val="21"/>
                <w:highlight w:val="none"/>
              </w:rPr>
            </w:pPr>
          </w:p>
        </w:tc>
        <w:tc>
          <w:tcPr>
            <w:tcW w:w="3300" w:type="dxa"/>
            <w:tcBorders>
              <w:top w:val="nil"/>
              <w:left w:val="nil"/>
              <w:bottom w:val="single" w:color="auto" w:sz="4" w:space="0"/>
              <w:right w:val="single" w:color="auto" w:sz="4" w:space="0"/>
            </w:tcBorders>
            <w:noWrap/>
            <w:vAlign w:val="center"/>
          </w:tcPr>
          <w:p w14:paraId="5E74C336">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c>
          <w:tcPr>
            <w:tcW w:w="1330" w:type="dxa"/>
            <w:tcBorders>
              <w:top w:val="nil"/>
              <w:left w:val="nil"/>
              <w:bottom w:val="single" w:color="auto" w:sz="4" w:space="0"/>
              <w:right w:val="single" w:color="auto" w:sz="4" w:space="0"/>
            </w:tcBorders>
            <w:noWrap/>
            <w:vAlign w:val="center"/>
          </w:tcPr>
          <w:p w14:paraId="0CD5D004">
            <w:pPr>
              <w:spacing w:line="288" w:lineRule="auto"/>
              <w:rPr>
                <w:rFonts w:hint="eastAsia" w:ascii="宋体" w:hAnsi="宋体" w:cs="宋体"/>
                <w:color w:val="auto"/>
                <w:sz w:val="21"/>
                <w:szCs w:val="21"/>
                <w:highlight w:val="none"/>
              </w:rPr>
            </w:pPr>
          </w:p>
        </w:tc>
      </w:tr>
      <w:tr w14:paraId="4C5B4BA2">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0C650BAB">
            <w:pPr>
              <w:spacing w:line="288" w:lineRule="auto"/>
              <w:jc w:val="center"/>
              <w:rPr>
                <w:rFonts w:ascii="宋体" w:hAnsi="宋体" w:cs="宋体"/>
                <w:b/>
                <w:bCs/>
                <w:color w:val="auto"/>
                <w:sz w:val="21"/>
                <w:szCs w:val="21"/>
                <w:highlight w:val="none"/>
              </w:rPr>
            </w:pPr>
          </w:p>
        </w:tc>
        <w:tc>
          <w:tcPr>
            <w:tcW w:w="4125" w:type="dxa"/>
            <w:tcBorders>
              <w:top w:val="single" w:color="auto" w:sz="4" w:space="0"/>
              <w:left w:val="nil"/>
              <w:bottom w:val="single" w:color="auto" w:sz="4" w:space="0"/>
              <w:right w:val="single" w:color="auto" w:sz="4" w:space="0"/>
            </w:tcBorders>
            <w:noWrap/>
            <w:vAlign w:val="center"/>
          </w:tcPr>
          <w:p w14:paraId="26636852">
            <w:pPr>
              <w:spacing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3</w:t>
            </w:r>
            <w:r>
              <w:rPr>
                <w:rFonts w:hint="eastAsia" w:ascii="宋体" w:hAnsi="宋体" w:cs="宋体"/>
                <w:color w:val="auto"/>
                <w:sz w:val="21"/>
                <w:szCs w:val="21"/>
                <w:highlight w:val="none"/>
                <w:lang w:val="en-US" w:eastAsia="zh-CN"/>
              </w:rPr>
              <w:t>小问题一次性维修好，如缺零件需二次维修和报修部门解释好。如需与建筑方联合维修的第一时间向院方管理员报备。</w:t>
            </w:r>
          </w:p>
        </w:tc>
        <w:tc>
          <w:tcPr>
            <w:tcW w:w="730" w:type="dxa"/>
            <w:vMerge w:val="continue"/>
            <w:tcBorders>
              <w:top w:val="nil"/>
              <w:left w:val="nil"/>
              <w:bottom w:val="single" w:color="auto" w:sz="4" w:space="0"/>
              <w:right w:val="single" w:color="auto" w:sz="4" w:space="0"/>
            </w:tcBorders>
            <w:noWrap w:val="0"/>
            <w:vAlign w:val="center"/>
          </w:tcPr>
          <w:p w14:paraId="79BDA5D1">
            <w:pPr>
              <w:spacing w:line="288" w:lineRule="auto"/>
              <w:jc w:val="center"/>
              <w:rPr>
                <w:rFonts w:ascii="宋体" w:hAnsi="宋体" w:cs="宋体"/>
                <w:color w:val="auto"/>
                <w:sz w:val="21"/>
                <w:szCs w:val="21"/>
                <w:highlight w:val="none"/>
              </w:rPr>
            </w:pPr>
          </w:p>
        </w:tc>
        <w:tc>
          <w:tcPr>
            <w:tcW w:w="3300" w:type="dxa"/>
            <w:tcBorders>
              <w:top w:val="nil"/>
              <w:left w:val="nil"/>
              <w:bottom w:val="single" w:color="auto" w:sz="4" w:space="0"/>
              <w:right w:val="single" w:color="auto" w:sz="4" w:space="0"/>
            </w:tcBorders>
            <w:noWrap/>
            <w:vAlign w:val="center"/>
          </w:tcPr>
          <w:p w14:paraId="2E2CDD94">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c>
          <w:tcPr>
            <w:tcW w:w="1330" w:type="dxa"/>
            <w:tcBorders>
              <w:top w:val="nil"/>
              <w:left w:val="nil"/>
              <w:bottom w:val="single" w:color="auto" w:sz="4" w:space="0"/>
              <w:right w:val="single" w:color="auto" w:sz="4" w:space="0"/>
            </w:tcBorders>
            <w:noWrap/>
            <w:vAlign w:val="center"/>
          </w:tcPr>
          <w:p w14:paraId="016FC641">
            <w:pPr>
              <w:spacing w:line="288" w:lineRule="auto"/>
              <w:rPr>
                <w:rFonts w:hint="eastAsia" w:ascii="宋体" w:hAnsi="宋体" w:cs="宋体"/>
                <w:color w:val="auto"/>
                <w:sz w:val="21"/>
                <w:szCs w:val="21"/>
                <w:highlight w:val="none"/>
              </w:rPr>
            </w:pPr>
          </w:p>
        </w:tc>
      </w:tr>
      <w:tr w14:paraId="51921112">
        <w:tblPrEx>
          <w:tblCellMar>
            <w:top w:w="0" w:type="dxa"/>
            <w:left w:w="108" w:type="dxa"/>
            <w:bottom w:w="0" w:type="dxa"/>
            <w:right w:w="108" w:type="dxa"/>
          </w:tblCellMar>
        </w:tblPrEx>
        <w:trPr>
          <w:trHeight w:val="439"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1D17118E">
            <w:pPr>
              <w:spacing w:line="288" w:lineRule="auto"/>
              <w:jc w:val="center"/>
              <w:rPr>
                <w:rFonts w:ascii="宋体" w:hAnsi="宋体" w:cs="宋体"/>
                <w:b/>
                <w:bCs/>
                <w:color w:val="auto"/>
                <w:sz w:val="21"/>
                <w:szCs w:val="21"/>
                <w:highlight w:val="none"/>
              </w:rPr>
            </w:pPr>
          </w:p>
        </w:tc>
        <w:tc>
          <w:tcPr>
            <w:tcW w:w="4125" w:type="dxa"/>
            <w:tcBorders>
              <w:top w:val="single" w:color="auto" w:sz="4" w:space="0"/>
              <w:left w:val="nil"/>
              <w:bottom w:val="single" w:color="auto" w:sz="4" w:space="0"/>
              <w:right w:val="single" w:color="000000" w:sz="4" w:space="0"/>
            </w:tcBorders>
            <w:noWrap/>
            <w:vAlign w:val="center"/>
          </w:tcPr>
          <w:p w14:paraId="166112C4">
            <w:pPr>
              <w:spacing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4</w:t>
            </w:r>
            <w:r>
              <w:rPr>
                <w:rFonts w:hint="eastAsia" w:ascii="宋体" w:hAnsi="宋体" w:cs="宋体"/>
                <w:color w:val="auto"/>
                <w:sz w:val="21"/>
                <w:szCs w:val="21"/>
                <w:highlight w:val="none"/>
                <w:lang w:val="en-US" w:eastAsia="zh-CN"/>
              </w:rPr>
              <w:t>维修完成将维修过程中产生的垃圾清理带走。</w:t>
            </w:r>
          </w:p>
        </w:tc>
        <w:tc>
          <w:tcPr>
            <w:tcW w:w="730" w:type="dxa"/>
            <w:vMerge w:val="continue"/>
            <w:tcBorders>
              <w:top w:val="nil"/>
              <w:left w:val="nil"/>
              <w:bottom w:val="single" w:color="auto" w:sz="4" w:space="0"/>
              <w:right w:val="single" w:color="auto" w:sz="4" w:space="0"/>
            </w:tcBorders>
            <w:noWrap w:val="0"/>
            <w:vAlign w:val="center"/>
          </w:tcPr>
          <w:p w14:paraId="43D92BE5">
            <w:pPr>
              <w:spacing w:line="288" w:lineRule="auto"/>
              <w:jc w:val="center"/>
              <w:rPr>
                <w:rFonts w:ascii="宋体" w:hAnsi="宋体" w:cs="宋体"/>
                <w:color w:val="auto"/>
                <w:sz w:val="21"/>
                <w:szCs w:val="21"/>
                <w:highlight w:val="none"/>
              </w:rPr>
            </w:pPr>
          </w:p>
        </w:tc>
        <w:tc>
          <w:tcPr>
            <w:tcW w:w="3300" w:type="dxa"/>
            <w:tcBorders>
              <w:top w:val="nil"/>
              <w:left w:val="nil"/>
              <w:bottom w:val="single" w:color="auto" w:sz="4" w:space="0"/>
              <w:right w:val="single" w:color="auto" w:sz="4" w:space="0"/>
            </w:tcBorders>
            <w:noWrap/>
            <w:vAlign w:val="center"/>
          </w:tcPr>
          <w:p w14:paraId="05FDE20C">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c>
          <w:tcPr>
            <w:tcW w:w="1330" w:type="dxa"/>
            <w:tcBorders>
              <w:top w:val="nil"/>
              <w:left w:val="nil"/>
              <w:bottom w:val="single" w:color="auto" w:sz="4" w:space="0"/>
              <w:right w:val="single" w:color="auto" w:sz="4" w:space="0"/>
            </w:tcBorders>
            <w:noWrap/>
            <w:vAlign w:val="center"/>
          </w:tcPr>
          <w:p w14:paraId="499F2771">
            <w:pPr>
              <w:spacing w:line="288" w:lineRule="auto"/>
              <w:rPr>
                <w:rFonts w:hint="eastAsia" w:ascii="宋体" w:hAnsi="宋体" w:cs="宋体"/>
                <w:color w:val="auto"/>
                <w:sz w:val="21"/>
                <w:szCs w:val="21"/>
                <w:highlight w:val="none"/>
              </w:rPr>
            </w:pPr>
          </w:p>
        </w:tc>
      </w:tr>
      <w:tr w14:paraId="11336424">
        <w:tblPrEx>
          <w:tblCellMar>
            <w:top w:w="0" w:type="dxa"/>
            <w:left w:w="108" w:type="dxa"/>
            <w:bottom w:w="0" w:type="dxa"/>
            <w:right w:w="108" w:type="dxa"/>
          </w:tblCellMar>
        </w:tblPrEx>
        <w:trPr>
          <w:trHeight w:val="613"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4B4176E7">
            <w:pPr>
              <w:spacing w:line="288" w:lineRule="auto"/>
              <w:jc w:val="center"/>
              <w:rPr>
                <w:rFonts w:ascii="宋体" w:hAnsi="宋体" w:cs="宋体"/>
                <w:b/>
                <w:bCs/>
                <w:color w:val="auto"/>
                <w:sz w:val="21"/>
                <w:szCs w:val="21"/>
                <w:highlight w:val="none"/>
              </w:rPr>
            </w:pPr>
          </w:p>
        </w:tc>
        <w:tc>
          <w:tcPr>
            <w:tcW w:w="4125" w:type="dxa"/>
            <w:tcBorders>
              <w:top w:val="single" w:color="auto" w:sz="4" w:space="0"/>
              <w:left w:val="nil"/>
              <w:bottom w:val="single" w:color="auto" w:sz="4" w:space="0"/>
              <w:right w:val="single" w:color="auto" w:sz="4" w:space="0"/>
            </w:tcBorders>
            <w:noWrap/>
            <w:vAlign w:val="center"/>
          </w:tcPr>
          <w:p w14:paraId="683ACECC">
            <w:pPr>
              <w:spacing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5</w:t>
            </w:r>
            <w:r>
              <w:rPr>
                <w:rFonts w:hint="eastAsia" w:ascii="宋体" w:hAnsi="宋体" w:cs="宋体"/>
                <w:color w:val="auto"/>
                <w:sz w:val="21"/>
                <w:szCs w:val="21"/>
                <w:highlight w:val="none"/>
                <w:lang w:val="en-US" w:eastAsia="zh-CN"/>
              </w:rPr>
              <w:t>巡查完成及现场维修完成第一时间在系统操作完成工单。</w:t>
            </w:r>
          </w:p>
        </w:tc>
        <w:tc>
          <w:tcPr>
            <w:tcW w:w="730" w:type="dxa"/>
            <w:vMerge w:val="continue"/>
            <w:tcBorders>
              <w:top w:val="nil"/>
              <w:left w:val="nil"/>
              <w:bottom w:val="single" w:color="auto" w:sz="4" w:space="0"/>
              <w:right w:val="single" w:color="auto" w:sz="4" w:space="0"/>
            </w:tcBorders>
            <w:noWrap w:val="0"/>
            <w:vAlign w:val="center"/>
          </w:tcPr>
          <w:p w14:paraId="746027F7">
            <w:pPr>
              <w:spacing w:line="288" w:lineRule="auto"/>
              <w:jc w:val="center"/>
              <w:rPr>
                <w:rFonts w:ascii="宋体" w:hAnsi="宋体" w:cs="宋体"/>
                <w:color w:val="auto"/>
                <w:sz w:val="21"/>
                <w:szCs w:val="21"/>
                <w:highlight w:val="none"/>
              </w:rPr>
            </w:pPr>
          </w:p>
        </w:tc>
        <w:tc>
          <w:tcPr>
            <w:tcW w:w="3300" w:type="dxa"/>
            <w:tcBorders>
              <w:top w:val="nil"/>
              <w:left w:val="nil"/>
              <w:bottom w:val="single" w:color="auto" w:sz="4" w:space="0"/>
              <w:right w:val="single" w:color="auto" w:sz="4" w:space="0"/>
            </w:tcBorders>
            <w:noWrap/>
            <w:vAlign w:val="center"/>
          </w:tcPr>
          <w:p w14:paraId="1FB16CC8">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c>
          <w:tcPr>
            <w:tcW w:w="1330" w:type="dxa"/>
            <w:tcBorders>
              <w:top w:val="nil"/>
              <w:left w:val="nil"/>
              <w:bottom w:val="single" w:color="auto" w:sz="4" w:space="0"/>
              <w:right w:val="single" w:color="auto" w:sz="4" w:space="0"/>
            </w:tcBorders>
            <w:noWrap/>
            <w:vAlign w:val="center"/>
          </w:tcPr>
          <w:p w14:paraId="774EF302">
            <w:pPr>
              <w:spacing w:line="288" w:lineRule="auto"/>
              <w:rPr>
                <w:rFonts w:hint="eastAsia" w:ascii="宋体" w:hAnsi="宋体" w:cs="宋体"/>
                <w:color w:val="auto"/>
                <w:sz w:val="21"/>
                <w:szCs w:val="21"/>
                <w:highlight w:val="none"/>
              </w:rPr>
            </w:pPr>
          </w:p>
        </w:tc>
      </w:tr>
      <w:tr w14:paraId="2E342CB6">
        <w:tblPrEx>
          <w:tblCellMar>
            <w:top w:w="0" w:type="dxa"/>
            <w:left w:w="108" w:type="dxa"/>
            <w:bottom w:w="0" w:type="dxa"/>
            <w:right w:w="108" w:type="dxa"/>
          </w:tblCellMar>
        </w:tblPrEx>
        <w:trPr>
          <w:trHeight w:val="20" w:hRule="atLeast"/>
        </w:trPr>
        <w:tc>
          <w:tcPr>
            <w:tcW w:w="1120" w:type="dxa"/>
            <w:vMerge w:val="restart"/>
            <w:tcBorders>
              <w:top w:val="nil"/>
              <w:left w:val="single" w:color="auto" w:sz="4" w:space="0"/>
              <w:bottom w:val="single" w:color="auto" w:sz="4" w:space="0"/>
              <w:right w:val="single" w:color="auto" w:sz="4" w:space="0"/>
            </w:tcBorders>
            <w:noWrap/>
            <w:vAlign w:val="center"/>
          </w:tcPr>
          <w:p w14:paraId="2BA02543">
            <w:pPr>
              <w:spacing w:line="288"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管理质量</w:t>
            </w:r>
          </w:p>
        </w:tc>
        <w:tc>
          <w:tcPr>
            <w:tcW w:w="4125" w:type="dxa"/>
            <w:tcBorders>
              <w:top w:val="single" w:color="auto" w:sz="4" w:space="0"/>
              <w:left w:val="nil"/>
              <w:bottom w:val="single" w:color="auto" w:sz="4" w:space="0"/>
              <w:right w:val="single" w:color="auto" w:sz="4" w:space="0"/>
            </w:tcBorders>
            <w:noWrap/>
            <w:vAlign w:val="center"/>
          </w:tcPr>
          <w:p w14:paraId="686E0726">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lang w:val="en-US" w:eastAsia="zh-CN"/>
              </w:rPr>
              <w:t>每月</w:t>
            </w:r>
            <w:r>
              <w:rPr>
                <w:rFonts w:hint="eastAsia" w:ascii="宋体" w:hAnsi="宋体" w:cs="宋体"/>
                <w:color w:val="auto"/>
                <w:sz w:val="21"/>
                <w:szCs w:val="21"/>
                <w:highlight w:val="none"/>
              </w:rPr>
              <w:t>有完善的员工</w:t>
            </w:r>
            <w:r>
              <w:rPr>
                <w:rFonts w:hint="eastAsia" w:ascii="宋体" w:hAnsi="宋体" w:cs="宋体"/>
                <w:color w:val="auto"/>
                <w:sz w:val="21"/>
                <w:szCs w:val="21"/>
                <w:highlight w:val="none"/>
                <w:lang w:val="en-US" w:eastAsia="zh-CN"/>
              </w:rPr>
              <w:t>会议记录并签到</w:t>
            </w:r>
            <w:r>
              <w:rPr>
                <w:rFonts w:hint="eastAsia" w:ascii="宋体" w:hAnsi="宋体" w:cs="宋体"/>
                <w:color w:val="auto"/>
                <w:sz w:val="21"/>
                <w:szCs w:val="21"/>
                <w:highlight w:val="none"/>
              </w:rPr>
              <w:t>。</w:t>
            </w:r>
          </w:p>
        </w:tc>
        <w:tc>
          <w:tcPr>
            <w:tcW w:w="730" w:type="dxa"/>
            <w:vMerge w:val="restart"/>
            <w:tcBorders>
              <w:top w:val="nil"/>
              <w:left w:val="nil"/>
              <w:bottom w:val="single" w:color="auto" w:sz="4" w:space="0"/>
              <w:right w:val="single" w:color="auto" w:sz="4" w:space="0"/>
            </w:tcBorders>
            <w:noWrap/>
            <w:vAlign w:val="center"/>
          </w:tcPr>
          <w:p w14:paraId="558EF800">
            <w:pPr>
              <w:spacing w:line="288"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20</w:t>
            </w:r>
          </w:p>
        </w:tc>
        <w:tc>
          <w:tcPr>
            <w:tcW w:w="3300" w:type="dxa"/>
            <w:tcBorders>
              <w:top w:val="nil"/>
              <w:left w:val="nil"/>
              <w:bottom w:val="single" w:color="auto" w:sz="4" w:space="0"/>
              <w:right w:val="single" w:color="auto" w:sz="4" w:space="0"/>
            </w:tcBorders>
            <w:noWrap/>
            <w:vAlign w:val="center"/>
          </w:tcPr>
          <w:p w14:paraId="079ACC55">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c>
          <w:tcPr>
            <w:tcW w:w="1330" w:type="dxa"/>
            <w:tcBorders>
              <w:top w:val="nil"/>
              <w:left w:val="nil"/>
              <w:bottom w:val="single" w:color="auto" w:sz="4" w:space="0"/>
              <w:right w:val="single" w:color="auto" w:sz="4" w:space="0"/>
            </w:tcBorders>
            <w:noWrap/>
            <w:vAlign w:val="center"/>
          </w:tcPr>
          <w:p w14:paraId="3D6C911B">
            <w:pPr>
              <w:spacing w:line="288" w:lineRule="auto"/>
              <w:rPr>
                <w:rFonts w:hint="eastAsia" w:ascii="宋体" w:hAnsi="宋体" w:cs="宋体"/>
                <w:color w:val="auto"/>
                <w:sz w:val="21"/>
                <w:szCs w:val="21"/>
                <w:highlight w:val="none"/>
              </w:rPr>
            </w:pPr>
          </w:p>
        </w:tc>
      </w:tr>
      <w:tr w14:paraId="523A0FCA">
        <w:tblPrEx>
          <w:tblCellMar>
            <w:top w:w="0" w:type="dxa"/>
            <w:left w:w="108" w:type="dxa"/>
            <w:bottom w:w="0" w:type="dxa"/>
            <w:right w:w="108" w:type="dxa"/>
          </w:tblCellMar>
        </w:tblPrEx>
        <w:trPr>
          <w:trHeight w:val="20"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0DCD40CA">
            <w:pPr>
              <w:spacing w:line="288" w:lineRule="auto"/>
              <w:jc w:val="center"/>
              <w:rPr>
                <w:rFonts w:ascii="宋体" w:hAnsi="宋体" w:cs="宋体"/>
                <w:b/>
                <w:bCs/>
                <w:color w:val="auto"/>
                <w:sz w:val="21"/>
                <w:szCs w:val="21"/>
                <w:highlight w:val="none"/>
              </w:rPr>
            </w:pPr>
          </w:p>
        </w:tc>
        <w:tc>
          <w:tcPr>
            <w:tcW w:w="4125" w:type="dxa"/>
            <w:tcBorders>
              <w:top w:val="single" w:color="auto" w:sz="4" w:space="0"/>
              <w:left w:val="nil"/>
              <w:bottom w:val="single" w:color="auto" w:sz="4" w:space="0"/>
              <w:right w:val="single" w:color="auto" w:sz="4" w:space="0"/>
            </w:tcBorders>
            <w:noWrap/>
            <w:vAlign w:val="center"/>
          </w:tcPr>
          <w:p w14:paraId="12DB67F4">
            <w:pPr>
              <w:spacing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2 </w:t>
            </w:r>
            <w:r>
              <w:rPr>
                <w:rFonts w:hint="eastAsia" w:ascii="宋体" w:hAnsi="宋体" w:cs="宋体"/>
                <w:color w:val="auto"/>
                <w:sz w:val="21"/>
                <w:szCs w:val="21"/>
                <w:highlight w:val="none"/>
                <w:lang w:val="en-US" w:eastAsia="zh-CN"/>
              </w:rPr>
              <w:t>确保24小时双人值守</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落实设备运行和交接班记录。</w:t>
            </w:r>
          </w:p>
        </w:tc>
        <w:tc>
          <w:tcPr>
            <w:tcW w:w="730" w:type="dxa"/>
            <w:vMerge w:val="continue"/>
            <w:tcBorders>
              <w:top w:val="nil"/>
              <w:left w:val="nil"/>
              <w:bottom w:val="single" w:color="auto" w:sz="4" w:space="0"/>
              <w:right w:val="single" w:color="auto" w:sz="4" w:space="0"/>
            </w:tcBorders>
            <w:noWrap w:val="0"/>
            <w:vAlign w:val="center"/>
          </w:tcPr>
          <w:p w14:paraId="359DE001">
            <w:pPr>
              <w:spacing w:line="288" w:lineRule="auto"/>
              <w:jc w:val="center"/>
              <w:rPr>
                <w:rFonts w:ascii="宋体" w:hAnsi="宋体" w:cs="宋体"/>
                <w:color w:val="auto"/>
                <w:sz w:val="21"/>
                <w:szCs w:val="21"/>
                <w:highlight w:val="none"/>
              </w:rPr>
            </w:pPr>
          </w:p>
        </w:tc>
        <w:tc>
          <w:tcPr>
            <w:tcW w:w="3300" w:type="dxa"/>
            <w:tcBorders>
              <w:top w:val="nil"/>
              <w:left w:val="nil"/>
              <w:bottom w:val="single" w:color="auto" w:sz="4" w:space="0"/>
              <w:right w:val="single" w:color="auto" w:sz="4" w:space="0"/>
            </w:tcBorders>
            <w:noWrap/>
            <w:vAlign w:val="center"/>
          </w:tcPr>
          <w:p w14:paraId="21390C3D">
            <w:pPr>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一项不符扣2分</w:t>
            </w:r>
          </w:p>
        </w:tc>
        <w:tc>
          <w:tcPr>
            <w:tcW w:w="1330" w:type="dxa"/>
            <w:tcBorders>
              <w:top w:val="nil"/>
              <w:left w:val="nil"/>
              <w:bottom w:val="single" w:color="auto" w:sz="4" w:space="0"/>
              <w:right w:val="single" w:color="auto" w:sz="4" w:space="0"/>
            </w:tcBorders>
            <w:noWrap/>
            <w:vAlign w:val="center"/>
          </w:tcPr>
          <w:p w14:paraId="73CF162B">
            <w:pPr>
              <w:spacing w:line="288" w:lineRule="auto"/>
              <w:rPr>
                <w:rFonts w:hint="eastAsia" w:ascii="宋体" w:hAnsi="宋体" w:cs="宋体"/>
                <w:color w:val="auto"/>
                <w:sz w:val="21"/>
                <w:szCs w:val="21"/>
                <w:highlight w:val="none"/>
              </w:rPr>
            </w:pPr>
          </w:p>
        </w:tc>
      </w:tr>
      <w:tr w14:paraId="14AB0195">
        <w:tblPrEx>
          <w:tblCellMar>
            <w:top w:w="0" w:type="dxa"/>
            <w:left w:w="108" w:type="dxa"/>
            <w:bottom w:w="0" w:type="dxa"/>
            <w:right w:w="108" w:type="dxa"/>
          </w:tblCellMar>
        </w:tblPrEx>
        <w:trPr>
          <w:trHeight w:val="1466" w:hRule="atLeast"/>
        </w:trPr>
        <w:tc>
          <w:tcPr>
            <w:tcW w:w="1120" w:type="dxa"/>
            <w:vMerge w:val="continue"/>
            <w:tcBorders>
              <w:top w:val="nil"/>
              <w:left w:val="single" w:color="auto" w:sz="4" w:space="0"/>
              <w:bottom w:val="single" w:color="auto" w:sz="4" w:space="0"/>
              <w:right w:val="single" w:color="auto" w:sz="4" w:space="0"/>
            </w:tcBorders>
            <w:noWrap w:val="0"/>
            <w:vAlign w:val="center"/>
          </w:tcPr>
          <w:p w14:paraId="35DEAB9B">
            <w:pPr>
              <w:spacing w:line="288" w:lineRule="auto"/>
              <w:jc w:val="center"/>
              <w:rPr>
                <w:rFonts w:ascii="宋体" w:hAnsi="宋体" w:cs="宋体"/>
                <w:b/>
                <w:bCs/>
                <w:color w:val="auto"/>
                <w:sz w:val="21"/>
                <w:szCs w:val="21"/>
                <w:highlight w:val="none"/>
              </w:rPr>
            </w:pPr>
          </w:p>
        </w:tc>
        <w:tc>
          <w:tcPr>
            <w:tcW w:w="4125" w:type="dxa"/>
            <w:tcBorders>
              <w:top w:val="single" w:color="auto" w:sz="4" w:space="0"/>
              <w:left w:val="nil"/>
              <w:bottom w:val="single" w:color="auto" w:sz="4" w:space="0"/>
              <w:right w:val="single" w:color="auto" w:sz="4" w:space="0"/>
            </w:tcBorders>
            <w:noWrap/>
            <w:vAlign w:val="center"/>
          </w:tcPr>
          <w:p w14:paraId="668EC6AB">
            <w:pPr>
              <w:spacing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3</w:t>
            </w:r>
            <w:r>
              <w:rPr>
                <w:rFonts w:hint="eastAsia" w:ascii="宋体" w:hAnsi="宋体" w:cs="宋体"/>
                <w:color w:val="auto"/>
                <w:sz w:val="21"/>
                <w:szCs w:val="21"/>
                <w:highlight w:val="none"/>
                <w:lang w:val="en-US" w:eastAsia="zh-CN"/>
              </w:rPr>
              <w:t>按医院要求</w:t>
            </w:r>
            <w:r>
              <w:rPr>
                <w:rFonts w:hint="eastAsia" w:ascii="宋体" w:hAnsi="宋体" w:cs="宋体"/>
                <w:color w:val="auto"/>
                <w:sz w:val="21"/>
                <w:szCs w:val="21"/>
                <w:highlight w:val="none"/>
              </w:rPr>
              <w:t>巡</w:t>
            </w:r>
            <w:r>
              <w:rPr>
                <w:rFonts w:hint="eastAsia" w:ascii="宋体" w:hAnsi="宋体" w:cs="宋体"/>
                <w:color w:val="auto"/>
                <w:sz w:val="21"/>
                <w:szCs w:val="21"/>
                <w:highlight w:val="none"/>
                <w:lang w:val="en-US" w:eastAsia="zh-CN"/>
              </w:rPr>
              <w:t>查医院</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并在系统平台操作，</w:t>
            </w:r>
            <w:r>
              <w:rPr>
                <w:rFonts w:hint="eastAsia" w:ascii="宋体" w:hAnsi="宋体" w:cs="宋体"/>
                <w:color w:val="auto"/>
                <w:sz w:val="21"/>
                <w:szCs w:val="21"/>
                <w:highlight w:val="none"/>
              </w:rPr>
              <w:t>发现问题及时解决。</w:t>
            </w:r>
            <w:r>
              <w:rPr>
                <w:rFonts w:hint="eastAsia" w:ascii="宋体" w:hAnsi="宋体" w:cs="宋体"/>
                <w:color w:val="auto"/>
                <w:sz w:val="21"/>
                <w:szCs w:val="21"/>
                <w:highlight w:val="none"/>
                <w:lang w:val="en-US" w:eastAsia="zh-CN"/>
              </w:rPr>
              <w:t>解决不了的及时在维修群汇报。</w:t>
            </w:r>
          </w:p>
        </w:tc>
        <w:tc>
          <w:tcPr>
            <w:tcW w:w="730" w:type="dxa"/>
            <w:vMerge w:val="continue"/>
            <w:tcBorders>
              <w:top w:val="nil"/>
              <w:left w:val="nil"/>
              <w:bottom w:val="single" w:color="auto" w:sz="4" w:space="0"/>
              <w:right w:val="single" w:color="auto" w:sz="4" w:space="0"/>
            </w:tcBorders>
            <w:noWrap w:val="0"/>
            <w:vAlign w:val="center"/>
          </w:tcPr>
          <w:p w14:paraId="52097702">
            <w:pPr>
              <w:spacing w:line="288" w:lineRule="auto"/>
              <w:jc w:val="center"/>
              <w:rPr>
                <w:rFonts w:ascii="宋体" w:hAnsi="宋体" w:cs="宋体"/>
                <w:color w:val="auto"/>
                <w:sz w:val="21"/>
                <w:szCs w:val="21"/>
                <w:highlight w:val="none"/>
              </w:rPr>
            </w:pPr>
          </w:p>
        </w:tc>
        <w:tc>
          <w:tcPr>
            <w:tcW w:w="3300" w:type="dxa"/>
            <w:tcBorders>
              <w:top w:val="nil"/>
              <w:left w:val="nil"/>
              <w:bottom w:val="single" w:color="auto" w:sz="4" w:space="0"/>
              <w:right w:val="single" w:color="auto" w:sz="4" w:space="0"/>
            </w:tcBorders>
            <w:noWrap/>
            <w:vAlign w:val="center"/>
          </w:tcPr>
          <w:p w14:paraId="6F7B6854">
            <w:pPr>
              <w:spacing w:line="288"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无</w:t>
            </w:r>
            <w:r>
              <w:rPr>
                <w:rFonts w:hint="eastAsia" w:ascii="宋体" w:hAnsi="宋体" w:cs="宋体"/>
                <w:color w:val="auto"/>
                <w:sz w:val="21"/>
                <w:szCs w:val="21"/>
                <w:highlight w:val="none"/>
                <w:lang w:val="en-US" w:eastAsia="zh-CN"/>
              </w:rPr>
              <w:t>巡查</w:t>
            </w:r>
            <w:r>
              <w:rPr>
                <w:rFonts w:hint="eastAsia" w:ascii="宋体" w:hAnsi="宋体" w:cs="宋体"/>
                <w:color w:val="auto"/>
                <w:sz w:val="21"/>
                <w:szCs w:val="21"/>
                <w:highlight w:val="none"/>
              </w:rPr>
              <w:t>计划扣2分，有计划未</w:t>
            </w:r>
            <w:r>
              <w:rPr>
                <w:rFonts w:hint="eastAsia" w:ascii="宋体" w:hAnsi="宋体" w:cs="宋体"/>
                <w:color w:val="auto"/>
                <w:sz w:val="21"/>
                <w:szCs w:val="21"/>
                <w:highlight w:val="none"/>
                <w:lang w:val="en-US" w:eastAsia="zh-CN"/>
              </w:rPr>
              <w:t>巡查</w:t>
            </w:r>
            <w:r>
              <w:rPr>
                <w:rFonts w:hint="eastAsia" w:ascii="宋体" w:hAnsi="宋体" w:cs="宋体"/>
                <w:color w:val="auto"/>
                <w:sz w:val="21"/>
                <w:szCs w:val="21"/>
                <w:highlight w:val="none"/>
              </w:rPr>
              <w:t>扣2分，</w:t>
            </w:r>
            <w:r>
              <w:rPr>
                <w:rFonts w:hint="eastAsia" w:ascii="宋体" w:hAnsi="宋体" w:cs="宋体"/>
                <w:color w:val="auto"/>
                <w:sz w:val="21"/>
                <w:szCs w:val="21"/>
                <w:highlight w:val="none"/>
                <w:lang w:val="en-US" w:eastAsia="zh-CN"/>
              </w:rPr>
              <w:t>巡查发现问题未解决每次扣2分。</w:t>
            </w:r>
          </w:p>
        </w:tc>
        <w:tc>
          <w:tcPr>
            <w:tcW w:w="1330" w:type="dxa"/>
            <w:tcBorders>
              <w:top w:val="nil"/>
              <w:left w:val="nil"/>
              <w:bottom w:val="single" w:color="auto" w:sz="4" w:space="0"/>
              <w:right w:val="single" w:color="auto" w:sz="4" w:space="0"/>
            </w:tcBorders>
            <w:noWrap/>
            <w:vAlign w:val="center"/>
          </w:tcPr>
          <w:p w14:paraId="61728384">
            <w:pPr>
              <w:spacing w:line="288" w:lineRule="auto"/>
              <w:rPr>
                <w:rFonts w:hint="eastAsia" w:ascii="宋体" w:hAnsi="宋体" w:cs="宋体"/>
                <w:color w:val="auto"/>
                <w:sz w:val="21"/>
                <w:szCs w:val="21"/>
                <w:highlight w:val="none"/>
              </w:rPr>
            </w:pPr>
          </w:p>
        </w:tc>
      </w:tr>
      <w:tr w14:paraId="1434D95D">
        <w:tblPrEx>
          <w:tblCellMar>
            <w:top w:w="0" w:type="dxa"/>
            <w:left w:w="108" w:type="dxa"/>
            <w:bottom w:w="0" w:type="dxa"/>
            <w:right w:w="108" w:type="dxa"/>
          </w:tblCellMar>
        </w:tblPrEx>
        <w:trPr>
          <w:trHeight w:val="90" w:hRule="atLeast"/>
        </w:trPr>
        <w:tc>
          <w:tcPr>
            <w:tcW w:w="9275" w:type="dxa"/>
            <w:gridSpan w:val="4"/>
            <w:tcBorders>
              <w:top w:val="single" w:color="auto" w:sz="4" w:space="0"/>
              <w:left w:val="single" w:color="auto" w:sz="4" w:space="0"/>
              <w:bottom w:val="single" w:color="auto" w:sz="4" w:space="0"/>
              <w:right w:val="single" w:color="auto" w:sz="4" w:space="0"/>
            </w:tcBorders>
            <w:noWrap/>
            <w:vAlign w:val="center"/>
          </w:tcPr>
          <w:p w14:paraId="73CF4AEE">
            <w:pPr>
              <w:spacing w:line="288" w:lineRule="auto"/>
              <w:jc w:val="center"/>
              <w:rPr>
                <w:rFonts w:ascii="宋体" w:hAnsi="宋体" w:cs="宋体"/>
                <w:color w:val="auto"/>
                <w:sz w:val="21"/>
                <w:szCs w:val="21"/>
                <w:highlight w:val="none"/>
              </w:rPr>
            </w:pPr>
            <w:r>
              <w:rPr>
                <w:rFonts w:hint="eastAsia" w:ascii="宋体" w:hAnsi="宋体" w:cs="宋体"/>
                <w:b/>
                <w:bCs/>
                <w:color w:val="auto"/>
                <w:sz w:val="21"/>
                <w:szCs w:val="21"/>
                <w:highlight w:val="none"/>
              </w:rPr>
              <w:t>总分值</w:t>
            </w:r>
          </w:p>
        </w:tc>
        <w:tc>
          <w:tcPr>
            <w:tcW w:w="1330" w:type="dxa"/>
            <w:tcBorders>
              <w:top w:val="single" w:color="auto" w:sz="4" w:space="0"/>
              <w:left w:val="nil"/>
              <w:bottom w:val="single" w:color="auto" w:sz="4" w:space="0"/>
              <w:right w:val="single" w:color="auto" w:sz="4" w:space="0"/>
            </w:tcBorders>
            <w:noWrap/>
            <w:vAlign w:val="center"/>
          </w:tcPr>
          <w:p w14:paraId="2DE268BD">
            <w:pPr>
              <w:spacing w:line="288" w:lineRule="auto"/>
              <w:rPr>
                <w:rFonts w:ascii="宋体" w:hAnsi="宋体" w:cs="宋体"/>
                <w:color w:val="auto"/>
                <w:sz w:val="21"/>
                <w:szCs w:val="21"/>
                <w:highlight w:val="none"/>
              </w:rPr>
            </w:pPr>
          </w:p>
        </w:tc>
      </w:tr>
    </w:tbl>
    <w:p w14:paraId="7830B9EE">
      <w:pPr>
        <w:tabs>
          <w:tab w:val="left" w:pos="360"/>
          <w:tab w:val="left" w:pos="4320"/>
        </w:tabs>
        <w:spacing w:line="240" w:lineRule="auto"/>
        <w:jc w:val="both"/>
        <w:rPr>
          <w:rFonts w:hint="eastAsia" w:ascii="宋体" w:hAnsi="宋体" w:cs="宋体"/>
          <w:b/>
          <w:color w:val="auto"/>
          <w:sz w:val="21"/>
          <w:szCs w:val="21"/>
          <w:highlight w:val="none"/>
        </w:rPr>
      </w:pPr>
    </w:p>
    <w:p w14:paraId="56954AFE">
      <w:pPr>
        <w:tabs>
          <w:tab w:val="left" w:pos="360"/>
          <w:tab w:val="left" w:pos="4320"/>
        </w:tabs>
        <w:spacing w:line="440" w:lineRule="exact"/>
        <w:jc w:val="both"/>
        <w:rPr>
          <w:rFonts w:hint="eastAsia" w:ascii="宋体" w:hAnsi="宋体" w:cs="宋体"/>
          <w:b/>
          <w:color w:val="auto"/>
          <w:sz w:val="21"/>
          <w:szCs w:val="21"/>
          <w:highlight w:val="none"/>
        </w:rPr>
      </w:pPr>
    </w:p>
    <w:p w14:paraId="723625A2">
      <w:pPr>
        <w:tabs>
          <w:tab w:val="left" w:pos="360"/>
          <w:tab w:val="left" w:pos="4320"/>
        </w:tabs>
        <w:spacing w:line="440" w:lineRule="exact"/>
        <w:jc w:val="both"/>
        <w:rPr>
          <w:rFonts w:ascii="宋体" w:hAnsi="宋体" w:cs="宋体"/>
          <w:b/>
          <w:color w:val="auto"/>
          <w:sz w:val="21"/>
          <w:szCs w:val="21"/>
          <w:highlight w:val="none"/>
        </w:rPr>
      </w:pPr>
      <w:r>
        <w:rPr>
          <w:rFonts w:hint="eastAsia" w:ascii="宋体" w:hAnsi="宋体" w:cs="宋体"/>
          <w:b/>
          <w:color w:val="auto"/>
          <w:sz w:val="21"/>
          <w:szCs w:val="21"/>
          <w:highlight w:val="none"/>
        </w:rPr>
        <w:t>检查人：                中标供应商负责人 ：        检查时间 ：</w:t>
      </w:r>
    </w:p>
    <w:p w14:paraId="1D343062">
      <w:pPr>
        <w:rPr>
          <w:rFonts w:ascii="宋体" w:hAnsi="宋体" w:cs="宋体"/>
          <w:color w:val="auto"/>
          <w:sz w:val="21"/>
          <w:szCs w:val="21"/>
          <w:highlight w:val="none"/>
        </w:rPr>
      </w:pPr>
    </w:p>
    <w:p w14:paraId="10147C96">
      <w:pPr>
        <w:rPr>
          <w:rFonts w:ascii="宋体" w:hAnsi="宋体" w:cs="宋体"/>
          <w:color w:val="auto"/>
          <w:sz w:val="21"/>
          <w:szCs w:val="21"/>
          <w:highlight w:val="none"/>
        </w:rPr>
      </w:pPr>
    </w:p>
    <w:p w14:paraId="36799145">
      <w:pPr>
        <w:jc w:val="center"/>
        <w:rPr>
          <w:rFonts w:ascii="宋体" w:hAnsi="宋体" w:cs="宋体"/>
          <w:color w:val="auto"/>
          <w:sz w:val="21"/>
          <w:szCs w:val="21"/>
          <w:highlight w:val="none"/>
        </w:rPr>
      </w:pPr>
      <w:r>
        <w:rPr>
          <w:rFonts w:hint="eastAsia" w:ascii="宋体" w:hAnsi="宋体" w:cs="宋体"/>
          <w:b/>
          <w:color w:val="auto"/>
          <w:sz w:val="21"/>
          <w:szCs w:val="21"/>
          <w:highlight w:val="none"/>
        </w:rPr>
        <w:t>服务质量检查表3：导医导诊服务（满分100分）</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3"/>
        <w:gridCol w:w="5642"/>
        <w:gridCol w:w="881"/>
        <w:gridCol w:w="886"/>
      </w:tblGrid>
      <w:tr w14:paraId="2D347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1253" w:type="dxa"/>
            <w:noWrap/>
            <w:vAlign w:val="center"/>
          </w:tcPr>
          <w:p w14:paraId="3837FFD2">
            <w:pPr>
              <w:widowControl w:val="0"/>
              <w:spacing w:line="312"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考核项目</w:t>
            </w:r>
          </w:p>
        </w:tc>
        <w:tc>
          <w:tcPr>
            <w:tcW w:w="5642" w:type="dxa"/>
            <w:noWrap/>
            <w:vAlign w:val="center"/>
          </w:tcPr>
          <w:p w14:paraId="63EA1D1A">
            <w:pPr>
              <w:widowControl w:val="0"/>
              <w:spacing w:line="312"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考核标准</w:t>
            </w:r>
          </w:p>
        </w:tc>
        <w:tc>
          <w:tcPr>
            <w:tcW w:w="881" w:type="dxa"/>
            <w:noWrap/>
            <w:vAlign w:val="top"/>
          </w:tcPr>
          <w:p w14:paraId="774D3B13">
            <w:pPr>
              <w:widowControl w:val="0"/>
              <w:spacing w:line="312"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扣分</w:t>
            </w:r>
          </w:p>
        </w:tc>
        <w:tc>
          <w:tcPr>
            <w:tcW w:w="886" w:type="dxa"/>
            <w:noWrap/>
            <w:vAlign w:val="top"/>
          </w:tcPr>
          <w:p w14:paraId="2CE9D5BB">
            <w:pPr>
              <w:widowControl w:val="0"/>
              <w:spacing w:line="312"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得分</w:t>
            </w:r>
          </w:p>
        </w:tc>
      </w:tr>
      <w:tr w14:paraId="1F455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1253" w:type="dxa"/>
            <w:vMerge w:val="restart"/>
            <w:noWrap/>
            <w:vAlign w:val="center"/>
          </w:tcPr>
          <w:p w14:paraId="0DB06C9D">
            <w:pPr>
              <w:widowControl w:val="0"/>
              <w:spacing w:line="312"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仪表</w:t>
            </w:r>
          </w:p>
          <w:p w14:paraId="5936F9BA">
            <w:pPr>
              <w:widowControl w:val="0"/>
              <w:spacing w:line="312"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（10分）</w:t>
            </w:r>
          </w:p>
        </w:tc>
        <w:tc>
          <w:tcPr>
            <w:tcW w:w="5642" w:type="dxa"/>
            <w:noWrap w:val="0"/>
            <w:vAlign w:val="center"/>
          </w:tcPr>
          <w:p w14:paraId="116C63B8">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1、仪表规范，头发整齐不凌乱，不过肩，衣着整洁得体，不得里长外短（2.5分）</w:t>
            </w:r>
          </w:p>
        </w:tc>
        <w:tc>
          <w:tcPr>
            <w:tcW w:w="881" w:type="dxa"/>
            <w:noWrap/>
            <w:vAlign w:val="top"/>
          </w:tcPr>
          <w:p w14:paraId="6AE83B5F">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ign w:val="top"/>
          </w:tcPr>
          <w:p w14:paraId="22C700E6">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65ECF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1253" w:type="dxa"/>
            <w:vMerge w:val="continue"/>
            <w:noWrap w:val="0"/>
            <w:vAlign w:val="center"/>
          </w:tcPr>
          <w:p w14:paraId="16909A88">
            <w:pPr>
              <w:widowControl w:val="0"/>
              <w:spacing w:line="312" w:lineRule="auto"/>
              <w:jc w:val="center"/>
              <w:rPr>
                <w:rFonts w:ascii="宋体" w:hAnsi="宋体" w:cs="宋体"/>
                <w:color w:val="auto"/>
                <w:sz w:val="21"/>
                <w:szCs w:val="21"/>
                <w:highlight w:val="none"/>
              </w:rPr>
            </w:pPr>
          </w:p>
        </w:tc>
        <w:tc>
          <w:tcPr>
            <w:tcW w:w="5642" w:type="dxa"/>
            <w:noWrap/>
            <w:vAlign w:val="center"/>
          </w:tcPr>
          <w:p w14:paraId="4F57F384">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2、佩戴胸牌，形象简洁大方，不得浓妆艳抹（2.5分）</w:t>
            </w:r>
          </w:p>
        </w:tc>
        <w:tc>
          <w:tcPr>
            <w:tcW w:w="881" w:type="dxa"/>
            <w:noWrap/>
            <w:vAlign w:val="top"/>
          </w:tcPr>
          <w:p w14:paraId="260C8E9A">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ign w:val="top"/>
          </w:tcPr>
          <w:p w14:paraId="72A7E387">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2108A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1253" w:type="dxa"/>
            <w:vMerge w:val="continue"/>
            <w:noWrap w:val="0"/>
            <w:vAlign w:val="center"/>
          </w:tcPr>
          <w:p w14:paraId="0410C566">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0E23CFC6">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3、工作时间不佩戴首饰，不得美甲，工作鞋不拖鞋跟（2.5分）</w:t>
            </w:r>
          </w:p>
        </w:tc>
        <w:tc>
          <w:tcPr>
            <w:tcW w:w="881" w:type="dxa"/>
            <w:noWrap/>
            <w:vAlign w:val="top"/>
          </w:tcPr>
          <w:p w14:paraId="6122523B">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ign w:val="top"/>
          </w:tcPr>
          <w:p w14:paraId="547384E7">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02857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1253" w:type="dxa"/>
            <w:vMerge w:val="continue"/>
            <w:noWrap w:val="0"/>
            <w:vAlign w:val="center"/>
          </w:tcPr>
          <w:p w14:paraId="1559505F">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74624E53">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4、举止文雅，站姿规范，精神饱满（2.5分）</w:t>
            </w:r>
          </w:p>
        </w:tc>
        <w:tc>
          <w:tcPr>
            <w:tcW w:w="881" w:type="dxa"/>
            <w:noWrap/>
            <w:vAlign w:val="top"/>
          </w:tcPr>
          <w:p w14:paraId="792A5377">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ign w:val="top"/>
          </w:tcPr>
          <w:p w14:paraId="3B0C7BC4">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04B30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1253" w:type="dxa"/>
            <w:vMerge w:val="restart"/>
            <w:noWrap/>
            <w:vAlign w:val="center"/>
          </w:tcPr>
          <w:p w14:paraId="4CDBA3EF">
            <w:pPr>
              <w:widowControl w:val="0"/>
              <w:spacing w:line="312"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服务态度（15分）</w:t>
            </w:r>
          </w:p>
        </w:tc>
        <w:tc>
          <w:tcPr>
            <w:tcW w:w="5642" w:type="dxa"/>
            <w:noWrap w:val="0"/>
            <w:vAlign w:val="center"/>
          </w:tcPr>
          <w:p w14:paraId="7A57FCA6">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1、对患者及家属态度亲切和蔼，一视同仁，无患者及家属投诉（3分）</w:t>
            </w:r>
          </w:p>
        </w:tc>
        <w:tc>
          <w:tcPr>
            <w:tcW w:w="881" w:type="dxa"/>
            <w:noWrap w:val="0"/>
            <w:vAlign w:val="top"/>
          </w:tcPr>
          <w:p w14:paraId="765ABF77">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3BF96314">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235A8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1253" w:type="dxa"/>
            <w:vMerge w:val="continue"/>
            <w:noWrap w:val="0"/>
            <w:vAlign w:val="center"/>
          </w:tcPr>
          <w:p w14:paraId="48826101">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7798ACB2">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2、待人真诚，微笑服务，文明用语（3分）。</w:t>
            </w:r>
          </w:p>
        </w:tc>
        <w:tc>
          <w:tcPr>
            <w:tcW w:w="881" w:type="dxa"/>
            <w:noWrap w:val="0"/>
            <w:vAlign w:val="top"/>
          </w:tcPr>
          <w:p w14:paraId="2E1D740D">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01A133E7">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2D705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1253" w:type="dxa"/>
            <w:vMerge w:val="continue"/>
            <w:noWrap w:val="0"/>
            <w:vAlign w:val="center"/>
          </w:tcPr>
          <w:p w14:paraId="03CFA27F">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1272D674">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3、对于危重、情绪不稳定的患者及家属亲切安抚，体贴入微（3分）。</w:t>
            </w:r>
          </w:p>
        </w:tc>
        <w:tc>
          <w:tcPr>
            <w:tcW w:w="881" w:type="dxa"/>
            <w:noWrap w:val="0"/>
            <w:vAlign w:val="top"/>
          </w:tcPr>
          <w:p w14:paraId="658508F6">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122F13B1">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721F4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1253" w:type="dxa"/>
            <w:vMerge w:val="continue"/>
            <w:noWrap w:val="0"/>
            <w:vAlign w:val="center"/>
          </w:tcPr>
          <w:p w14:paraId="36B0BAFF">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4DA26282">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4、与患者主动沟通，宣传，积极引导患者使用自助设备，对患者去向指引到位，避免患者往返跑动（3分）</w:t>
            </w:r>
          </w:p>
        </w:tc>
        <w:tc>
          <w:tcPr>
            <w:tcW w:w="881" w:type="dxa"/>
            <w:noWrap w:val="0"/>
            <w:vAlign w:val="top"/>
          </w:tcPr>
          <w:p w14:paraId="08F9A4F9">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46D57985">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5E002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1253" w:type="dxa"/>
            <w:vMerge w:val="continue"/>
            <w:noWrap w:val="0"/>
            <w:vAlign w:val="center"/>
          </w:tcPr>
          <w:p w14:paraId="0150D6F5">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5E073C7D">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5、对于患者及家属咨询，解答问题必须耐心细致，亲切和蔼，百问不厌，语言表达清晰准确，通俗易懂（3分）</w:t>
            </w:r>
          </w:p>
        </w:tc>
        <w:tc>
          <w:tcPr>
            <w:tcW w:w="881" w:type="dxa"/>
            <w:noWrap w:val="0"/>
            <w:vAlign w:val="top"/>
          </w:tcPr>
          <w:p w14:paraId="53F4B2C1">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49FDA43A">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4A2E3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1253" w:type="dxa"/>
            <w:vMerge w:val="restart"/>
            <w:noWrap w:val="0"/>
            <w:vAlign w:val="center"/>
          </w:tcPr>
          <w:p w14:paraId="392DAEB2">
            <w:pPr>
              <w:widowControl w:val="0"/>
              <w:spacing w:line="312"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工作积极性、责任性、灵活性（50分）</w:t>
            </w:r>
          </w:p>
        </w:tc>
        <w:tc>
          <w:tcPr>
            <w:tcW w:w="5642" w:type="dxa"/>
            <w:noWrap w:val="0"/>
            <w:vAlign w:val="center"/>
          </w:tcPr>
          <w:p w14:paraId="449CED75">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1、熟悉医院所有楼宇分布及各专家特色特长，能准确向患者及家属宣传和介绍（10分）</w:t>
            </w:r>
          </w:p>
        </w:tc>
        <w:tc>
          <w:tcPr>
            <w:tcW w:w="881" w:type="dxa"/>
            <w:noWrap w:val="0"/>
            <w:vAlign w:val="top"/>
          </w:tcPr>
          <w:p w14:paraId="3E804A33">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2B7AAF5B">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2423A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1253" w:type="dxa"/>
            <w:vMerge w:val="continue"/>
            <w:noWrap w:val="0"/>
            <w:vAlign w:val="center"/>
          </w:tcPr>
          <w:p w14:paraId="2A1DE01A">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2D4B664E">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2、耐心解答患者及其家属提出的各种疑问，为患者提供就医方向、路线，选择最佳就医流程，使患者顺利完成诊疗、检查、检验（5分）   </w:t>
            </w:r>
          </w:p>
        </w:tc>
        <w:tc>
          <w:tcPr>
            <w:tcW w:w="881" w:type="dxa"/>
            <w:noWrap w:val="0"/>
            <w:vAlign w:val="top"/>
          </w:tcPr>
          <w:p w14:paraId="63FB352E">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19F3A91F">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06F0D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1253" w:type="dxa"/>
            <w:vMerge w:val="continue"/>
            <w:noWrap w:val="0"/>
            <w:vAlign w:val="center"/>
          </w:tcPr>
          <w:p w14:paraId="09C8885B">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363FE191">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3、维持挂号缴费、就诊秩序，遇到自助设备或人工挂号窗口排长队，能及时疏导拥堵人群，分流至人流量较少的窗口或自助设备上（5分）</w:t>
            </w:r>
          </w:p>
        </w:tc>
        <w:tc>
          <w:tcPr>
            <w:tcW w:w="881" w:type="dxa"/>
            <w:noWrap w:val="0"/>
            <w:vAlign w:val="top"/>
          </w:tcPr>
          <w:p w14:paraId="6D03CA46">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1CB0FF14">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074C2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jc w:val="center"/>
        </w:trPr>
        <w:tc>
          <w:tcPr>
            <w:tcW w:w="1253" w:type="dxa"/>
            <w:vMerge w:val="continue"/>
            <w:noWrap w:val="0"/>
            <w:vAlign w:val="center"/>
          </w:tcPr>
          <w:p w14:paraId="3A755EF6">
            <w:pPr>
              <w:widowControl w:val="0"/>
              <w:spacing w:line="312" w:lineRule="auto"/>
              <w:jc w:val="center"/>
              <w:rPr>
                <w:rFonts w:ascii="宋体" w:hAnsi="宋体" w:cs="宋体"/>
                <w:color w:val="auto"/>
                <w:sz w:val="21"/>
                <w:szCs w:val="21"/>
                <w:highlight w:val="none"/>
              </w:rPr>
            </w:pPr>
          </w:p>
        </w:tc>
        <w:tc>
          <w:tcPr>
            <w:tcW w:w="5642" w:type="dxa"/>
            <w:noWrap/>
            <w:vAlign w:val="center"/>
          </w:tcPr>
          <w:p w14:paraId="23297E17">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4、工作时主动巡查自助设备是否故障及缺纸，遇有故障及时报修，保持设备正常运行（5分）</w:t>
            </w:r>
          </w:p>
        </w:tc>
        <w:tc>
          <w:tcPr>
            <w:tcW w:w="881" w:type="dxa"/>
            <w:noWrap w:val="0"/>
            <w:vAlign w:val="top"/>
          </w:tcPr>
          <w:p w14:paraId="6C56210C">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2BBF285F">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0BE42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1253" w:type="dxa"/>
            <w:vMerge w:val="continue"/>
            <w:noWrap w:val="0"/>
            <w:vAlign w:val="center"/>
          </w:tcPr>
          <w:p w14:paraId="7A81E6A0">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6F20C00F">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5、工作时不得倚靠自助设备，经常在区域内巡视，观察门诊大厅、楼层信息动态，主动维持秩序，分流患者（5分）</w:t>
            </w:r>
          </w:p>
        </w:tc>
        <w:tc>
          <w:tcPr>
            <w:tcW w:w="881" w:type="dxa"/>
            <w:noWrap w:val="0"/>
            <w:vAlign w:val="top"/>
          </w:tcPr>
          <w:p w14:paraId="191DC91E">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37DC56F3">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32CA1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253" w:type="dxa"/>
            <w:vMerge w:val="continue"/>
            <w:noWrap w:val="0"/>
            <w:vAlign w:val="center"/>
          </w:tcPr>
          <w:p w14:paraId="7B953E6A">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1D3A167B">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6、为患者提供便民服务，排忧解难，对急危患者，应立即协助送检查，必要时陪送到位（5分）</w:t>
            </w:r>
          </w:p>
        </w:tc>
        <w:tc>
          <w:tcPr>
            <w:tcW w:w="881" w:type="dxa"/>
            <w:noWrap w:val="0"/>
            <w:vAlign w:val="top"/>
          </w:tcPr>
          <w:p w14:paraId="4E841B89">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0F81F4F9">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3ABE4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253" w:type="dxa"/>
            <w:vMerge w:val="continue"/>
            <w:noWrap w:val="0"/>
            <w:vAlign w:val="center"/>
          </w:tcPr>
          <w:p w14:paraId="7D864C99">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0719DA57">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7、加强健康教育，为患者提供健康宣传资料，如发放院报、健康知识手册等，负责宣教栏的整理，保持宣教材料放置有序（5分）</w:t>
            </w:r>
          </w:p>
        </w:tc>
        <w:tc>
          <w:tcPr>
            <w:tcW w:w="881" w:type="dxa"/>
            <w:noWrap w:val="0"/>
            <w:vAlign w:val="top"/>
          </w:tcPr>
          <w:p w14:paraId="35FF7201">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1F1CC08B">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3A63B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1253" w:type="dxa"/>
            <w:vMerge w:val="continue"/>
            <w:noWrap w:val="0"/>
            <w:vAlign w:val="center"/>
          </w:tcPr>
          <w:p w14:paraId="71596D8A">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159E6F33">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8、积极配合完成门诊部及导医组长安排的其他工作内容（10分） </w:t>
            </w:r>
          </w:p>
        </w:tc>
        <w:tc>
          <w:tcPr>
            <w:tcW w:w="881" w:type="dxa"/>
            <w:noWrap w:val="0"/>
            <w:vAlign w:val="top"/>
          </w:tcPr>
          <w:p w14:paraId="79F23910">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29D4FBB9">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15995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1253" w:type="dxa"/>
            <w:vMerge w:val="restart"/>
            <w:noWrap w:val="0"/>
            <w:vAlign w:val="center"/>
          </w:tcPr>
          <w:p w14:paraId="0BB9578A">
            <w:pPr>
              <w:widowControl w:val="0"/>
              <w:spacing w:line="312"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劳动纪律（15分）</w:t>
            </w:r>
          </w:p>
        </w:tc>
        <w:tc>
          <w:tcPr>
            <w:tcW w:w="5642" w:type="dxa"/>
            <w:noWrap w:val="0"/>
            <w:vAlign w:val="center"/>
          </w:tcPr>
          <w:p w14:paraId="4ED554C8">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1、严格遵守医院各项规章制度，准时上下班，不迟到早退，无故缺席、旷工（5分）</w:t>
            </w:r>
          </w:p>
        </w:tc>
        <w:tc>
          <w:tcPr>
            <w:tcW w:w="881" w:type="dxa"/>
            <w:noWrap w:val="0"/>
            <w:vAlign w:val="top"/>
          </w:tcPr>
          <w:p w14:paraId="0A15EED1">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7A48982E">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37BA8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253" w:type="dxa"/>
            <w:vMerge w:val="continue"/>
            <w:noWrap w:val="0"/>
            <w:vAlign w:val="center"/>
          </w:tcPr>
          <w:p w14:paraId="4FF9B1BA">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6F6077D5">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2、遵守劳动纪律，严格请假制度，未经上级批准不能私下调班，待审批后请假（4分）</w:t>
            </w:r>
          </w:p>
        </w:tc>
        <w:tc>
          <w:tcPr>
            <w:tcW w:w="881" w:type="dxa"/>
            <w:noWrap w:val="0"/>
            <w:vAlign w:val="top"/>
          </w:tcPr>
          <w:p w14:paraId="48C3D040">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5BBC9965">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5A633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253" w:type="dxa"/>
            <w:vMerge w:val="continue"/>
            <w:noWrap w:val="0"/>
            <w:vAlign w:val="center"/>
          </w:tcPr>
          <w:p w14:paraId="12F63193">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0A1C44C2">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3、坚守岗位，不串岗、不脱岗、不逗留、不闲谈、不玩手机，不做与工作无关的事（4分）</w:t>
            </w:r>
          </w:p>
        </w:tc>
        <w:tc>
          <w:tcPr>
            <w:tcW w:w="881" w:type="dxa"/>
            <w:noWrap w:val="0"/>
            <w:vAlign w:val="top"/>
          </w:tcPr>
          <w:p w14:paraId="302B646D">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621328ED">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7BE5D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1253" w:type="dxa"/>
            <w:vMerge w:val="continue"/>
            <w:noWrap w:val="0"/>
            <w:vAlign w:val="center"/>
          </w:tcPr>
          <w:p w14:paraId="1FDBCA51">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51DD35F8">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4、配合医院、导医组长工作调配（2分）</w:t>
            </w:r>
          </w:p>
        </w:tc>
        <w:tc>
          <w:tcPr>
            <w:tcW w:w="881" w:type="dxa"/>
            <w:noWrap w:val="0"/>
            <w:vAlign w:val="top"/>
          </w:tcPr>
          <w:p w14:paraId="5B06B344">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27768540">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79A14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1253" w:type="dxa"/>
            <w:vMerge w:val="restart"/>
            <w:noWrap w:val="0"/>
            <w:vAlign w:val="center"/>
          </w:tcPr>
          <w:p w14:paraId="66FEE08A">
            <w:pPr>
              <w:widowControl w:val="0"/>
              <w:spacing w:line="312"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团队精神思想道德行为作风（10分）</w:t>
            </w:r>
          </w:p>
        </w:tc>
        <w:tc>
          <w:tcPr>
            <w:tcW w:w="5642" w:type="dxa"/>
            <w:noWrap w:val="0"/>
            <w:vAlign w:val="center"/>
          </w:tcPr>
          <w:p w14:paraId="6F3E348A">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1、良好的服务意识及团队精神，协调好组员之间的关系（4分）</w:t>
            </w:r>
          </w:p>
        </w:tc>
        <w:tc>
          <w:tcPr>
            <w:tcW w:w="881" w:type="dxa"/>
            <w:noWrap w:val="0"/>
            <w:vAlign w:val="top"/>
          </w:tcPr>
          <w:p w14:paraId="37A1CD93">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6FD82836">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05E12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1253" w:type="dxa"/>
            <w:vMerge w:val="continue"/>
            <w:noWrap w:val="0"/>
            <w:vAlign w:val="center"/>
          </w:tcPr>
          <w:p w14:paraId="44386D8C">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65D96A48">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2、维护医院的良好形象及声誉，爱护医院的公共财产（3分）</w:t>
            </w:r>
          </w:p>
        </w:tc>
        <w:tc>
          <w:tcPr>
            <w:tcW w:w="881" w:type="dxa"/>
            <w:noWrap w:val="0"/>
            <w:vAlign w:val="top"/>
          </w:tcPr>
          <w:p w14:paraId="59909D09">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122A79DF">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5D755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1253" w:type="dxa"/>
            <w:vMerge w:val="continue"/>
            <w:noWrap w:val="0"/>
            <w:vAlign w:val="center"/>
          </w:tcPr>
          <w:p w14:paraId="29977E8C">
            <w:pPr>
              <w:widowControl w:val="0"/>
              <w:spacing w:line="312" w:lineRule="auto"/>
              <w:jc w:val="center"/>
              <w:rPr>
                <w:rFonts w:ascii="宋体" w:hAnsi="宋体" w:cs="宋体"/>
                <w:color w:val="auto"/>
                <w:sz w:val="21"/>
                <w:szCs w:val="21"/>
                <w:highlight w:val="none"/>
              </w:rPr>
            </w:pPr>
          </w:p>
        </w:tc>
        <w:tc>
          <w:tcPr>
            <w:tcW w:w="5642" w:type="dxa"/>
            <w:noWrap w:val="0"/>
            <w:vAlign w:val="center"/>
          </w:tcPr>
          <w:p w14:paraId="4843F60E">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3、作风正派，时刻保持良好的个人形象（3分）</w:t>
            </w:r>
          </w:p>
        </w:tc>
        <w:tc>
          <w:tcPr>
            <w:tcW w:w="881" w:type="dxa"/>
            <w:noWrap w:val="0"/>
            <w:vAlign w:val="top"/>
          </w:tcPr>
          <w:p w14:paraId="1D07DEBE">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886" w:type="dxa"/>
            <w:noWrap w:val="0"/>
            <w:vAlign w:val="top"/>
          </w:tcPr>
          <w:p w14:paraId="5E08920B">
            <w:pPr>
              <w:widowControl w:val="0"/>
              <w:spacing w:line="312" w:lineRule="auto"/>
              <w:rPr>
                <w:rFonts w:ascii="宋体" w:hAnsi="宋体" w:cs="宋体"/>
                <w:color w:val="auto"/>
                <w:sz w:val="21"/>
                <w:szCs w:val="21"/>
                <w:highlight w:val="none"/>
              </w:rPr>
            </w:pPr>
            <w:r>
              <w:rPr>
                <w:rFonts w:hint="eastAsia" w:ascii="宋体" w:hAnsi="宋体" w:cs="宋体"/>
                <w:color w:val="auto"/>
                <w:sz w:val="21"/>
                <w:szCs w:val="21"/>
                <w:highlight w:val="none"/>
              </w:rPr>
              <w:t>　</w:t>
            </w:r>
          </w:p>
        </w:tc>
      </w:tr>
    </w:tbl>
    <w:p w14:paraId="25E68DB8">
      <w:pPr>
        <w:tabs>
          <w:tab w:val="left" w:pos="360"/>
          <w:tab w:val="left" w:pos="4320"/>
        </w:tabs>
        <w:spacing w:line="440" w:lineRule="exact"/>
        <w:jc w:val="both"/>
        <w:rPr>
          <w:rFonts w:ascii="宋体" w:hAnsi="宋体" w:cs="宋体"/>
          <w:b/>
          <w:color w:val="auto"/>
          <w:sz w:val="21"/>
          <w:szCs w:val="21"/>
          <w:highlight w:val="none"/>
        </w:rPr>
      </w:pPr>
      <w:r>
        <w:rPr>
          <w:rFonts w:hint="eastAsia" w:ascii="宋体" w:hAnsi="宋体" w:cs="宋体"/>
          <w:b/>
          <w:color w:val="auto"/>
          <w:sz w:val="21"/>
          <w:szCs w:val="21"/>
          <w:highlight w:val="none"/>
        </w:rPr>
        <w:t>检查人：                中标供应商负责人 ：      检查时间 ：</w:t>
      </w:r>
    </w:p>
    <w:p w14:paraId="485F873D">
      <w:pPr>
        <w:tabs>
          <w:tab w:val="left" w:pos="360"/>
          <w:tab w:val="left" w:pos="4320"/>
        </w:tabs>
        <w:spacing w:line="360" w:lineRule="auto"/>
        <w:jc w:val="center"/>
        <w:rPr>
          <w:rFonts w:ascii="宋体" w:hAnsi="宋体" w:cs="宋体"/>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服务质量检查表4：其他辅医服务（满分100分）</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7"/>
        <w:gridCol w:w="5130"/>
        <w:gridCol w:w="1065"/>
        <w:gridCol w:w="1114"/>
      </w:tblGrid>
      <w:tr w14:paraId="3EFA4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1217" w:type="dxa"/>
            <w:noWrap/>
            <w:vAlign w:val="center"/>
          </w:tcPr>
          <w:p w14:paraId="36B0AC31">
            <w:pPr>
              <w:widowControl w:val="0"/>
              <w:jc w:val="center"/>
              <w:rPr>
                <w:rFonts w:ascii="宋体" w:hAnsi="宋体" w:cs="宋体"/>
                <w:color w:val="auto"/>
                <w:sz w:val="21"/>
                <w:szCs w:val="21"/>
                <w:highlight w:val="none"/>
              </w:rPr>
            </w:pPr>
            <w:r>
              <w:rPr>
                <w:rFonts w:hint="eastAsia" w:ascii="宋体" w:hAnsi="宋体" w:cs="宋体"/>
                <w:b/>
                <w:bCs/>
                <w:color w:val="auto"/>
                <w:sz w:val="21"/>
                <w:szCs w:val="21"/>
                <w:highlight w:val="none"/>
              </w:rPr>
              <w:t>考核项目</w:t>
            </w:r>
          </w:p>
        </w:tc>
        <w:tc>
          <w:tcPr>
            <w:tcW w:w="5130" w:type="dxa"/>
            <w:noWrap/>
            <w:vAlign w:val="center"/>
          </w:tcPr>
          <w:p w14:paraId="1CF61788">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考核标准</w:t>
            </w:r>
          </w:p>
        </w:tc>
        <w:tc>
          <w:tcPr>
            <w:tcW w:w="1065" w:type="dxa"/>
            <w:noWrap/>
            <w:vAlign w:val="top"/>
          </w:tcPr>
          <w:p w14:paraId="50305606">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扣分</w:t>
            </w:r>
          </w:p>
        </w:tc>
        <w:tc>
          <w:tcPr>
            <w:tcW w:w="1114" w:type="dxa"/>
            <w:noWrap/>
            <w:vAlign w:val="top"/>
          </w:tcPr>
          <w:p w14:paraId="5F8B0319">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得分</w:t>
            </w:r>
          </w:p>
        </w:tc>
      </w:tr>
      <w:tr w14:paraId="71050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1217" w:type="dxa"/>
            <w:vMerge w:val="restart"/>
            <w:noWrap/>
            <w:vAlign w:val="center"/>
          </w:tcPr>
          <w:p w14:paraId="12090733">
            <w:pPr>
              <w:widowControl w:val="0"/>
              <w:jc w:val="center"/>
              <w:rPr>
                <w:rFonts w:ascii="宋体" w:hAnsi="宋体" w:cs="宋体"/>
                <w:color w:val="auto"/>
                <w:sz w:val="21"/>
                <w:szCs w:val="21"/>
                <w:highlight w:val="none"/>
              </w:rPr>
            </w:pPr>
            <w:r>
              <w:rPr>
                <w:rFonts w:hint="eastAsia" w:ascii="宋体" w:hAnsi="宋体" w:cs="宋体"/>
                <w:color w:val="auto"/>
                <w:sz w:val="21"/>
                <w:szCs w:val="21"/>
                <w:highlight w:val="none"/>
              </w:rPr>
              <w:t>仪表</w:t>
            </w:r>
          </w:p>
          <w:p w14:paraId="503A3C8C">
            <w:pPr>
              <w:widowControl w:val="0"/>
              <w:jc w:val="center"/>
              <w:rPr>
                <w:rFonts w:ascii="宋体" w:hAnsi="宋体" w:cs="宋体"/>
                <w:color w:val="auto"/>
                <w:sz w:val="21"/>
                <w:szCs w:val="21"/>
                <w:highlight w:val="none"/>
              </w:rPr>
            </w:pPr>
            <w:r>
              <w:rPr>
                <w:rFonts w:hint="eastAsia" w:ascii="宋体" w:hAnsi="宋体" w:cs="宋体"/>
                <w:color w:val="auto"/>
                <w:sz w:val="21"/>
                <w:szCs w:val="21"/>
                <w:highlight w:val="none"/>
              </w:rPr>
              <w:t>（10分）</w:t>
            </w:r>
          </w:p>
        </w:tc>
        <w:tc>
          <w:tcPr>
            <w:tcW w:w="5130" w:type="dxa"/>
            <w:noWrap w:val="0"/>
            <w:vAlign w:val="center"/>
          </w:tcPr>
          <w:p w14:paraId="5CD37AD0">
            <w:pPr>
              <w:widowControl w:val="0"/>
              <w:rPr>
                <w:rFonts w:ascii="宋体" w:hAnsi="宋体" w:cs="宋体"/>
                <w:color w:val="auto"/>
                <w:sz w:val="21"/>
                <w:szCs w:val="21"/>
                <w:highlight w:val="none"/>
              </w:rPr>
            </w:pPr>
            <w:r>
              <w:rPr>
                <w:rFonts w:hint="eastAsia" w:ascii="宋体" w:hAnsi="宋体" w:cs="宋体"/>
                <w:color w:val="auto"/>
                <w:sz w:val="21"/>
                <w:szCs w:val="21"/>
                <w:highlight w:val="none"/>
              </w:rPr>
              <w:t>1、仪表规范，头发整齐不凌乱，不过肩，衣着整洁得体，不得里长外短（2.5分）</w:t>
            </w:r>
          </w:p>
        </w:tc>
        <w:tc>
          <w:tcPr>
            <w:tcW w:w="1065" w:type="dxa"/>
            <w:noWrap/>
            <w:vAlign w:val="top"/>
          </w:tcPr>
          <w:p w14:paraId="1D4EB79A">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ign w:val="top"/>
          </w:tcPr>
          <w:p w14:paraId="34325B4B">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0C3A0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1217" w:type="dxa"/>
            <w:vMerge w:val="continue"/>
            <w:noWrap w:val="0"/>
            <w:vAlign w:val="center"/>
          </w:tcPr>
          <w:p w14:paraId="2772F380">
            <w:pPr>
              <w:widowControl w:val="0"/>
              <w:jc w:val="center"/>
              <w:rPr>
                <w:rFonts w:ascii="宋体" w:hAnsi="宋体" w:cs="宋体"/>
                <w:color w:val="auto"/>
                <w:sz w:val="21"/>
                <w:szCs w:val="21"/>
                <w:highlight w:val="none"/>
              </w:rPr>
            </w:pPr>
          </w:p>
        </w:tc>
        <w:tc>
          <w:tcPr>
            <w:tcW w:w="5130" w:type="dxa"/>
            <w:noWrap/>
            <w:vAlign w:val="center"/>
          </w:tcPr>
          <w:p w14:paraId="279AC2B8">
            <w:pPr>
              <w:widowControl w:val="0"/>
              <w:rPr>
                <w:rFonts w:ascii="宋体" w:hAnsi="宋体" w:cs="宋体"/>
                <w:color w:val="auto"/>
                <w:sz w:val="21"/>
                <w:szCs w:val="21"/>
                <w:highlight w:val="none"/>
              </w:rPr>
            </w:pPr>
            <w:r>
              <w:rPr>
                <w:rFonts w:hint="eastAsia" w:ascii="宋体" w:hAnsi="宋体" w:cs="宋体"/>
                <w:color w:val="auto"/>
                <w:sz w:val="21"/>
                <w:szCs w:val="21"/>
                <w:highlight w:val="none"/>
              </w:rPr>
              <w:t>2、佩戴胸牌，形象简洁大方，不得浓妆艳抹（2.5分）</w:t>
            </w:r>
          </w:p>
        </w:tc>
        <w:tc>
          <w:tcPr>
            <w:tcW w:w="1065" w:type="dxa"/>
            <w:noWrap/>
            <w:vAlign w:val="top"/>
          </w:tcPr>
          <w:p w14:paraId="2A5581C9">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ign w:val="top"/>
          </w:tcPr>
          <w:p w14:paraId="470849FC">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131C3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1217" w:type="dxa"/>
            <w:vMerge w:val="continue"/>
            <w:noWrap w:val="0"/>
            <w:vAlign w:val="center"/>
          </w:tcPr>
          <w:p w14:paraId="7434B3DC">
            <w:pPr>
              <w:widowControl w:val="0"/>
              <w:jc w:val="center"/>
              <w:rPr>
                <w:rFonts w:ascii="宋体" w:hAnsi="宋体" w:cs="宋体"/>
                <w:color w:val="auto"/>
                <w:sz w:val="21"/>
                <w:szCs w:val="21"/>
                <w:highlight w:val="none"/>
              </w:rPr>
            </w:pPr>
          </w:p>
        </w:tc>
        <w:tc>
          <w:tcPr>
            <w:tcW w:w="5130" w:type="dxa"/>
            <w:noWrap w:val="0"/>
            <w:vAlign w:val="center"/>
          </w:tcPr>
          <w:p w14:paraId="396324C6">
            <w:pPr>
              <w:widowControl w:val="0"/>
              <w:rPr>
                <w:rFonts w:ascii="宋体" w:hAnsi="宋体" w:cs="宋体"/>
                <w:color w:val="auto"/>
                <w:sz w:val="21"/>
                <w:szCs w:val="21"/>
                <w:highlight w:val="none"/>
              </w:rPr>
            </w:pPr>
            <w:r>
              <w:rPr>
                <w:rFonts w:hint="eastAsia" w:ascii="宋体" w:hAnsi="宋体" w:cs="宋体"/>
                <w:color w:val="auto"/>
                <w:sz w:val="21"/>
                <w:szCs w:val="21"/>
                <w:highlight w:val="none"/>
              </w:rPr>
              <w:t>3、工作时间不佩戴首饰，不得美甲，工作鞋不拖鞋跟（2.5分）</w:t>
            </w:r>
          </w:p>
        </w:tc>
        <w:tc>
          <w:tcPr>
            <w:tcW w:w="1065" w:type="dxa"/>
            <w:noWrap/>
            <w:vAlign w:val="top"/>
          </w:tcPr>
          <w:p w14:paraId="198ED714">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ign w:val="top"/>
          </w:tcPr>
          <w:p w14:paraId="5BF5B2CF">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36468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1217" w:type="dxa"/>
            <w:vMerge w:val="continue"/>
            <w:noWrap w:val="0"/>
            <w:vAlign w:val="center"/>
          </w:tcPr>
          <w:p w14:paraId="3290B6E6">
            <w:pPr>
              <w:widowControl w:val="0"/>
              <w:jc w:val="center"/>
              <w:rPr>
                <w:rFonts w:ascii="宋体" w:hAnsi="宋体" w:cs="宋体"/>
                <w:color w:val="auto"/>
                <w:sz w:val="21"/>
                <w:szCs w:val="21"/>
                <w:highlight w:val="none"/>
              </w:rPr>
            </w:pPr>
          </w:p>
        </w:tc>
        <w:tc>
          <w:tcPr>
            <w:tcW w:w="5130" w:type="dxa"/>
            <w:noWrap w:val="0"/>
            <w:vAlign w:val="center"/>
          </w:tcPr>
          <w:p w14:paraId="79C08688">
            <w:pPr>
              <w:widowControl w:val="0"/>
              <w:rPr>
                <w:rFonts w:ascii="宋体" w:hAnsi="宋体" w:cs="宋体"/>
                <w:color w:val="auto"/>
                <w:sz w:val="21"/>
                <w:szCs w:val="21"/>
                <w:highlight w:val="none"/>
              </w:rPr>
            </w:pPr>
            <w:r>
              <w:rPr>
                <w:rFonts w:hint="eastAsia" w:ascii="宋体" w:hAnsi="宋体" w:cs="宋体"/>
                <w:color w:val="auto"/>
                <w:sz w:val="21"/>
                <w:szCs w:val="21"/>
                <w:highlight w:val="none"/>
              </w:rPr>
              <w:t>4、举止文雅，站姿规范，精神饱满（2.5分）</w:t>
            </w:r>
          </w:p>
        </w:tc>
        <w:tc>
          <w:tcPr>
            <w:tcW w:w="1065" w:type="dxa"/>
            <w:noWrap/>
            <w:vAlign w:val="top"/>
          </w:tcPr>
          <w:p w14:paraId="256B65C1">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ign w:val="top"/>
          </w:tcPr>
          <w:p w14:paraId="0A5F0DF8">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1455A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1217" w:type="dxa"/>
            <w:vMerge w:val="restart"/>
            <w:noWrap/>
            <w:vAlign w:val="center"/>
          </w:tcPr>
          <w:p w14:paraId="674B9D2B">
            <w:pPr>
              <w:widowControl w:val="0"/>
              <w:jc w:val="center"/>
              <w:rPr>
                <w:rFonts w:ascii="宋体" w:hAnsi="宋体" w:cs="宋体"/>
                <w:color w:val="auto"/>
                <w:sz w:val="21"/>
                <w:szCs w:val="21"/>
                <w:highlight w:val="none"/>
              </w:rPr>
            </w:pPr>
            <w:r>
              <w:rPr>
                <w:rFonts w:hint="eastAsia" w:ascii="宋体" w:hAnsi="宋体" w:cs="宋体"/>
                <w:color w:val="auto"/>
                <w:sz w:val="21"/>
                <w:szCs w:val="21"/>
                <w:highlight w:val="none"/>
              </w:rPr>
              <w:t>服务态度（15分）</w:t>
            </w:r>
          </w:p>
        </w:tc>
        <w:tc>
          <w:tcPr>
            <w:tcW w:w="5130" w:type="dxa"/>
            <w:noWrap w:val="0"/>
            <w:vAlign w:val="center"/>
          </w:tcPr>
          <w:p w14:paraId="0CF3FC93">
            <w:pPr>
              <w:widowControl w:val="0"/>
              <w:rPr>
                <w:rFonts w:ascii="宋体" w:hAnsi="宋体" w:cs="宋体"/>
                <w:color w:val="auto"/>
                <w:sz w:val="21"/>
                <w:szCs w:val="21"/>
                <w:highlight w:val="none"/>
              </w:rPr>
            </w:pPr>
            <w:r>
              <w:rPr>
                <w:rFonts w:hint="eastAsia" w:ascii="宋体" w:hAnsi="宋体" w:cs="宋体"/>
                <w:color w:val="auto"/>
                <w:sz w:val="21"/>
                <w:szCs w:val="21"/>
                <w:highlight w:val="none"/>
              </w:rPr>
              <w:t>1、对患者及家属态度亲切和蔼，一视同仁，无患者及家属投诉（3分）</w:t>
            </w:r>
          </w:p>
        </w:tc>
        <w:tc>
          <w:tcPr>
            <w:tcW w:w="1065" w:type="dxa"/>
            <w:noWrap w:val="0"/>
            <w:vAlign w:val="top"/>
          </w:tcPr>
          <w:p w14:paraId="0E005D57">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65EC8397">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5D9A0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1217" w:type="dxa"/>
            <w:vMerge w:val="continue"/>
            <w:noWrap w:val="0"/>
            <w:vAlign w:val="center"/>
          </w:tcPr>
          <w:p w14:paraId="511CBF07">
            <w:pPr>
              <w:widowControl w:val="0"/>
              <w:jc w:val="center"/>
              <w:rPr>
                <w:rFonts w:ascii="宋体" w:hAnsi="宋体" w:cs="宋体"/>
                <w:color w:val="auto"/>
                <w:sz w:val="21"/>
                <w:szCs w:val="21"/>
                <w:highlight w:val="none"/>
              </w:rPr>
            </w:pPr>
          </w:p>
        </w:tc>
        <w:tc>
          <w:tcPr>
            <w:tcW w:w="5130" w:type="dxa"/>
            <w:noWrap w:val="0"/>
            <w:vAlign w:val="center"/>
          </w:tcPr>
          <w:p w14:paraId="6922608A">
            <w:pPr>
              <w:widowControl w:val="0"/>
              <w:rPr>
                <w:rFonts w:ascii="宋体" w:hAnsi="宋体" w:cs="宋体"/>
                <w:color w:val="auto"/>
                <w:sz w:val="21"/>
                <w:szCs w:val="21"/>
                <w:highlight w:val="none"/>
              </w:rPr>
            </w:pPr>
            <w:r>
              <w:rPr>
                <w:rFonts w:hint="eastAsia" w:ascii="宋体" w:hAnsi="宋体" w:cs="宋体"/>
                <w:color w:val="auto"/>
                <w:sz w:val="21"/>
                <w:szCs w:val="21"/>
                <w:highlight w:val="none"/>
              </w:rPr>
              <w:t>2、待人真诚，微笑服务，文明用语（3分）</w:t>
            </w:r>
          </w:p>
        </w:tc>
        <w:tc>
          <w:tcPr>
            <w:tcW w:w="1065" w:type="dxa"/>
            <w:noWrap w:val="0"/>
            <w:vAlign w:val="top"/>
          </w:tcPr>
          <w:p w14:paraId="2FCA7FE2">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5F2D2336">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02550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1217" w:type="dxa"/>
            <w:vMerge w:val="continue"/>
            <w:noWrap w:val="0"/>
            <w:vAlign w:val="center"/>
          </w:tcPr>
          <w:p w14:paraId="76A5DF5A">
            <w:pPr>
              <w:widowControl w:val="0"/>
              <w:jc w:val="center"/>
              <w:rPr>
                <w:rFonts w:ascii="宋体" w:hAnsi="宋体" w:cs="宋体"/>
                <w:color w:val="auto"/>
                <w:sz w:val="21"/>
                <w:szCs w:val="21"/>
                <w:highlight w:val="none"/>
              </w:rPr>
            </w:pPr>
          </w:p>
        </w:tc>
        <w:tc>
          <w:tcPr>
            <w:tcW w:w="5130" w:type="dxa"/>
            <w:noWrap w:val="0"/>
            <w:vAlign w:val="center"/>
          </w:tcPr>
          <w:p w14:paraId="2C46C332">
            <w:pPr>
              <w:widowControl w:val="0"/>
              <w:rPr>
                <w:rFonts w:ascii="宋体" w:hAnsi="宋体" w:cs="宋体"/>
                <w:color w:val="auto"/>
                <w:sz w:val="21"/>
                <w:szCs w:val="21"/>
                <w:highlight w:val="none"/>
              </w:rPr>
            </w:pPr>
            <w:r>
              <w:rPr>
                <w:rFonts w:hint="eastAsia" w:ascii="宋体" w:hAnsi="宋体" w:cs="宋体"/>
                <w:color w:val="auto"/>
                <w:sz w:val="21"/>
                <w:szCs w:val="21"/>
                <w:highlight w:val="none"/>
              </w:rPr>
              <w:t>3、对于危重、情绪不稳定的患者及家属亲切安抚，体贴入微（3分）</w:t>
            </w:r>
          </w:p>
        </w:tc>
        <w:tc>
          <w:tcPr>
            <w:tcW w:w="1065" w:type="dxa"/>
            <w:noWrap w:val="0"/>
            <w:vAlign w:val="top"/>
          </w:tcPr>
          <w:p w14:paraId="3C3F1349">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46D6457D">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4B08F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1217" w:type="dxa"/>
            <w:vMerge w:val="continue"/>
            <w:noWrap w:val="0"/>
            <w:vAlign w:val="center"/>
          </w:tcPr>
          <w:p w14:paraId="71269441">
            <w:pPr>
              <w:widowControl w:val="0"/>
              <w:jc w:val="center"/>
              <w:rPr>
                <w:rFonts w:ascii="宋体" w:hAnsi="宋体" w:cs="宋体"/>
                <w:color w:val="auto"/>
                <w:sz w:val="21"/>
                <w:szCs w:val="21"/>
                <w:highlight w:val="none"/>
              </w:rPr>
            </w:pPr>
          </w:p>
        </w:tc>
        <w:tc>
          <w:tcPr>
            <w:tcW w:w="5130" w:type="dxa"/>
            <w:noWrap w:val="0"/>
            <w:vAlign w:val="center"/>
          </w:tcPr>
          <w:p w14:paraId="32A5DBED">
            <w:pPr>
              <w:widowControl w:val="0"/>
              <w:rPr>
                <w:rFonts w:ascii="宋体" w:hAnsi="宋体" w:cs="宋体"/>
                <w:color w:val="auto"/>
                <w:sz w:val="21"/>
                <w:szCs w:val="21"/>
                <w:highlight w:val="none"/>
              </w:rPr>
            </w:pPr>
            <w:r>
              <w:rPr>
                <w:rFonts w:hint="eastAsia" w:ascii="宋体" w:hAnsi="宋体" w:cs="宋体"/>
                <w:color w:val="auto"/>
                <w:sz w:val="21"/>
                <w:szCs w:val="21"/>
                <w:highlight w:val="none"/>
              </w:rPr>
              <w:t>4、与患者主动沟通，宣传，积极引导患者使用自助设备，对患者去向指引到位，避免患者往返跑动（3分）</w:t>
            </w:r>
          </w:p>
        </w:tc>
        <w:tc>
          <w:tcPr>
            <w:tcW w:w="1065" w:type="dxa"/>
            <w:noWrap w:val="0"/>
            <w:vAlign w:val="top"/>
          </w:tcPr>
          <w:p w14:paraId="1F897AEC">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76C24C22">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495B3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1217" w:type="dxa"/>
            <w:vMerge w:val="continue"/>
            <w:noWrap w:val="0"/>
            <w:vAlign w:val="center"/>
          </w:tcPr>
          <w:p w14:paraId="521D67F5">
            <w:pPr>
              <w:widowControl w:val="0"/>
              <w:jc w:val="center"/>
              <w:rPr>
                <w:rFonts w:ascii="宋体" w:hAnsi="宋体" w:cs="宋体"/>
                <w:color w:val="auto"/>
                <w:sz w:val="21"/>
                <w:szCs w:val="21"/>
                <w:highlight w:val="none"/>
              </w:rPr>
            </w:pPr>
          </w:p>
        </w:tc>
        <w:tc>
          <w:tcPr>
            <w:tcW w:w="5130" w:type="dxa"/>
            <w:noWrap w:val="0"/>
            <w:vAlign w:val="center"/>
          </w:tcPr>
          <w:p w14:paraId="47D76BAE">
            <w:pPr>
              <w:widowControl w:val="0"/>
              <w:rPr>
                <w:rFonts w:ascii="宋体" w:hAnsi="宋体" w:cs="宋体"/>
                <w:color w:val="auto"/>
                <w:sz w:val="21"/>
                <w:szCs w:val="21"/>
                <w:highlight w:val="none"/>
              </w:rPr>
            </w:pPr>
            <w:r>
              <w:rPr>
                <w:rFonts w:hint="eastAsia" w:ascii="宋体" w:hAnsi="宋体" w:cs="宋体"/>
                <w:color w:val="auto"/>
                <w:sz w:val="21"/>
                <w:szCs w:val="21"/>
                <w:highlight w:val="none"/>
              </w:rPr>
              <w:t>5、对于患者及家属咨询，解答问题必须耐心细致，亲切和蔼，百问不厌，语言表达清晰准确，通俗易懂（3分）</w:t>
            </w:r>
          </w:p>
        </w:tc>
        <w:tc>
          <w:tcPr>
            <w:tcW w:w="1065" w:type="dxa"/>
            <w:noWrap w:val="0"/>
            <w:vAlign w:val="top"/>
          </w:tcPr>
          <w:p w14:paraId="6960B04D">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6060B4E1">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1FE93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1217" w:type="dxa"/>
            <w:vMerge w:val="restart"/>
            <w:noWrap w:val="0"/>
            <w:vAlign w:val="center"/>
          </w:tcPr>
          <w:p w14:paraId="113CA3F9">
            <w:pPr>
              <w:widowControl w:val="0"/>
              <w:jc w:val="center"/>
              <w:rPr>
                <w:rFonts w:ascii="宋体" w:hAnsi="宋体" w:cs="宋体"/>
                <w:color w:val="auto"/>
                <w:sz w:val="21"/>
                <w:szCs w:val="21"/>
                <w:highlight w:val="none"/>
              </w:rPr>
            </w:pPr>
            <w:r>
              <w:rPr>
                <w:rFonts w:hint="eastAsia" w:ascii="宋体" w:hAnsi="宋体" w:cs="宋体"/>
                <w:color w:val="auto"/>
                <w:sz w:val="21"/>
                <w:szCs w:val="21"/>
                <w:highlight w:val="none"/>
              </w:rPr>
              <w:t>工作积极性、责任性、灵活性（50分）</w:t>
            </w:r>
          </w:p>
        </w:tc>
        <w:tc>
          <w:tcPr>
            <w:tcW w:w="5130" w:type="dxa"/>
            <w:noWrap w:val="0"/>
            <w:vAlign w:val="center"/>
          </w:tcPr>
          <w:p w14:paraId="2B21C5D0">
            <w:pPr>
              <w:widowControl w:val="0"/>
              <w:rPr>
                <w:rFonts w:ascii="宋体" w:hAnsi="宋体" w:cs="宋体"/>
                <w:color w:val="auto"/>
                <w:sz w:val="21"/>
                <w:szCs w:val="21"/>
                <w:highlight w:val="none"/>
              </w:rPr>
            </w:pPr>
            <w:r>
              <w:rPr>
                <w:rFonts w:hint="eastAsia" w:ascii="宋体" w:hAnsi="宋体" w:cs="宋体"/>
                <w:color w:val="auto"/>
                <w:sz w:val="21"/>
                <w:szCs w:val="21"/>
                <w:highlight w:val="none"/>
              </w:rPr>
              <w:t>1、熟悉医院所有楼宇分布及各专家特色特长，能准确向患者及家属宣传和介绍（10分）</w:t>
            </w:r>
          </w:p>
        </w:tc>
        <w:tc>
          <w:tcPr>
            <w:tcW w:w="1065" w:type="dxa"/>
            <w:noWrap w:val="0"/>
            <w:vAlign w:val="top"/>
          </w:tcPr>
          <w:p w14:paraId="6464126E">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23A3E3A6">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21789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1217" w:type="dxa"/>
            <w:vMerge w:val="continue"/>
            <w:noWrap w:val="0"/>
            <w:vAlign w:val="center"/>
          </w:tcPr>
          <w:p w14:paraId="2F69C239">
            <w:pPr>
              <w:widowControl w:val="0"/>
              <w:jc w:val="center"/>
              <w:rPr>
                <w:rFonts w:ascii="宋体" w:hAnsi="宋体" w:cs="宋体"/>
                <w:color w:val="auto"/>
                <w:sz w:val="21"/>
                <w:szCs w:val="21"/>
                <w:highlight w:val="none"/>
              </w:rPr>
            </w:pPr>
          </w:p>
        </w:tc>
        <w:tc>
          <w:tcPr>
            <w:tcW w:w="5130" w:type="dxa"/>
            <w:noWrap w:val="0"/>
            <w:vAlign w:val="center"/>
          </w:tcPr>
          <w:p w14:paraId="7CEF4E6A">
            <w:pPr>
              <w:widowControl w:val="0"/>
              <w:rPr>
                <w:rFonts w:ascii="宋体" w:hAnsi="宋体" w:cs="宋体"/>
                <w:color w:val="auto"/>
                <w:sz w:val="21"/>
                <w:szCs w:val="21"/>
                <w:highlight w:val="none"/>
              </w:rPr>
            </w:pPr>
            <w:r>
              <w:rPr>
                <w:rFonts w:hint="eastAsia" w:ascii="宋体" w:hAnsi="宋体" w:cs="宋体"/>
                <w:color w:val="auto"/>
                <w:sz w:val="21"/>
                <w:szCs w:val="21"/>
                <w:highlight w:val="none"/>
              </w:rPr>
              <w:t xml:space="preserve">2、耐心解答患者及其家属提出的各种疑问，为患者提供就医方向、路线，选择最佳就医流程，使患者顺利完成诊疗、检查、检验（5分）   </w:t>
            </w:r>
          </w:p>
        </w:tc>
        <w:tc>
          <w:tcPr>
            <w:tcW w:w="1065" w:type="dxa"/>
            <w:noWrap w:val="0"/>
            <w:vAlign w:val="top"/>
          </w:tcPr>
          <w:p w14:paraId="26C04A79">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2E04C1EA">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1FC0B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1217" w:type="dxa"/>
            <w:vMerge w:val="continue"/>
            <w:noWrap w:val="0"/>
            <w:vAlign w:val="center"/>
          </w:tcPr>
          <w:p w14:paraId="26D28EBD">
            <w:pPr>
              <w:widowControl w:val="0"/>
              <w:jc w:val="center"/>
              <w:rPr>
                <w:rFonts w:ascii="宋体" w:hAnsi="宋体" w:cs="宋体"/>
                <w:color w:val="auto"/>
                <w:sz w:val="21"/>
                <w:szCs w:val="21"/>
                <w:highlight w:val="none"/>
              </w:rPr>
            </w:pPr>
          </w:p>
        </w:tc>
        <w:tc>
          <w:tcPr>
            <w:tcW w:w="5130" w:type="dxa"/>
            <w:noWrap w:val="0"/>
            <w:vAlign w:val="center"/>
          </w:tcPr>
          <w:p w14:paraId="0B738075">
            <w:pPr>
              <w:widowControl w:val="0"/>
              <w:rPr>
                <w:rFonts w:ascii="宋体" w:hAnsi="宋体" w:cs="宋体"/>
                <w:color w:val="auto"/>
                <w:sz w:val="21"/>
                <w:szCs w:val="21"/>
                <w:highlight w:val="none"/>
              </w:rPr>
            </w:pPr>
            <w:r>
              <w:rPr>
                <w:rFonts w:hint="eastAsia" w:ascii="宋体" w:hAnsi="宋体" w:cs="宋体"/>
                <w:color w:val="auto"/>
                <w:sz w:val="21"/>
                <w:szCs w:val="21"/>
                <w:highlight w:val="none"/>
              </w:rPr>
              <w:t>3、维持挂号缴费、就诊秩序，遇到自助设备或人工挂号窗口排长队，能及时疏导拥堵人群，分流至人流量较少的窗口或自助设备上（5分）</w:t>
            </w:r>
          </w:p>
        </w:tc>
        <w:tc>
          <w:tcPr>
            <w:tcW w:w="1065" w:type="dxa"/>
            <w:noWrap w:val="0"/>
            <w:vAlign w:val="top"/>
          </w:tcPr>
          <w:p w14:paraId="679EAE17">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43D61A97">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55357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jc w:val="center"/>
        </w:trPr>
        <w:tc>
          <w:tcPr>
            <w:tcW w:w="1217" w:type="dxa"/>
            <w:vMerge w:val="continue"/>
            <w:noWrap w:val="0"/>
            <w:vAlign w:val="center"/>
          </w:tcPr>
          <w:p w14:paraId="6C0A1015">
            <w:pPr>
              <w:widowControl w:val="0"/>
              <w:jc w:val="center"/>
              <w:rPr>
                <w:rFonts w:ascii="宋体" w:hAnsi="宋体" w:cs="宋体"/>
                <w:color w:val="auto"/>
                <w:sz w:val="21"/>
                <w:szCs w:val="21"/>
                <w:highlight w:val="none"/>
              </w:rPr>
            </w:pPr>
          </w:p>
        </w:tc>
        <w:tc>
          <w:tcPr>
            <w:tcW w:w="5130" w:type="dxa"/>
            <w:noWrap/>
            <w:vAlign w:val="center"/>
          </w:tcPr>
          <w:p w14:paraId="7EDED575">
            <w:pPr>
              <w:widowControl w:val="0"/>
              <w:rPr>
                <w:rFonts w:ascii="宋体" w:hAnsi="宋体" w:cs="宋体"/>
                <w:color w:val="auto"/>
                <w:sz w:val="21"/>
                <w:szCs w:val="21"/>
                <w:highlight w:val="none"/>
              </w:rPr>
            </w:pPr>
            <w:r>
              <w:rPr>
                <w:rFonts w:hint="eastAsia" w:ascii="宋体" w:hAnsi="宋体" w:cs="宋体"/>
                <w:color w:val="auto"/>
                <w:sz w:val="21"/>
                <w:szCs w:val="21"/>
                <w:highlight w:val="none"/>
              </w:rPr>
              <w:t>4、工作时主动巡查自助设备是否故障及缺纸，遇有故障及时报修，保持设备正常运行（5分）</w:t>
            </w:r>
          </w:p>
        </w:tc>
        <w:tc>
          <w:tcPr>
            <w:tcW w:w="1065" w:type="dxa"/>
            <w:noWrap w:val="0"/>
            <w:vAlign w:val="top"/>
          </w:tcPr>
          <w:p w14:paraId="69C0C6AB">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1C32E06C">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4CCB2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1217" w:type="dxa"/>
            <w:vMerge w:val="continue"/>
            <w:noWrap w:val="0"/>
            <w:vAlign w:val="center"/>
          </w:tcPr>
          <w:p w14:paraId="4724F37E">
            <w:pPr>
              <w:widowControl w:val="0"/>
              <w:jc w:val="center"/>
              <w:rPr>
                <w:rFonts w:ascii="宋体" w:hAnsi="宋体" w:cs="宋体"/>
                <w:color w:val="auto"/>
                <w:sz w:val="21"/>
                <w:szCs w:val="21"/>
                <w:highlight w:val="none"/>
              </w:rPr>
            </w:pPr>
          </w:p>
        </w:tc>
        <w:tc>
          <w:tcPr>
            <w:tcW w:w="5130" w:type="dxa"/>
            <w:noWrap w:val="0"/>
            <w:vAlign w:val="center"/>
          </w:tcPr>
          <w:p w14:paraId="2EEC3729">
            <w:pPr>
              <w:widowControl w:val="0"/>
              <w:rPr>
                <w:rFonts w:ascii="宋体" w:hAnsi="宋体" w:cs="宋体"/>
                <w:color w:val="auto"/>
                <w:sz w:val="21"/>
                <w:szCs w:val="21"/>
                <w:highlight w:val="none"/>
              </w:rPr>
            </w:pPr>
            <w:r>
              <w:rPr>
                <w:rFonts w:hint="eastAsia" w:ascii="宋体" w:hAnsi="宋体" w:cs="宋体"/>
                <w:color w:val="auto"/>
                <w:sz w:val="21"/>
                <w:szCs w:val="21"/>
                <w:highlight w:val="none"/>
              </w:rPr>
              <w:t>5、工作时不得倚靠自助设备，经常在区域内巡视，观察门诊大厅、楼层信息动态，主动维持秩序，分流患者（5分）</w:t>
            </w:r>
          </w:p>
        </w:tc>
        <w:tc>
          <w:tcPr>
            <w:tcW w:w="1065" w:type="dxa"/>
            <w:noWrap w:val="0"/>
            <w:vAlign w:val="top"/>
          </w:tcPr>
          <w:p w14:paraId="3E01F785">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1F863D40">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140A0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217" w:type="dxa"/>
            <w:vMerge w:val="continue"/>
            <w:noWrap w:val="0"/>
            <w:vAlign w:val="center"/>
          </w:tcPr>
          <w:p w14:paraId="449F24B6">
            <w:pPr>
              <w:widowControl w:val="0"/>
              <w:jc w:val="center"/>
              <w:rPr>
                <w:rFonts w:ascii="宋体" w:hAnsi="宋体" w:cs="宋体"/>
                <w:color w:val="auto"/>
                <w:sz w:val="21"/>
                <w:szCs w:val="21"/>
                <w:highlight w:val="none"/>
              </w:rPr>
            </w:pPr>
          </w:p>
        </w:tc>
        <w:tc>
          <w:tcPr>
            <w:tcW w:w="5130" w:type="dxa"/>
            <w:noWrap w:val="0"/>
            <w:vAlign w:val="center"/>
          </w:tcPr>
          <w:p w14:paraId="7EDA234D">
            <w:pPr>
              <w:widowControl w:val="0"/>
              <w:rPr>
                <w:rFonts w:ascii="宋体" w:hAnsi="宋体" w:cs="宋体"/>
                <w:color w:val="auto"/>
                <w:sz w:val="21"/>
                <w:szCs w:val="21"/>
                <w:highlight w:val="none"/>
              </w:rPr>
            </w:pPr>
            <w:r>
              <w:rPr>
                <w:rFonts w:hint="eastAsia" w:ascii="宋体" w:hAnsi="宋体" w:cs="宋体"/>
                <w:color w:val="auto"/>
                <w:sz w:val="21"/>
                <w:szCs w:val="21"/>
                <w:highlight w:val="none"/>
              </w:rPr>
              <w:t>6、为患者提供便民服务，排忧解难，对急危患者，应立即协助送检查，必要时陪送到位（5分）</w:t>
            </w:r>
          </w:p>
        </w:tc>
        <w:tc>
          <w:tcPr>
            <w:tcW w:w="1065" w:type="dxa"/>
            <w:noWrap w:val="0"/>
            <w:vAlign w:val="top"/>
          </w:tcPr>
          <w:p w14:paraId="50806B3F">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391EC339">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07698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217" w:type="dxa"/>
            <w:vMerge w:val="continue"/>
            <w:noWrap w:val="0"/>
            <w:vAlign w:val="center"/>
          </w:tcPr>
          <w:p w14:paraId="0454CD3D">
            <w:pPr>
              <w:widowControl w:val="0"/>
              <w:jc w:val="center"/>
              <w:rPr>
                <w:rFonts w:ascii="宋体" w:hAnsi="宋体" w:cs="宋体"/>
                <w:color w:val="auto"/>
                <w:sz w:val="21"/>
                <w:szCs w:val="21"/>
                <w:highlight w:val="none"/>
              </w:rPr>
            </w:pPr>
          </w:p>
        </w:tc>
        <w:tc>
          <w:tcPr>
            <w:tcW w:w="5130" w:type="dxa"/>
            <w:noWrap w:val="0"/>
            <w:vAlign w:val="center"/>
          </w:tcPr>
          <w:p w14:paraId="656A93CA">
            <w:pPr>
              <w:widowControl w:val="0"/>
              <w:rPr>
                <w:rFonts w:ascii="宋体" w:hAnsi="宋体" w:cs="宋体"/>
                <w:color w:val="auto"/>
                <w:sz w:val="21"/>
                <w:szCs w:val="21"/>
                <w:highlight w:val="none"/>
              </w:rPr>
            </w:pPr>
            <w:r>
              <w:rPr>
                <w:rFonts w:hint="eastAsia" w:ascii="宋体" w:hAnsi="宋体" w:cs="宋体"/>
                <w:color w:val="auto"/>
                <w:sz w:val="21"/>
                <w:szCs w:val="21"/>
                <w:highlight w:val="none"/>
              </w:rPr>
              <w:t>7、加强健康教育，为患者提供健康宣传资料，如发放院报、健康知识手册等，负责宣教栏的整理，保持宣教材料放置有序（5分）</w:t>
            </w:r>
          </w:p>
        </w:tc>
        <w:tc>
          <w:tcPr>
            <w:tcW w:w="1065" w:type="dxa"/>
            <w:noWrap w:val="0"/>
            <w:vAlign w:val="top"/>
          </w:tcPr>
          <w:p w14:paraId="1A49203B">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5B25ED06">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3D9DD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1217" w:type="dxa"/>
            <w:vMerge w:val="continue"/>
            <w:noWrap w:val="0"/>
            <w:vAlign w:val="center"/>
          </w:tcPr>
          <w:p w14:paraId="6B44465D">
            <w:pPr>
              <w:widowControl w:val="0"/>
              <w:jc w:val="center"/>
              <w:rPr>
                <w:rFonts w:ascii="宋体" w:hAnsi="宋体" w:cs="宋体"/>
                <w:color w:val="auto"/>
                <w:sz w:val="21"/>
                <w:szCs w:val="21"/>
                <w:highlight w:val="none"/>
              </w:rPr>
            </w:pPr>
          </w:p>
        </w:tc>
        <w:tc>
          <w:tcPr>
            <w:tcW w:w="5130" w:type="dxa"/>
            <w:noWrap w:val="0"/>
            <w:vAlign w:val="center"/>
          </w:tcPr>
          <w:p w14:paraId="4F1A08EE">
            <w:pPr>
              <w:widowControl w:val="0"/>
              <w:rPr>
                <w:rFonts w:ascii="宋体" w:hAnsi="宋体" w:cs="宋体"/>
                <w:color w:val="auto"/>
                <w:sz w:val="21"/>
                <w:szCs w:val="21"/>
                <w:highlight w:val="none"/>
              </w:rPr>
            </w:pPr>
            <w:r>
              <w:rPr>
                <w:rFonts w:hint="eastAsia" w:ascii="宋体" w:hAnsi="宋体" w:cs="宋体"/>
                <w:color w:val="auto"/>
                <w:sz w:val="21"/>
                <w:szCs w:val="21"/>
                <w:highlight w:val="none"/>
              </w:rPr>
              <w:t xml:space="preserve">8、积极配合完成门诊部及导医组长安排的其他工作内容（10分） </w:t>
            </w:r>
          </w:p>
        </w:tc>
        <w:tc>
          <w:tcPr>
            <w:tcW w:w="1065" w:type="dxa"/>
            <w:noWrap w:val="0"/>
            <w:vAlign w:val="top"/>
          </w:tcPr>
          <w:p w14:paraId="11951A6F">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106F1C5E">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7B2B1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1217" w:type="dxa"/>
            <w:vMerge w:val="restart"/>
            <w:noWrap w:val="0"/>
            <w:vAlign w:val="center"/>
          </w:tcPr>
          <w:p w14:paraId="14F44F9F">
            <w:pPr>
              <w:widowControl w:val="0"/>
              <w:jc w:val="center"/>
              <w:rPr>
                <w:rFonts w:ascii="宋体" w:hAnsi="宋体" w:cs="宋体"/>
                <w:color w:val="auto"/>
                <w:sz w:val="21"/>
                <w:szCs w:val="21"/>
                <w:highlight w:val="none"/>
              </w:rPr>
            </w:pPr>
            <w:r>
              <w:rPr>
                <w:rFonts w:hint="eastAsia" w:ascii="宋体" w:hAnsi="宋体" w:cs="宋体"/>
                <w:color w:val="auto"/>
                <w:sz w:val="21"/>
                <w:szCs w:val="21"/>
                <w:highlight w:val="none"/>
              </w:rPr>
              <w:t>劳动纪律（15分）</w:t>
            </w:r>
          </w:p>
        </w:tc>
        <w:tc>
          <w:tcPr>
            <w:tcW w:w="5130" w:type="dxa"/>
            <w:noWrap w:val="0"/>
            <w:vAlign w:val="center"/>
          </w:tcPr>
          <w:p w14:paraId="59A46709">
            <w:pPr>
              <w:widowControl w:val="0"/>
              <w:rPr>
                <w:rFonts w:ascii="宋体" w:hAnsi="宋体" w:cs="宋体"/>
                <w:color w:val="auto"/>
                <w:sz w:val="21"/>
                <w:szCs w:val="21"/>
                <w:highlight w:val="none"/>
              </w:rPr>
            </w:pPr>
            <w:r>
              <w:rPr>
                <w:rFonts w:hint="eastAsia" w:ascii="宋体" w:hAnsi="宋体" w:cs="宋体"/>
                <w:color w:val="auto"/>
                <w:sz w:val="21"/>
                <w:szCs w:val="21"/>
                <w:highlight w:val="none"/>
              </w:rPr>
              <w:t>1、严格遵守医院各项规章制度，准时上下班，不迟到早退，无故缺席、旷工（5分）</w:t>
            </w:r>
          </w:p>
        </w:tc>
        <w:tc>
          <w:tcPr>
            <w:tcW w:w="1065" w:type="dxa"/>
            <w:noWrap w:val="0"/>
            <w:vAlign w:val="top"/>
          </w:tcPr>
          <w:p w14:paraId="052E7643">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1636EE59">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0C126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1217" w:type="dxa"/>
            <w:vMerge w:val="continue"/>
            <w:noWrap w:val="0"/>
            <w:vAlign w:val="center"/>
          </w:tcPr>
          <w:p w14:paraId="472E8189">
            <w:pPr>
              <w:widowControl w:val="0"/>
              <w:jc w:val="center"/>
              <w:rPr>
                <w:rFonts w:ascii="宋体" w:hAnsi="宋体" w:cs="宋体"/>
                <w:color w:val="auto"/>
                <w:sz w:val="21"/>
                <w:szCs w:val="21"/>
                <w:highlight w:val="none"/>
              </w:rPr>
            </w:pPr>
          </w:p>
        </w:tc>
        <w:tc>
          <w:tcPr>
            <w:tcW w:w="5130" w:type="dxa"/>
            <w:noWrap w:val="0"/>
            <w:vAlign w:val="center"/>
          </w:tcPr>
          <w:p w14:paraId="7917FC84">
            <w:pPr>
              <w:widowControl w:val="0"/>
              <w:rPr>
                <w:rFonts w:ascii="宋体" w:hAnsi="宋体" w:cs="宋体"/>
                <w:color w:val="auto"/>
                <w:sz w:val="21"/>
                <w:szCs w:val="21"/>
                <w:highlight w:val="none"/>
              </w:rPr>
            </w:pPr>
            <w:r>
              <w:rPr>
                <w:rFonts w:hint="eastAsia" w:ascii="宋体" w:hAnsi="宋体" w:cs="宋体"/>
                <w:color w:val="auto"/>
                <w:sz w:val="21"/>
                <w:szCs w:val="21"/>
                <w:highlight w:val="none"/>
              </w:rPr>
              <w:t>2、遵守劳动纪律，严格请假制度，未经上级批准不能私下调班，待审批后请假（4分）</w:t>
            </w:r>
          </w:p>
        </w:tc>
        <w:tc>
          <w:tcPr>
            <w:tcW w:w="1065" w:type="dxa"/>
            <w:noWrap w:val="0"/>
            <w:vAlign w:val="top"/>
          </w:tcPr>
          <w:p w14:paraId="50E38635">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7A1DE28C">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5E281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217" w:type="dxa"/>
            <w:vMerge w:val="continue"/>
            <w:noWrap w:val="0"/>
            <w:vAlign w:val="center"/>
          </w:tcPr>
          <w:p w14:paraId="594DCF8F">
            <w:pPr>
              <w:widowControl w:val="0"/>
              <w:jc w:val="center"/>
              <w:rPr>
                <w:rFonts w:ascii="宋体" w:hAnsi="宋体" w:cs="宋体"/>
                <w:color w:val="auto"/>
                <w:sz w:val="21"/>
                <w:szCs w:val="21"/>
                <w:highlight w:val="none"/>
              </w:rPr>
            </w:pPr>
          </w:p>
        </w:tc>
        <w:tc>
          <w:tcPr>
            <w:tcW w:w="5130" w:type="dxa"/>
            <w:noWrap w:val="0"/>
            <w:vAlign w:val="center"/>
          </w:tcPr>
          <w:p w14:paraId="6BBC297E">
            <w:pPr>
              <w:widowControl w:val="0"/>
              <w:rPr>
                <w:rFonts w:ascii="宋体" w:hAnsi="宋体" w:cs="宋体"/>
                <w:color w:val="auto"/>
                <w:sz w:val="21"/>
                <w:szCs w:val="21"/>
                <w:highlight w:val="none"/>
              </w:rPr>
            </w:pPr>
            <w:r>
              <w:rPr>
                <w:rFonts w:hint="eastAsia" w:ascii="宋体" w:hAnsi="宋体" w:cs="宋体"/>
                <w:color w:val="auto"/>
                <w:sz w:val="21"/>
                <w:szCs w:val="21"/>
                <w:highlight w:val="none"/>
              </w:rPr>
              <w:t>3、坚守岗位，不串岗、不脱岗、不逗留、不闲谈、不玩手机，不做与工作无关的事（4分）</w:t>
            </w:r>
          </w:p>
        </w:tc>
        <w:tc>
          <w:tcPr>
            <w:tcW w:w="1065" w:type="dxa"/>
            <w:noWrap w:val="0"/>
            <w:vAlign w:val="top"/>
          </w:tcPr>
          <w:p w14:paraId="303F765F">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5E22FF0D">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3A958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1217" w:type="dxa"/>
            <w:vMerge w:val="continue"/>
            <w:noWrap w:val="0"/>
            <w:vAlign w:val="center"/>
          </w:tcPr>
          <w:p w14:paraId="34F74232">
            <w:pPr>
              <w:widowControl w:val="0"/>
              <w:jc w:val="center"/>
              <w:rPr>
                <w:rFonts w:ascii="宋体" w:hAnsi="宋体" w:cs="宋体"/>
                <w:color w:val="auto"/>
                <w:sz w:val="21"/>
                <w:szCs w:val="21"/>
                <w:highlight w:val="none"/>
              </w:rPr>
            </w:pPr>
          </w:p>
        </w:tc>
        <w:tc>
          <w:tcPr>
            <w:tcW w:w="5130" w:type="dxa"/>
            <w:noWrap w:val="0"/>
            <w:vAlign w:val="center"/>
          </w:tcPr>
          <w:p w14:paraId="6F39A5E3">
            <w:pPr>
              <w:widowControl w:val="0"/>
              <w:rPr>
                <w:rFonts w:ascii="宋体" w:hAnsi="宋体" w:cs="宋体"/>
                <w:color w:val="auto"/>
                <w:sz w:val="21"/>
                <w:szCs w:val="21"/>
                <w:highlight w:val="none"/>
              </w:rPr>
            </w:pPr>
            <w:r>
              <w:rPr>
                <w:rFonts w:hint="eastAsia" w:ascii="宋体" w:hAnsi="宋体" w:cs="宋体"/>
                <w:color w:val="auto"/>
                <w:sz w:val="21"/>
                <w:szCs w:val="21"/>
                <w:highlight w:val="none"/>
              </w:rPr>
              <w:t>4、配合医院、导医组长工作调配（2分）</w:t>
            </w:r>
          </w:p>
        </w:tc>
        <w:tc>
          <w:tcPr>
            <w:tcW w:w="1065" w:type="dxa"/>
            <w:noWrap w:val="0"/>
            <w:vAlign w:val="top"/>
          </w:tcPr>
          <w:p w14:paraId="3DDC1960">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09871764">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5E621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1217" w:type="dxa"/>
            <w:vMerge w:val="restart"/>
            <w:noWrap w:val="0"/>
            <w:vAlign w:val="center"/>
          </w:tcPr>
          <w:p w14:paraId="277AC0D5">
            <w:pPr>
              <w:widowControl w:val="0"/>
              <w:jc w:val="center"/>
              <w:rPr>
                <w:rFonts w:ascii="宋体" w:hAnsi="宋体" w:cs="宋体"/>
                <w:color w:val="auto"/>
                <w:sz w:val="21"/>
                <w:szCs w:val="21"/>
                <w:highlight w:val="none"/>
              </w:rPr>
            </w:pPr>
            <w:r>
              <w:rPr>
                <w:rFonts w:hint="eastAsia" w:ascii="宋体" w:hAnsi="宋体" w:cs="宋体"/>
                <w:color w:val="auto"/>
                <w:sz w:val="21"/>
                <w:szCs w:val="21"/>
                <w:highlight w:val="none"/>
              </w:rPr>
              <w:t>团队精神思想道德行为作风（10分）</w:t>
            </w:r>
          </w:p>
        </w:tc>
        <w:tc>
          <w:tcPr>
            <w:tcW w:w="5130" w:type="dxa"/>
            <w:noWrap w:val="0"/>
            <w:vAlign w:val="center"/>
          </w:tcPr>
          <w:p w14:paraId="35C6D891">
            <w:pPr>
              <w:widowControl w:val="0"/>
              <w:rPr>
                <w:rFonts w:ascii="宋体" w:hAnsi="宋体" w:cs="宋体"/>
                <w:color w:val="auto"/>
                <w:sz w:val="21"/>
                <w:szCs w:val="21"/>
                <w:highlight w:val="none"/>
              </w:rPr>
            </w:pPr>
            <w:r>
              <w:rPr>
                <w:rFonts w:hint="eastAsia" w:ascii="宋体" w:hAnsi="宋体" w:cs="宋体"/>
                <w:color w:val="auto"/>
                <w:sz w:val="21"/>
                <w:szCs w:val="21"/>
                <w:highlight w:val="none"/>
              </w:rPr>
              <w:t>1、良好的服务意识及团队精神，协调好组员之间的关系（4分）</w:t>
            </w:r>
          </w:p>
        </w:tc>
        <w:tc>
          <w:tcPr>
            <w:tcW w:w="1065" w:type="dxa"/>
            <w:noWrap w:val="0"/>
            <w:vAlign w:val="top"/>
          </w:tcPr>
          <w:p w14:paraId="3BFA0327">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4C7A143B">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35764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1217" w:type="dxa"/>
            <w:vMerge w:val="continue"/>
            <w:noWrap w:val="0"/>
            <w:vAlign w:val="center"/>
          </w:tcPr>
          <w:p w14:paraId="31F4E32E">
            <w:pPr>
              <w:widowControl w:val="0"/>
              <w:jc w:val="center"/>
              <w:rPr>
                <w:rFonts w:ascii="宋体" w:hAnsi="宋体" w:cs="宋体"/>
                <w:color w:val="auto"/>
                <w:sz w:val="21"/>
                <w:szCs w:val="21"/>
                <w:highlight w:val="none"/>
              </w:rPr>
            </w:pPr>
          </w:p>
        </w:tc>
        <w:tc>
          <w:tcPr>
            <w:tcW w:w="5130" w:type="dxa"/>
            <w:noWrap w:val="0"/>
            <w:vAlign w:val="center"/>
          </w:tcPr>
          <w:p w14:paraId="6E5C4044">
            <w:pPr>
              <w:widowControl w:val="0"/>
              <w:rPr>
                <w:rFonts w:ascii="宋体" w:hAnsi="宋体" w:cs="宋体"/>
                <w:color w:val="auto"/>
                <w:sz w:val="21"/>
                <w:szCs w:val="21"/>
                <w:highlight w:val="none"/>
              </w:rPr>
            </w:pPr>
            <w:r>
              <w:rPr>
                <w:rFonts w:hint="eastAsia" w:ascii="宋体" w:hAnsi="宋体" w:cs="宋体"/>
                <w:color w:val="auto"/>
                <w:sz w:val="21"/>
                <w:szCs w:val="21"/>
                <w:highlight w:val="none"/>
              </w:rPr>
              <w:t>2、维护医院的良好形象及声誉，爱护医院的公共财产（3分）</w:t>
            </w:r>
          </w:p>
        </w:tc>
        <w:tc>
          <w:tcPr>
            <w:tcW w:w="1065" w:type="dxa"/>
            <w:noWrap w:val="0"/>
            <w:vAlign w:val="top"/>
          </w:tcPr>
          <w:p w14:paraId="1EB75678">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746506F4">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r w14:paraId="6DB19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1217" w:type="dxa"/>
            <w:vMerge w:val="continue"/>
            <w:noWrap w:val="0"/>
            <w:vAlign w:val="center"/>
          </w:tcPr>
          <w:p w14:paraId="638C88EA">
            <w:pPr>
              <w:widowControl w:val="0"/>
              <w:jc w:val="center"/>
              <w:rPr>
                <w:rFonts w:ascii="宋体" w:hAnsi="宋体" w:cs="宋体"/>
                <w:color w:val="auto"/>
                <w:sz w:val="21"/>
                <w:szCs w:val="21"/>
                <w:highlight w:val="none"/>
              </w:rPr>
            </w:pPr>
          </w:p>
        </w:tc>
        <w:tc>
          <w:tcPr>
            <w:tcW w:w="5130" w:type="dxa"/>
            <w:noWrap w:val="0"/>
            <w:vAlign w:val="center"/>
          </w:tcPr>
          <w:p w14:paraId="69C48579">
            <w:pPr>
              <w:widowControl w:val="0"/>
              <w:rPr>
                <w:rFonts w:ascii="宋体" w:hAnsi="宋体" w:cs="宋体"/>
                <w:color w:val="auto"/>
                <w:sz w:val="21"/>
                <w:szCs w:val="21"/>
                <w:highlight w:val="none"/>
              </w:rPr>
            </w:pPr>
            <w:r>
              <w:rPr>
                <w:rFonts w:hint="eastAsia" w:ascii="宋体" w:hAnsi="宋体" w:cs="宋体"/>
                <w:color w:val="auto"/>
                <w:sz w:val="21"/>
                <w:szCs w:val="21"/>
                <w:highlight w:val="none"/>
              </w:rPr>
              <w:t>3、作风正派，时刻保持良好的个人形象（3分）</w:t>
            </w:r>
          </w:p>
        </w:tc>
        <w:tc>
          <w:tcPr>
            <w:tcW w:w="1065" w:type="dxa"/>
            <w:noWrap w:val="0"/>
            <w:vAlign w:val="top"/>
          </w:tcPr>
          <w:p w14:paraId="5BFC8DA5">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c>
          <w:tcPr>
            <w:tcW w:w="1114" w:type="dxa"/>
            <w:noWrap w:val="0"/>
            <w:vAlign w:val="top"/>
          </w:tcPr>
          <w:p w14:paraId="58A928B5">
            <w:pPr>
              <w:widowControl w:val="0"/>
              <w:rPr>
                <w:rFonts w:ascii="宋体" w:hAnsi="宋体" w:cs="宋体"/>
                <w:color w:val="auto"/>
                <w:sz w:val="21"/>
                <w:szCs w:val="21"/>
                <w:highlight w:val="none"/>
              </w:rPr>
            </w:pPr>
            <w:r>
              <w:rPr>
                <w:rFonts w:hint="eastAsia" w:ascii="宋体" w:hAnsi="宋体" w:cs="宋体"/>
                <w:color w:val="auto"/>
                <w:sz w:val="21"/>
                <w:szCs w:val="21"/>
                <w:highlight w:val="none"/>
              </w:rPr>
              <w:t>　</w:t>
            </w:r>
          </w:p>
        </w:tc>
      </w:tr>
    </w:tbl>
    <w:p w14:paraId="32C97065">
      <w:pPr>
        <w:tabs>
          <w:tab w:val="left" w:pos="360"/>
          <w:tab w:val="left" w:pos="4320"/>
        </w:tabs>
        <w:spacing w:line="440" w:lineRule="exact"/>
        <w:jc w:val="both"/>
        <w:rPr>
          <w:rFonts w:ascii="宋体" w:hAnsi="宋体" w:cs="宋体"/>
          <w:b/>
          <w:color w:val="auto"/>
          <w:sz w:val="21"/>
          <w:szCs w:val="21"/>
          <w:highlight w:val="none"/>
        </w:rPr>
      </w:pPr>
      <w:r>
        <w:rPr>
          <w:rFonts w:hint="eastAsia" w:ascii="宋体" w:hAnsi="宋体" w:cs="宋体"/>
          <w:b/>
          <w:color w:val="auto"/>
          <w:sz w:val="21"/>
          <w:szCs w:val="21"/>
          <w:highlight w:val="none"/>
        </w:rPr>
        <w:t>检查人：                中标单位负责人 ：        检查时间 ：</w:t>
      </w:r>
    </w:p>
    <w:p w14:paraId="7D06E4F3">
      <w:pPr>
        <w:tabs>
          <w:tab w:val="left" w:pos="840"/>
        </w:tabs>
        <w:spacing w:line="360" w:lineRule="auto"/>
        <w:ind w:firstLine="420"/>
        <w:rPr>
          <w:rFonts w:ascii="宋体" w:hAnsi="宋体" w:cs="宋体"/>
          <w:color w:val="auto"/>
          <w:sz w:val="21"/>
          <w:szCs w:val="21"/>
          <w:highlight w:val="none"/>
        </w:rPr>
      </w:pPr>
    </w:p>
    <w:p w14:paraId="7B9A0FFF">
      <w:pPr>
        <w:tabs>
          <w:tab w:val="left" w:pos="840"/>
        </w:tabs>
        <w:spacing w:line="360" w:lineRule="auto"/>
        <w:ind w:firstLine="420"/>
        <w:rPr>
          <w:rFonts w:ascii="宋体" w:hAnsi="宋体" w:cs="宋体"/>
          <w:color w:val="auto"/>
          <w:sz w:val="21"/>
          <w:szCs w:val="21"/>
          <w:highlight w:val="none"/>
        </w:rPr>
      </w:pPr>
    </w:p>
    <w:p w14:paraId="5C5675E4">
      <w:pPr>
        <w:tabs>
          <w:tab w:val="left" w:pos="840"/>
        </w:tabs>
        <w:spacing w:line="360" w:lineRule="auto"/>
        <w:ind w:firstLine="420"/>
        <w:rPr>
          <w:rFonts w:hint="eastAsia" w:ascii="宋体" w:hAnsi="宋体" w:cs="宋体"/>
          <w:bCs/>
          <w:color w:val="auto"/>
          <w:sz w:val="21"/>
          <w:szCs w:val="21"/>
          <w:highlight w:val="none"/>
        </w:rPr>
      </w:pPr>
      <w:r>
        <w:rPr>
          <w:rFonts w:hint="eastAsia" w:ascii="宋体" w:hAnsi="宋体" w:cs="宋体"/>
          <w:color w:val="auto"/>
          <w:sz w:val="21"/>
          <w:szCs w:val="21"/>
          <w:highlight w:val="none"/>
        </w:rPr>
        <w:t>以上考核表主要用于质量工作的检查与考核，主要目的是不断提升工作质量和服务</w:t>
      </w:r>
      <w:r>
        <w:rPr>
          <w:rFonts w:hint="eastAsia" w:ascii="宋体" w:hAnsi="宋体" w:cs="宋体"/>
          <w:bCs/>
          <w:color w:val="auto"/>
          <w:sz w:val="21"/>
          <w:szCs w:val="21"/>
          <w:highlight w:val="none"/>
        </w:rPr>
        <w:t>水平，考核表内容在管理过程中结合实际允许不断修订。</w:t>
      </w:r>
    </w:p>
    <w:p w14:paraId="7A5F0328">
      <w:pPr>
        <w:pStyle w:val="16"/>
        <w:rPr>
          <w:rFonts w:hint="eastAsia" w:ascii="宋体" w:hAnsi="宋体" w:cs="宋体"/>
          <w:bCs/>
          <w:color w:val="auto"/>
          <w:sz w:val="21"/>
          <w:szCs w:val="21"/>
          <w:highlight w:val="none"/>
        </w:rPr>
      </w:pPr>
    </w:p>
    <w:tbl>
      <w:tblPr>
        <w:tblStyle w:val="38"/>
        <w:tblW w:w="8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1"/>
        <w:gridCol w:w="5709"/>
      </w:tblGrid>
      <w:tr w14:paraId="62ABE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3201" w:type="dxa"/>
            <w:tcBorders>
              <w:top w:val="single" w:color="auto" w:sz="4" w:space="0"/>
              <w:left w:val="single" w:color="auto" w:sz="4" w:space="0"/>
              <w:bottom w:val="single" w:color="auto" w:sz="4" w:space="0"/>
              <w:right w:val="single" w:color="auto" w:sz="4" w:space="0"/>
            </w:tcBorders>
            <w:noWrap w:val="0"/>
            <w:vAlign w:val="center"/>
          </w:tcPr>
          <w:p w14:paraId="1B619729">
            <w:pPr>
              <w:spacing w:line="360" w:lineRule="auto"/>
              <w:jc w:val="center"/>
              <w:rPr>
                <w:rFonts w:ascii="宋体" w:hAnsi="宋体" w:cs="宋体"/>
                <w:b/>
                <w:bCs/>
                <w:color w:val="auto"/>
                <w:sz w:val="21"/>
                <w:szCs w:val="21"/>
              </w:rPr>
            </w:pPr>
            <w:r>
              <w:rPr>
                <w:rFonts w:hint="eastAsia" w:ascii="宋体" w:hAnsi="宋体" w:cs="宋体"/>
                <w:b/>
                <w:bCs/>
                <w:color w:val="auto"/>
                <w:sz w:val="21"/>
                <w:szCs w:val="21"/>
              </w:rPr>
              <w:t>当月得分</w:t>
            </w:r>
          </w:p>
        </w:tc>
        <w:tc>
          <w:tcPr>
            <w:tcW w:w="5709" w:type="dxa"/>
            <w:tcBorders>
              <w:top w:val="single" w:color="auto" w:sz="4" w:space="0"/>
              <w:left w:val="single" w:color="auto" w:sz="4" w:space="0"/>
              <w:bottom w:val="single" w:color="auto" w:sz="4" w:space="0"/>
              <w:right w:val="single" w:color="auto" w:sz="4" w:space="0"/>
            </w:tcBorders>
            <w:noWrap w:val="0"/>
            <w:vAlign w:val="center"/>
          </w:tcPr>
          <w:p w14:paraId="52375A17">
            <w:pPr>
              <w:spacing w:line="360" w:lineRule="auto"/>
              <w:jc w:val="center"/>
              <w:rPr>
                <w:rFonts w:ascii="宋体" w:hAnsi="宋体" w:cs="宋体"/>
                <w:b/>
                <w:bCs/>
                <w:color w:val="auto"/>
                <w:sz w:val="21"/>
                <w:szCs w:val="21"/>
              </w:rPr>
            </w:pPr>
            <w:r>
              <w:rPr>
                <w:rFonts w:hint="eastAsia" w:ascii="宋体" w:hAnsi="宋体" w:cs="宋体"/>
                <w:b/>
                <w:bCs/>
                <w:color w:val="auto"/>
                <w:sz w:val="21"/>
                <w:szCs w:val="21"/>
              </w:rPr>
              <w:t>当月物业费支付</w:t>
            </w:r>
          </w:p>
        </w:tc>
      </w:tr>
      <w:tr w14:paraId="5E6DE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3201" w:type="dxa"/>
            <w:tcBorders>
              <w:top w:val="single" w:color="auto" w:sz="4" w:space="0"/>
              <w:left w:val="single" w:color="auto" w:sz="4" w:space="0"/>
              <w:bottom w:val="single" w:color="auto" w:sz="4" w:space="0"/>
              <w:right w:val="single" w:color="auto" w:sz="4" w:space="0"/>
            </w:tcBorders>
            <w:noWrap w:val="0"/>
            <w:vAlign w:val="center"/>
          </w:tcPr>
          <w:p w14:paraId="2B5B5DF5">
            <w:pPr>
              <w:spacing w:line="360" w:lineRule="auto"/>
              <w:jc w:val="left"/>
              <w:rPr>
                <w:rFonts w:ascii="宋体" w:hAnsi="宋体" w:cs="宋体"/>
                <w:color w:val="auto"/>
                <w:sz w:val="21"/>
                <w:szCs w:val="21"/>
              </w:rPr>
            </w:pPr>
            <w:r>
              <w:rPr>
                <w:rFonts w:hint="eastAsia" w:ascii="宋体" w:hAnsi="宋体" w:cs="宋体"/>
                <w:color w:val="auto"/>
                <w:sz w:val="21"/>
                <w:szCs w:val="21"/>
                <w:lang w:val="en-US" w:eastAsia="zh-CN"/>
              </w:rPr>
              <w:t>均分</w:t>
            </w:r>
            <w:r>
              <w:rPr>
                <w:rFonts w:hint="eastAsia" w:ascii="宋体" w:hAnsi="宋体" w:cs="宋体"/>
                <w:color w:val="auto"/>
                <w:sz w:val="21"/>
                <w:szCs w:val="21"/>
              </w:rPr>
              <w:t>不得低于</w:t>
            </w:r>
            <w:r>
              <w:rPr>
                <w:rFonts w:hint="eastAsia" w:ascii="宋体" w:hAnsi="宋体" w:cs="宋体"/>
                <w:color w:val="auto"/>
                <w:sz w:val="21"/>
                <w:szCs w:val="21"/>
                <w:lang w:val="en-US" w:eastAsia="zh-CN"/>
              </w:rPr>
              <w:t>90</w:t>
            </w:r>
            <w:r>
              <w:rPr>
                <w:rFonts w:hint="eastAsia" w:ascii="宋体" w:hAnsi="宋体" w:cs="宋体"/>
                <w:color w:val="auto"/>
                <w:sz w:val="21"/>
                <w:szCs w:val="21"/>
              </w:rPr>
              <w:t>分</w:t>
            </w:r>
          </w:p>
        </w:tc>
        <w:tc>
          <w:tcPr>
            <w:tcW w:w="5709" w:type="dxa"/>
            <w:tcBorders>
              <w:top w:val="single" w:color="auto" w:sz="4" w:space="0"/>
              <w:left w:val="single" w:color="auto" w:sz="4" w:space="0"/>
              <w:bottom w:val="single" w:color="auto" w:sz="4" w:space="0"/>
              <w:right w:val="single" w:color="auto" w:sz="4" w:space="0"/>
            </w:tcBorders>
            <w:noWrap w:val="0"/>
            <w:vAlign w:val="center"/>
          </w:tcPr>
          <w:p w14:paraId="771A28CA">
            <w:pPr>
              <w:spacing w:line="36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eastAsia="zh-CN"/>
              </w:rPr>
              <w:t>每下降</w:t>
            </w:r>
            <w:r>
              <w:rPr>
                <w:rFonts w:hint="eastAsia" w:ascii="宋体" w:hAnsi="宋体" w:cs="宋体"/>
                <w:color w:val="auto"/>
                <w:sz w:val="21"/>
                <w:szCs w:val="21"/>
                <w:lang w:val="en-US" w:eastAsia="zh-CN"/>
              </w:rPr>
              <w:t>1分，扣除服务费1%</w:t>
            </w:r>
          </w:p>
        </w:tc>
      </w:tr>
      <w:tr w14:paraId="0B86B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3201" w:type="dxa"/>
            <w:tcBorders>
              <w:top w:val="single" w:color="auto" w:sz="4" w:space="0"/>
              <w:left w:val="single" w:color="auto" w:sz="4" w:space="0"/>
              <w:bottom w:val="single" w:color="auto" w:sz="4" w:space="0"/>
              <w:right w:val="single" w:color="auto" w:sz="4" w:space="0"/>
            </w:tcBorders>
            <w:noWrap w:val="0"/>
            <w:vAlign w:val="center"/>
          </w:tcPr>
          <w:p w14:paraId="71ECDD15">
            <w:pPr>
              <w:spacing w:line="360" w:lineRule="auto"/>
              <w:jc w:val="left"/>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每个服务年度单月</w:t>
            </w:r>
            <w:r>
              <w:rPr>
                <w:rFonts w:hint="eastAsia" w:ascii="宋体" w:hAnsi="宋体" w:cs="宋体"/>
                <w:color w:val="auto"/>
                <w:sz w:val="21"/>
                <w:szCs w:val="21"/>
              </w:rPr>
              <w:t>总单项</w:t>
            </w:r>
            <w:r>
              <w:rPr>
                <w:rFonts w:hint="eastAsia" w:ascii="宋体" w:hAnsi="宋体" w:cs="宋体"/>
                <w:color w:val="auto"/>
                <w:sz w:val="21"/>
                <w:szCs w:val="21"/>
                <w:lang w:val="en-US" w:eastAsia="zh-CN"/>
              </w:rPr>
              <w:t>均分</w:t>
            </w:r>
            <w:r>
              <w:rPr>
                <w:rFonts w:hint="eastAsia" w:ascii="宋体" w:hAnsi="宋体" w:cs="宋体"/>
                <w:color w:val="auto"/>
                <w:sz w:val="21"/>
                <w:szCs w:val="21"/>
              </w:rPr>
              <w:t>低于75分</w:t>
            </w:r>
            <w:r>
              <w:rPr>
                <w:rFonts w:hint="eastAsia" w:ascii="宋体" w:hAnsi="宋体" w:cs="宋体"/>
                <w:color w:val="auto"/>
                <w:sz w:val="21"/>
                <w:szCs w:val="21"/>
                <w:lang w:val="en-US" w:eastAsia="zh-CN"/>
              </w:rPr>
              <w:t>累计超过3个月</w:t>
            </w:r>
          </w:p>
        </w:tc>
        <w:tc>
          <w:tcPr>
            <w:tcW w:w="5709" w:type="dxa"/>
            <w:tcBorders>
              <w:top w:val="single" w:color="auto" w:sz="4" w:space="0"/>
              <w:left w:val="single" w:color="auto" w:sz="4" w:space="0"/>
              <w:bottom w:val="single" w:color="auto" w:sz="4" w:space="0"/>
              <w:right w:val="single" w:color="auto" w:sz="4" w:space="0"/>
            </w:tcBorders>
            <w:noWrap w:val="0"/>
            <w:vAlign w:val="center"/>
          </w:tcPr>
          <w:p w14:paraId="6012B3E7">
            <w:pPr>
              <w:spacing w:line="360" w:lineRule="auto"/>
              <w:jc w:val="left"/>
              <w:rPr>
                <w:rFonts w:ascii="宋体" w:hAnsi="宋体" w:cs="宋体"/>
                <w:color w:val="auto"/>
                <w:sz w:val="21"/>
                <w:szCs w:val="21"/>
              </w:rPr>
            </w:pPr>
            <w:r>
              <w:rPr>
                <w:rFonts w:hint="eastAsia" w:ascii="宋体" w:hAnsi="宋体" w:cs="宋体"/>
                <w:color w:val="auto"/>
                <w:sz w:val="21"/>
                <w:szCs w:val="21"/>
              </w:rPr>
              <w:t>甲方有权单方面提前免责解除服务合同，并由乙方承担所有违约责任和损失。</w:t>
            </w:r>
          </w:p>
        </w:tc>
      </w:tr>
    </w:tbl>
    <w:p w14:paraId="441F7858">
      <w:pPr>
        <w:rPr>
          <w:color w:val="auto"/>
        </w:rPr>
      </w:pPr>
    </w:p>
    <w:p w14:paraId="75103620">
      <w:pPr>
        <w:tabs>
          <w:tab w:val="left" w:pos="360"/>
          <w:tab w:val="left" w:pos="4320"/>
        </w:tabs>
        <w:spacing w:line="360" w:lineRule="auto"/>
        <w:ind w:firstLine="422"/>
        <w:rPr>
          <w:rFonts w:ascii="宋体" w:hAnsi="宋体" w:cs="宋体"/>
          <w:color w:val="auto"/>
          <w:sz w:val="21"/>
          <w:szCs w:val="21"/>
          <w:highlight w:val="none"/>
        </w:rPr>
      </w:pPr>
      <w:r>
        <w:rPr>
          <w:rFonts w:hint="eastAsia" w:ascii="宋体" w:hAnsi="宋体" w:cs="宋体"/>
          <w:b/>
          <w:bCs/>
          <w:color w:val="auto"/>
          <w:sz w:val="21"/>
          <w:szCs w:val="21"/>
          <w:highlight w:val="none"/>
        </w:rPr>
        <w:t>注：上表中的“单项分”均是指各部门、科室填写的相应表格的均分。</w:t>
      </w:r>
    </w:p>
    <w:p w14:paraId="66AEDE57">
      <w:pPr>
        <w:spacing w:line="360" w:lineRule="auto"/>
        <w:ind w:firstLine="422"/>
        <w:jc w:val="both"/>
        <w:rPr>
          <w:rFonts w:ascii="宋体" w:hAnsi="宋体" w:cs="宋体"/>
          <w:b/>
          <w:bCs/>
          <w:color w:val="auto"/>
          <w:sz w:val="21"/>
          <w:szCs w:val="21"/>
          <w:highlight w:val="none"/>
        </w:rPr>
      </w:pPr>
    </w:p>
    <w:p w14:paraId="5F595886">
      <w:pPr>
        <w:spacing w:line="360" w:lineRule="auto"/>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八、双方责任</w:t>
      </w:r>
    </w:p>
    <w:p w14:paraId="544C8001">
      <w:pPr>
        <w:spacing w:line="360" w:lineRule="auto"/>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（一）采购人责任</w:t>
      </w:r>
    </w:p>
    <w:p w14:paraId="7D489D41">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1、采购人可以向中标供应商免费提供必要且面积适宜的办公场所（约30㎡）、库房，以及基本办公用品、医疗废物车、生活垃圾清运车、手推车等物品。中标供应商应根据项目实际情况在此基础上进行添加购置。</w:t>
      </w:r>
    </w:p>
    <w:p w14:paraId="6B29E467">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2、尊重中标供应商对工作人员管理，支持中标供应商开展工作，爱惜其劳动成果。</w:t>
      </w:r>
    </w:p>
    <w:p w14:paraId="04ACEE47">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3、每月对中标供应商工作进行考核，客观公正地对中标供应商工作进行评价，有权对其提供的服务提出意见和建议。</w:t>
      </w:r>
    </w:p>
    <w:p w14:paraId="343AA417">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4、采购人对中标供应商的服务不满意时，有权提出异议和要求返工；</w:t>
      </w:r>
    </w:p>
    <w:p w14:paraId="10B22FD6">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5、采购人不得安排中标供应商人员从事与医疗技术有关的工作（中标供应商有权拒绝）。</w:t>
      </w:r>
    </w:p>
    <w:p w14:paraId="42F47A95">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6、严格考勤制度，按实核查中标供应商的在岗人员，实际人数、实际出勤天数及合同的约定，人员工资的增长参照政府文件精神和要求与中标供应商协商后签定补充协议，原则上参照扬州市政府的相关规定执行。</w:t>
      </w:r>
    </w:p>
    <w:p w14:paraId="094B2A71">
      <w:pPr>
        <w:spacing w:line="360" w:lineRule="auto"/>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（二）中标供应商责任</w:t>
      </w:r>
    </w:p>
    <w:p w14:paraId="37188AFC">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1、按照合同约定要求认真履行中标供应商职责，同时必须按照投标文件和合同确定的人数派出相关人员从事服务工作。中标供应商在合同执行期间，须接受采购人的监管。</w:t>
      </w:r>
    </w:p>
    <w:p w14:paraId="44043241">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确保安全生产：有安全保障制度；有安全生产责任制；有安全生产目标；有安全生产措施；有安全检查制度；有安全管理三级教育制度；有制定安全管理应急预案。做好各项培训与考核（培训每月不少于一次，包含PPT课件、签到表、考核试卷和操作视频，成绩汇总分析等）。严格执行规章制度与工作流程，因中标供应商处理不当或响应不及时引起的不良事件：如人员（病人、家属、职工等）跌倒、医疗废物流失、电梯困人、火灾等所造成的一切后果及损失，由中标供应商承担。</w:t>
      </w:r>
    </w:p>
    <w:p w14:paraId="658546BD">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3、项目负责人按院感要求及疫情防控需要及时上报。认真查勘天气预报，及时掌握天气情况，以便提前做好雨雪天气的防滑、防水等预防措施，确保在雨前30分钟铺好防滑垫和雨伞防水袋工作。</w:t>
      </w:r>
    </w:p>
    <w:p w14:paraId="620B7346">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4、遵守采购人规章制度，不介入采购人医疗活动，不利用工作之便在医院从事与本职工作无关的活动。</w:t>
      </w:r>
    </w:p>
    <w:p w14:paraId="517B3775">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5、中标供应商应负责为其派出人员依法办理劳动用工手续，并承担其人员的工资报酬、劳保福利、养老保险等全部用工费用，中标供应商人员发生工伤事故的、人事、工作纠纷的中标供应商自行解决并承担全部责任。同时做好工人的相关福利工作。</w:t>
      </w:r>
    </w:p>
    <w:p w14:paraId="4D23EFFB">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6、依法进行用工管理，按采购人要求对不称职人员及时撤换，对所有上岗人员和特种专业岗位人员应定期进行业务培训，培训达标后上岗，上岗后需征求服务区域主管意见。专业人员需持证上岗（培训费中标供应商自理）。</w:t>
      </w:r>
    </w:p>
    <w:p w14:paraId="78FF9E58">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7、加强对聘用人员的职业道德和安全意识教育，爱护公共财物，节约使用水、电、气。由于中标供应商人员在日常工作中给采购人的设施、材料或病人物品造成损失的，中标供应商应承担赔偿责任。对采购人提供的物品，应及时保养。需要修理及时送采购人修理，对无修理价值的物品应及时到采购人办理报损手续。对病区、科室需要维修的设施、物品应及时报修并做相关记录（对需要维修部件材料应妥善保管好，并提供给维修人员）。</w:t>
      </w:r>
    </w:p>
    <w:p w14:paraId="71CCA435">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8、制定切实可行的管理制度和工作流程，对承包范围内的工作要认真进行自查自纠，确保服务质量。自觉接受采购人的监督和检查，积极采纳采购人合理化建议，并负责处理有关投诉。项目负责人与主管每周一次进行各区域的联合巡查，每日各自巡查主管区域，及时处理现场问题，与区域内采购人主管人员进行沟通，做好每日巡查及沟通记录。</w:t>
      </w:r>
    </w:p>
    <w:p w14:paraId="2F7113B6">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9、每月20号前向采购人报送下月工作计划及上月工作小结,工作小结应包括对工作完成情况、存在问题、原因分析整改措施、整改效果及人员考勤情况。</w:t>
      </w:r>
    </w:p>
    <w:p w14:paraId="34B6387E">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10、中标供应商在召开管理层工作会议或职工会议时应邀请采购人相关人员列席会议。</w:t>
      </w:r>
    </w:p>
    <w:p w14:paraId="778EEEB7">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11、中标供应商应统筹安排，做好工具和耗材的费用分配，做到有计划两不误。中标供应商购进的设备及耗材在入库时应邀请采购人派员共同参加验收。</w:t>
      </w:r>
    </w:p>
    <w:p w14:paraId="28D41092">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12、中标供应商进场派驻本院的项目负责人、主管及班组长必须与投标文件一致，不得随意更换。项目负责人及管理人员在工作日离开本院时,应向采购人请假。中标供应商派驻的持证操作人员必须与投标文件一致，不得随意更换，采购人要求换人的除外。</w:t>
      </w:r>
    </w:p>
    <w:p w14:paraId="7D1550A6">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13、因服务管理不到位、工作流程不合理的原因而造成第三方损失或纠纷的，由中标供应商负责处理，采购人积极参与协调，所有相关费用由中标供应商承担。</w:t>
      </w:r>
    </w:p>
    <w:p w14:paraId="35581CF8">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14、中标供应商在项目实施过程中，非不可抗力因素或未经采购人同意，每调整1个主管人员扣减管理费的5%，项目负责人、主管变动大于2人的，采购人有权终止合同执行。发现该项目参与人员的学历、证件或工作经验经历有不实的，和与投标文件不符的，采购人有权免责终止合同。</w:t>
      </w:r>
    </w:p>
    <w:p w14:paraId="3E8BE141">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15、医院安排的其他有关工作。</w:t>
      </w:r>
    </w:p>
    <w:p w14:paraId="068E55F4">
      <w:pPr>
        <w:spacing w:line="360" w:lineRule="auto"/>
        <w:jc w:val="both"/>
        <w:rPr>
          <w:rFonts w:ascii="宋体" w:hAnsi="宋体" w:cs="宋体"/>
          <w:b/>
          <w:color w:val="auto"/>
          <w:sz w:val="21"/>
          <w:szCs w:val="21"/>
          <w:highlight w:val="none"/>
        </w:rPr>
      </w:pPr>
      <w:r>
        <w:rPr>
          <w:rFonts w:hint="eastAsia" w:ascii="宋体" w:hAnsi="宋体" w:cs="宋体"/>
          <w:b/>
          <w:color w:val="auto"/>
          <w:sz w:val="21"/>
          <w:szCs w:val="21"/>
          <w:highlight w:val="none"/>
        </w:rPr>
        <w:t>九、违约责任</w:t>
      </w:r>
    </w:p>
    <w:p w14:paraId="38F9DFC0">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1、中标供应商不履行合同或履行该合同不符合合同约定，中标供应商应向采购人支付合同价5%的违约金，违约金在合同总价中扣除。</w:t>
      </w:r>
    </w:p>
    <w:p w14:paraId="3A3847A9">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2、中标供应商如延迟履行合同或不完全履行合同，除支付5%违约金外中标供应商仍应实际履行合同，采购人也有权提前免责解除合同，且有权要求中标供应商承担因中标供应商违约给采购人造成的经济损失。</w:t>
      </w:r>
    </w:p>
    <w:p w14:paraId="10046109">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甲、乙双方因不可抗力不能及时或完全履行合同的，应及时通知对方，并在10天内提供相应证明。未履行完合同部分是否继续履行，如何履行等问题，可由双方协商解决。确定为不可抗力原因造成的损失免予承担责任。</w:t>
      </w:r>
    </w:p>
    <w:p w14:paraId="05C814C3">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4、无论是合同期满或其他情况,中标供应商在撤离医院前,要进行财产清理，中标供应商需将采购人交付使用的财产物资完整地移交给采购人。对撤出物品要经过双方共同认定，故意损坏的需按原价赔偿。</w:t>
      </w:r>
    </w:p>
    <w:p w14:paraId="22AB2CEA">
      <w:pPr>
        <w:spacing w:line="360" w:lineRule="auto"/>
        <w:jc w:val="both"/>
        <w:rPr>
          <w:rFonts w:ascii="宋体" w:hAnsi="宋体" w:cs="宋体"/>
          <w:b/>
          <w:color w:val="auto"/>
          <w:sz w:val="21"/>
          <w:szCs w:val="21"/>
          <w:highlight w:val="none"/>
        </w:rPr>
      </w:pPr>
      <w:r>
        <w:rPr>
          <w:rFonts w:hint="eastAsia" w:ascii="宋体" w:hAnsi="宋体" w:cs="宋体"/>
          <w:b/>
          <w:color w:val="auto"/>
          <w:sz w:val="21"/>
          <w:szCs w:val="21"/>
          <w:highlight w:val="none"/>
        </w:rPr>
        <w:t>十、对招标有关项目的说明</w:t>
      </w:r>
    </w:p>
    <w:p w14:paraId="7388BF1F">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1、中标供应商办公所需水电气费用由采购人承担,采购人有权制定标准并给予考核。</w:t>
      </w:r>
    </w:p>
    <w:p w14:paraId="1316368C">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2、采购人将提供中标供应商管理办公用房、仓库用房，并提供桌椅等办公家私和员工更衣柜，在服务期限内提供给中标供应商免费使用。</w:t>
      </w:r>
    </w:p>
    <w:p w14:paraId="1E769D13">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3、中标供应商必须配置项目相关人员的装备。</w:t>
      </w:r>
    </w:p>
    <w:p w14:paraId="5B270A39">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4、中标供应商自备考勤设备、信息化管理软件系统和打印机等办公设备和耗材。</w:t>
      </w:r>
    </w:p>
    <w:p w14:paraId="23AD9FF3">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5、中标供应商的各岗位员工要统一服装，并由中标供应商负责其员工工服配备和洗涤，(清洗频次根据采购人需求执行并符合院感要求)中标后合同开始执行时所有人员一律更换为新工作服和工号牌。</w:t>
      </w:r>
    </w:p>
    <w:p w14:paraId="5A285762">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6、中标供应商有岗前培训机制，服务人员100%经过岗前培训合格后方可上岗。同时必须提交岗前培训记录。</w:t>
      </w:r>
    </w:p>
    <w:p w14:paraId="4E9CF646">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7、未经采购人同意，中标供应商不得在合同期限内将本项目转包或分包。</w:t>
      </w:r>
    </w:p>
    <w:p w14:paraId="60769C65">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8、中标供应商须严格按照标准化的操作程序、完善的培训体系和质量控制体系完成本项目，以保证整个服务系统安全、高效、有序和有计划地运转。</w:t>
      </w:r>
    </w:p>
    <w:p w14:paraId="3A4AF6E8">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9、中标供应商有责任配合医院接受上级领导部门的监督、检查，提供必须的资料。</w:t>
      </w:r>
    </w:p>
    <w:p w14:paraId="0DB7F528">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10、中标供应商须严格按照国家和扬州市政府规定给未退休员工缴纳各种社会保险（包括养老、医疗、大病、工伤、生育、失业保险等）。</w:t>
      </w:r>
    </w:p>
    <w:p w14:paraId="503C9529">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11、中标供应商自行负责其招聘员工的一切工资；如发生工伤、疾病乃至死亡的一切责任及费用由中标供应商全部负责；中标供应商应严格遵守国家有关的法律、法规及行业标准，如发生劳动人事纠纷，一律由中标供应商全权负责处理。</w:t>
      </w:r>
    </w:p>
    <w:p w14:paraId="4E60DC5A">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12、全部服务人员的工作时间应严格按国家有关法律、法规要求的标准执行，因工作原因产生的加班（含节假日加班）应严格按国家有关法律、法规要求的标准给付员工加班薪资。因采购人工作需要（除特殊加班），导致中标供应商员工产生加班已经计入总报价。</w:t>
      </w:r>
    </w:p>
    <w:p w14:paraId="59F6385D">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13、采购人不接受投标供应商任何因遗漏报价而发生的费用追加，因违反《劳动法》等法律法规而造成采购人的连带责任和损失全部由中标供应商承担。</w:t>
      </w:r>
    </w:p>
    <w:p w14:paraId="5F5308B0">
      <w:pPr>
        <w:spacing w:line="360" w:lineRule="auto"/>
        <w:ind w:firstLine="422"/>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14、投标按壹年期报价。本项目服务期叁年（自合同签订之日起计），合同首签壹年，考核合格的情况下，采购人与中标人可续签合同。</w:t>
      </w:r>
    </w:p>
    <w:p w14:paraId="6CAC812D">
      <w:pPr>
        <w:spacing w:line="360" w:lineRule="auto"/>
        <w:ind w:firstLine="420"/>
        <w:jc w:val="both"/>
        <w:rPr>
          <w:rFonts w:ascii="宋体" w:hAnsi="宋体" w:cs="宋体"/>
          <w:b/>
          <w:i/>
          <w:iCs/>
          <w:color w:val="auto"/>
          <w:sz w:val="21"/>
          <w:szCs w:val="21"/>
          <w:highlight w:val="none"/>
          <w:u w:val="single"/>
        </w:rPr>
      </w:pPr>
      <w:r>
        <w:rPr>
          <w:rFonts w:hint="eastAsia" w:ascii="宋体" w:hAnsi="宋体" w:cs="宋体"/>
          <w:i/>
          <w:iCs/>
          <w:color w:val="auto"/>
          <w:sz w:val="21"/>
          <w:szCs w:val="21"/>
          <w:highlight w:val="none"/>
          <w:u w:val="single"/>
        </w:rPr>
        <w:t>15、未经采购人同意，中标人不得在服务区域内从事任何广告活动或类似宣传。</w:t>
      </w:r>
      <w:r>
        <w:rPr>
          <w:rFonts w:hint="eastAsia" w:ascii="宋体" w:hAnsi="宋体" w:cs="宋体"/>
          <w:b/>
          <w:i/>
          <w:iCs/>
          <w:color w:val="auto"/>
          <w:sz w:val="21"/>
          <w:szCs w:val="21"/>
          <w:highlight w:val="none"/>
          <w:u w:val="single"/>
        </w:rPr>
        <w:t>（须提供承诺函，原件扫描上传）</w:t>
      </w:r>
    </w:p>
    <w:p w14:paraId="4545FB70">
      <w:pPr>
        <w:spacing w:line="360" w:lineRule="auto"/>
        <w:ind w:firstLine="420"/>
        <w:jc w:val="both"/>
        <w:rPr>
          <w:rFonts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16、中标人不得以采购人的名义从事任何经济活动，因从事经济活动给采购人造成不良影响或损害，应当以合同金额的30%承担违约责任，对造成的经济损失另行赔偿。</w:t>
      </w:r>
      <w:r>
        <w:rPr>
          <w:rFonts w:hint="eastAsia" w:ascii="宋体" w:hAnsi="宋体" w:cs="宋体"/>
          <w:b/>
          <w:bCs/>
          <w:i/>
          <w:iCs/>
          <w:color w:val="auto"/>
          <w:sz w:val="21"/>
          <w:szCs w:val="21"/>
          <w:highlight w:val="none"/>
          <w:u w:val="single"/>
        </w:rPr>
        <w:t>（须提供承诺函，原件扫描上传）</w:t>
      </w:r>
    </w:p>
    <w:p w14:paraId="1FE92318">
      <w:pPr>
        <w:spacing w:line="360" w:lineRule="auto"/>
        <w:jc w:val="both"/>
        <w:rPr>
          <w:rFonts w:ascii="宋体" w:hAnsi="宋体" w:cs="宋体"/>
          <w:color w:val="auto"/>
          <w:sz w:val="21"/>
          <w:szCs w:val="21"/>
          <w:highlight w:val="none"/>
        </w:rPr>
      </w:pPr>
    </w:p>
    <w:p w14:paraId="78A27312">
      <w:pPr>
        <w:spacing w:line="360" w:lineRule="auto"/>
        <w:jc w:val="both"/>
        <w:rPr>
          <w:rFonts w:ascii="宋体" w:hAnsi="宋体" w:cs="宋体"/>
          <w:b/>
          <w:color w:val="auto"/>
          <w:sz w:val="21"/>
          <w:szCs w:val="21"/>
          <w:highlight w:val="none"/>
        </w:rPr>
      </w:pPr>
      <w:r>
        <w:rPr>
          <w:rFonts w:hint="eastAsia" w:ascii="宋体" w:hAnsi="宋体" w:cs="宋体"/>
          <w:b/>
          <w:color w:val="auto"/>
          <w:sz w:val="21"/>
          <w:szCs w:val="21"/>
          <w:highlight w:val="none"/>
        </w:rPr>
        <w:t>十一、投标报价</w:t>
      </w:r>
    </w:p>
    <w:p w14:paraId="77E57210">
      <w:pPr>
        <w:spacing w:line="360" w:lineRule="auto"/>
        <w:ind w:firstLine="420"/>
        <w:jc w:val="both"/>
        <w:rPr>
          <w:rFonts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1、本项目服务费由投标人自行测算投标报价</w:t>
      </w:r>
      <w:r>
        <w:rPr>
          <w:rFonts w:hint="eastAsia" w:ascii="宋体" w:hAnsi="宋体" w:cs="宋体"/>
          <w:b/>
          <w:bCs/>
          <w:i/>
          <w:iCs/>
          <w:color w:val="auto"/>
          <w:sz w:val="21"/>
          <w:szCs w:val="21"/>
          <w:highlight w:val="none"/>
          <w:u w:val="single"/>
        </w:rPr>
        <w:t>（含为完成招标文件规定的服务工作所涉及到的一切相关费用）</w:t>
      </w:r>
      <w:r>
        <w:rPr>
          <w:rFonts w:hint="eastAsia" w:ascii="宋体" w:hAnsi="宋体" w:cs="宋体"/>
          <w:i/>
          <w:iCs/>
          <w:color w:val="auto"/>
          <w:sz w:val="21"/>
          <w:szCs w:val="21"/>
          <w:highlight w:val="none"/>
          <w:u w:val="single"/>
        </w:rPr>
        <w:t>；一经中标，投标报价作为中标人与采购单位签定的合同金额，合同期限内不做调整（合同条款增加内容除外，且调整资金总额不超过原合同采购金额10%）；</w:t>
      </w:r>
      <w:r>
        <w:rPr>
          <w:rFonts w:hint="eastAsia" w:ascii="宋体" w:hAnsi="宋体" w:cs="宋体"/>
          <w:b/>
          <w:bCs/>
          <w:i/>
          <w:iCs/>
          <w:color w:val="auto"/>
          <w:sz w:val="21"/>
          <w:szCs w:val="21"/>
          <w:highlight w:val="none"/>
          <w:u w:val="single"/>
        </w:rPr>
        <w:t>报价按照新院区的服务人数进行报价，服务费按月根据具体的服务人数进行支付。</w:t>
      </w:r>
    </w:p>
    <w:p w14:paraId="58366CCE">
      <w:pPr>
        <w:spacing w:line="360" w:lineRule="auto"/>
        <w:ind w:firstLine="420"/>
        <w:jc w:val="both"/>
        <w:rPr>
          <w:rFonts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报价包括但不限于人员工资、法定的社会保险（养老、工伤、失业）、医疗保险（医疗、大病救助）、</w:t>
      </w:r>
      <w:r>
        <w:rPr>
          <w:rFonts w:hint="eastAsia" w:ascii="宋体" w:hAnsi="宋体" w:eastAsia="宋体" w:cs="宋体"/>
          <w:i/>
          <w:iCs/>
          <w:color w:val="auto"/>
          <w:sz w:val="21"/>
          <w:szCs w:val="21"/>
          <w:highlight w:val="none"/>
          <w:u w:val="single"/>
        </w:rPr>
        <w:t>住房公积金</w:t>
      </w:r>
      <w:r>
        <w:rPr>
          <w:rFonts w:hint="eastAsia" w:ascii="宋体" w:hAnsi="宋体" w:eastAsia="宋体" w:cs="宋体"/>
          <w:i/>
          <w:iCs/>
          <w:color w:val="auto"/>
          <w:sz w:val="21"/>
          <w:szCs w:val="21"/>
          <w:highlight w:val="none"/>
          <w:u w:val="single"/>
          <w:lang w:eastAsia="zh-CN"/>
        </w:rPr>
        <w:t>、</w:t>
      </w:r>
      <w:r>
        <w:rPr>
          <w:rFonts w:hint="eastAsia" w:ascii="宋体" w:hAnsi="宋体" w:cs="宋体"/>
          <w:i/>
          <w:iCs/>
          <w:color w:val="auto"/>
          <w:sz w:val="21"/>
          <w:szCs w:val="21"/>
          <w:highlight w:val="none"/>
          <w:u w:val="single"/>
        </w:rPr>
        <w:t>法定节假日加班费、高温补贴、节日福利、物流设备、工具、劳保与防护用品、办公用品费用、管理费、法定税费及投标人自行考虑的其他费用。</w:t>
      </w:r>
    </w:p>
    <w:p w14:paraId="26281526">
      <w:pPr>
        <w:spacing w:line="360" w:lineRule="auto"/>
        <w:ind w:firstLine="420"/>
        <w:jc w:val="both"/>
        <w:rPr>
          <w:rFonts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2、报价时，人员工资低于扬州市最低工资标准及未依法测算缴纳社会保险、医疗保险的作无效报价处理。</w:t>
      </w:r>
    </w:p>
    <w:p w14:paraId="5225CB05">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3、投标人应根据本企业的成本自行决定报价，但不得以低于其企业成本的报价投标。</w:t>
      </w:r>
    </w:p>
    <w:p w14:paraId="2B7464ED">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4、投标人的投标报价，应是本项目招标范围和招标文件及合同条款上所列的各项内容中所述的全部，不得以任何理由予以重复，并以投标人在投标时提出的总价为依据；</w:t>
      </w:r>
    </w:p>
    <w:p w14:paraId="6B673F91">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5、除非招标文件予以更正，否则，投标人应毫无例外地按招标文件所列的清单中项目和数量填报综合单价和合价。投标人未填综合单价或合价的项目，在实施后将不得以支付，并视作该项费用已包括在其它有价款的综合单价或合价内；</w:t>
      </w:r>
    </w:p>
    <w:p w14:paraId="5539835E">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6、投标人应先到项目地点踏勘以充分了解项目的位置、情况、道路及任何其它足以影响投标报价的情况，任何因忽视或误解项目情况而导致的索赔或服务期限延长申请将不获批准；参与投标的单位自行踏勘现场，本次招标不统一组织踏勘。投标人如需对现场进行踏勘，请提前自行与采购人联系。</w:t>
      </w:r>
    </w:p>
    <w:p w14:paraId="3A792FE0">
      <w:pPr>
        <w:spacing w:line="360" w:lineRule="auto"/>
        <w:ind w:firstLine="420"/>
        <w:jc w:val="both"/>
        <w:rPr>
          <w:rFonts w:ascii="宋体" w:hAnsi="宋体" w:cs="宋体"/>
          <w:color w:val="auto"/>
          <w:sz w:val="21"/>
          <w:szCs w:val="21"/>
          <w:highlight w:val="none"/>
        </w:rPr>
      </w:pPr>
      <w:r>
        <w:rPr>
          <w:rFonts w:hint="eastAsia" w:ascii="宋体" w:hAnsi="宋体" w:cs="宋体"/>
          <w:color w:val="auto"/>
          <w:sz w:val="21"/>
          <w:szCs w:val="21"/>
          <w:highlight w:val="none"/>
        </w:rPr>
        <w:t>7、投标人不得期望通过索赔等方式获取补偿，否则，除可能遭到拒绝外，还可能将被作为不良行为记录在案。各投标人在投标报价时，应充分考虑投标报价的风险。</w:t>
      </w:r>
    </w:p>
    <w:p w14:paraId="55992AEB">
      <w:pPr>
        <w:pStyle w:val="271"/>
        <w:spacing w:after="0" w:line="360" w:lineRule="auto"/>
        <w:ind w:left="0"/>
        <w:jc w:val="left"/>
        <w:rPr>
          <w:rFonts w:ascii="宋体" w:hAnsi="宋体"/>
          <w:i/>
          <w:iCs/>
          <w:color w:val="auto"/>
          <w:sz w:val="21"/>
          <w:szCs w:val="20"/>
          <w:highlight w:val="none"/>
          <w:u w:val="single"/>
        </w:rPr>
      </w:pPr>
    </w:p>
    <w:p w14:paraId="5BB604E5">
      <w:pPr>
        <w:rPr>
          <w:color w:val="auto"/>
        </w:rPr>
      </w:pPr>
    </w:p>
    <w:p w14:paraId="556B0D2E">
      <w:pPr>
        <w:pageBreakBefore w:val="0"/>
        <w:widowControl w:val="0"/>
        <w:kinsoku/>
        <w:wordWrap/>
        <w:overflowPunct/>
        <w:topLinePunct w:val="0"/>
        <w:autoSpaceDE/>
        <w:autoSpaceDN/>
        <w:bidi w:val="0"/>
        <w:snapToGrid w:val="0"/>
        <w:spacing w:line="336" w:lineRule="auto"/>
        <w:ind w:firstLine="420" w:firstLineChars="200"/>
        <w:textAlignment w:val="auto"/>
        <w:rPr>
          <w:rFonts w:ascii="宋体" w:hAnsi="宋体" w:cs="宋体"/>
          <w:color w:val="auto"/>
          <w:szCs w:val="21"/>
          <w:highlight w:val="none"/>
        </w:rPr>
      </w:pPr>
    </w:p>
    <w:p w14:paraId="70674DFF">
      <w:pPr>
        <w:rPr>
          <w:rFonts w:ascii="宋体" w:hAnsi="宋体" w:cs="宋体"/>
          <w:color w:val="auto"/>
          <w:highlight w:val="none"/>
        </w:rPr>
      </w:pPr>
      <w:r>
        <w:rPr>
          <w:rFonts w:hint="eastAsia" w:ascii="宋体" w:hAnsi="宋体" w:cs="宋体"/>
          <w:color w:val="auto"/>
          <w:highlight w:val="none"/>
        </w:rPr>
        <w:br w:type="page"/>
      </w:r>
    </w:p>
    <w:p w14:paraId="465CBAB0">
      <w:pPr>
        <w:pStyle w:val="235"/>
        <w:rPr>
          <w:rFonts w:ascii="黑体" w:eastAsia="黑体"/>
          <w:bCs/>
          <w:color w:val="auto"/>
          <w:sz w:val="44"/>
          <w:highlight w:val="none"/>
        </w:rPr>
      </w:pPr>
      <w:bookmarkStart w:id="74" w:name="_Toc23220"/>
      <w:bookmarkStart w:id="75" w:name="_Toc120614281"/>
      <w:r>
        <w:rPr>
          <w:rFonts w:hint="eastAsia" w:ascii="宋体" w:hAnsi="宋体" w:eastAsia="宋体" w:cs="宋体"/>
          <w:b/>
          <w:bCs w:val="0"/>
          <w:color w:val="auto"/>
          <w:sz w:val="44"/>
          <w:highlight w:val="none"/>
        </w:rPr>
        <w:t>第五章 评标方法与评标标准</w:t>
      </w:r>
      <w:bookmarkEnd w:id="74"/>
    </w:p>
    <w:p w14:paraId="5488364D">
      <w:pPr>
        <w:rPr>
          <w:color w:val="auto"/>
          <w:sz w:val="24"/>
          <w:szCs w:val="24"/>
          <w:highlight w:val="none"/>
        </w:rPr>
      </w:pPr>
    </w:p>
    <w:p w14:paraId="6E7E99C1">
      <w:pPr>
        <w:pageBreakBefore w:val="0"/>
        <w:kinsoku/>
        <w:wordWrap/>
        <w:overflowPunct/>
        <w:topLinePunct w:val="0"/>
        <w:autoSpaceDE/>
        <w:autoSpaceDN/>
        <w:bidi w:val="0"/>
        <w:spacing w:line="300" w:lineRule="auto"/>
        <w:jc w:val="left"/>
        <w:textAlignment w:val="auto"/>
        <w:rPr>
          <w:rFonts w:hint="eastAsia" w:ascii="宋体" w:hAnsi="宋体" w:cs="宋体"/>
          <w:bCs/>
          <w:color w:val="auto"/>
          <w:szCs w:val="21"/>
          <w:highlight w:val="none"/>
        </w:rPr>
      </w:pPr>
      <w:bookmarkStart w:id="76" w:name="_Toc31748"/>
      <w:r>
        <w:rPr>
          <w:rFonts w:hint="eastAsia" w:ascii="宋体" w:hAnsi="宋体" w:cs="宋体"/>
          <w:bCs/>
          <w:color w:val="auto"/>
          <w:szCs w:val="21"/>
          <w:highlight w:val="none"/>
        </w:rPr>
        <w:t>一、评标方法</w:t>
      </w:r>
      <w:bookmarkEnd w:id="76"/>
    </w:p>
    <w:p w14:paraId="1DADEC55">
      <w:pPr>
        <w:pageBreakBefore w:val="0"/>
        <w:kinsoku/>
        <w:wordWrap/>
        <w:overflowPunct/>
        <w:topLinePunct w:val="0"/>
        <w:autoSpaceDE/>
        <w:autoSpaceDN/>
        <w:bidi w:val="0"/>
        <w:spacing w:line="300" w:lineRule="auto"/>
        <w:ind w:firstLine="42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评委会将对确定为实质性响应采购文件要求的投标文件进行评价和比较，评标采用综合评分法。</w:t>
      </w:r>
    </w:p>
    <w:p w14:paraId="1EDFE30E">
      <w:pPr>
        <w:pageBreakBefore w:val="0"/>
        <w:kinsoku/>
        <w:wordWrap/>
        <w:overflowPunct/>
        <w:topLinePunct w:val="0"/>
        <w:autoSpaceDE/>
        <w:autoSpaceDN/>
        <w:bidi w:val="0"/>
        <w:spacing w:line="300" w:lineRule="auto"/>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二、评标标准</w:t>
      </w:r>
    </w:p>
    <w:p w14:paraId="1238A8DE">
      <w:pPr>
        <w:pageBreakBefore w:val="0"/>
        <w:kinsoku/>
        <w:wordWrap/>
        <w:overflowPunct/>
        <w:topLinePunct w:val="0"/>
        <w:autoSpaceDE/>
        <w:autoSpaceDN/>
        <w:bidi w:val="0"/>
        <w:spacing w:line="300" w:lineRule="auto"/>
        <w:ind w:firstLine="420"/>
        <w:jc w:val="left"/>
        <w:textAlignment w:val="auto"/>
        <w:rPr>
          <w:rFonts w:hint="eastAsia" w:ascii="宋体" w:hAnsi="宋体" w:cs="宋体"/>
          <w:bCs/>
          <w:color w:val="auto"/>
          <w:szCs w:val="21"/>
          <w:highlight w:val="none"/>
        </w:rPr>
      </w:pPr>
      <w:r>
        <w:rPr>
          <w:rFonts w:hint="eastAsia" w:ascii="宋体" w:hAnsi="宋体" w:cs="宋体"/>
          <w:bCs/>
          <w:color w:val="auto"/>
          <w:szCs w:val="21"/>
          <w:highlight w:val="none"/>
        </w:rPr>
        <w:t>本项目采用综合评分法，总分为100分，按评审后综合得分由高到低顺序排列。综合得分相同的，按投标报价由低到高顺序排列；价格分也相同的，按技术部分得分由高到低顺序排列；分值均相同的，则由评标委员会决定排列顺序。由评标委员会推荐3名成交候选人。具体评审办法如下：</w:t>
      </w:r>
    </w:p>
    <w:tbl>
      <w:tblPr>
        <w:tblStyle w:val="38"/>
        <w:tblW w:w="8377"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0" w:type="dxa"/>
          <w:bottom w:w="0" w:type="dxa"/>
          <w:right w:w="0" w:type="dxa"/>
        </w:tblCellMar>
      </w:tblPr>
      <w:tblGrid>
        <w:gridCol w:w="647"/>
        <w:gridCol w:w="1434"/>
        <w:gridCol w:w="5287"/>
        <w:gridCol w:w="1009"/>
      </w:tblGrid>
      <w:tr w14:paraId="1444CC3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523" w:hRule="atLeast"/>
          <w:jc w:val="center"/>
        </w:trPr>
        <w:tc>
          <w:tcPr>
            <w:tcW w:w="647" w:type="dxa"/>
            <w:noWrap w:val="0"/>
            <w:vAlign w:val="center"/>
          </w:tcPr>
          <w:p w14:paraId="534EF26B">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序号</w:t>
            </w:r>
          </w:p>
        </w:tc>
        <w:tc>
          <w:tcPr>
            <w:tcW w:w="1434" w:type="dxa"/>
            <w:noWrap w:val="0"/>
            <w:vAlign w:val="center"/>
          </w:tcPr>
          <w:p w14:paraId="7C315BAE">
            <w:pPr>
              <w:pStyle w:val="360"/>
              <w:jc w:val="center"/>
              <w:rPr>
                <w:rFonts w:ascii="宋体" w:hAnsi="宋体" w:cs="宋体"/>
                <w:b/>
                <w:bCs/>
                <w:color w:val="auto"/>
                <w:szCs w:val="21"/>
                <w:highlight w:val="none"/>
              </w:rPr>
            </w:pPr>
            <w:r>
              <w:rPr>
                <w:rFonts w:hint="eastAsia" w:ascii="宋体" w:hAnsi="宋体" w:cs="宋体"/>
                <w:b/>
                <w:bCs/>
                <w:color w:val="auto"/>
                <w:szCs w:val="21"/>
                <w:highlight w:val="none"/>
              </w:rPr>
              <w:t>项目</w:t>
            </w:r>
          </w:p>
        </w:tc>
        <w:tc>
          <w:tcPr>
            <w:tcW w:w="5287" w:type="dxa"/>
            <w:noWrap w:val="0"/>
            <w:vAlign w:val="center"/>
          </w:tcPr>
          <w:p w14:paraId="6142F50C">
            <w:pPr>
              <w:pStyle w:val="360"/>
              <w:jc w:val="center"/>
              <w:rPr>
                <w:rFonts w:ascii="宋体" w:hAnsi="宋体" w:cs="宋体"/>
                <w:b/>
                <w:bCs/>
                <w:color w:val="auto"/>
                <w:szCs w:val="21"/>
                <w:highlight w:val="none"/>
              </w:rPr>
            </w:pPr>
            <w:r>
              <w:rPr>
                <w:rFonts w:hint="eastAsia" w:ascii="宋体" w:hAnsi="宋体" w:cs="宋体"/>
                <w:b/>
                <w:bCs/>
                <w:color w:val="auto"/>
                <w:szCs w:val="21"/>
                <w:highlight w:val="none"/>
              </w:rPr>
              <w:t>评审规则</w:t>
            </w:r>
          </w:p>
        </w:tc>
        <w:tc>
          <w:tcPr>
            <w:tcW w:w="1009" w:type="dxa"/>
            <w:noWrap w:val="0"/>
            <w:vAlign w:val="center"/>
          </w:tcPr>
          <w:p w14:paraId="38998711">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分值</w:t>
            </w:r>
          </w:p>
        </w:tc>
      </w:tr>
      <w:tr w14:paraId="5785729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8377" w:type="dxa"/>
            <w:gridSpan w:val="4"/>
            <w:noWrap w:val="0"/>
            <w:vAlign w:val="center"/>
          </w:tcPr>
          <w:p w14:paraId="491E7D69">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价格部分（10分）</w:t>
            </w:r>
          </w:p>
        </w:tc>
      </w:tr>
      <w:tr w14:paraId="4476770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902" w:hRule="atLeast"/>
          <w:jc w:val="center"/>
        </w:trPr>
        <w:tc>
          <w:tcPr>
            <w:tcW w:w="647" w:type="dxa"/>
            <w:noWrap w:val="0"/>
            <w:vAlign w:val="center"/>
          </w:tcPr>
          <w:p w14:paraId="4FD0FA0F">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1</w:t>
            </w:r>
          </w:p>
        </w:tc>
        <w:tc>
          <w:tcPr>
            <w:tcW w:w="1434" w:type="dxa"/>
            <w:noWrap w:val="0"/>
            <w:vAlign w:val="center"/>
          </w:tcPr>
          <w:p w14:paraId="3A8F678E">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报价</w:t>
            </w:r>
          </w:p>
        </w:tc>
        <w:tc>
          <w:tcPr>
            <w:tcW w:w="5287" w:type="dxa"/>
            <w:noWrap w:val="0"/>
          </w:tcPr>
          <w:p w14:paraId="33FD9CB7">
            <w:pPr>
              <w:pStyle w:val="360"/>
              <w:rPr>
                <w:rFonts w:ascii="宋体" w:hAnsi="宋体" w:cs="宋体"/>
                <w:color w:val="auto"/>
                <w:szCs w:val="21"/>
                <w:highlight w:val="none"/>
                <w:lang w:eastAsia="zh-CN"/>
              </w:rPr>
            </w:pPr>
            <w:r>
              <w:rPr>
                <w:rFonts w:hint="eastAsia" w:ascii="宋体" w:hAnsi="宋体" w:cs="宋体"/>
                <w:color w:val="auto"/>
                <w:spacing w:val="-5"/>
                <w:szCs w:val="21"/>
                <w:highlight w:val="none"/>
                <w:lang w:eastAsia="zh-CN"/>
              </w:rPr>
              <w:t>满足招标文件要求且投标价格最低的投标报价为评标基准价，其价格分为满分</w:t>
            </w:r>
            <w:r>
              <w:rPr>
                <w:rFonts w:hint="eastAsia" w:ascii="宋体" w:hAnsi="宋体" w:cs="宋体"/>
                <w:color w:val="auto"/>
                <w:spacing w:val="-5"/>
                <w:szCs w:val="21"/>
                <w:highlight w:val="none"/>
                <w:lang w:val="en-US" w:eastAsia="zh-CN"/>
              </w:rPr>
              <w:t>1</w:t>
            </w:r>
            <w:r>
              <w:rPr>
                <w:rFonts w:hint="eastAsia" w:ascii="宋体" w:hAnsi="宋体" w:cs="宋体"/>
                <w:color w:val="auto"/>
                <w:spacing w:val="-5"/>
                <w:szCs w:val="21"/>
                <w:highlight w:val="none"/>
                <w:lang w:eastAsia="zh-CN"/>
              </w:rPr>
              <w:t>0分，其他投标人的价格分按照下列公式计算：投标报价得分=（评标基准价/投标报价）×</w:t>
            </w:r>
            <w:r>
              <w:rPr>
                <w:rFonts w:hint="eastAsia" w:ascii="宋体" w:hAnsi="宋体" w:cs="宋体"/>
                <w:color w:val="auto"/>
                <w:spacing w:val="-5"/>
                <w:szCs w:val="21"/>
                <w:highlight w:val="none"/>
                <w:lang w:val="en-US" w:eastAsia="zh-CN"/>
              </w:rPr>
              <w:t>1</w:t>
            </w:r>
            <w:r>
              <w:rPr>
                <w:rFonts w:hint="eastAsia" w:ascii="宋体" w:hAnsi="宋体" w:cs="宋体"/>
                <w:color w:val="auto"/>
                <w:spacing w:val="-5"/>
                <w:szCs w:val="21"/>
                <w:highlight w:val="none"/>
                <w:lang w:eastAsia="zh-CN"/>
              </w:rPr>
              <w:t>0。</w:t>
            </w:r>
          </w:p>
        </w:tc>
        <w:tc>
          <w:tcPr>
            <w:tcW w:w="1009" w:type="dxa"/>
            <w:noWrap w:val="0"/>
            <w:vAlign w:val="center"/>
          </w:tcPr>
          <w:p w14:paraId="3CB40216">
            <w:pPr>
              <w:widowControl w:val="0"/>
              <w:spacing w:line="288" w:lineRule="auto"/>
              <w:jc w:val="center"/>
              <w:rPr>
                <w:rFonts w:ascii="宋体" w:hAnsi="宋体" w:cs="宋体"/>
                <w:b/>
                <w:color w:val="auto"/>
                <w:sz w:val="21"/>
                <w:szCs w:val="21"/>
                <w:highlight w:val="none"/>
              </w:rPr>
            </w:pPr>
            <w:r>
              <w:rPr>
                <w:rFonts w:hint="eastAsia" w:ascii="宋体" w:hAnsi="宋体" w:cs="宋体"/>
                <w:color w:val="auto"/>
                <w:spacing w:val="-4"/>
                <w:sz w:val="21"/>
                <w:szCs w:val="21"/>
                <w:highlight w:val="none"/>
              </w:rPr>
              <w:t>10</w:t>
            </w:r>
          </w:p>
        </w:tc>
      </w:tr>
      <w:tr w14:paraId="7AF8A84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8377" w:type="dxa"/>
            <w:gridSpan w:val="4"/>
            <w:noWrap w:val="0"/>
            <w:vAlign w:val="center"/>
          </w:tcPr>
          <w:p w14:paraId="60358D53">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商务部分（</w:t>
            </w:r>
            <w:r>
              <w:rPr>
                <w:rFonts w:hint="eastAsia" w:ascii="宋体" w:hAnsi="宋体" w:cs="宋体"/>
                <w:b/>
                <w:bCs/>
                <w:color w:val="auto"/>
                <w:szCs w:val="21"/>
                <w:highlight w:val="none"/>
                <w:lang w:val="en-US" w:eastAsia="zh-CN"/>
              </w:rPr>
              <w:t>35</w:t>
            </w:r>
            <w:r>
              <w:rPr>
                <w:rFonts w:hint="eastAsia" w:ascii="宋体" w:hAnsi="宋体" w:cs="宋体"/>
                <w:b/>
                <w:bCs/>
                <w:color w:val="auto"/>
                <w:szCs w:val="21"/>
                <w:highlight w:val="none"/>
                <w:lang w:eastAsia="zh-CN"/>
              </w:rPr>
              <w:t>分）</w:t>
            </w:r>
          </w:p>
        </w:tc>
      </w:tr>
      <w:tr w14:paraId="6890043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47" w:type="dxa"/>
            <w:noWrap w:val="0"/>
            <w:vAlign w:val="center"/>
          </w:tcPr>
          <w:p w14:paraId="58A0C8A1">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2</w:t>
            </w:r>
          </w:p>
        </w:tc>
        <w:tc>
          <w:tcPr>
            <w:tcW w:w="1434" w:type="dxa"/>
            <w:noWrap w:val="0"/>
            <w:vAlign w:val="center"/>
          </w:tcPr>
          <w:p w14:paraId="5648222E">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项目负责人</w:t>
            </w:r>
          </w:p>
          <w:p w14:paraId="3C9D5E54">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综合实力</w:t>
            </w:r>
          </w:p>
        </w:tc>
        <w:tc>
          <w:tcPr>
            <w:tcW w:w="5287" w:type="dxa"/>
            <w:noWrap w:val="0"/>
          </w:tcPr>
          <w:p w14:paraId="7B08B531">
            <w:pPr>
              <w:widowControl w:val="0"/>
              <w:numPr>
                <w:ilvl w:val="0"/>
                <w:numId w:val="8"/>
              </w:numPr>
              <w:rPr>
                <w:rFonts w:ascii="宋体" w:hAnsi="宋体" w:cs="宋体"/>
                <w:bCs/>
                <w:color w:val="auto"/>
                <w:sz w:val="21"/>
                <w:szCs w:val="21"/>
                <w:highlight w:val="none"/>
              </w:rPr>
            </w:pPr>
            <w:r>
              <w:rPr>
                <w:rFonts w:hint="eastAsia" w:ascii="宋体" w:hAnsi="宋体" w:cs="宋体"/>
                <w:bCs/>
                <w:color w:val="auto"/>
                <w:sz w:val="21"/>
                <w:szCs w:val="21"/>
                <w:highlight w:val="none"/>
              </w:rPr>
              <w:t>项目负责人具有</w:t>
            </w:r>
            <w:r>
              <w:rPr>
                <w:rFonts w:hint="eastAsia" w:ascii="宋体" w:hAnsi="宋体" w:cs="宋体"/>
                <w:bCs/>
                <w:color w:val="auto"/>
                <w:sz w:val="21"/>
                <w:szCs w:val="21"/>
                <w:highlight w:val="none"/>
                <w:lang w:val="en-US" w:eastAsia="zh-CN"/>
              </w:rPr>
              <w:t>人社部门颁发的管理类中级及以上职称</w:t>
            </w:r>
            <w:r>
              <w:rPr>
                <w:rFonts w:hint="eastAsia" w:ascii="宋体" w:hAnsi="宋体" w:cs="宋体"/>
                <w:bCs/>
                <w:color w:val="auto"/>
                <w:sz w:val="21"/>
                <w:szCs w:val="21"/>
                <w:highlight w:val="none"/>
              </w:rPr>
              <w:t>证书的，得2分，缺项不得分。</w:t>
            </w:r>
          </w:p>
          <w:p w14:paraId="3A21A5AE">
            <w:pPr>
              <w:widowControl w:val="0"/>
              <w:rPr>
                <w:rFonts w:ascii="宋体" w:hAnsi="宋体" w:cs="宋体"/>
                <w:color w:val="auto"/>
                <w:sz w:val="21"/>
                <w:szCs w:val="21"/>
                <w:highlight w:val="none"/>
              </w:rPr>
            </w:pPr>
            <w:r>
              <w:rPr>
                <w:rFonts w:hint="eastAsia" w:ascii="宋体" w:hAnsi="宋体" w:cs="宋体"/>
                <w:bCs/>
                <w:color w:val="auto"/>
                <w:sz w:val="21"/>
                <w:szCs w:val="21"/>
                <w:highlight w:val="none"/>
              </w:rPr>
              <w:t>（2）项目负责人具有人力资源管理师证书或企业人力资源管理师证书的得2分。（</w:t>
            </w:r>
            <w:r>
              <w:rPr>
                <w:rFonts w:hint="eastAsia" w:ascii="宋体" w:hAnsi="宋体" w:cs="宋体"/>
                <w:bCs/>
                <w:color w:val="auto"/>
                <w:sz w:val="21"/>
                <w:szCs w:val="21"/>
                <w:highlight w:val="none"/>
                <w:lang w:val="en-US" w:eastAsia="zh-CN"/>
              </w:rPr>
              <w:t>需</w:t>
            </w:r>
            <w:r>
              <w:rPr>
                <w:rFonts w:hint="eastAsia" w:ascii="宋体" w:hAnsi="宋体" w:cs="宋体"/>
                <w:bCs/>
                <w:color w:val="auto"/>
                <w:sz w:val="21"/>
                <w:szCs w:val="21"/>
                <w:highlight w:val="none"/>
              </w:rPr>
              <w:t>同时提供该证书在技能人才评价工作网（网址：www.osta.org.cn）的查询截图，截图内容须完整可辨，否则该项不予认可。）</w:t>
            </w:r>
          </w:p>
          <w:p w14:paraId="31E35D99">
            <w:pPr>
              <w:widowControl w:val="0"/>
              <w:rPr>
                <w:rFonts w:ascii="宋体" w:hAnsi="宋体" w:cs="宋体"/>
                <w:bCs/>
                <w:color w:val="auto"/>
                <w:sz w:val="21"/>
                <w:szCs w:val="21"/>
                <w:highlight w:val="none"/>
              </w:rPr>
            </w:pPr>
            <w:r>
              <w:rPr>
                <w:rFonts w:hint="eastAsia" w:ascii="宋体" w:hAnsi="宋体" w:cs="宋体"/>
                <w:bCs/>
                <w:color w:val="auto"/>
                <w:sz w:val="21"/>
                <w:szCs w:val="21"/>
                <w:highlight w:val="none"/>
              </w:rPr>
              <w:t>（3）项目负责人具有3年</w:t>
            </w:r>
            <w:r>
              <w:rPr>
                <w:rFonts w:hint="eastAsia" w:ascii="宋体" w:hAnsi="宋体" w:cs="宋体"/>
                <w:bCs/>
                <w:color w:val="auto"/>
                <w:sz w:val="21"/>
                <w:szCs w:val="21"/>
                <w:highlight w:val="none"/>
                <w:lang w:val="en-US" w:eastAsia="zh-CN"/>
              </w:rPr>
              <w:t>或</w:t>
            </w:r>
            <w:r>
              <w:rPr>
                <w:rFonts w:hint="eastAsia" w:ascii="宋体" w:hAnsi="宋体" w:cs="宋体"/>
                <w:bCs/>
                <w:color w:val="auto"/>
                <w:sz w:val="21"/>
                <w:szCs w:val="21"/>
                <w:highlight w:val="none"/>
              </w:rPr>
              <w:t>以上与本项目实施内容相匹配的类似项目（实施内容</w:t>
            </w:r>
            <w:r>
              <w:rPr>
                <w:rFonts w:hint="eastAsia" w:ascii="宋体" w:hAnsi="宋体" w:cs="宋体"/>
                <w:bCs/>
                <w:color w:val="auto"/>
                <w:sz w:val="21"/>
                <w:szCs w:val="21"/>
                <w:highlight w:val="none"/>
                <w:lang w:val="en-US" w:eastAsia="zh-CN"/>
              </w:rPr>
              <w:t>需</w:t>
            </w:r>
            <w:r>
              <w:rPr>
                <w:rFonts w:hint="eastAsia" w:ascii="宋体" w:hAnsi="宋体" w:cs="宋体"/>
                <w:bCs/>
                <w:color w:val="auto"/>
                <w:sz w:val="21"/>
                <w:szCs w:val="21"/>
                <w:highlight w:val="none"/>
              </w:rPr>
              <w:t>包含运送</w:t>
            </w:r>
            <w:r>
              <w:rPr>
                <w:rFonts w:hint="eastAsia" w:ascii="宋体" w:hAnsi="宋体" w:cs="宋体"/>
                <w:bCs/>
                <w:color w:val="auto"/>
                <w:sz w:val="21"/>
                <w:szCs w:val="21"/>
                <w:highlight w:val="none"/>
                <w:lang w:val="en-US" w:eastAsia="zh-CN"/>
              </w:rPr>
              <w:t>或</w:t>
            </w:r>
            <w:r>
              <w:rPr>
                <w:rFonts w:hint="eastAsia" w:ascii="宋体" w:hAnsi="宋体" w:cs="宋体"/>
                <w:bCs/>
                <w:color w:val="auto"/>
                <w:sz w:val="21"/>
                <w:szCs w:val="21"/>
                <w:highlight w:val="none"/>
              </w:rPr>
              <w:t>陪检</w:t>
            </w:r>
            <w:r>
              <w:rPr>
                <w:rFonts w:hint="eastAsia" w:ascii="宋体" w:hAnsi="宋体" w:cs="宋体"/>
                <w:bCs/>
                <w:color w:val="auto"/>
                <w:sz w:val="21"/>
                <w:szCs w:val="21"/>
                <w:highlight w:val="none"/>
                <w:lang w:val="en-US" w:eastAsia="zh-CN"/>
              </w:rPr>
              <w:t>或</w:t>
            </w:r>
            <w:r>
              <w:rPr>
                <w:rFonts w:hint="eastAsia" w:ascii="宋体" w:hAnsi="宋体" w:cs="宋体"/>
                <w:bCs/>
                <w:color w:val="auto"/>
                <w:sz w:val="21"/>
                <w:szCs w:val="21"/>
                <w:highlight w:val="none"/>
              </w:rPr>
              <w:t>导医导诊服务）的管理经验的得2分。</w:t>
            </w:r>
          </w:p>
          <w:p w14:paraId="44569F43">
            <w:pPr>
              <w:widowControl w:val="0"/>
              <w:rPr>
                <w:rFonts w:ascii="宋体" w:hAnsi="宋体" w:cs="宋体"/>
                <w:bCs/>
                <w:color w:val="auto"/>
                <w:sz w:val="21"/>
                <w:szCs w:val="21"/>
                <w:highlight w:val="none"/>
              </w:rPr>
            </w:pPr>
            <w:r>
              <w:rPr>
                <w:rFonts w:hint="eastAsia" w:ascii="宋体" w:hAnsi="宋体" w:cs="宋体"/>
                <w:b/>
                <w:color w:val="auto"/>
                <w:sz w:val="21"/>
                <w:szCs w:val="21"/>
                <w:highlight w:val="none"/>
              </w:rPr>
              <w:t>注：需</w:t>
            </w:r>
            <w:r>
              <w:rPr>
                <w:rFonts w:hint="eastAsia" w:ascii="宋体" w:hAnsi="宋体" w:cs="宋体"/>
                <w:b/>
                <w:color w:val="auto"/>
                <w:sz w:val="21"/>
                <w:szCs w:val="21"/>
                <w:highlight w:val="none"/>
                <w:lang w:val="zh-CN"/>
              </w:rPr>
              <w:t>提供项目</w:t>
            </w:r>
            <w:r>
              <w:rPr>
                <w:rFonts w:hint="eastAsia" w:ascii="宋体" w:hAnsi="宋体" w:cs="宋体"/>
                <w:b/>
                <w:color w:val="auto"/>
                <w:sz w:val="21"/>
                <w:szCs w:val="21"/>
                <w:highlight w:val="none"/>
              </w:rPr>
              <w:t>负责人相应资格证书、合同（或业主方出具的管理经验证明材料）</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原件扫描上传</w:t>
            </w:r>
            <w:r>
              <w:rPr>
                <w:rFonts w:hint="eastAsia" w:ascii="宋体" w:hAnsi="宋体" w:cs="宋体"/>
                <w:b/>
                <w:color w:val="auto"/>
                <w:sz w:val="21"/>
                <w:szCs w:val="21"/>
                <w:highlight w:val="none"/>
              </w:rPr>
              <w:t>。</w:t>
            </w:r>
          </w:p>
        </w:tc>
        <w:tc>
          <w:tcPr>
            <w:tcW w:w="1009" w:type="dxa"/>
            <w:noWrap w:val="0"/>
            <w:vAlign w:val="center"/>
          </w:tcPr>
          <w:p w14:paraId="65AE496E">
            <w:pPr>
              <w:widowControl w:val="0"/>
              <w:spacing w:line="288" w:lineRule="auto"/>
              <w:jc w:val="center"/>
              <w:rPr>
                <w:rFonts w:ascii="宋体" w:hAnsi="宋体" w:cs="宋体"/>
                <w:color w:val="auto"/>
                <w:spacing w:val="-4"/>
                <w:sz w:val="21"/>
                <w:szCs w:val="21"/>
                <w:highlight w:val="none"/>
              </w:rPr>
            </w:pPr>
            <w:r>
              <w:rPr>
                <w:rFonts w:hint="eastAsia" w:ascii="宋体" w:hAnsi="宋体" w:cs="宋体"/>
                <w:color w:val="auto"/>
                <w:spacing w:val="-4"/>
                <w:sz w:val="21"/>
                <w:szCs w:val="21"/>
                <w:highlight w:val="none"/>
              </w:rPr>
              <w:t>6</w:t>
            </w:r>
          </w:p>
        </w:tc>
      </w:tr>
      <w:tr w14:paraId="0EF13D2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47" w:type="dxa"/>
            <w:noWrap w:val="0"/>
            <w:vAlign w:val="center"/>
          </w:tcPr>
          <w:p w14:paraId="00E8D88C">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3</w:t>
            </w:r>
          </w:p>
        </w:tc>
        <w:tc>
          <w:tcPr>
            <w:tcW w:w="1434" w:type="dxa"/>
            <w:noWrap w:val="0"/>
            <w:vAlign w:val="center"/>
          </w:tcPr>
          <w:p w14:paraId="0885A403">
            <w:pPr>
              <w:pStyle w:val="360"/>
              <w:jc w:val="center"/>
              <w:rPr>
                <w:rFonts w:ascii="宋体" w:hAnsi="宋体" w:cs="宋体"/>
                <w:b/>
                <w:bCs/>
                <w:color w:val="auto"/>
                <w:szCs w:val="21"/>
                <w:highlight w:val="none"/>
              </w:rPr>
            </w:pPr>
            <w:r>
              <w:rPr>
                <w:rFonts w:hint="eastAsia" w:ascii="宋体" w:hAnsi="宋体" w:cs="宋体"/>
                <w:b/>
                <w:bCs/>
                <w:color w:val="auto"/>
                <w:szCs w:val="21"/>
                <w:highlight w:val="none"/>
              </w:rPr>
              <w:t>项目成员</w:t>
            </w:r>
          </w:p>
          <w:p w14:paraId="09354016">
            <w:pPr>
              <w:pStyle w:val="360"/>
              <w:jc w:val="center"/>
              <w:rPr>
                <w:rFonts w:ascii="宋体" w:hAnsi="宋体" w:cs="宋体"/>
                <w:color w:val="auto"/>
                <w:szCs w:val="21"/>
                <w:highlight w:val="none"/>
                <w:lang w:eastAsia="zh-CN"/>
              </w:rPr>
            </w:pPr>
            <w:r>
              <w:rPr>
                <w:rFonts w:hint="eastAsia" w:ascii="宋体" w:hAnsi="宋体" w:cs="宋体"/>
                <w:b/>
                <w:bCs/>
                <w:color w:val="auto"/>
                <w:szCs w:val="21"/>
                <w:highlight w:val="none"/>
              </w:rPr>
              <w:t>综合情况</w:t>
            </w:r>
          </w:p>
        </w:tc>
        <w:tc>
          <w:tcPr>
            <w:tcW w:w="5287" w:type="dxa"/>
            <w:noWrap w:val="0"/>
          </w:tcPr>
          <w:p w14:paraId="3D1CAF80">
            <w:pPr>
              <w:widowControl w:val="0"/>
              <w:rPr>
                <w:rFonts w:ascii="宋体" w:hAnsi="宋体" w:cs="宋体"/>
                <w:bCs/>
                <w:color w:val="auto"/>
                <w:sz w:val="21"/>
                <w:szCs w:val="21"/>
                <w:highlight w:val="none"/>
              </w:rPr>
            </w:pPr>
            <w:r>
              <w:rPr>
                <w:rFonts w:hint="eastAsia" w:ascii="宋体" w:hAnsi="宋体" w:cs="宋体"/>
                <w:bCs/>
                <w:color w:val="auto"/>
                <w:sz w:val="21"/>
                <w:szCs w:val="21"/>
                <w:highlight w:val="none"/>
              </w:rPr>
              <w:t>投标人拟派的项目成员(除项目负责人外)：</w:t>
            </w:r>
          </w:p>
          <w:p w14:paraId="5B02F31B">
            <w:pPr>
              <w:widowControl w:val="0"/>
              <w:numPr>
                <w:ilvl w:val="0"/>
                <w:numId w:val="9"/>
              </w:numPr>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具有护理类相关专业大专及以上学历，且具有人社部门颁发的卫生专业技术资格证书的，</w:t>
            </w:r>
            <w:r>
              <w:rPr>
                <w:rFonts w:hint="eastAsia" w:ascii="宋体" w:hAnsi="宋体" w:cs="宋体"/>
                <w:bCs/>
                <w:color w:val="auto"/>
                <w:sz w:val="21"/>
                <w:szCs w:val="21"/>
                <w:highlight w:val="none"/>
              </w:rPr>
              <w:t>每提供1人得</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rPr>
              <w:t>分，最多得</w:t>
            </w:r>
            <w:r>
              <w:rPr>
                <w:rFonts w:hint="eastAsia" w:ascii="宋体" w:hAnsi="宋体" w:cs="宋体"/>
                <w:bCs/>
                <w:color w:val="auto"/>
                <w:sz w:val="21"/>
                <w:szCs w:val="21"/>
                <w:highlight w:val="none"/>
                <w:lang w:val="en-US" w:eastAsia="zh-CN"/>
              </w:rPr>
              <w:t>4</w:t>
            </w:r>
            <w:r>
              <w:rPr>
                <w:rFonts w:hint="eastAsia" w:ascii="宋体" w:hAnsi="宋体" w:cs="宋体"/>
                <w:bCs/>
                <w:color w:val="auto"/>
                <w:sz w:val="21"/>
                <w:szCs w:val="21"/>
                <w:highlight w:val="none"/>
              </w:rPr>
              <w:t>分，缺项不得分。</w:t>
            </w:r>
          </w:p>
          <w:p w14:paraId="51062BE3">
            <w:pPr>
              <w:widowControl w:val="0"/>
              <w:numPr>
                <w:ilvl w:val="0"/>
                <w:numId w:val="9"/>
              </w:numPr>
              <w:rPr>
                <w:rFonts w:ascii="宋体" w:hAnsi="宋体" w:cs="宋体"/>
                <w:bCs/>
                <w:color w:val="auto"/>
                <w:sz w:val="21"/>
                <w:szCs w:val="21"/>
                <w:highlight w:val="none"/>
              </w:rPr>
            </w:pPr>
            <w:r>
              <w:rPr>
                <w:rFonts w:hint="eastAsia" w:ascii="宋体" w:hAnsi="宋体" w:cs="宋体"/>
                <w:bCs/>
                <w:color w:val="auto"/>
                <w:sz w:val="21"/>
                <w:szCs w:val="21"/>
                <w:highlight w:val="none"/>
                <w:lang w:val="en-US" w:eastAsia="zh-CN"/>
              </w:rPr>
              <w:t>具有</w:t>
            </w:r>
            <w:r>
              <w:rPr>
                <w:rFonts w:hint="eastAsia" w:ascii="宋体" w:hAnsi="宋体" w:cs="宋体"/>
                <w:bCs/>
                <w:color w:val="auto"/>
                <w:sz w:val="21"/>
                <w:szCs w:val="21"/>
                <w:highlight w:val="none"/>
              </w:rPr>
              <w:t>红十字会救护员证的，每提供1人得1分，最多得</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rPr>
              <w:t>分，缺项不得分。</w:t>
            </w:r>
          </w:p>
          <w:p w14:paraId="6ED1B84D">
            <w:pPr>
              <w:widowControl w:val="0"/>
              <w:rPr>
                <w:rFonts w:hint="eastAsia" w:ascii="宋体" w:hAnsi="宋体" w:cs="宋体"/>
                <w:bCs/>
                <w:color w:val="auto"/>
                <w:sz w:val="21"/>
                <w:szCs w:val="21"/>
                <w:highlight w:val="none"/>
              </w:rPr>
            </w:pPr>
            <w:r>
              <w:rPr>
                <w:rFonts w:hint="eastAsia" w:ascii="宋体" w:hAnsi="宋体" w:cs="宋体"/>
                <w:bCs/>
                <w:color w:val="auto"/>
                <w:sz w:val="21"/>
                <w:szCs w:val="21"/>
                <w:highlight w:val="none"/>
              </w:rPr>
              <w:t>（</w:t>
            </w:r>
            <w:r>
              <w:rPr>
                <w:rFonts w:hint="eastAsia" w:ascii="宋体" w:hAnsi="宋体" w:cs="宋体"/>
                <w:bCs/>
                <w:color w:val="auto"/>
                <w:sz w:val="21"/>
                <w:szCs w:val="21"/>
                <w:highlight w:val="none"/>
                <w:lang w:val="en-US" w:eastAsia="zh-CN"/>
              </w:rPr>
              <w:t>3</w:t>
            </w:r>
            <w:r>
              <w:rPr>
                <w:rFonts w:hint="eastAsia" w:ascii="宋体" w:hAnsi="宋体" w:cs="宋体"/>
                <w:bCs/>
                <w:color w:val="auto"/>
                <w:sz w:val="21"/>
                <w:szCs w:val="21"/>
                <w:highlight w:val="none"/>
              </w:rPr>
              <w:t>）具有人力资源管理师证书或企业人力资源管理师证书的，每提供1人得</w:t>
            </w:r>
            <w:r>
              <w:rPr>
                <w:rFonts w:hint="eastAsia" w:ascii="宋体" w:hAnsi="宋体" w:cs="宋体"/>
                <w:bCs/>
                <w:color w:val="auto"/>
                <w:sz w:val="21"/>
                <w:szCs w:val="21"/>
                <w:highlight w:val="none"/>
                <w:lang w:val="en-US" w:eastAsia="zh-CN"/>
              </w:rPr>
              <w:t>1</w:t>
            </w:r>
            <w:r>
              <w:rPr>
                <w:rFonts w:hint="eastAsia" w:ascii="宋体" w:hAnsi="宋体" w:cs="宋体"/>
                <w:bCs/>
                <w:color w:val="auto"/>
                <w:sz w:val="21"/>
                <w:szCs w:val="21"/>
                <w:highlight w:val="none"/>
              </w:rPr>
              <w:t>分，最</w:t>
            </w:r>
            <w:r>
              <w:rPr>
                <w:rFonts w:hint="eastAsia" w:ascii="宋体" w:hAnsi="宋体" w:cs="宋体"/>
                <w:bCs/>
                <w:color w:val="auto"/>
                <w:sz w:val="21"/>
                <w:szCs w:val="21"/>
                <w:highlight w:val="none"/>
                <w:lang w:val="en-US" w:eastAsia="zh-CN"/>
              </w:rPr>
              <w:t>多</w:t>
            </w:r>
            <w:r>
              <w:rPr>
                <w:rFonts w:hint="eastAsia" w:ascii="宋体" w:hAnsi="宋体" w:cs="宋体"/>
                <w:bCs/>
                <w:color w:val="auto"/>
                <w:sz w:val="21"/>
                <w:szCs w:val="21"/>
                <w:highlight w:val="none"/>
              </w:rPr>
              <w:t>得</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rPr>
              <w:t>分，缺项不得分。（</w:t>
            </w:r>
            <w:r>
              <w:rPr>
                <w:rFonts w:hint="eastAsia" w:ascii="宋体" w:hAnsi="宋体" w:cs="宋体"/>
                <w:bCs/>
                <w:color w:val="auto"/>
                <w:sz w:val="21"/>
                <w:szCs w:val="21"/>
                <w:highlight w:val="none"/>
                <w:lang w:val="en-US" w:eastAsia="zh-CN"/>
              </w:rPr>
              <w:t>需</w:t>
            </w:r>
            <w:r>
              <w:rPr>
                <w:rFonts w:hint="eastAsia" w:ascii="宋体" w:hAnsi="宋体" w:cs="宋体"/>
                <w:bCs/>
                <w:color w:val="auto"/>
                <w:sz w:val="21"/>
                <w:szCs w:val="21"/>
                <w:highlight w:val="none"/>
              </w:rPr>
              <w:t>同时提供该证书在技能人才评价工作网（网址：www.osta.org.cn）的查询截图，截图内容须完整可辨，否则该项不予认可。）</w:t>
            </w:r>
          </w:p>
          <w:p w14:paraId="525B6086">
            <w:pPr>
              <w:widowControl w:val="0"/>
              <w:rPr>
                <w:rFonts w:ascii="宋体" w:hAnsi="宋体" w:cs="宋体"/>
                <w:b/>
                <w:color w:val="auto"/>
                <w:sz w:val="21"/>
                <w:szCs w:val="21"/>
                <w:highlight w:val="none"/>
              </w:rPr>
            </w:pPr>
            <w:r>
              <w:rPr>
                <w:rFonts w:hint="eastAsia" w:ascii="宋体" w:hAnsi="宋体" w:cs="宋体"/>
                <w:b/>
                <w:color w:val="auto"/>
                <w:sz w:val="21"/>
                <w:szCs w:val="21"/>
                <w:highlight w:val="none"/>
              </w:rPr>
              <w:t>注：需提供</w:t>
            </w:r>
            <w:r>
              <w:rPr>
                <w:rFonts w:hint="eastAsia" w:ascii="宋体" w:hAnsi="宋体" w:cs="宋体"/>
                <w:b/>
                <w:color w:val="auto"/>
                <w:sz w:val="21"/>
                <w:szCs w:val="21"/>
                <w:highlight w:val="none"/>
                <w:lang w:val="en-US" w:eastAsia="zh-CN"/>
              </w:rPr>
              <w:t>上述人员</w:t>
            </w:r>
            <w:r>
              <w:rPr>
                <w:rFonts w:hint="eastAsia" w:ascii="宋体" w:hAnsi="宋体" w:cs="宋体"/>
                <w:b/>
                <w:color w:val="auto"/>
                <w:sz w:val="21"/>
                <w:szCs w:val="21"/>
                <w:highlight w:val="none"/>
              </w:rPr>
              <w:t>毕业</w:t>
            </w:r>
            <w:r>
              <w:rPr>
                <w:rFonts w:hint="eastAsia" w:ascii="宋体" w:hAnsi="宋体" w:cs="宋体"/>
                <w:b/>
                <w:color w:val="auto"/>
                <w:sz w:val="21"/>
                <w:szCs w:val="21"/>
                <w:highlight w:val="none"/>
                <w:lang w:val="zh-CN"/>
              </w:rPr>
              <w:t>证书、</w:t>
            </w:r>
            <w:r>
              <w:rPr>
                <w:rFonts w:hint="eastAsia" w:ascii="宋体" w:hAnsi="宋体" w:cs="宋体"/>
                <w:b/>
                <w:color w:val="auto"/>
                <w:sz w:val="21"/>
                <w:szCs w:val="21"/>
                <w:highlight w:val="none"/>
              </w:rPr>
              <w:t>身份证、相应资格证书</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投标人为其缴纳的近3个月中任意1个月的社保及医保，原件扫描上传。</w:t>
            </w:r>
          </w:p>
          <w:p w14:paraId="3EE8A4CD">
            <w:pPr>
              <w:widowControl w:val="0"/>
              <w:rPr>
                <w:rFonts w:ascii="宋体" w:hAnsi="宋体" w:cs="宋体"/>
                <w:bCs/>
                <w:color w:val="auto"/>
                <w:sz w:val="21"/>
                <w:szCs w:val="21"/>
                <w:highlight w:val="none"/>
              </w:rPr>
            </w:pPr>
            <w:r>
              <w:rPr>
                <w:rFonts w:hint="eastAsia" w:ascii="宋体" w:hAnsi="宋体" w:cs="宋体"/>
                <w:b/>
                <w:color w:val="auto"/>
                <w:sz w:val="21"/>
                <w:szCs w:val="21"/>
                <w:highlight w:val="none"/>
              </w:rPr>
              <w:t>以上人员不得重复计分。</w:t>
            </w:r>
          </w:p>
        </w:tc>
        <w:tc>
          <w:tcPr>
            <w:tcW w:w="1009" w:type="dxa"/>
            <w:noWrap w:val="0"/>
            <w:vAlign w:val="center"/>
          </w:tcPr>
          <w:p w14:paraId="5B0752BF">
            <w:pPr>
              <w:widowControl w:val="0"/>
              <w:spacing w:line="288" w:lineRule="auto"/>
              <w:jc w:val="center"/>
              <w:rPr>
                <w:rFonts w:hint="eastAsia" w:ascii="宋体" w:hAnsi="宋体" w:eastAsia="宋体" w:cs="宋体"/>
                <w:color w:val="auto"/>
                <w:spacing w:val="-4"/>
                <w:sz w:val="21"/>
                <w:szCs w:val="21"/>
                <w:highlight w:val="none"/>
                <w:lang w:eastAsia="zh-CN"/>
              </w:rPr>
            </w:pPr>
            <w:r>
              <w:rPr>
                <w:rFonts w:hint="eastAsia" w:ascii="宋体" w:hAnsi="宋体" w:cs="宋体"/>
                <w:color w:val="auto"/>
                <w:spacing w:val="-4"/>
                <w:sz w:val="21"/>
                <w:szCs w:val="21"/>
                <w:highlight w:val="none"/>
                <w:lang w:val="en-US" w:eastAsia="zh-CN"/>
              </w:rPr>
              <w:t>8</w:t>
            </w:r>
          </w:p>
        </w:tc>
      </w:tr>
      <w:tr w14:paraId="2052D52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1432" w:hRule="atLeast"/>
          <w:jc w:val="center"/>
        </w:trPr>
        <w:tc>
          <w:tcPr>
            <w:tcW w:w="647" w:type="dxa"/>
            <w:noWrap w:val="0"/>
            <w:vAlign w:val="center"/>
          </w:tcPr>
          <w:p w14:paraId="286BCF81">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4</w:t>
            </w:r>
          </w:p>
        </w:tc>
        <w:tc>
          <w:tcPr>
            <w:tcW w:w="1434" w:type="dxa"/>
            <w:noWrap w:val="0"/>
            <w:vAlign w:val="center"/>
          </w:tcPr>
          <w:p w14:paraId="7A8B97CA">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荣誉评价</w:t>
            </w:r>
          </w:p>
        </w:tc>
        <w:tc>
          <w:tcPr>
            <w:tcW w:w="5287" w:type="dxa"/>
            <w:noWrap w:val="0"/>
            <w:vAlign w:val="center"/>
          </w:tcPr>
          <w:p w14:paraId="193E0A69">
            <w:pPr>
              <w:widowControl w:val="0"/>
              <w:jc w:val="both"/>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202</w:t>
            </w:r>
            <w:r>
              <w:rPr>
                <w:rFonts w:hint="eastAsia" w:ascii="宋体" w:hAnsi="宋体" w:cs="宋体"/>
                <w:bCs/>
                <w:color w:val="auto"/>
                <w:sz w:val="21"/>
                <w:szCs w:val="21"/>
                <w:highlight w:val="none"/>
                <w:lang w:val="en-US" w:eastAsia="zh-CN"/>
              </w:rPr>
              <w:t>3</w:t>
            </w:r>
            <w:r>
              <w:rPr>
                <w:rFonts w:hint="eastAsia" w:ascii="宋体" w:hAnsi="宋体" w:cs="宋体"/>
                <w:bCs/>
                <w:color w:val="auto"/>
                <w:sz w:val="21"/>
                <w:szCs w:val="21"/>
                <w:highlight w:val="none"/>
              </w:rPr>
              <w:t>年</w:t>
            </w:r>
            <w:r>
              <w:rPr>
                <w:rFonts w:hint="eastAsia" w:ascii="宋体" w:hAnsi="宋体" w:cs="宋体"/>
                <w:bCs/>
                <w:color w:val="auto"/>
                <w:sz w:val="21"/>
                <w:szCs w:val="21"/>
                <w:highlight w:val="none"/>
                <w:lang w:val="en-US" w:eastAsia="zh-CN"/>
              </w:rPr>
              <w:t>1月1日</w:t>
            </w:r>
            <w:r>
              <w:rPr>
                <w:rFonts w:hint="eastAsia" w:ascii="宋体" w:hAnsi="宋体" w:cs="宋体"/>
                <w:bCs/>
                <w:color w:val="auto"/>
                <w:sz w:val="21"/>
                <w:szCs w:val="21"/>
                <w:highlight w:val="none"/>
              </w:rPr>
              <w:t>以来投标人获得过政府行政部门颁发的荣誉的，省级(含直辖市)及以上的有一个得2分，市级的有一个得1分，需提供证书扫描件，每项荣誉按最高级别计分，相同内容的荣誉不得重复计分，满分2分。</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证书上需有相应时间体现</w:t>
            </w:r>
            <w:r>
              <w:rPr>
                <w:rFonts w:hint="eastAsia" w:ascii="宋体" w:hAnsi="宋体" w:cs="宋体"/>
                <w:bCs/>
                <w:color w:val="auto"/>
                <w:sz w:val="21"/>
                <w:szCs w:val="21"/>
                <w:highlight w:val="none"/>
                <w:lang w:eastAsia="zh-CN"/>
              </w:rPr>
              <w:t>）</w:t>
            </w:r>
          </w:p>
        </w:tc>
        <w:tc>
          <w:tcPr>
            <w:tcW w:w="1009" w:type="dxa"/>
            <w:noWrap w:val="0"/>
            <w:vAlign w:val="center"/>
          </w:tcPr>
          <w:p w14:paraId="3CF383FE">
            <w:pPr>
              <w:widowControl w:val="0"/>
              <w:jc w:val="center"/>
              <w:rPr>
                <w:rFonts w:ascii="宋体" w:hAnsi="宋体" w:cs="宋体"/>
                <w:bCs/>
                <w:color w:val="auto"/>
                <w:sz w:val="21"/>
                <w:szCs w:val="21"/>
                <w:highlight w:val="none"/>
              </w:rPr>
            </w:pPr>
            <w:r>
              <w:rPr>
                <w:rFonts w:hint="eastAsia" w:ascii="宋体" w:hAnsi="宋体" w:cs="宋体"/>
                <w:bCs/>
                <w:color w:val="auto"/>
                <w:sz w:val="21"/>
                <w:szCs w:val="21"/>
                <w:highlight w:val="none"/>
              </w:rPr>
              <w:t>2</w:t>
            </w:r>
          </w:p>
        </w:tc>
      </w:tr>
      <w:tr w14:paraId="26949D0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162" w:hRule="atLeast"/>
          <w:jc w:val="center"/>
        </w:trPr>
        <w:tc>
          <w:tcPr>
            <w:tcW w:w="647" w:type="dxa"/>
            <w:noWrap w:val="0"/>
            <w:vAlign w:val="center"/>
          </w:tcPr>
          <w:p w14:paraId="5F18FF2C">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5</w:t>
            </w:r>
          </w:p>
        </w:tc>
        <w:tc>
          <w:tcPr>
            <w:tcW w:w="1434" w:type="dxa"/>
            <w:noWrap w:val="0"/>
            <w:vAlign w:val="center"/>
          </w:tcPr>
          <w:p w14:paraId="43E52DA7">
            <w:pPr>
              <w:pStyle w:val="360"/>
              <w:jc w:val="center"/>
              <w:rPr>
                <w:rFonts w:ascii="宋体" w:hAnsi="宋体" w:cs="宋体"/>
                <w:b/>
                <w:bCs/>
                <w:color w:val="auto"/>
                <w:szCs w:val="21"/>
                <w:highlight w:val="none"/>
              </w:rPr>
            </w:pPr>
            <w:r>
              <w:rPr>
                <w:rFonts w:hint="eastAsia" w:ascii="宋体" w:hAnsi="宋体" w:cs="宋体"/>
                <w:b/>
                <w:bCs/>
                <w:color w:val="auto"/>
                <w:szCs w:val="21"/>
                <w:highlight w:val="none"/>
              </w:rPr>
              <w:t>类似业绩</w:t>
            </w:r>
          </w:p>
        </w:tc>
        <w:tc>
          <w:tcPr>
            <w:tcW w:w="5287" w:type="dxa"/>
            <w:noWrap w:val="0"/>
          </w:tcPr>
          <w:p w14:paraId="49868B42">
            <w:pPr>
              <w:widowControl w:val="0"/>
              <w:rPr>
                <w:rFonts w:ascii="宋体" w:hAnsi="宋体" w:cs="宋体"/>
                <w:color w:val="auto"/>
                <w:sz w:val="21"/>
                <w:szCs w:val="21"/>
                <w:highlight w:val="none"/>
              </w:rPr>
            </w:pPr>
            <w:r>
              <w:rPr>
                <w:rFonts w:hint="eastAsia" w:ascii="宋体" w:hAnsi="宋体" w:cs="宋体"/>
                <w:color w:val="auto"/>
                <w:sz w:val="21"/>
                <w:szCs w:val="21"/>
                <w:highlight w:val="none"/>
              </w:rPr>
              <w:t>（1）投标人自202</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年以来服务过的与本项目实施内容相匹配的类似项目业绩（实施内容</w:t>
            </w:r>
            <w:r>
              <w:rPr>
                <w:rFonts w:hint="eastAsia" w:ascii="宋体" w:hAnsi="宋体" w:cs="宋体"/>
                <w:color w:val="auto"/>
                <w:sz w:val="21"/>
                <w:szCs w:val="21"/>
                <w:highlight w:val="none"/>
                <w:lang w:val="en-US" w:eastAsia="zh-CN"/>
              </w:rPr>
              <w:t>同时</w:t>
            </w:r>
            <w:r>
              <w:rPr>
                <w:rFonts w:hint="eastAsia" w:ascii="宋体" w:hAnsi="宋体" w:cs="宋体"/>
                <w:color w:val="auto"/>
                <w:sz w:val="21"/>
                <w:szCs w:val="21"/>
                <w:highlight w:val="none"/>
              </w:rPr>
              <w:t>包运送</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陪检、导医导诊服务</w:t>
            </w:r>
            <w:r>
              <w:rPr>
                <w:rFonts w:hint="eastAsia" w:ascii="宋体" w:hAnsi="宋体" w:cs="宋体"/>
                <w:color w:val="auto"/>
                <w:sz w:val="21"/>
                <w:szCs w:val="21"/>
                <w:highlight w:val="none"/>
                <w:lang w:eastAsia="zh-CN"/>
              </w:rPr>
              <w:t>、收费服务、突发事件应急处置</w:t>
            </w:r>
            <w:r>
              <w:rPr>
                <w:rFonts w:hint="eastAsia" w:ascii="宋体" w:hAnsi="宋体" w:cs="宋体"/>
                <w:color w:val="auto"/>
                <w:sz w:val="21"/>
                <w:szCs w:val="21"/>
                <w:highlight w:val="none"/>
                <w:lang w:val="en-US" w:eastAsia="zh-CN"/>
              </w:rPr>
              <w:t>中任意三项</w:t>
            </w:r>
            <w:r>
              <w:rPr>
                <w:rFonts w:hint="eastAsia" w:ascii="宋体" w:hAnsi="宋体" w:cs="宋体"/>
                <w:color w:val="auto"/>
                <w:sz w:val="21"/>
                <w:szCs w:val="21"/>
                <w:highlight w:val="none"/>
              </w:rPr>
              <w:t>的），有一个得</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分，最高得</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分。</w:t>
            </w:r>
          </w:p>
          <w:p w14:paraId="1B5FCB77">
            <w:pPr>
              <w:widowControl w:val="0"/>
              <w:rPr>
                <w:rFonts w:ascii="宋体" w:hAnsi="宋体" w:cs="宋体"/>
                <w:color w:val="auto"/>
                <w:sz w:val="21"/>
                <w:szCs w:val="21"/>
                <w:highlight w:val="none"/>
              </w:rPr>
            </w:pPr>
            <w:r>
              <w:rPr>
                <w:rFonts w:hint="eastAsia" w:ascii="宋体" w:hAnsi="宋体" w:cs="宋体"/>
                <w:color w:val="auto"/>
                <w:sz w:val="21"/>
                <w:szCs w:val="21"/>
                <w:highlight w:val="none"/>
              </w:rPr>
              <w:t>（2）投标人自202</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年以来服务过的与本项目实施内容相匹配的类似项目业绩（实施内容</w:t>
            </w:r>
            <w:r>
              <w:rPr>
                <w:rFonts w:hint="eastAsia" w:ascii="宋体" w:hAnsi="宋体" w:cs="宋体"/>
                <w:color w:val="auto"/>
                <w:sz w:val="21"/>
                <w:szCs w:val="21"/>
                <w:highlight w:val="none"/>
                <w:lang w:val="en-US" w:eastAsia="zh-CN"/>
              </w:rPr>
              <w:t>同时</w:t>
            </w:r>
            <w:r>
              <w:rPr>
                <w:rFonts w:hint="eastAsia" w:ascii="宋体" w:hAnsi="宋体" w:cs="宋体"/>
                <w:color w:val="auto"/>
                <w:sz w:val="21"/>
                <w:szCs w:val="21"/>
                <w:highlight w:val="none"/>
              </w:rPr>
              <w:t>包含运送</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陪检、导医导诊服务</w:t>
            </w:r>
            <w:r>
              <w:rPr>
                <w:rFonts w:hint="eastAsia" w:ascii="宋体" w:hAnsi="宋体" w:cs="宋体"/>
                <w:color w:val="auto"/>
                <w:sz w:val="21"/>
                <w:szCs w:val="21"/>
                <w:highlight w:val="none"/>
                <w:lang w:eastAsia="zh-CN"/>
              </w:rPr>
              <w:t>、收费服务、突发事件应急处置</w:t>
            </w:r>
            <w:r>
              <w:rPr>
                <w:rFonts w:hint="eastAsia" w:ascii="宋体" w:hAnsi="宋体" w:cs="宋体"/>
                <w:color w:val="auto"/>
                <w:sz w:val="21"/>
                <w:szCs w:val="21"/>
                <w:highlight w:val="none"/>
                <w:lang w:val="en-US" w:eastAsia="zh-CN"/>
              </w:rPr>
              <w:t>中</w:t>
            </w:r>
            <w:r>
              <w:rPr>
                <w:rFonts w:hint="eastAsia" w:ascii="宋体" w:hAnsi="宋体" w:cs="宋体"/>
                <w:color w:val="auto"/>
                <w:sz w:val="21"/>
                <w:szCs w:val="21"/>
                <w:highlight w:val="none"/>
              </w:rPr>
              <w:t>任意两项的），有一个得</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分，最高得4分。</w:t>
            </w:r>
          </w:p>
          <w:p w14:paraId="1BCD6462">
            <w:pPr>
              <w:widowControl w:val="0"/>
              <w:spacing w:before="120"/>
              <w:rPr>
                <w:rFonts w:ascii="宋体" w:hAnsi="宋体" w:cs="宋体"/>
                <w:b/>
                <w:bCs/>
                <w:color w:val="auto"/>
                <w:sz w:val="21"/>
                <w:szCs w:val="21"/>
                <w:highlight w:val="none"/>
              </w:rPr>
            </w:pPr>
            <w:r>
              <w:rPr>
                <w:rFonts w:hint="eastAsia" w:ascii="宋体" w:hAnsi="宋体" w:cs="宋体"/>
                <w:b/>
                <w:bCs/>
                <w:color w:val="auto"/>
                <w:sz w:val="21"/>
                <w:szCs w:val="21"/>
                <w:highlight w:val="none"/>
              </w:rPr>
              <w:t>注：需提供合同（要能体现相关的实施内容，合同无法体现实施内容的，可由业主方开具相应证明材料）</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时间以合同签订时间为准，原件扫描上传</w:t>
            </w:r>
            <w:r>
              <w:rPr>
                <w:rFonts w:hint="eastAsia" w:ascii="宋体" w:hAnsi="宋体" w:cs="宋体"/>
                <w:b/>
                <w:bCs/>
                <w:color w:val="auto"/>
                <w:sz w:val="21"/>
                <w:szCs w:val="21"/>
                <w:highlight w:val="none"/>
              </w:rPr>
              <w:t>。</w:t>
            </w:r>
          </w:p>
          <w:p w14:paraId="46793EFD">
            <w:pPr>
              <w:widowControl w:val="0"/>
              <w:rPr>
                <w:rFonts w:ascii="宋体" w:hAnsi="宋体" w:cs="宋体"/>
                <w:strike/>
                <w:color w:val="auto"/>
                <w:sz w:val="21"/>
                <w:szCs w:val="21"/>
                <w:highlight w:val="none"/>
              </w:rPr>
            </w:pPr>
            <w:r>
              <w:rPr>
                <w:rFonts w:hint="eastAsia" w:ascii="宋体" w:hAnsi="宋体" w:cs="宋体"/>
                <w:b/>
                <w:bCs/>
                <w:color w:val="auto"/>
                <w:sz w:val="21"/>
                <w:szCs w:val="21"/>
                <w:highlight w:val="none"/>
              </w:rPr>
              <w:t>注：以上（1）、（2）得分项业绩不得重复计分，不同服务期限的同一项业绩不重复计分。</w:t>
            </w:r>
          </w:p>
        </w:tc>
        <w:tc>
          <w:tcPr>
            <w:tcW w:w="1009" w:type="dxa"/>
            <w:noWrap w:val="0"/>
            <w:vAlign w:val="center"/>
          </w:tcPr>
          <w:p w14:paraId="50AE78DA">
            <w:pPr>
              <w:widowControl w:val="0"/>
              <w:spacing w:line="288" w:lineRule="auto"/>
              <w:jc w:val="center"/>
              <w:rPr>
                <w:rFonts w:hint="eastAsia" w:ascii="宋体" w:hAnsi="宋体" w:eastAsia="宋体" w:cs="宋体"/>
                <w:color w:val="auto"/>
                <w:spacing w:val="-4"/>
                <w:sz w:val="21"/>
                <w:szCs w:val="21"/>
                <w:highlight w:val="none"/>
                <w:lang w:eastAsia="zh-CN"/>
              </w:rPr>
            </w:pPr>
            <w:r>
              <w:rPr>
                <w:rFonts w:hint="eastAsia" w:ascii="宋体" w:hAnsi="宋体" w:cs="宋体"/>
                <w:color w:val="auto"/>
                <w:spacing w:val="-4"/>
                <w:sz w:val="21"/>
                <w:szCs w:val="21"/>
                <w:highlight w:val="none"/>
              </w:rPr>
              <w:t>1</w:t>
            </w:r>
            <w:r>
              <w:rPr>
                <w:rFonts w:hint="eastAsia" w:ascii="宋体" w:hAnsi="宋体" w:cs="宋体"/>
                <w:color w:val="auto"/>
                <w:spacing w:val="-4"/>
                <w:sz w:val="21"/>
                <w:szCs w:val="21"/>
                <w:highlight w:val="none"/>
                <w:lang w:val="en-US" w:eastAsia="zh-CN"/>
              </w:rPr>
              <w:t>0</w:t>
            </w:r>
          </w:p>
        </w:tc>
      </w:tr>
      <w:tr w14:paraId="020B41D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4579" w:hRule="atLeast"/>
          <w:jc w:val="center"/>
        </w:trPr>
        <w:tc>
          <w:tcPr>
            <w:tcW w:w="647" w:type="dxa"/>
            <w:noWrap w:val="0"/>
            <w:vAlign w:val="center"/>
          </w:tcPr>
          <w:p w14:paraId="79853E9B">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6</w:t>
            </w:r>
          </w:p>
        </w:tc>
        <w:tc>
          <w:tcPr>
            <w:tcW w:w="1434" w:type="dxa"/>
            <w:noWrap w:val="0"/>
            <w:vAlign w:val="center"/>
          </w:tcPr>
          <w:p w14:paraId="52359AD9">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信息化管理</w:t>
            </w:r>
          </w:p>
          <w:p w14:paraId="60478B7A">
            <w:pPr>
              <w:pStyle w:val="360"/>
              <w:jc w:val="center"/>
              <w:rPr>
                <w:rFonts w:ascii="宋体" w:hAnsi="宋体" w:cs="宋体"/>
                <w:b/>
                <w:bCs/>
                <w:color w:val="auto"/>
                <w:szCs w:val="21"/>
                <w:highlight w:val="none"/>
                <w:lang w:eastAsia="zh-CN"/>
              </w:rPr>
            </w:pPr>
            <w:r>
              <w:rPr>
                <w:rFonts w:hint="eastAsia" w:ascii="宋体" w:hAnsi="宋体" w:cs="宋体"/>
                <w:b/>
                <w:bCs/>
                <w:color w:val="auto"/>
                <w:szCs w:val="21"/>
                <w:highlight w:val="none"/>
                <w:lang w:eastAsia="zh-CN"/>
              </w:rPr>
              <w:t>平台</w:t>
            </w:r>
          </w:p>
        </w:tc>
        <w:tc>
          <w:tcPr>
            <w:tcW w:w="5287" w:type="dxa"/>
            <w:noWrap w:val="0"/>
          </w:tcPr>
          <w:p w14:paraId="7A1D4C36">
            <w:pPr>
              <w:pStyle w:val="14"/>
              <w:widowControl w:val="0"/>
              <w:spacing w:line="288" w:lineRule="auto"/>
              <w:ind w:firstLine="0"/>
              <w:rPr>
                <w:rFonts w:ascii="宋体" w:hAnsi="宋体" w:cs="宋体"/>
                <w:color w:val="auto"/>
                <w:sz w:val="21"/>
                <w:highlight w:val="none"/>
              </w:rPr>
            </w:pPr>
            <w:r>
              <w:rPr>
                <w:rFonts w:hint="eastAsia" w:ascii="宋体" w:hAnsi="宋体" w:cs="宋体"/>
                <w:color w:val="auto"/>
                <w:sz w:val="21"/>
                <w:highlight w:val="none"/>
              </w:rPr>
              <w:t>（1）</w:t>
            </w:r>
            <w:r>
              <w:rPr>
                <w:rFonts w:hint="eastAsia" w:ascii="宋体" w:hAnsi="宋体" w:cs="宋体"/>
                <w:color w:val="auto"/>
                <w:sz w:val="21"/>
                <w:highlight w:val="none"/>
                <w:lang w:val="en-US" w:eastAsia="zh-CN"/>
              </w:rPr>
              <w:t>投标人具有已建设完成并投入实际使用的（含自有或第三方购买或租用）信息化系统，且该系统的信息安全等级保护达到第三级并通过公安机关备案的，得2分。（需提供公安机关出具的信息系统安全等级保护备案证明文件，未达到或未提供证明文件的不得分）</w:t>
            </w:r>
          </w:p>
          <w:p w14:paraId="16DC53A0">
            <w:pPr>
              <w:widowControl w:val="0"/>
              <w:spacing w:line="360" w:lineRule="auto"/>
              <w:jc w:val="left"/>
              <w:rPr>
                <w:rFonts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s="宋体"/>
                <w:color w:val="auto"/>
                <w:sz w:val="21"/>
                <w:highlight w:val="none"/>
              </w:rPr>
              <w:t>投标人应设立智慧化、信息化后勤信息管理系统，以提高管理的整体品质与效率。投标人具有或使用的信息化智能管理系统软件包括以下功能的：人员管理、工作调度、运送派工、工单查询、员工实时状态查询、超时处理、反应评价、数据统计等，每具有一个功能得0.5分，满分3分。需提供相关管理软件功能截图</w:t>
            </w:r>
            <w:r>
              <w:rPr>
                <w:rFonts w:hint="eastAsia" w:ascii="宋体" w:hAnsi="宋体" w:cs="宋体"/>
                <w:color w:val="auto"/>
                <w:sz w:val="21"/>
                <w:highlight w:val="none"/>
                <w:lang w:eastAsia="zh-CN"/>
              </w:rPr>
              <w:t>（满足功能即可，功能名称无需一一对应）</w:t>
            </w:r>
            <w:r>
              <w:rPr>
                <w:rFonts w:hint="eastAsia" w:ascii="宋体" w:hAnsi="宋体" w:cs="宋体"/>
                <w:color w:val="auto"/>
                <w:sz w:val="21"/>
                <w:highlight w:val="none"/>
              </w:rPr>
              <w:t>。</w:t>
            </w:r>
          </w:p>
        </w:tc>
        <w:tc>
          <w:tcPr>
            <w:tcW w:w="1009" w:type="dxa"/>
            <w:noWrap w:val="0"/>
            <w:vAlign w:val="center"/>
          </w:tcPr>
          <w:p w14:paraId="3AAE849F">
            <w:pPr>
              <w:widowControl w:val="0"/>
              <w:spacing w:line="288" w:lineRule="auto"/>
              <w:jc w:val="center"/>
              <w:rPr>
                <w:rFonts w:ascii="宋体" w:hAnsi="宋体" w:cs="宋体"/>
                <w:color w:val="auto"/>
                <w:spacing w:val="-4"/>
                <w:sz w:val="21"/>
                <w:szCs w:val="21"/>
                <w:highlight w:val="none"/>
              </w:rPr>
            </w:pPr>
            <w:r>
              <w:rPr>
                <w:rFonts w:hint="eastAsia" w:ascii="宋体" w:hAnsi="宋体" w:cs="宋体"/>
                <w:color w:val="auto"/>
                <w:spacing w:val="-4"/>
                <w:sz w:val="21"/>
                <w:szCs w:val="21"/>
                <w:highlight w:val="none"/>
              </w:rPr>
              <w:t>5</w:t>
            </w:r>
          </w:p>
        </w:tc>
      </w:tr>
      <w:tr w14:paraId="23A94AD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1079" w:hRule="atLeast"/>
          <w:jc w:val="center"/>
        </w:trPr>
        <w:tc>
          <w:tcPr>
            <w:tcW w:w="647" w:type="dxa"/>
            <w:noWrap w:val="0"/>
            <w:vAlign w:val="center"/>
          </w:tcPr>
          <w:p w14:paraId="24334453">
            <w:pPr>
              <w:pStyle w:val="360"/>
              <w:jc w:val="center"/>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7</w:t>
            </w:r>
          </w:p>
        </w:tc>
        <w:tc>
          <w:tcPr>
            <w:tcW w:w="1434" w:type="dxa"/>
            <w:noWrap w:val="0"/>
            <w:vAlign w:val="center"/>
          </w:tcPr>
          <w:p w14:paraId="4B749D0F">
            <w:pPr>
              <w:pStyle w:val="360"/>
              <w:jc w:val="center"/>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服务评价</w:t>
            </w:r>
          </w:p>
        </w:tc>
        <w:tc>
          <w:tcPr>
            <w:tcW w:w="5287" w:type="dxa"/>
            <w:noWrap w:val="0"/>
          </w:tcPr>
          <w:p w14:paraId="72692CBA">
            <w:pPr>
              <w:widowControl w:val="0"/>
              <w:spacing w:line="360" w:lineRule="auto"/>
              <w:jc w:val="left"/>
              <w:rPr>
                <w:rFonts w:hint="eastAsia"/>
                <w:color w:val="auto"/>
                <w:highlight w:val="none"/>
              </w:rPr>
            </w:pPr>
            <w:r>
              <w:rPr>
                <w:rFonts w:hint="eastAsia"/>
                <w:color w:val="auto"/>
                <w:highlight w:val="none"/>
              </w:rPr>
              <w:t>从事</w:t>
            </w:r>
            <w:r>
              <w:rPr>
                <w:rFonts w:hint="eastAsia" w:ascii="宋体" w:hAnsi="宋体" w:cs="宋体"/>
                <w:color w:val="auto"/>
                <w:szCs w:val="21"/>
                <w:highlight w:val="none"/>
                <w:lang w:val="en-US" w:eastAsia="zh-CN"/>
              </w:rPr>
              <w:t>类似</w:t>
            </w:r>
            <w:r>
              <w:rPr>
                <w:rFonts w:hint="eastAsia"/>
                <w:color w:val="auto"/>
                <w:highlight w:val="none"/>
              </w:rPr>
              <w:t>服务</w:t>
            </w:r>
            <w:r>
              <w:rPr>
                <w:rFonts w:hint="eastAsia" w:ascii="宋体" w:hAnsi="宋体" w:cs="宋体"/>
                <w:color w:val="auto"/>
                <w:szCs w:val="21"/>
                <w:highlight w:val="none"/>
              </w:rPr>
              <w:t>（服务内容需包含</w:t>
            </w:r>
            <w:r>
              <w:rPr>
                <w:rFonts w:hint="eastAsia" w:ascii="宋体" w:hAnsi="宋体" w:cs="宋体"/>
                <w:color w:val="auto"/>
                <w:sz w:val="21"/>
                <w:szCs w:val="21"/>
                <w:highlight w:val="none"/>
              </w:rPr>
              <w:t>运送</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陪检、导医导诊服务</w:t>
            </w:r>
            <w:r>
              <w:rPr>
                <w:rFonts w:hint="eastAsia" w:ascii="宋体" w:hAnsi="宋体" w:cs="宋体"/>
                <w:color w:val="auto"/>
                <w:sz w:val="21"/>
                <w:szCs w:val="21"/>
                <w:highlight w:val="none"/>
                <w:lang w:eastAsia="zh-CN"/>
              </w:rPr>
              <w:t>、收费服务、突发事件应急处置</w:t>
            </w:r>
            <w:r>
              <w:rPr>
                <w:rFonts w:hint="eastAsia" w:ascii="宋体" w:hAnsi="宋体" w:cs="宋体"/>
                <w:color w:val="auto"/>
                <w:szCs w:val="21"/>
                <w:highlight w:val="none"/>
              </w:rPr>
              <w:t>等，至少</w:t>
            </w:r>
            <w:r>
              <w:rPr>
                <w:rFonts w:hint="eastAsia" w:ascii="宋体" w:hAnsi="宋体" w:cs="宋体"/>
                <w:color w:val="auto"/>
                <w:szCs w:val="21"/>
                <w:highlight w:val="none"/>
                <w:lang w:eastAsia="zh-CN"/>
              </w:rPr>
              <w:t>包含两项内容</w:t>
            </w:r>
            <w:r>
              <w:rPr>
                <w:rFonts w:hint="eastAsia" w:ascii="宋体" w:hAnsi="宋体" w:cs="宋体"/>
                <w:color w:val="auto"/>
                <w:szCs w:val="21"/>
                <w:highlight w:val="none"/>
              </w:rPr>
              <w:t>）</w:t>
            </w:r>
            <w:r>
              <w:rPr>
                <w:rFonts w:hint="eastAsia"/>
                <w:color w:val="auto"/>
                <w:highlight w:val="none"/>
              </w:rPr>
              <w:t>，有合同方（甲方）或合同方主管部门开具的优秀</w:t>
            </w:r>
            <w:r>
              <w:rPr>
                <w:rFonts w:hint="eastAsia"/>
                <w:color w:val="auto"/>
                <w:highlight w:val="none"/>
                <w:lang w:val="en-US" w:eastAsia="zh-CN"/>
              </w:rPr>
              <w:t>或满意类似</w:t>
            </w:r>
            <w:r>
              <w:rPr>
                <w:rFonts w:hint="eastAsia"/>
                <w:color w:val="auto"/>
                <w:highlight w:val="none"/>
              </w:rPr>
              <w:t>评价证明的，每个得</w:t>
            </w:r>
            <w:r>
              <w:rPr>
                <w:rFonts w:hint="eastAsia"/>
                <w:color w:val="auto"/>
                <w:highlight w:val="none"/>
                <w:lang w:val="en-US" w:eastAsia="zh-CN"/>
              </w:rPr>
              <w:t>2</w:t>
            </w:r>
            <w:r>
              <w:rPr>
                <w:rFonts w:hint="eastAsia"/>
                <w:color w:val="auto"/>
                <w:highlight w:val="none"/>
              </w:rPr>
              <w:t>分，本项最多得</w:t>
            </w:r>
            <w:r>
              <w:rPr>
                <w:rFonts w:hint="eastAsia"/>
                <w:color w:val="auto"/>
                <w:highlight w:val="none"/>
                <w:lang w:val="en-US" w:eastAsia="zh-CN"/>
              </w:rPr>
              <w:t>4</w:t>
            </w:r>
            <w:r>
              <w:rPr>
                <w:rFonts w:hint="eastAsia"/>
                <w:color w:val="auto"/>
                <w:highlight w:val="none"/>
              </w:rPr>
              <w:t>分。</w:t>
            </w:r>
          </w:p>
          <w:p w14:paraId="3D6B5CBF">
            <w:pPr>
              <w:widowControl w:val="0"/>
              <w:spacing w:line="360" w:lineRule="auto"/>
              <w:jc w:val="left"/>
              <w:rPr>
                <w:rFonts w:hint="eastAsia" w:eastAsia="宋体"/>
                <w:color w:val="auto"/>
                <w:highlight w:val="yellow"/>
                <w:lang w:eastAsia="zh-CN"/>
              </w:rPr>
            </w:pPr>
            <w:r>
              <w:rPr>
                <w:rFonts w:hint="eastAsia" w:ascii="宋体" w:hAnsi="宋体" w:cs="宋体"/>
                <w:b/>
                <w:color w:val="auto"/>
                <w:sz w:val="21"/>
                <w:szCs w:val="21"/>
                <w:highlight w:val="none"/>
              </w:rPr>
              <w:t>注：需提供合同方（甲方）或合同方主管部门盖章的证明材料</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原件扫描上传）</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rPr>
              <w:t>同时提供项目甲方的联系人、联系电话，不提供不得分</w:t>
            </w:r>
            <w:r>
              <w:rPr>
                <w:rFonts w:hint="eastAsia" w:ascii="宋体" w:hAnsi="宋体" w:cs="宋体"/>
                <w:b/>
                <w:color w:val="auto"/>
                <w:sz w:val="21"/>
                <w:szCs w:val="21"/>
                <w:highlight w:val="none"/>
                <w:lang w:eastAsia="zh-CN"/>
              </w:rPr>
              <w:t>。同一业主的评价只计取一次。</w:t>
            </w:r>
          </w:p>
        </w:tc>
        <w:tc>
          <w:tcPr>
            <w:tcW w:w="1009" w:type="dxa"/>
            <w:noWrap w:val="0"/>
            <w:vAlign w:val="center"/>
          </w:tcPr>
          <w:p w14:paraId="503F5238">
            <w:pPr>
              <w:widowControl w:val="0"/>
              <w:spacing w:line="288" w:lineRule="auto"/>
              <w:jc w:val="center"/>
              <w:rPr>
                <w:rFonts w:hint="eastAsia" w:ascii="宋体" w:hAnsi="宋体" w:eastAsia="宋体" w:cs="宋体"/>
                <w:color w:val="auto"/>
                <w:spacing w:val="-4"/>
                <w:sz w:val="21"/>
                <w:szCs w:val="21"/>
                <w:highlight w:val="none"/>
                <w:lang w:val="en-US" w:eastAsia="zh-CN"/>
              </w:rPr>
            </w:pPr>
            <w:r>
              <w:rPr>
                <w:rFonts w:hint="eastAsia" w:ascii="宋体" w:hAnsi="宋体" w:cs="宋体"/>
                <w:color w:val="auto"/>
                <w:spacing w:val="-4"/>
                <w:sz w:val="21"/>
                <w:szCs w:val="21"/>
                <w:highlight w:val="none"/>
                <w:lang w:val="en-US" w:eastAsia="zh-CN"/>
              </w:rPr>
              <w:t>4</w:t>
            </w:r>
          </w:p>
        </w:tc>
      </w:tr>
      <w:tr w14:paraId="72DF262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825" w:hRule="atLeast"/>
          <w:jc w:val="center"/>
        </w:trPr>
        <w:tc>
          <w:tcPr>
            <w:tcW w:w="8377" w:type="dxa"/>
            <w:gridSpan w:val="4"/>
            <w:noWrap w:val="0"/>
            <w:vAlign w:val="center"/>
          </w:tcPr>
          <w:p w14:paraId="31CD331C">
            <w:pPr>
              <w:widowControl w:val="0"/>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技术部分（</w:t>
            </w:r>
            <w:r>
              <w:rPr>
                <w:rFonts w:hint="eastAsia" w:ascii="宋体" w:hAnsi="宋体" w:cs="宋体"/>
                <w:b/>
                <w:bCs/>
                <w:color w:val="auto"/>
                <w:sz w:val="21"/>
                <w:szCs w:val="21"/>
                <w:highlight w:val="none"/>
                <w:lang w:val="en-US" w:eastAsia="zh-CN"/>
              </w:rPr>
              <w:t>55</w:t>
            </w:r>
            <w:r>
              <w:rPr>
                <w:rFonts w:hint="eastAsia" w:ascii="宋体" w:hAnsi="宋体" w:cs="宋体"/>
                <w:b/>
                <w:bCs/>
                <w:color w:val="auto"/>
                <w:sz w:val="21"/>
                <w:szCs w:val="21"/>
                <w:highlight w:val="none"/>
              </w:rPr>
              <w:t>分）</w:t>
            </w:r>
          </w:p>
        </w:tc>
      </w:tr>
      <w:tr w14:paraId="04CF97C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647" w:type="dxa"/>
            <w:noWrap w:val="0"/>
            <w:vAlign w:val="center"/>
          </w:tcPr>
          <w:p w14:paraId="4559AE69">
            <w:pPr>
              <w:widowControl w:val="0"/>
              <w:spacing w:line="288" w:lineRule="auto"/>
              <w:jc w:val="center"/>
              <w:rPr>
                <w:rFonts w:hint="eastAsia" w:ascii="宋体" w:hAnsi="宋体" w:cs="宋体"/>
                <w:b/>
                <w:bCs/>
                <w:color w:val="auto"/>
                <w:spacing w:val="1"/>
                <w:sz w:val="21"/>
                <w:szCs w:val="21"/>
                <w:highlight w:val="none"/>
              </w:rPr>
            </w:pPr>
            <w:r>
              <w:rPr>
                <w:rFonts w:hint="eastAsia" w:ascii="宋体" w:hAnsi="宋体" w:cs="宋体"/>
                <w:b/>
                <w:bCs/>
                <w:color w:val="auto"/>
                <w:spacing w:val="1"/>
                <w:sz w:val="21"/>
                <w:szCs w:val="21"/>
                <w:highlight w:val="none"/>
              </w:rPr>
              <w:t>8</w:t>
            </w:r>
          </w:p>
        </w:tc>
        <w:tc>
          <w:tcPr>
            <w:tcW w:w="1434" w:type="dxa"/>
            <w:noWrap w:val="0"/>
            <w:vAlign w:val="center"/>
          </w:tcPr>
          <w:p w14:paraId="50DE9B6F">
            <w:pPr>
              <w:widowControl w:val="0"/>
              <w:spacing w:line="288" w:lineRule="auto"/>
              <w:jc w:val="center"/>
              <w:rPr>
                <w:rFonts w:hint="eastAsia" w:ascii="宋体" w:hAnsi="宋体" w:cs="宋体"/>
                <w:b/>
                <w:bCs/>
                <w:color w:val="auto"/>
                <w:spacing w:val="-4"/>
                <w:sz w:val="21"/>
                <w:szCs w:val="21"/>
                <w:highlight w:val="none"/>
              </w:rPr>
            </w:pPr>
            <w:r>
              <w:rPr>
                <w:rFonts w:hint="eastAsia" w:ascii="宋体" w:hAnsi="宋体" w:cs="宋体"/>
                <w:b/>
                <w:bCs/>
                <w:color w:val="auto"/>
                <w:spacing w:val="-4"/>
                <w:sz w:val="21"/>
                <w:szCs w:val="21"/>
                <w:highlight w:val="none"/>
                <w:lang w:val="en-US" w:eastAsia="zh-CN"/>
              </w:rPr>
              <w:t>整体</w:t>
            </w:r>
            <w:r>
              <w:rPr>
                <w:rFonts w:hint="eastAsia" w:ascii="宋体" w:hAnsi="宋体" w:cs="宋体"/>
                <w:b/>
                <w:bCs/>
                <w:color w:val="auto"/>
                <w:spacing w:val="-4"/>
                <w:sz w:val="21"/>
                <w:szCs w:val="21"/>
                <w:highlight w:val="none"/>
              </w:rPr>
              <w:t>服务方案</w:t>
            </w:r>
          </w:p>
        </w:tc>
        <w:tc>
          <w:tcPr>
            <w:tcW w:w="5287" w:type="dxa"/>
            <w:noWrap w:val="0"/>
            <w:vAlign w:val="center"/>
          </w:tcPr>
          <w:p w14:paraId="64AA3789">
            <w:pPr>
              <w:widowControl w:val="0"/>
              <w:spacing w:line="288" w:lineRule="auto"/>
              <w:rPr>
                <w:rFonts w:hint="eastAsia" w:ascii="宋体" w:hAnsi="宋体" w:cs="宋体"/>
                <w:color w:val="auto"/>
                <w:spacing w:val="-4"/>
                <w:sz w:val="21"/>
                <w:szCs w:val="21"/>
                <w:highlight w:val="none"/>
              </w:rPr>
            </w:pPr>
            <w:r>
              <w:rPr>
                <w:rFonts w:hint="eastAsia" w:ascii="宋体" w:hAnsi="宋体" w:cs="宋体"/>
                <w:color w:val="auto"/>
                <w:spacing w:val="-4"/>
                <w:sz w:val="21"/>
                <w:szCs w:val="21"/>
                <w:highlight w:val="none"/>
              </w:rPr>
              <w:t>投标人结合本项目服务性质，提出整体服务方案，方案描述完整、合理、可操作性强的得</w:t>
            </w:r>
            <w:r>
              <w:rPr>
                <w:rFonts w:hint="eastAsia" w:ascii="宋体" w:hAnsi="宋体" w:cs="宋体"/>
                <w:color w:val="auto"/>
                <w:spacing w:val="-4"/>
                <w:sz w:val="21"/>
                <w:szCs w:val="21"/>
                <w:highlight w:val="none"/>
                <w:lang w:val="en-US" w:eastAsia="zh-CN"/>
              </w:rPr>
              <w:t>7</w:t>
            </w:r>
            <w:r>
              <w:rPr>
                <w:rFonts w:hint="eastAsia" w:ascii="宋体" w:hAnsi="宋体" w:cs="宋体"/>
                <w:color w:val="auto"/>
                <w:spacing w:val="-4"/>
                <w:sz w:val="21"/>
                <w:szCs w:val="21"/>
                <w:highlight w:val="none"/>
              </w:rPr>
              <w:t>分；方案完整但合理性和可操作性上略有欠缺的得</w:t>
            </w:r>
            <w:r>
              <w:rPr>
                <w:rFonts w:hint="eastAsia" w:ascii="宋体" w:hAnsi="宋体" w:cs="宋体"/>
                <w:color w:val="auto"/>
                <w:spacing w:val="-4"/>
                <w:sz w:val="21"/>
                <w:szCs w:val="21"/>
                <w:highlight w:val="none"/>
                <w:lang w:val="en-US" w:eastAsia="zh-CN"/>
              </w:rPr>
              <w:t>4</w:t>
            </w:r>
            <w:r>
              <w:rPr>
                <w:rFonts w:hint="eastAsia" w:ascii="宋体" w:hAnsi="宋体" w:cs="宋体"/>
                <w:color w:val="auto"/>
                <w:spacing w:val="-4"/>
                <w:sz w:val="21"/>
                <w:szCs w:val="21"/>
                <w:highlight w:val="none"/>
              </w:rPr>
              <w:t>分；方案的完整性、合理性、操作性一般的得</w:t>
            </w:r>
            <w:r>
              <w:rPr>
                <w:rFonts w:hint="eastAsia" w:ascii="宋体" w:hAnsi="宋体" w:cs="宋体"/>
                <w:color w:val="auto"/>
                <w:spacing w:val="-4"/>
                <w:sz w:val="21"/>
                <w:szCs w:val="21"/>
                <w:highlight w:val="none"/>
                <w:lang w:val="en-US" w:eastAsia="zh-CN"/>
              </w:rPr>
              <w:t>1</w:t>
            </w:r>
            <w:r>
              <w:rPr>
                <w:rFonts w:hint="eastAsia" w:ascii="宋体" w:hAnsi="宋体" w:cs="宋体"/>
                <w:color w:val="auto"/>
                <w:spacing w:val="-4"/>
                <w:sz w:val="21"/>
                <w:szCs w:val="21"/>
                <w:highlight w:val="none"/>
              </w:rPr>
              <w:t>分；方案不完整的不得分。</w:t>
            </w:r>
            <w:r>
              <w:rPr>
                <w:rFonts w:hint="eastAsia" w:ascii="宋体" w:hAnsi="宋体" w:cs="宋体"/>
                <w:color w:val="auto"/>
                <w:spacing w:val="1"/>
                <w:sz w:val="21"/>
                <w:szCs w:val="21"/>
                <w:highlight w:val="none"/>
              </w:rPr>
              <w:t>本项最高得</w:t>
            </w:r>
            <w:r>
              <w:rPr>
                <w:rFonts w:hint="eastAsia" w:ascii="宋体" w:hAnsi="宋体" w:cs="宋体"/>
                <w:color w:val="auto"/>
                <w:spacing w:val="-4"/>
                <w:sz w:val="21"/>
                <w:szCs w:val="21"/>
                <w:highlight w:val="none"/>
                <w:lang w:val="en-US" w:eastAsia="zh-CN"/>
              </w:rPr>
              <w:t>7</w:t>
            </w:r>
            <w:r>
              <w:rPr>
                <w:rFonts w:hint="eastAsia" w:ascii="宋体" w:hAnsi="宋体" w:cs="宋体"/>
                <w:color w:val="auto"/>
                <w:spacing w:val="-4"/>
                <w:sz w:val="21"/>
                <w:szCs w:val="21"/>
                <w:highlight w:val="none"/>
              </w:rPr>
              <w:t>分。</w:t>
            </w:r>
          </w:p>
        </w:tc>
        <w:tc>
          <w:tcPr>
            <w:tcW w:w="1009" w:type="dxa"/>
            <w:noWrap w:val="0"/>
            <w:vAlign w:val="center"/>
          </w:tcPr>
          <w:p w14:paraId="1C99143E">
            <w:pPr>
              <w:widowControl w:val="0"/>
              <w:spacing w:line="288" w:lineRule="auto"/>
              <w:jc w:val="center"/>
              <w:rPr>
                <w:rFonts w:hint="eastAsia" w:ascii="宋体" w:hAnsi="宋体" w:cs="宋体"/>
                <w:color w:val="auto"/>
                <w:spacing w:val="1"/>
                <w:sz w:val="21"/>
                <w:szCs w:val="21"/>
                <w:highlight w:val="none"/>
                <w:lang w:val="en-US" w:eastAsia="zh-CN"/>
              </w:rPr>
            </w:pPr>
            <w:r>
              <w:rPr>
                <w:rFonts w:hint="eastAsia" w:ascii="宋体" w:hAnsi="宋体" w:cs="宋体"/>
                <w:color w:val="auto"/>
                <w:spacing w:val="1"/>
                <w:sz w:val="21"/>
                <w:szCs w:val="21"/>
                <w:highlight w:val="none"/>
                <w:lang w:val="en-US" w:eastAsia="zh-CN"/>
              </w:rPr>
              <w:t>7</w:t>
            </w:r>
          </w:p>
        </w:tc>
      </w:tr>
      <w:tr w14:paraId="6D10B94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78" w:hRule="atLeast"/>
          <w:jc w:val="center"/>
        </w:trPr>
        <w:tc>
          <w:tcPr>
            <w:tcW w:w="647" w:type="dxa"/>
            <w:noWrap w:val="0"/>
            <w:vAlign w:val="center"/>
          </w:tcPr>
          <w:p w14:paraId="516E204B">
            <w:pPr>
              <w:widowControl w:val="0"/>
              <w:spacing w:line="288" w:lineRule="auto"/>
              <w:jc w:val="center"/>
              <w:rPr>
                <w:rFonts w:ascii="宋体" w:hAnsi="宋体" w:cs="宋体"/>
                <w:b/>
                <w:bCs/>
                <w:color w:val="auto"/>
                <w:spacing w:val="-5"/>
                <w:sz w:val="21"/>
                <w:szCs w:val="21"/>
                <w:highlight w:val="none"/>
              </w:rPr>
            </w:pPr>
            <w:r>
              <w:rPr>
                <w:rFonts w:hint="eastAsia" w:ascii="宋体" w:hAnsi="宋体" w:cs="宋体"/>
                <w:b/>
                <w:bCs/>
                <w:color w:val="auto"/>
                <w:spacing w:val="1"/>
                <w:sz w:val="21"/>
                <w:szCs w:val="21"/>
                <w:highlight w:val="none"/>
              </w:rPr>
              <w:t>9</w:t>
            </w:r>
          </w:p>
        </w:tc>
        <w:tc>
          <w:tcPr>
            <w:tcW w:w="1434" w:type="dxa"/>
            <w:noWrap w:val="0"/>
            <w:vAlign w:val="center"/>
          </w:tcPr>
          <w:p w14:paraId="345DAFF9">
            <w:pPr>
              <w:widowControl w:val="0"/>
              <w:spacing w:line="288" w:lineRule="auto"/>
              <w:jc w:val="center"/>
              <w:rPr>
                <w:rFonts w:ascii="宋体" w:hAnsi="宋体" w:cs="宋体"/>
                <w:b/>
                <w:bCs/>
                <w:color w:val="auto"/>
                <w:spacing w:val="-4"/>
                <w:sz w:val="21"/>
                <w:szCs w:val="21"/>
                <w:highlight w:val="none"/>
              </w:rPr>
            </w:pPr>
            <w:r>
              <w:rPr>
                <w:rFonts w:hint="eastAsia" w:ascii="宋体" w:hAnsi="宋体" w:cs="宋体"/>
                <w:b/>
                <w:bCs/>
                <w:color w:val="auto"/>
                <w:spacing w:val="-4"/>
                <w:sz w:val="21"/>
                <w:szCs w:val="21"/>
                <w:highlight w:val="none"/>
              </w:rPr>
              <w:t>陪检服务方案</w:t>
            </w:r>
          </w:p>
        </w:tc>
        <w:tc>
          <w:tcPr>
            <w:tcW w:w="5287" w:type="dxa"/>
            <w:noWrap w:val="0"/>
            <w:vAlign w:val="center"/>
          </w:tcPr>
          <w:p w14:paraId="0F267854">
            <w:pPr>
              <w:widowControl w:val="0"/>
              <w:spacing w:line="288" w:lineRule="auto"/>
              <w:rPr>
                <w:rFonts w:ascii="宋体" w:hAnsi="宋体" w:cs="宋体"/>
                <w:color w:val="auto"/>
                <w:spacing w:val="-4"/>
                <w:sz w:val="21"/>
                <w:szCs w:val="21"/>
                <w:highlight w:val="none"/>
              </w:rPr>
            </w:pPr>
            <w:r>
              <w:rPr>
                <w:rFonts w:hint="eastAsia" w:ascii="宋体" w:hAnsi="宋体" w:cs="宋体"/>
                <w:color w:val="auto"/>
                <w:spacing w:val="-4"/>
                <w:sz w:val="21"/>
                <w:szCs w:val="21"/>
                <w:highlight w:val="none"/>
              </w:rPr>
              <w:t>投标人结合本项目服务性质，提出陪检服务方案，方案描述完整、合理、可操作性强的得</w:t>
            </w:r>
            <w:r>
              <w:rPr>
                <w:rFonts w:hint="eastAsia" w:ascii="宋体" w:hAnsi="宋体" w:cs="宋体"/>
                <w:color w:val="auto"/>
                <w:spacing w:val="-4"/>
                <w:sz w:val="21"/>
                <w:szCs w:val="21"/>
                <w:highlight w:val="none"/>
                <w:lang w:val="en-US" w:eastAsia="zh-CN"/>
              </w:rPr>
              <w:t>7</w:t>
            </w:r>
            <w:r>
              <w:rPr>
                <w:rFonts w:hint="eastAsia" w:ascii="宋体" w:hAnsi="宋体" w:cs="宋体"/>
                <w:color w:val="auto"/>
                <w:spacing w:val="-4"/>
                <w:sz w:val="21"/>
                <w:szCs w:val="21"/>
                <w:highlight w:val="none"/>
              </w:rPr>
              <w:t>分；方案完整但合理性和可操作性上略有欠缺的得</w:t>
            </w:r>
            <w:r>
              <w:rPr>
                <w:rFonts w:hint="eastAsia" w:ascii="宋体" w:hAnsi="宋体" w:cs="宋体"/>
                <w:color w:val="auto"/>
                <w:spacing w:val="-4"/>
                <w:sz w:val="21"/>
                <w:szCs w:val="21"/>
                <w:highlight w:val="none"/>
                <w:lang w:val="en-US" w:eastAsia="zh-CN"/>
              </w:rPr>
              <w:t>4</w:t>
            </w:r>
            <w:r>
              <w:rPr>
                <w:rFonts w:hint="eastAsia" w:ascii="宋体" w:hAnsi="宋体" w:cs="宋体"/>
                <w:color w:val="auto"/>
                <w:spacing w:val="-4"/>
                <w:sz w:val="21"/>
                <w:szCs w:val="21"/>
                <w:highlight w:val="none"/>
              </w:rPr>
              <w:t>分；方案的完整性、合理性、操作性一般的得</w:t>
            </w:r>
            <w:r>
              <w:rPr>
                <w:rFonts w:hint="eastAsia" w:ascii="宋体" w:hAnsi="宋体" w:cs="宋体"/>
                <w:color w:val="auto"/>
                <w:spacing w:val="-4"/>
                <w:sz w:val="21"/>
                <w:szCs w:val="21"/>
                <w:highlight w:val="none"/>
                <w:lang w:val="en-US" w:eastAsia="zh-CN"/>
              </w:rPr>
              <w:t>1</w:t>
            </w:r>
            <w:r>
              <w:rPr>
                <w:rFonts w:hint="eastAsia" w:ascii="宋体" w:hAnsi="宋体" w:cs="宋体"/>
                <w:color w:val="auto"/>
                <w:spacing w:val="-4"/>
                <w:sz w:val="21"/>
                <w:szCs w:val="21"/>
                <w:highlight w:val="none"/>
              </w:rPr>
              <w:t>分；方案不完整的不得分。</w:t>
            </w:r>
            <w:r>
              <w:rPr>
                <w:rFonts w:hint="eastAsia" w:ascii="宋体" w:hAnsi="宋体" w:cs="宋体"/>
                <w:color w:val="auto"/>
                <w:spacing w:val="1"/>
                <w:sz w:val="21"/>
                <w:szCs w:val="21"/>
                <w:highlight w:val="none"/>
              </w:rPr>
              <w:t>本项最高得</w:t>
            </w:r>
            <w:r>
              <w:rPr>
                <w:rFonts w:hint="eastAsia" w:ascii="宋体" w:hAnsi="宋体" w:cs="宋体"/>
                <w:color w:val="auto"/>
                <w:spacing w:val="1"/>
                <w:sz w:val="21"/>
                <w:szCs w:val="21"/>
                <w:highlight w:val="none"/>
                <w:lang w:val="en-US" w:eastAsia="zh-CN"/>
              </w:rPr>
              <w:t>7</w:t>
            </w:r>
            <w:r>
              <w:rPr>
                <w:rFonts w:hint="eastAsia" w:ascii="宋体" w:hAnsi="宋体" w:cs="宋体"/>
                <w:color w:val="auto"/>
                <w:spacing w:val="-4"/>
                <w:sz w:val="21"/>
                <w:szCs w:val="21"/>
                <w:highlight w:val="none"/>
              </w:rPr>
              <w:t>分。</w:t>
            </w:r>
          </w:p>
        </w:tc>
        <w:tc>
          <w:tcPr>
            <w:tcW w:w="1009" w:type="dxa"/>
            <w:noWrap w:val="0"/>
            <w:vAlign w:val="center"/>
          </w:tcPr>
          <w:p w14:paraId="59B0DE0E">
            <w:pPr>
              <w:widowControl w:val="0"/>
              <w:spacing w:line="288" w:lineRule="auto"/>
              <w:jc w:val="center"/>
              <w:rPr>
                <w:rFonts w:hint="eastAsia" w:ascii="宋体" w:hAnsi="宋体" w:eastAsia="宋体" w:cs="宋体"/>
                <w:color w:val="auto"/>
                <w:spacing w:val="1"/>
                <w:sz w:val="21"/>
                <w:szCs w:val="21"/>
                <w:highlight w:val="none"/>
                <w:lang w:eastAsia="zh-CN"/>
              </w:rPr>
            </w:pPr>
            <w:r>
              <w:rPr>
                <w:rFonts w:hint="eastAsia" w:ascii="宋体" w:hAnsi="宋体" w:cs="宋体"/>
                <w:color w:val="auto"/>
                <w:spacing w:val="1"/>
                <w:sz w:val="21"/>
                <w:szCs w:val="21"/>
                <w:highlight w:val="none"/>
                <w:lang w:val="en-US" w:eastAsia="zh-CN"/>
              </w:rPr>
              <w:t>7</w:t>
            </w:r>
          </w:p>
        </w:tc>
      </w:tr>
      <w:tr w14:paraId="6D9F49A6">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1366" w:hRule="atLeast"/>
          <w:jc w:val="center"/>
        </w:trPr>
        <w:tc>
          <w:tcPr>
            <w:tcW w:w="647" w:type="dxa"/>
            <w:noWrap w:val="0"/>
            <w:vAlign w:val="center"/>
          </w:tcPr>
          <w:p w14:paraId="63EE120B">
            <w:pPr>
              <w:widowControl w:val="0"/>
              <w:spacing w:line="288" w:lineRule="auto"/>
              <w:jc w:val="center"/>
              <w:rPr>
                <w:rFonts w:ascii="宋体" w:hAnsi="宋体" w:cs="宋体"/>
                <w:b/>
                <w:bCs/>
                <w:color w:val="auto"/>
                <w:spacing w:val="-5"/>
                <w:sz w:val="21"/>
                <w:szCs w:val="21"/>
                <w:highlight w:val="none"/>
              </w:rPr>
            </w:pPr>
            <w:r>
              <w:rPr>
                <w:rFonts w:hint="eastAsia" w:ascii="宋体" w:hAnsi="宋体" w:cs="宋体"/>
                <w:b/>
                <w:bCs/>
                <w:color w:val="auto"/>
                <w:spacing w:val="1"/>
                <w:sz w:val="21"/>
                <w:szCs w:val="21"/>
                <w:highlight w:val="none"/>
              </w:rPr>
              <w:t>10</w:t>
            </w:r>
          </w:p>
        </w:tc>
        <w:tc>
          <w:tcPr>
            <w:tcW w:w="1434" w:type="dxa"/>
            <w:noWrap w:val="0"/>
            <w:vAlign w:val="center"/>
          </w:tcPr>
          <w:p w14:paraId="249F085B">
            <w:pPr>
              <w:widowControl w:val="0"/>
              <w:spacing w:line="288" w:lineRule="auto"/>
              <w:jc w:val="center"/>
              <w:rPr>
                <w:rFonts w:ascii="宋体" w:hAnsi="宋体" w:cs="宋体"/>
                <w:b/>
                <w:bCs/>
                <w:color w:val="auto"/>
                <w:spacing w:val="-4"/>
                <w:sz w:val="21"/>
                <w:szCs w:val="21"/>
                <w:highlight w:val="none"/>
              </w:rPr>
            </w:pPr>
            <w:r>
              <w:rPr>
                <w:rFonts w:hint="eastAsia" w:ascii="宋体" w:hAnsi="宋体" w:cs="宋体"/>
                <w:b/>
                <w:bCs/>
                <w:color w:val="auto"/>
                <w:spacing w:val="-4"/>
                <w:sz w:val="21"/>
                <w:szCs w:val="21"/>
                <w:highlight w:val="none"/>
              </w:rPr>
              <w:t>运送服务方案</w:t>
            </w:r>
          </w:p>
        </w:tc>
        <w:tc>
          <w:tcPr>
            <w:tcW w:w="5287" w:type="dxa"/>
            <w:noWrap w:val="0"/>
            <w:vAlign w:val="center"/>
          </w:tcPr>
          <w:p w14:paraId="3182F2C2">
            <w:pPr>
              <w:widowControl w:val="0"/>
              <w:spacing w:line="288" w:lineRule="auto"/>
              <w:rPr>
                <w:rFonts w:ascii="宋体" w:hAnsi="宋体" w:cs="宋体"/>
                <w:color w:val="auto"/>
                <w:spacing w:val="-4"/>
                <w:sz w:val="21"/>
                <w:szCs w:val="21"/>
                <w:highlight w:val="none"/>
              </w:rPr>
            </w:pPr>
            <w:r>
              <w:rPr>
                <w:rFonts w:hint="eastAsia" w:ascii="宋体" w:hAnsi="宋体" w:cs="宋体"/>
                <w:color w:val="auto"/>
                <w:spacing w:val="-4"/>
                <w:sz w:val="21"/>
                <w:szCs w:val="21"/>
                <w:highlight w:val="none"/>
              </w:rPr>
              <w:t>投标人结合本项目服务性质，提出运送服务方案，方案描述完整、合理、可操作性强的得</w:t>
            </w:r>
            <w:r>
              <w:rPr>
                <w:rFonts w:hint="eastAsia" w:ascii="宋体" w:hAnsi="宋体" w:cs="宋体"/>
                <w:color w:val="auto"/>
                <w:spacing w:val="-4"/>
                <w:sz w:val="21"/>
                <w:szCs w:val="21"/>
                <w:highlight w:val="none"/>
                <w:lang w:val="en-US" w:eastAsia="zh-CN"/>
              </w:rPr>
              <w:t>7</w:t>
            </w:r>
            <w:r>
              <w:rPr>
                <w:rFonts w:hint="eastAsia" w:ascii="宋体" w:hAnsi="宋体" w:cs="宋体"/>
                <w:color w:val="auto"/>
                <w:spacing w:val="-4"/>
                <w:sz w:val="21"/>
                <w:szCs w:val="21"/>
                <w:highlight w:val="none"/>
              </w:rPr>
              <w:t>分；方案完整但合理性和可操作性上略有欠缺的得</w:t>
            </w:r>
            <w:r>
              <w:rPr>
                <w:rFonts w:hint="eastAsia" w:ascii="宋体" w:hAnsi="宋体" w:cs="宋体"/>
                <w:color w:val="auto"/>
                <w:spacing w:val="-4"/>
                <w:sz w:val="21"/>
                <w:szCs w:val="21"/>
                <w:highlight w:val="none"/>
                <w:lang w:val="en-US" w:eastAsia="zh-CN"/>
              </w:rPr>
              <w:t>4</w:t>
            </w:r>
            <w:r>
              <w:rPr>
                <w:rFonts w:hint="eastAsia" w:ascii="宋体" w:hAnsi="宋体" w:cs="宋体"/>
                <w:color w:val="auto"/>
                <w:spacing w:val="-4"/>
                <w:sz w:val="21"/>
                <w:szCs w:val="21"/>
                <w:highlight w:val="none"/>
              </w:rPr>
              <w:t>分；方案的完整性、合理性、操作性一般的得</w:t>
            </w:r>
            <w:r>
              <w:rPr>
                <w:rFonts w:hint="eastAsia" w:ascii="宋体" w:hAnsi="宋体" w:cs="宋体"/>
                <w:color w:val="auto"/>
                <w:spacing w:val="-4"/>
                <w:sz w:val="21"/>
                <w:szCs w:val="21"/>
                <w:highlight w:val="none"/>
                <w:lang w:val="en-US" w:eastAsia="zh-CN"/>
              </w:rPr>
              <w:t>1</w:t>
            </w:r>
            <w:r>
              <w:rPr>
                <w:rFonts w:hint="eastAsia" w:ascii="宋体" w:hAnsi="宋体" w:cs="宋体"/>
                <w:color w:val="auto"/>
                <w:spacing w:val="-4"/>
                <w:sz w:val="21"/>
                <w:szCs w:val="21"/>
                <w:highlight w:val="none"/>
              </w:rPr>
              <w:t>分；方案不完整的不得分。</w:t>
            </w:r>
            <w:r>
              <w:rPr>
                <w:rFonts w:hint="eastAsia" w:ascii="宋体" w:hAnsi="宋体" w:cs="宋体"/>
                <w:color w:val="auto"/>
                <w:spacing w:val="1"/>
                <w:sz w:val="21"/>
                <w:szCs w:val="21"/>
                <w:highlight w:val="none"/>
              </w:rPr>
              <w:t>本项最高得</w:t>
            </w:r>
            <w:r>
              <w:rPr>
                <w:rFonts w:hint="eastAsia" w:ascii="宋体" w:hAnsi="宋体" w:cs="宋体"/>
                <w:color w:val="auto"/>
                <w:spacing w:val="-4"/>
                <w:sz w:val="21"/>
                <w:szCs w:val="21"/>
                <w:highlight w:val="none"/>
                <w:lang w:val="en-US" w:eastAsia="zh-CN"/>
              </w:rPr>
              <w:t>7</w:t>
            </w:r>
            <w:r>
              <w:rPr>
                <w:rFonts w:hint="eastAsia" w:ascii="宋体" w:hAnsi="宋体" w:cs="宋体"/>
                <w:color w:val="auto"/>
                <w:spacing w:val="-4"/>
                <w:sz w:val="21"/>
                <w:szCs w:val="21"/>
                <w:highlight w:val="none"/>
              </w:rPr>
              <w:t>分。</w:t>
            </w:r>
          </w:p>
        </w:tc>
        <w:tc>
          <w:tcPr>
            <w:tcW w:w="1009" w:type="dxa"/>
            <w:noWrap w:val="0"/>
            <w:vAlign w:val="center"/>
          </w:tcPr>
          <w:p w14:paraId="79E82375">
            <w:pPr>
              <w:widowControl w:val="0"/>
              <w:spacing w:line="288" w:lineRule="auto"/>
              <w:jc w:val="center"/>
              <w:rPr>
                <w:rFonts w:hint="eastAsia" w:ascii="宋体" w:hAnsi="宋体" w:eastAsia="宋体" w:cs="宋体"/>
                <w:color w:val="auto"/>
                <w:spacing w:val="1"/>
                <w:sz w:val="21"/>
                <w:szCs w:val="21"/>
                <w:highlight w:val="none"/>
                <w:lang w:eastAsia="zh-CN"/>
              </w:rPr>
            </w:pPr>
            <w:r>
              <w:rPr>
                <w:rFonts w:hint="eastAsia" w:ascii="宋体" w:hAnsi="宋体" w:cs="宋体"/>
                <w:color w:val="auto"/>
                <w:spacing w:val="1"/>
                <w:sz w:val="21"/>
                <w:szCs w:val="21"/>
                <w:highlight w:val="none"/>
                <w:lang w:val="en-US" w:eastAsia="zh-CN"/>
              </w:rPr>
              <w:t>7</w:t>
            </w:r>
          </w:p>
        </w:tc>
      </w:tr>
      <w:tr w14:paraId="1914BCE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1407" w:hRule="atLeast"/>
          <w:jc w:val="center"/>
        </w:trPr>
        <w:tc>
          <w:tcPr>
            <w:tcW w:w="647" w:type="dxa"/>
            <w:noWrap w:val="0"/>
            <w:vAlign w:val="center"/>
          </w:tcPr>
          <w:p w14:paraId="33118D39">
            <w:pPr>
              <w:widowControl w:val="0"/>
              <w:spacing w:line="288" w:lineRule="auto"/>
              <w:jc w:val="center"/>
              <w:rPr>
                <w:rFonts w:ascii="宋体" w:hAnsi="宋体" w:cs="宋体"/>
                <w:b/>
                <w:bCs/>
                <w:color w:val="auto"/>
                <w:spacing w:val="-5"/>
                <w:sz w:val="21"/>
                <w:szCs w:val="21"/>
                <w:highlight w:val="none"/>
              </w:rPr>
            </w:pPr>
            <w:r>
              <w:rPr>
                <w:rFonts w:hint="eastAsia" w:ascii="宋体" w:hAnsi="宋体" w:cs="宋体"/>
                <w:b/>
                <w:bCs/>
                <w:color w:val="auto"/>
                <w:spacing w:val="1"/>
                <w:sz w:val="21"/>
                <w:szCs w:val="21"/>
                <w:highlight w:val="none"/>
              </w:rPr>
              <w:t>11</w:t>
            </w:r>
          </w:p>
        </w:tc>
        <w:tc>
          <w:tcPr>
            <w:tcW w:w="1434" w:type="dxa"/>
            <w:noWrap w:val="0"/>
            <w:vAlign w:val="center"/>
          </w:tcPr>
          <w:p w14:paraId="6F74481A">
            <w:pPr>
              <w:widowControl w:val="0"/>
              <w:spacing w:line="288" w:lineRule="auto"/>
              <w:jc w:val="center"/>
              <w:rPr>
                <w:rFonts w:ascii="宋体" w:hAnsi="宋体" w:cs="宋体"/>
                <w:b/>
                <w:bCs/>
                <w:color w:val="auto"/>
                <w:spacing w:val="-4"/>
                <w:sz w:val="21"/>
                <w:szCs w:val="21"/>
                <w:highlight w:val="none"/>
              </w:rPr>
            </w:pPr>
            <w:r>
              <w:rPr>
                <w:rFonts w:hint="eastAsia" w:ascii="宋体" w:hAnsi="宋体" w:cs="宋体"/>
                <w:b/>
                <w:bCs/>
                <w:color w:val="auto"/>
                <w:spacing w:val="-4"/>
                <w:sz w:val="21"/>
                <w:szCs w:val="21"/>
                <w:highlight w:val="none"/>
              </w:rPr>
              <w:t>导医导诊服务方案</w:t>
            </w:r>
          </w:p>
        </w:tc>
        <w:tc>
          <w:tcPr>
            <w:tcW w:w="5287" w:type="dxa"/>
            <w:noWrap w:val="0"/>
            <w:vAlign w:val="center"/>
          </w:tcPr>
          <w:p w14:paraId="1F77DD2D">
            <w:pPr>
              <w:widowControl w:val="0"/>
              <w:spacing w:line="288" w:lineRule="auto"/>
              <w:rPr>
                <w:rFonts w:ascii="宋体" w:hAnsi="宋体" w:cs="宋体"/>
                <w:color w:val="auto"/>
                <w:spacing w:val="-4"/>
                <w:sz w:val="21"/>
                <w:szCs w:val="21"/>
                <w:highlight w:val="none"/>
              </w:rPr>
            </w:pPr>
            <w:r>
              <w:rPr>
                <w:rFonts w:hint="eastAsia" w:ascii="宋体" w:hAnsi="宋体" w:cs="宋体"/>
                <w:color w:val="auto"/>
                <w:spacing w:val="-4"/>
                <w:sz w:val="21"/>
                <w:szCs w:val="21"/>
                <w:highlight w:val="none"/>
              </w:rPr>
              <w:t>投标人结合本项目服务性质，提出导医导诊服务方案，方案描述完整、合理、可操作性强的得</w:t>
            </w:r>
            <w:r>
              <w:rPr>
                <w:rFonts w:hint="eastAsia" w:ascii="宋体" w:hAnsi="宋体" w:cs="宋体"/>
                <w:color w:val="auto"/>
                <w:spacing w:val="-4"/>
                <w:sz w:val="21"/>
                <w:szCs w:val="21"/>
                <w:highlight w:val="none"/>
                <w:lang w:val="en-US" w:eastAsia="zh-CN"/>
              </w:rPr>
              <w:t>7</w:t>
            </w:r>
            <w:r>
              <w:rPr>
                <w:rFonts w:hint="eastAsia" w:ascii="宋体" w:hAnsi="宋体" w:cs="宋体"/>
                <w:color w:val="auto"/>
                <w:spacing w:val="-4"/>
                <w:sz w:val="21"/>
                <w:szCs w:val="21"/>
                <w:highlight w:val="none"/>
              </w:rPr>
              <w:t>分；方案完整但合理性和可操作性上略有欠缺的得</w:t>
            </w:r>
            <w:r>
              <w:rPr>
                <w:rFonts w:hint="eastAsia" w:ascii="宋体" w:hAnsi="宋体" w:cs="宋体"/>
                <w:color w:val="auto"/>
                <w:spacing w:val="-4"/>
                <w:sz w:val="21"/>
                <w:szCs w:val="21"/>
                <w:highlight w:val="none"/>
                <w:lang w:val="en-US" w:eastAsia="zh-CN"/>
              </w:rPr>
              <w:t>4</w:t>
            </w:r>
            <w:r>
              <w:rPr>
                <w:rFonts w:hint="eastAsia" w:ascii="宋体" w:hAnsi="宋体" w:cs="宋体"/>
                <w:color w:val="auto"/>
                <w:spacing w:val="-4"/>
                <w:sz w:val="21"/>
                <w:szCs w:val="21"/>
                <w:highlight w:val="none"/>
              </w:rPr>
              <w:t>分；方案的完整性、合理性、操作性一般的得</w:t>
            </w:r>
            <w:r>
              <w:rPr>
                <w:rFonts w:hint="eastAsia" w:ascii="宋体" w:hAnsi="宋体" w:cs="宋体"/>
                <w:color w:val="auto"/>
                <w:spacing w:val="-4"/>
                <w:sz w:val="21"/>
                <w:szCs w:val="21"/>
                <w:highlight w:val="none"/>
                <w:lang w:val="en-US" w:eastAsia="zh-CN"/>
              </w:rPr>
              <w:t>1</w:t>
            </w:r>
            <w:r>
              <w:rPr>
                <w:rFonts w:hint="eastAsia" w:ascii="宋体" w:hAnsi="宋体" w:cs="宋体"/>
                <w:color w:val="auto"/>
                <w:spacing w:val="-4"/>
                <w:sz w:val="21"/>
                <w:szCs w:val="21"/>
                <w:highlight w:val="none"/>
              </w:rPr>
              <w:t>分；方案不完整的不得分。</w:t>
            </w:r>
            <w:r>
              <w:rPr>
                <w:rFonts w:hint="eastAsia" w:ascii="宋体" w:hAnsi="宋体" w:cs="宋体"/>
                <w:color w:val="auto"/>
                <w:spacing w:val="1"/>
                <w:sz w:val="21"/>
                <w:szCs w:val="21"/>
                <w:highlight w:val="none"/>
              </w:rPr>
              <w:t>本项最高得</w:t>
            </w:r>
            <w:r>
              <w:rPr>
                <w:rFonts w:hint="eastAsia" w:ascii="宋体" w:hAnsi="宋体" w:cs="宋体"/>
                <w:color w:val="auto"/>
                <w:spacing w:val="-4"/>
                <w:sz w:val="21"/>
                <w:szCs w:val="21"/>
                <w:highlight w:val="none"/>
                <w:lang w:val="en-US" w:eastAsia="zh-CN"/>
              </w:rPr>
              <w:t>7</w:t>
            </w:r>
            <w:r>
              <w:rPr>
                <w:rFonts w:hint="eastAsia" w:ascii="宋体" w:hAnsi="宋体" w:cs="宋体"/>
                <w:color w:val="auto"/>
                <w:spacing w:val="-4"/>
                <w:sz w:val="21"/>
                <w:szCs w:val="21"/>
                <w:highlight w:val="none"/>
              </w:rPr>
              <w:t>分。</w:t>
            </w:r>
          </w:p>
        </w:tc>
        <w:tc>
          <w:tcPr>
            <w:tcW w:w="1009" w:type="dxa"/>
            <w:noWrap w:val="0"/>
            <w:vAlign w:val="center"/>
          </w:tcPr>
          <w:p w14:paraId="1630EEF5">
            <w:pPr>
              <w:widowControl w:val="0"/>
              <w:spacing w:line="288" w:lineRule="auto"/>
              <w:jc w:val="center"/>
              <w:rPr>
                <w:rFonts w:hint="eastAsia" w:ascii="宋体" w:hAnsi="宋体" w:eastAsia="宋体" w:cs="宋体"/>
                <w:color w:val="auto"/>
                <w:spacing w:val="1"/>
                <w:sz w:val="21"/>
                <w:szCs w:val="21"/>
                <w:highlight w:val="none"/>
                <w:lang w:eastAsia="zh-CN"/>
              </w:rPr>
            </w:pPr>
            <w:r>
              <w:rPr>
                <w:rFonts w:hint="eastAsia" w:ascii="宋体" w:hAnsi="宋体" w:cs="宋体"/>
                <w:color w:val="auto"/>
                <w:spacing w:val="1"/>
                <w:sz w:val="21"/>
                <w:szCs w:val="21"/>
                <w:highlight w:val="none"/>
                <w:lang w:val="en-US" w:eastAsia="zh-CN"/>
              </w:rPr>
              <w:t>7</w:t>
            </w:r>
          </w:p>
        </w:tc>
      </w:tr>
      <w:tr w14:paraId="3C7ECD5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841" w:hRule="atLeast"/>
          <w:jc w:val="center"/>
        </w:trPr>
        <w:tc>
          <w:tcPr>
            <w:tcW w:w="647" w:type="dxa"/>
            <w:noWrap w:val="0"/>
            <w:vAlign w:val="center"/>
          </w:tcPr>
          <w:p w14:paraId="0CE40A24">
            <w:pPr>
              <w:widowControl w:val="0"/>
              <w:spacing w:line="288" w:lineRule="auto"/>
              <w:jc w:val="center"/>
              <w:rPr>
                <w:rFonts w:ascii="宋体" w:hAnsi="宋体" w:cs="宋体"/>
                <w:b/>
                <w:bCs/>
                <w:color w:val="auto"/>
                <w:spacing w:val="-5"/>
                <w:sz w:val="21"/>
                <w:szCs w:val="21"/>
                <w:highlight w:val="none"/>
              </w:rPr>
            </w:pPr>
            <w:r>
              <w:rPr>
                <w:rFonts w:hint="eastAsia" w:ascii="宋体" w:hAnsi="宋体" w:cs="宋体"/>
                <w:b/>
                <w:bCs/>
                <w:color w:val="auto"/>
                <w:spacing w:val="1"/>
                <w:sz w:val="21"/>
                <w:szCs w:val="21"/>
                <w:highlight w:val="none"/>
              </w:rPr>
              <w:t>12</w:t>
            </w:r>
          </w:p>
        </w:tc>
        <w:tc>
          <w:tcPr>
            <w:tcW w:w="1434" w:type="dxa"/>
            <w:noWrap w:val="0"/>
            <w:vAlign w:val="center"/>
          </w:tcPr>
          <w:p w14:paraId="53F90A75">
            <w:pPr>
              <w:widowControl w:val="0"/>
              <w:spacing w:line="288" w:lineRule="auto"/>
              <w:jc w:val="center"/>
              <w:rPr>
                <w:rFonts w:ascii="宋体" w:hAnsi="宋体" w:cs="宋体"/>
                <w:b/>
                <w:bCs/>
                <w:color w:val="auto"/>
                <w:spacing w:val="-5"/>
                <w:sz w:val="21"/>
                <w:szCs w:val="21"/>
                <w:highlight w:val="none"/>
              </w:rPr>
            </w:pPr>
            <w:r>
              <w:rPr>
                <w:rFonts w:hint="eastAsia" w:ascii="宋体" w:hAnsi="宋体" w:cs="宋体"/>
                <w:b/>
                <w:bCs/>
                <w:color w:val="auto"/>
                <w:spacing w:val="-4"/>
                <w:sz w:val="21"/>
                <w:szCs w:val="21"/>
                <w:highlight w:val="none"/>
              </w:rPr>
              <w:t>院内感染控制方案</w:t>
            </w:r>
          </w:p>
        </w:tc>
        <w:tc>
          <w:tcPr>
            <w:tcW w:w="5287" w:type="dxa"/>
            <w:noWrap w:val="0"/>
            <w:vAlign w:val="center"/>
          </w:tcPr>
          <w:p w14:paraId="38AC69A4">
            <w:pPr>
              <w:widowControl w:val="0"/>
              <w:spacing w:line="288" w:lineRule="auto"/>
              <w:jc w:val="both"/>
              <w:rPr>
                <w:rFonts w:ascii="宋体" w:hAnsi="宋体" w:cs="宋体"/>
                <w:color w:val="auto"/>
                <w:spacing w:val="-5"/>
                <w:sz w:val="21"/>
                <w:szCs w:val="21"/>
                <w:highlight w:val="none"/>
              </w:rPr>
            </w:pPr>
            <w:r>
              <w:rPr>
                <w:rFonts w:hint="eastAsia" w:ascii="宋体" w:hAnsi="宋体" w:cs="宋体"/>
                <w:color w:val="auto"/>
                <w:spacing w:val="-4"/>
                <w:sz w:val="21"/>
                <w:szCs w:val="21"/>
                <w:highlight w:val="none"/>
              </w:rPr>
              <w:t>投标人在院方制定的规范制度基础之上，针对重点科室手术室、产房、供应室、新生儿病房提供的防止交叉感染和消毒隔离制度和落实措施具有全面性、针对性，实际可操作性强得</w:t>
            </w:r>
            <w:r>
              <w:rPr>
                <w:rFonts w:hint="eastAsia" w:ascii="宋体" w:hAnsi="宋体" w:cs="宋体"/>
                <w:color w:val="auto"/>
                <w:spacing w:val="-4"/>
                <w:sz w:val="21"/>
                <w:szCs w:val="21"/>
                <w:highlight w:val="none"/>
                <w:lang w:val="en-US" w:eastAsia="zh-CN"/>
              </w:rPr>
              <w:t>7</w:t>
            </w:r>
            <w:r>
              <w:rPr>
                <w:rFonts w:hint="eastAsia" w:ascii="宋体" w:hAnsi="宋体" w:cs="宋体"/>
                <w:color w:val="auto"/>
                <w:spacing w:val="-4"/>
                <w:sz w:val="21"/>
                <w:szCs w:val="21"/>
                <w:highlight w:val="none"/>
              </w:rPr>
              <w:t>分。投标人提供的防止交叉感染和消毒隔离制度和落实措施较全面、具有针对性、实际操作性较强得</w:t>
            </w:r>
            <w:r>
              <w:rPr>
                <w:rFonts w:hint="eastAsia" w:ascii="宋体" w:hAnsi="宋体" w:cs="宋体"/>
                <w:color w:val="auto"/>
                <w:spacing w:val="-4"/>
                <w:sz w:val="21"/>
                <w:szCs w:val="21"/>
                <w:highlight w:val="none"/>
                <w:lang w:val="en-US" w:eastAsia="zh-CN"/>
              </w:rPr>
              <w:t>4</w:t>
            </w:r>
            <w:r>
              <w:rPr>
                <w:rFonts w:hint="eastAsia" w:ascii="宋体" w:hAnsi="宋体" w:cs="宋体"/>
                <w:color w:val="auto"/>
                <w:spacing w:val="-4"/>
                <w:sz w:val="21"/>
                <w:szCs w:val="21"/>
                <w:highlight w:val="none"/>
              </w:rPr>
              <w:t>分；投标人提供的防止交叉感染和消毒隔离制度和落实措施较全面、具有针对性、实际操作性</w:t>
            </w:r>
            <w:r>
              <w:rPr>
                <w:rFonts w:hint="eastAsia" w:ascii="宋体" w:hAnsi="宋体" w:cs="宋体"/>
                <w:color w:val="auto"/>
                <w:spacing w:val="-4"/>
                <w:sz w:val="21"/>
                <w:szCs w:val="21"/>
                <w:highlight w:val="none"/>
                <w:lang w:val="en-US" w:eastAsia="zh-CN"/>
              </w:rPr>
              <w:t>一般</w:t>
            </w:r>
            <w:r>
              <w:rPr>
                <w:rFonts w:hint="eastAsia" w:ascii="宋体" w:hAnsi="宋体" w:cs="宋体"/>
                <w:color w:val="auto"/>
                <w:spacing w:val="-4"/>
                <w:sz w:val="21"/>
                <w:szCs w:val="21"/>
                <w:highlight w:val="none"/>
              </w:rPr>
              <w:t>得</w:t>
            </w:r>
            <w:r>
              <w:rPr>
                <w:rFonts w:hint="eastAsia" w:ascii="宋体" w:hAnsi="宋体" w:cs="宋体"/>
                <w:color w:val="auto"/>
                <w:spacing w:val="-4"/>
                <w:sz w:val="21"/>
                <w:szCs w:val="21"/>
                <w:highlight w:val="none"/>
                <w:lang w:val="en-US" w:eastAsia="zh-CN"/>
              </w:rPr>
              <w:t>1</w:t>
            </w:r>
            <w:r>
              <w:rPr>
                <w:rFonts w:hint="eastAsia" w:ascii="宋体" w:hAnsi="宋体" w:cs="宋体"/>
                <w:color w:val="auto"/>
                <w:spacing w:val="-4"/>
                <w:sz w:val="21"/>
                <w:szCs w:val="21"/>
                <w:highlight w:val="none"/>
              </w:rPr>
              <w:t>分</w:t>
            </w:r>
            <w:r>
              <w:rPr>
                <w:rFonts w:hint="eastAsia" w:ascii="宋体" w:hAnsi="宋体" w:cs="宋体"/>
                <w:color w:val="auto"/>
                <w:spacing w:val="-4"/>
                <w:sz w:val="21"/>
                <w:szCs w:val="21"/>
                <w:highlight w:val="none"/>
                <w:lang w:eastAsia="zh-CN"/>
              </w:rPr>
              <w:t>；</w:t>
            </w:r>
            <w:r>
              <w:rPr>
                <w:rFonts w:hint="eastAsia" w:ascii="宋体" w:hAnsi="宋体" w:cs="宋体"/>
                <w:color w:val="auto"/>
                <w:spacing w:val="-4"/>
                <w:sz w:val="21"/>
                <w:szCs w:val="21"/>
                <w:highlight w:val="none"/>
              </w:rPr>
              <w:t>投标人提供的防止交叉感染和消毒隔离制度和落实措施没有全面性、针对性、实际可操作性，不得分。</w:t>
            </w:r>
            <w:r>
              <w:rPr>
                <w:rFonts w:hint="eastAsia" w:ascii="宋体" w:hAnsi="宋体" w:cs="宋体"/>
                <w:color w:val="auto"/>
                <w:spacing w:val="1"/>
                <w:sz w:val="21"/>
                <w:szCs w:val="21"/>
                <w:highlight w:val="none"/>
              </w:rPr>
              <w:t>本项最高得</w:t>
            </w:r>
            <w:r>
              <w:rPr>
                <w:rFonts w:hint="eastAsia" w:ascii="宋体" w:hAnsi="宋体" w:cs="宋体"/>
                <w:color w:val="auto"/>
                <w:spacing w:val="-4"/>
                <w:sz w:val="21"/>
                <w:szCs w:val="21"/>
                <w:highlight w:val="none"/>
                <w:lang w:val="en-US" w:eastAsia="zh-CN"/>
              </w:rPr>
              <w:t>7</w:t>
            </w:r>
            <w:r>
              <w:rPr>
                <w:rFonts w:hint="eastAsia" w:ascii="宋体" w:hAnsi="宋体" w:cs="宋体"/>
                <w:color w:val="auto"/>
                <w:spacing w:val="-4"/>
                <w:sz w:val="21"/>
                <w:szCs w:val="21"/>
                <w:highlight w:val="none"/>
              </w:rPr>
              <w:t>分。</w:t>
            </w:r>
          </w:p>
        </w:tc>
        <w:tc>
          <w:tcPr>
            <w:tcW w:w="1009" w:type="dxa"/>
            <w:noWrap w:val="0"/>
            <w:vAlign w:val="center"/>
          </w:tcPr>
          <w:p w14:paraId="601A4295">
            <w:pPr>
              <w:widowControl w:val="0"/>
              <w:spacing w:line="288" w:lineRule="auto"/>
              <w:jc w:val="center"/>
              <w:rPr>
                <w:rFonts w:hint="eastAsia" w:ascii="宋体" w:hAnsi="宋体" w:eastAsia="宋体" w:cs="宋体"/>
                <w:color w:val="auto"/>
                <w:spacing w:val="-5"/>
                <w:sz w:val="21"/>
                <w:szCs w:val="21"/>
                <w:highlight w:val="none"/>
                <w:lang w:eastAsia="zh-CN"/>
              </w:rPr>
            </w:pPr>
            <w:r>
              <w:rPr>
                <w:rFonts w:hint="eastAsia" w:ascii="宋体" w:hAnsi="宋体" w:cs="宋体"/>
                <w:color w:val="auto"/>
                <w:spacing w:val="-4"/>
                <w:sz w:val="21"/>
                <w:szCs w:val="21"/>
                <w:highlight w:val="none"/>
                <w:lang w:val="en-US" w:eastAsia="zh-CN"/>
              </w:rPr>
              <w:t>7</w:t>
            </w:r>
          </w:p>
        </w:tc>
      </w:tr>
      <w:tr w14:paraId="136DABE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841" w:hRule="atLeast"/>
          <w:jc w:val="center"/>
        </w:trPr>
        <w:tc>
          <w:tcPr>
            <w:tcW w:w="647" w:type="dxa"/>
            <w:noWrap w:val="0"/>
            <w:vAlign w:val="center"/>
          </w:tcPr>
          <w:p w14:paraId="1C9EDDD4">
            <w:pPr>
              <w:widowControl w:val="0"/>
              <w:spacing w:line="288" w:lineRule="auto"/>
              <w:jc w:val="center"/>
              <w:rPr>
                <w:rFonts w:ascii="宋体" w:hAnsi="宋体" w:cs="宋体"/>
                <w:b/>
                <w:bCs/>
                <w:color w:val="auto"/>
                <w:spacing w:val="-5"/>
                <w:sz w:val="21"/>
                <w:szCs w:val="21"/>
                <w:highlight w:val="none"/>
              </w:rPr>
            </w:pPr>
            <w:r>
              <w:rPr>
                <w:rFonts w:hint="eastAsia" w:ascii="宋体" w:hAnsi="宋体" w:cs="宋体"/>
                <w:b/>
                <w:bCs/>
                <w:color w:val="auto"/>
                <w:spacing w:val="1"/>
                <w:sz w:val="21"/>
                <w:szCs w:val="21"/>
                <w:highlight w:val="none"/>
              </w:rPr>
              <w:t>13</w:t>
            </w:r>
          </w:p>
        </w:tc>
        <w:tc>
          <w:tcPr>
            <w:tcW w:w="1434" w:type="dxa"/>
            <w:noWrap w:val="0"/>
            <w:vAlign w:val="center"/>
          </w:tcPr>
          <w:p w14:paraId="61F560D0">
            <w:pPr>
              <w:widowControl w:val="0"/>
              <w:spacing w:line="288" w:lineRule="auto"/>
              <w:jc w:val="center"/>
              <w:rPr>
                <w:rFonts w:ascii="宋体" w:hAnsi="宋体" w:cs="宋体"/>
                <w:b/>
                <w:bCs/>
                <w:color w:val="auto"/>
                <w:spacing w:val="-5"/>
                <w:sz w:val="21"/>
                <w:szCs w:val="21"/>
                <w:highlight w:val="none"/>
              </w:rPr>
            </w:pPr>
            <w:r>
              <w:rPr>
                <w:rFonts w:hint="eastAsia" w:ascii="宋体" w:hAnsi="宋体" w:cs="宋体"/>
                <w:b/>
                <w:bCs/>
                <w:color w:val="auto"/>
                <w:spacing w:val="1"/>
                <w:sz w:val="21"/>
                <w:szCs w:val="21"/>
                <w:highlight w:val="none"/>
              </w:rPr>
              <w:t>初始化方案与交接方案</w:t>
            </w:r>
          </w:p>
        </w:tc>
        <w:tc>
          <w:tcPr>
            <w:tcW w:w="5287" w:type="dxa"/>
            <w:noWrap w:val="0"/>
          </w:tcPr>
          <w:p w14:paraId="6A65B1E6">
            <w:pPr>
              <w:widowControl w:val="0"/>
              <w:spacing w:line="288" w:lineRule="auto"/>
              <w:rPr>
                <w:rFonts w:ascii="宋体" w:hAnsi="宋体" w:cs="宋体"/>
                <w:color w:val="auto"/>
                <w:spacing w:val="-5"/>
                <w:sz w:val="21"/>
                <w:szCs w:val="21"/>
                <w:highlight w:val="none"/>
              </w:rPr>
            </w:pPr>
            <w:r>
              <w:rPr>
                <w:rFonts w:hint="eastAsia" w:ascii="宋体" w:hAnsi="宋体" w:cs="宋体"/>
                <w:color w:val="auto"/>
                <w:spacing w:val="1"/>
                <w:sz w:val="21"/>
                <w:szCs w:val="21"/>
                <w:highlight w:val="none"/>
              </w:rPr>
              <w:t>根据投标人提供的初始化方案与交接方案，方案描述完整、合理、可操作性强的得</w:t>
            </w:r>
            <w:r>
              <w:rPr>
                <w:rFonts w:hint="eastAsia" w:ascii="宋体" w:hAnsi="宋体" w:cs="宋体"/>
                <w:color w:val="auto"/>
                <w:spacing w:val="1"/>
                <w:sz w:val="21"/>
                <w:szCs w:val="21"/>
                <w:highlight w:val="none"/>
                <w:lang w:val="en-US" w:eastAsia="zh-CN"/>
              </w:rPr>
              <w:t>5</w:t>
            </w:r>
            <w:r>
              <w:rPr>
                <w:rFonts w:hint="eastAsia" w:ascii="宋体" w:hAnsi="宋体" w:cs="宋体"/>
                <w:color w:val="auto"/>
                <w:spacing w:val="1"/>
                <w:sz w:val="21"/>
                <w:szCs w:val="21"/>
                <w:highlight w:val="none"/>
              </w:rPr>
              <w:t>分；方案描述完整但合理性和可操作性略有欠缺的得</w:t>
            </w:r>
            <w:r>
              <w:rPr>
                <w:rFonts w:hint="eastAsia" w:ascii="宋体" w:hAnsi="宋体" w:cs="宋体"/>
                <w:color w:val="auto"/>
                <w:spacing w:val="1"/>
                <w:sz w:val="21"/>
                <w:szCs w:val="21"/>
                <w:highlight w:val="none"/>
                <w:lang w:val="en-US" w:eastAsia="zh-CN"/>
              </w:rPr>
              <w:t>3</w:t>
            </w:r>
            <w:r>
              <w:rPr>
                <w:rFonts w:hint="eastAsia" w:ascii="宋体" w:hAnsi="宋体" w:cs="宋体"/>
                <w:color w:val="auto"/>
                <w:spacing w:val="1"/>
                <w:sz w:val="21"/>
                <w:szCs w:val="21"/>
                <w:highlight w:val="none"/>
              </w:rPr>
              <w:t>分；方案描述的完整性、合理性、操作性一般的得</w:t>
            </w:r>
            <w:r>
              <w:rPr>
                <w:rFonts w:hint="eastAsia" w:ascii="宋体" w:hAnsi="宋体" w:cs="宋体"/>
                <w:color w:val="auto"/>
                <w:spacing w:val="1"/>
                <w:sz w:val="21"/>
                <w:szCs w:val="21"/>
                <w:highlight w:val="none"/>
                <w:lang w:val="en-US" w:eastAsia="zh-CN"/>
              </w:rPr>
              <w:t>1</w:t>
            </w:r>
            <w:r>
              <w:rPr>
                <w:rFonts w:hint="eastAsia" w:ascii="宋体" w:hAnsi="宋体" w:cs="宋体"/>
                <w:color w:val="auto"/>
                <w:spacing w:val="1"/>
                <w:sz w:val="21"/>
                <w:szCs w:val="21"/>
                <w:highlight w:val="none"/>
              </w:rPr>
              <w:t>分；方案描述不完整的不得分；本项最高得</w:t>
            </w:r>
            <w:r>
              <w:rPr>
                <w:rFonts w:hint="eastAsia" w:ascii="宋体" w:hAnsi="宋体" w:cs="宋体"/>
                <w:color w:val="auto"/>
                <w:spacing w:val="1"/>
                <w:sz w:val="21"/>
                <w:szCs w:val="21"/>
                <w:highlight w:val="none"/>
                <w:lang w:val="en-US" w:eastAsia="zh-CN"/>
              </w:rPr>
              <w:t>5</w:t>
            </w:r>
            <w:r>
              <w:rPr>
                <w:rFonts w:hint="eastAsia" w:ascii="宋体" w:hAnsi="宋体" w:cs="宋体"/>
                <w:color w:val="auto"/>
                <w:spacing w:val="1"/>
                <w:sz w:val="21"/>
                <w:szCs w:val="21"/>
                <w:highlight w:val="none"/>
              </w:rPr>
              <w:t>分。</w:t>
            </w:r>
          </w:p>
        </w:tc>
        <w:tc>
          <w:tcPr>
            <w:tcW w:w="1009" w:type="dxa"/>
            <w:noWrap w:val="0"/>
            <w:vAlign w:val="center"/>
          </w:tcPr>
          <w:p w14:paraId="63950F6C">
            <w:pPr>
              <w:widowControl w:val="0"/>
              <w:spacing w:line="288" w:lineRule="auto"/>
              <w:jc w:val="center"/>
              <w:rPr>
                <w:rFonts w:hint="eastAsia" w:ascii="宋体" w:hAnsi="宋体" w:eastAsia="宋体" w:cs="宋体"/>
                <w:color w:val="auto"/>
                <w:spacing w:val="-5"/>
                <w:sz w:val="21"/>
                <w:szCs w:val="21"/>
                <w:highlight w:val="none"/>
                <w:lang w:eastAsia="zh-CN"/>
              </w:rPr>
            </w:pPr>
            <w:r>
              <w:rPr>
                <w:rFonts w:hint="eastAsia" w:ascii="宋体" w:hAnsi="宋体" w:cs="宋体"/>
                <w:color w:val="auto"/>
                <w:spacing w:val="1"/>
                <w:sz w:val="21"/>
                <w:szCs w:val="21"/>
                <w:highlight w:val="none"/>
                <w:lang w:val="en-US" w:eastAsia="zh-CN"/>
              </w:rPr>
              <w:t>5</w:t>
            </w:r>
          </w:p>
        </w:tc>
      </w:tr>
      <w:tr w14:paraId="25DA5AD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841" w:hRule="atLeast"/>
          <w:jc w:val="center"/>
        </w:trPr>
        <w:tc>
          <w:tcPr>
            <w:tcW w:w="647" w:type="dxa"/>
            <w:noWrap w:val="0"/>
            <w:vAlign w:val="center"/>
          </w:tcPr>
          <w:p w14:paraId="5652AAB2">
            <w:pPr>
              <w:widowControl w:val="0"/>
              <w:spacing w:line="288" w:lineRule="auto"/>
              <w:jc w:val="center"/>
              <w:rPr>
                <w:rFonts w:ascii="宋体" w:hAnsi="宋体" w:cs="宋体"/>
                <w:b/>
                <w:bCs/>
                <w:color w:val="auto"/>
                <w:spacing w:val="-5"/>
                <w:sz w:val="21"/>
                <w:szCs w:val="21"/>
                <w:highlight w:val="none"/>
              </w:rPr>
            </w:pPr>
            <w:r>
              <w:rPr>
                <w:rFonts w:hint="eastAsia" w:ascii="宋体" w:hAnsi="宋体" w:cs="宋体"/>
                <w:b/>
                <w:bCs/>
                <w:color w:val="auto"/>
                <w:spacing w:val="-5"/>
                <w:sz w:val="21"/>
                <w:szCs w:val="21"/>
                <w:highlight w:val="none"/>
              </w:rPr>
              <w:t>14</w:t>
            </w:r>
          </w:p>
        </w:tc>
        <w:tc>
          <w:tcPr>
            <w:tcW w:w="1434" w:type="dxa"/>
            <w:noWrap w:val="0"/>
            <w:vAlign w:val="center"/>
          </w:tcPr>
          <w:p w14:paraId="0E46C3C6">
            <w:pPr>
              <w:widowControl w:val="0"/>
              <w:spacing w:line="288" w:lineRule="auto"/>
              <w:jc w:val="center"/>
              <w:rPr>
                <w:rFonts w:ascii="宋体" w:hAnsi="宋体" w:cs="宋体"/>
                <w:b/>
                <w:bCs/>
                <w:color w:val="auto"/>
                <w:spacing w:val="-5"/>
                <w:sz w:val="21"/>
                <w:szCs w:val="21"/>
                <w:highlight w:val="none"/>
              </w:rPr>
            </w:pPr>
            <w:r>
              <w:rPr>
                <w:rFonts w:hint="eastAsia" w:ascii="宋体" w:hAnsi="宋体" w:cs="宋体"/>
                <w:b/>
                <w:bCs/>
                <w:color w:val="auto"/>
                <w:spacing w:val="1"/>
                <w:sz w:val="21"/>
                <w:szCs w:val="21"/>
                <w:highlight w:val="none"/>
              </w:rPr>
              <w:t>人员管理培训方案</w:t>
            </w:r>
          </w:p>
        </w:tc>
        <w:tc>
          <w:tcPr>
            <w:tcW w:w="5287" w:type="dxa"/>
            <w:noWrap w:val="0"/>
          </w:tcPr>
          <w:p w14:paraId="6BE44F92">
            <w:pPr>
              <w:widowControl w:val="0"/>
              <w:spacing w:line="288" w:lineRule="auto"/>
              <w:rPr>
                <w:rFonts w:ascii="宋体" w:hAnsi="宋体" w:cs="宋体"/>
                <w:color w:val="auto"/>
                <w:spacing w:val="-5"/>
                <w:sz w:val="21"/>
                <w:szCs w:val="21"/>
                <w:highlight w:val="none"/>
              </w:rPr>
            </w:pPr>
            <w:r>
              <w:rPr>
                <w:rFonts w:hint="eastAsia" w:ascii="宋体" w:hAnsi="宋体" w:cs="宋体"/>
                <w:color w:val="auto"/>
                <w:spacing w:val="1"/>
                <w:sz w:val="21"/>
                <w:szCs w:val="21"/>
                <w:highlight w:val="none"/>
              </w:rPr>
              <w:t>根据投标人提供的人员管理方案(包含人员聘用方案、人员配备方案、队伍稳定方案、培训上岗方案、管理制度及考核方案、培养教育方案等)，方案描述完整、合理、可操作性强的得</w:t>
            </w:r>
            <w:r>
              <w:rPr>
                <w:rFonts w:hint="eastAsia" w:ascii="宋体" w:hAnsi="宋体" w:cs="宋体"/>
                <w:color w:val="auto"/>
                <w:spacing w:val="1"/>
                <w:sz w:val="21"/>
                <w:szCs w:val="21"/>
                <w:highlight w:val="none"/>
                <w:lang w:val="en-US" w:eastAsia="zh-CN"/>
              </w:rPr>
              <w:t>5</w:t>
            </w:r>
            <w:r>
              <w:rPr>
                <w:rFonts w:hint="eastAsia" w:ascii="宋体" w:hAnsi="宋体" w:cs="宋体"/>
                <w:color w:val="auto"/>
                <w:spacing w:val="1"/>
                <w:sz w:val="21"/>
                <w:szCs w:val="21"/>
                <w:highlight w:val="none"/>
              </w:rPr>
              <w:t>分；方案描述完整但合理性和可操作性略有欠缺的得</w:t>
            </w:r>
            <w:r>
              <w:rPr>
                <w:rFonts w:hint="eastAsia" w:ascii="宋体" w:hAnsi="宋体" w:cs="宋体"/>
                <w:color w:val="auto"/>
                <w:spacing w:val="1"/>
                <w:sz w:val="21"/>
                <w:szCs w:val="21"/>
                <w:highlight w:val="none"/>
                <w:lang w:val="en-US" w:eastAsia="zh-CN"/>
              </w:rPr>
              <w:t>3</w:t>
            </w:r>
            <w:r>
              <w:rPr>
                <w:rFonts w:hint="eastAsia" w:ascii="宋体" w:hAnsi="宋体" w:cs="宋体"/>
                <w:color w:val="auto"/>
                <w:spacing w:val="1"/>
                <w:sz w:val="21"/>
                <w:szCs w:val="21"/>
                <w:highlight w:val="none"/>
              </w:rPr>
              <w:t>分；方案描述的完整性、合理性、操作性一般的得</w:t>
            </w:r>
            <w:r>
              <w:rPr>
                <w:rFonts w:hint="eastAsia" w:ascii="宋体" w:hAnsi="宋体" w:cs="宋体"/>
                <w:color w:val="auto"/>
                <w:spacing w:val="1"/>
                <w:sz w:val="21"/>
                <w:szCs w:val="21"/>
                <w:highlight w:val="none"/>
                <w:lang w:val="en-US" w:eastAsia="zh-CN"/>
              </w:rPr>
              <w:t>1</w:t>
            </w:r>
            <w:r>
              <w:rPr>
                <w:rFonts w:hint="eastAsia" w:ascii="宋体" w:hAnsi="宋体" w:cs="宋体"/>
                <w:color w:val="auto"/>
                <w:spacing w:val="1"/>
                <w:sz w:val="21"/>
                <w:szCs w:val="21"/>
                <w:highlight w:val="none"/>
              </w:rPr>
              <w:t>分；方案描述不完整的不得分；本项最高得</w:t>
            </w:r>
            <w:r>
              <w:rPr>
                <w:rFonts w:hint="eastAsia" w:ascii="宋体" w:hAnsi="宋体" w:cs="宋体"/>
                <w:color w:val="auto"/>
                <w:spacing w:val="1"/>
                <w:sz w:val="21"/>
                <w:szCs w:val="21"/>
                <w:highlight w:val="none"/>
                <w:lang w:val="en-US" w:eastAsia="zh-CN"/>
              </w:rPr>
              <w:t>5</w:t>
            </w:r>
            <w:r>
              <w:rPr>
                <w:rFonts w:hint="eastAsia" w:ascii="宋体" w:hAnsi="宋体" w:cs="宋体"/>
                <w:color w:val="auto"/>
                <w:spacing w:val="1"/>
                <w:sz w:val="21"/>
                <w:szCs w:val="21"/>
                <w:highlight w:val="none"/>
              </w:rPr>
              <w:t>分。</w:t>
            </w:r>
          </w:p>
        </w:tc>
        <w:tc>
          <w:tcPr>
            <w:tcW w:w="1009" w:type="dxa"/>
            <w:noWrap w:val="0"/>
            <w:vAlign w:val="center"/>
          </w:tcPr>
          <w:p w14:paraId="3EBD1D73">
            <w:pPr>
              <w:widowControl w:val="0"/>
              <w:spacing w:line="288" w:lineRule="auto"/>
              <w:jc w:val="center"/>
              <w:rPr>
                <w:rFonts w:hint="eastAsia" w:ascii="宋体" w:hAnsi="宋体" w:eastAsia="宋体" w:cs="宋体"/>
                <w:color w:val="auto"/>
                <w:spacing w:val="-5"/>
                <w:sz w:val="21"/>
                <w:szCs w:val="21"/>
                <w:highlight w:val="none"/>
                <w:lang w:eastAsia="zh-CN"/>
              </w:rPr>
            </w:pPr>
            <w:r>
              <w:rPr>
                <w:rFonts w:hint="eastAsia" w:ascii="宋体" w:hAnsi="宋体" w:cs="宋体"/>
                <w:color w:val="auto"/>
                <w:spacing w:val="1"/>
                <w:sz w:val="21"/>
                <w:szCs w:val="21"/>
                <w:highlight w:val="none"/>
                <w:lang w:val="en-US" w:eastAsia="zh-CN"/>
              </w:rPr>
              <w:t>5</w:t>
            </w:r>
          </w:p>
        </w:tc>
      </w:tr>
      <w:tr w14:paraId="5ED7913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444" w:hRule="atLeast"/>
          <w:jc w:val="center"/>
        </w:trPr>
        <w:tc>
          <w:tcPr>
            <w:tcW w:w="647" w:type="dxa"/>
            <w:noWrap w:val="0"/>
            <w:vAlign w:val="center"/>
          </w:tcPr>
          <w:p w14:paraId="6DF8D550">
            <w:pPr>
              <w:widowControl w:val="0"/>
              <w:spacing w:line="288" w:lineRule="auto"/>
              <w:jc w:val="center"/>
              <w:rPr>
                <w:rFonts w:ascii="宋体" w:hAnsi="宋体" w:cs="宋体"/>
                <w:b/>
                <w:bCs/>
                <w:color w:val="auto"/>
                <w:spacing w:val="-5"/>
                <w:sz w:val="21"/>
                <w:szCs w:val="21"/>
                <w:highlight w:val="none"/>
              </w:rPr>
            </w:pPr>
            <w:r>
              <w:rPr>
                <w:rFonts w:hint="eastAsia" w:ascii="宋体" w:hAnsi="宋体" w:cs="宋体"/>
                <w:b/>
                <w:bCs/>
                <w:color w:val="auto"/>
                <w:spacing w:val="-5"/>
                <w:sz w:val="21"/>
                <w:szCs w:val="21"/>
                <w:highlight w:val="none"/>
              </w:rPr>
              <w:t>15</w:t>
            </w:r>
          </w:p>
        </w:tc>
        <w:tc>
          <w:tcPr>
            <w:tcW w:w="1434" w:type="dxa"/>
            <w:noWrap w:val="0"/>
            <w:vAlign w:val="center"/>
          </w:tcPr>
          <w:p w14:paraId="13BEE753">
            <w:pPr>
              <w:widowControl w:val="0"/>
              <w:spacing w:line="288" w:lineRule="auto"/>
              <w:jc w:val="center"/>
              <w:rPr>
                <w:rFonts w:ascii="宋体" w:hAnsi="宋体" w:cs="宋体"/>
                <w:b/>
                <w:bCs/>
                <w:color w:val="auto"/>
                <w:spacing w:val="-5"/>
                <w:sz w:val="21"/>
                <w:szCs w:val="21"/>
                <w:highlight w:val="none"/>
              </w:rPr>
            </w:pPr>
            <w:r>
              <w:rPr>
                <w:rFonts w:hint="eastAsia" w:ascii="宋体" w:hAnsi="宋体" w:cs="宋体"/>
                <w:b/>
                <w:bCs/>
                <w:color w:val="auto"/>
                <w:spacing w:val="1"/>
                <w:sz w:val="21"/>
                <w:szCs w:val="21"/>
                <w:highlight w:val="none"/>
              </w:rPr>
              <w:t>突发事件处理方案</w:t>
            </w:r>
          </w:p>
        </w:tc>
        <w:tc>
          <w:tcPr>
            <w:tcW w:w="5287" w:type="dxa"/>
            <w:noWrap w:val="0"/>
          </w:tcPr>
          <w:p w14:paraId="4282A679">
            <w:pPr>
              <w:widowControl w:val="0"/>
              <w:spacing w:line="288" w:lineRule="auto"/>
              <w:rPr>
                <w:rFonts w:ascii="宋体" w:hAnsi="宋体" w:cs="宋体"/>
                <w:color w:val="auto"/>
                <w:spacing w:val="-5"/>
                <w:sz w:val="21"/>
                <w:szCs w:val="21"/>
                <w:highlight w:val="none"/>
              </w:rPr>
            </w:pPr>
            <w:r>
              <w:rPr>
                <w:rFonts w:hint="eastAsia" w:ascii="宋体" w:hAnsi="宋体" w:cs="宋体"/>
                <w:color w:val="auto"/>
                <w:spacing w:val="6"/>
                <w:sz w:val="21"/>
                <w:szCs w:val="21"/>
                <w:highlight w:val="none"/>
              </w:rPr>
              <w:t>根据投标人提供</w:t>
            </w:r>
            <w:r>
              <w:rPr>
                <w:rFonts w:hint="eastAsia" w:ascii="宋体" w:hAnsi="宋体" w:cs="宋体"/>
                <w:color w:val="auto"/>
                <w:spacing w:val="3"/>
                <w:sz w:val="21"/>
                <w:szCs w:val="21"/>
                <w:highlight w:val="none"/>
              </w:rPr>
              <w:t>的突发事件处理方案(包含突发事件预测内容、突发</w:t>
            </w:r>
            <w:r>
              <w:rPr>
                <w:rFonts w:hint="eastAsia" w:ascii="宋体" w:hAnsi="宋体" w:cs="宋体"/>
                <w:color w:val="auto"/>
                <w:spacing w:val="1"/>
                <w:sz w:val="21"/>
                <w:szCs w:val="21"/>
                <w:highlight w:val="none"/>
              </w:rPr>
              <w:t>事件</w:t>
            </w:r>
            <w:r>
              <w:rPr>
                <w:rFonts w:hint="eastAsia" w:ascii="宋体" w:hAnsi="宋体" w:cs="宋体"/>
                <w:color w:val="auto"/>
                <w:sz w:val="21"/>
                <w:szCs w:val="21"/>
                <w:highlight w:val="none"/>
              </w:rPr>
              <w:t>应急处理预案等</w:t>
            </w:r>
            <w:r>
              <w:rPr>
                <w:rFonts w:hint="eastAsia" w:ascii="宋体" w:hAnsi="宋体" w:cs="宋体"/>
                <w:color w:val="auto"/>
                <w:spacing w:val="6"/>
                <w:sz w:val="21"/>
                <w:szCs w:val="21"/>
                <w:highlight w:val="none"/>
              </w:rPr>
              <w:t>)，方案包</w:t>
            </w:r>
            <w:r>
              <w:rPr>
                <w:rFonts w:hint="eastAsia" w:ascii="宋体" w:hAnsi="宋体" w:cs="宋体"/>
                <w:color w:val="auto"/>
                <w:spacing w:val="4"/>
                <w:sz w:val="21"/>
                <w:szCs w:val="21"/>
                <w:highlight w:val="none"/>
              </w:rPr>
              <w:t>含</w:t>
            </w:r>
            <w:r>
              <w:rPr>
                <w:rFonts w:hint="eastAsia" w:ascii="宋体" w:hAnsi="宋体" w:cs="宋体"/>
                <w:color w:val="auto"/>
                <w:spacing w:val="3"/>
                <w:sz w:val="21"/>
                <w:szCs w:val="21"/>
                <w:highlight w:val="none"/>
              </w:rPr>
              <w:t>上述要点且满足招标文件要求、针对性和可操作性强</w:t>
            </w:r>
            <w:r>
              <w:rPr>
                <w:rFonts w:hint="eastAsia" w:ascii="宋体" w:hAnsi="宋体" w:cs="宋体"/>
                <w:color w:val="auto"/>
                <w:spacing w:val="-10"/>
                <w:sz w:val="21"/>
                <w:szCs w:val="21"/>
                <w:highlight w:val="none"/>
              </w:rPr>
              <w:t>的得</w:t>
            </w:r>
            <w:r>
              <w:rPr>
                <w:rFonts w:hint="eastAsia" w:ascii="宋体" w:hAnsi="宋体" w:cs="宋体"/>
                <w:color w:val="auto"/>
                <w:spacing w:val="-10"/>
                <w:sz w:val="21"/>
                <w:szCs w:val="21"/>
                <w:highlight w:val="none"/>
                <w:lang w:val="en-US" w:eastAsia="zh-CN"/>
              </w:rPr>
              <w:t>5</w:t>
            </w:r>
            <w:r>
              <w:rPr>
                <w:rFonts w:hint="eastAsia" w:ascii="宋体" w:hAnsi="宋体" w:cs="宋体"/>
                <w:color w:val="auto"/>
                <w:spacing w:val="-7"/>
                <w:sz w:val="21"/>
                <w:szCs w:val="21"/>
                <w:highlight w:val="none"/>
              </w:rPr>
              <w:t>分</w:t>
            </w:r>
            <w:r>
              <w:rPr>
                <w:rFonts w:hint="eastAsia" w:ascii="宋体" w:hAnsi="宋体" w:cs="宋体"/>
                <w:color w:val="auto"/>
                <w:spacing w:val="-5"/>
                <w:sz w:val="21"/>
                <w:szCs w:val="21"/>
                <w:highlight w:val="none"/>
              </w:rPr>
              <w:t>；方案完整但针对性和可操作性略有欠缺的得</w:t>
            </w:r>
            <w:r>
              <w:rPr>
                <w:rFonts w:hint="eastAsia" w:ascii="宋体" w:hAnsi="宋体" w:cs="宋体"/>
                <w:color w:val="auto"/>
                <w:spacing w:val="-5"/>
                <w:sz w:val="21"/>
                <w:szCs w:val="21"/>
                <w:highlight w:val="none"/>
                <w:lang w:val="en-US" w:eastAsia="zh-CN"/>
              </w:rPr>
              <w:t>3</w:t>
            </w:r>
            <w:r>
              <w:rPr>
                <w:rFonts w:hint="eastAsia" w:ascii="宋体" w:hAnsi="宋体" w:cs="宋体"/>
                <w:color w:val="auto"/>
                <w:spacing w:val="-5"/>
                <w:sz w:val="21"/>
                <w:szCs w:val="21"/>
                <w:highlight w:val="none"/>
              </w:rPr>
              <w:t>分；方案的</w:t>
            </w:r>
            <w:r>
              <w:rPr>
                <w:rFonts w:hint="eastAsia" w:ascii="宋体" w:hAnsi="宋体" w:cs="宋体"/>
                <w:color w:val="auto"/>
                <w:spacing w:val="-8"/>
                <w:sz w:val="21"/>
                <w:szCs w:val="21"/>
                <w:highlight w:val="none"/>
              </w:rPr>
              <w:t>完</w:t>
            </w:r>
            <w:r>
              <w:rPr>
                <w:rFonts w:hint="eastAsia" w:ascii="宋体" w:hAnsi="宋体" w:cs="宋体"/>
                <w:color w:val="auto"/>
                <w:spacing w:val="-6"/>
                <w:sz w:val="21"/>
                <w:szCs w:val="21"/>
                <w:highlight w:val="none"/>
              </w:rPr>
              <w:t>整</w:t>
            </w:r>
            <w:r>
              <w:rPr>
                <w:rFonts w:hint="eastAsia" w:ascii="宋体" w:hAnsi="宋体" w:cs="宋体"/>
                <w:color w:val="auto"/>
                <w:spacing w:val="-4"/>
                <w:sz w:val="21"/>
                <w:szCs w:val="21"/>
                <w:highlight w:val="none"/>
              </w:rPr>
              <w:t>性、针对性、操作性一般的得</w:t>
            </w:r>
            <w:r>
              <w:rPr>
                <w:rFonts w:hint="eastAsia" w:ascii="宋体" w:hAnsi="宋体" w:cs="宋体"/>
                <w:color w:val="auto"/>
                <w:spacing w:val="-4"/>
                <w:sz w:val="21"/>
                <w:szCs w:val="21"/>
                <w:highlight w:val="none"/>
                <w:lang w:val="en-US" w:eastAsia="zh-CN"/>
              </w:rPr>
              <w:t>1</w:t>
            </w:r>
            <w:r>
              <w:rPr>
                <w:rFonts w:hint="eastAsia" w:ascii="宋体" w:hAnsi="宋体" w:cs="宋体"/>
                <w:color w:val="auto"/>
                <w:spacing w:val="-4"/>
                <w:sz w:val="21"/>
                <w:szCs w:val="21"/>
                <w:highlight w:val="none"/>
              </w:rPr>
              <w:t>分；方案描述不完整的不得分；</w:t>
            </w:r>
            <w:r>
              <w:rPr>
                <w:rFonts w:hint="eastAsia" w:ascii="宋体" w:hAnsi="宋体" w:cs="宋体"/>
                <w:color w:val="auto"/>
                <w:spacing w:val="-17"/>
                <w:sz w:val="21"/>
                <w:szCs w:val="21"/>
                <w:highlight w:val="none"/>
              </w:rPr>
              <w:t>本</w:t>
            </w:r>
            <w:r>
              <w:rPr>
                <w:rFonts w:hint="eastAsia" w:ascii="宋体" w:hAnsi="宋体" w:cs="宋体"/>
                <w:color w:val="auto"/>
                <w:spacing w:val="-10"/>
                <w:sz w:val="21"/>
                <w:szCs w:val="21"/>
                <w:highlight w:val="none"/>
              </w:rPr>
              <w:t>项最高得</w:t>
            </w:r>
            <w:r>
              <w:rPr>
                <w:rFonts w:hint="eastAsia" w:ascii="宋体" w:hAnsi="宋体" w:cs="宋体"/>
                <w:color w:val="auto"/>
                <w:spacing w:val="-10"/>
                <w:sz w:val="21"/>
                <w:szCs w:val="21"/>
                <w:highlight w:val="none"/>
                <w:lang w:val="en-US" w:eastAsia="zh-CN"/>
              </w:rPr>
              <w:t>5</w:t>
            </w:r>
            <w:r>
              <w:rPr>
                <w:rFonts w:hint="eastAsia" w:ascii="宋体" w:hAnsi="宋体" w:cs="宋体"/>
                <w:color w:val="auto"/>
                <w:spacing w:val="-10"/>
                <w:sz w:val="21"/>
                <w:szCs w:val="21"/>
                <w:highlight w:val="none"/>
              </w:rPr>
              <w:t>分。</w:t>
            </w:r>
          </w:p>
        </w:tc>
        <w:tc>
          <w:tcPr>
            <w:tcW w:w="1009" w:type="dxa"/>
            <w:noWrap w:val="0"/>
            <w:vAlign w:val="center"/>
          </w:tcPr>
          <w:p w14:paraId="3ADA8254">
            <w:pPr>
              <w:widowControl w:val="0"/>
              <w:spacing w:line="288" w:lineRule="auto"/>
              <w:jc w:val="center"/>
              <w:rPr>
                <w:rFonts w:hint="eastAsia" w:ascii="宋体" w:hAnsi="宋体" w:eastAsia="宋体" w:cs="宋体"/>
                <w:color w:val="auto"/>
                <w:spacing w:val="-5"/>
                <w:sz w:val="21"/>
                <w:szCs w:val="21"/>
                <w:highlight w:val="none"/>
                <w:lang w:eastAsia="zh-CN"/>
              </w:rPr>
            </w:pPr>
            <w:r>
              <w:rPr>
                <w:rFonts w:hint="eastAsia" w:ascii="宋体" w:hAnsi="宋体" w:cs="宋体"/>
                <w:color w:val="auto"/>
                <w:spacing w:val="1"/>
                <w:sz w:val="21"/>
                <w:szCs w:val="21"/>
                <w:highlight w:val="none"/>
                <w:lang w:val="en-US" w:eastAsia="zh-CN"/>
              </w:rPr>
              <w:t>5</w:t>
            </w:r>
          </w:p>
        </w:tc>
      </w:tr>
      <w:tr w14:paraId="318AF4C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428" w:hRule="atLeast"/>
          <w:jc w:val="center"/>
        </w:trPr>
        <w:tc>
          <w:tcPr>
            <w:tcW w:w="647" w:type="dxa"/>
            <w:noWrap w:val="0"/>
            <w:vAlign w:val="center"/>
          </w:tcPr>
          <w:p w14:paraId="71941924">
            <w:pPr>
              <w:widowControl w:val="0"/>
              <w:spacing w:line="288" w:lineRule="auto"/>
              <w:jc w:val="center"/>
              <w:rPr>
                <w:rFonts w:ascii="宋体" w:hAnsi="宋体" w:cs="宋体"/>
                <w:b/>
                <w:bCs/>
                <w:color w:val="auto"/>
                <w:spacing w:val="-5"/>
                <w:sz w:val="21"/>
                <w:szCs w:val="21"/>
                <w:highlight w:val="none"/>
              </w:rPr>
            </w:pPr>
            <w:r>
              <w:rPr>
                <w:rFonts w:hint="eastAsia" w:ascii="宋体" w:hAnsi="宋体" w:cs="宋体"/>
                <w:b/>
                <w:bCs/>
                <w:color w:val="auto"/>
                <w:spacing w:val="-5"/>
                <w:sz w:val="21"/>
                <w:szCs w:val="21"/>
                <w:highlight w:val="none"/>
              </w:rPr>
              <w:t>16</w:t>
            </w:r>
          </w:p>
        </w:tc>
        <w:tc>
          <w:tcPr>
            <w:tcW w:w="1434" w:type="dxa"/>
            <w:noWrap w:val="0"/>
            <w:vAlign w:val="center"/>
          </w:tcPr>
          <w:p w14:paraId="67BC1CED">
            <w:pPr>
              <w:widowControl w:val="0"/>
              <w:spacing w:line="288" w:lineRule="auto"/>
              <w:jc w:val="center"/>
              <w:rPr>
                <w:rFonts w:ascii="宋体" w:hAnsi="宋体" w:cs="宋体"/>
                <w:b/>
                <w:bCs/>
                <w:color w:val="auto"/>
                <w:spacing w:val="-5"/>
                <w:sz w:val="21"/>
                <w:szCs w:val="21"/>
                <w:highlight w:val="none"/>
              </w:rPr>
            </w:pPr>
            <w:r>
              <w:rPr>
                <w:rFonts w:hint="eastAsia" w:ascii="宋体" w:hAnsi="宋体" w:cs="宋体"/>
                <w:b/>
                <w:bCs/>
                <w:color w:val="auto"/>
                <w:spacing w:val="-4"/>
                <w:sz w:val="21"/>
                <w:szCs w:val="21"/>
                <w:highlight w:val="none"/>
              </w:rPr>
              <w:t>管理制度和运作方案</w:t>
            </w:r>
          </w:p>
        </w:tc>
        <w:tc>
          <w:tcPr>
            <w:tcW w:w="5287" w:type="dxa"/>
            <w:noWrap w:val="0"/>
          </w:tcPr>
          <w:p w14:paraId="277B28CD">
            <w:pPr>
              <w:widowControl w:val="0"/>
              <w:spacing w:line="288" w:lineRule="auto"/>
              <w:jc w:val="both"/>
              <w:rPr>
                <w:rFonts w:ascii="宋体" w:hAnsi="宋体" w:cs="宋体"/>
                <w:color w:val="auto"/>
                <w:spacing w:val="-5"/>
                <w:sz w:val="21"/>
                <w:szCs w:val="21"/>
                <w:highlight w:val="none"/>
              </w:rPr>
            </w:pPr>
            <w:r>
              <w:rPr>
                <w:rFonts w:hint="eastAsia" w:ascii="宋体" w:hAnsi="宋体" w:cs="宋体"/>
                <w:color w:val="auto"/>
                <w:spacing w:val="-4"/>
                <w:sz w:val="21"/>
                <w:szCs w:val="21"/>
                <w:highlight w:val="none"/>
              </w:rPr>
              <w:t>投标人有完善的管理运作体系，有明确的部门职责，工作流程完整、科学、可行，各类规章制度健全规范，规划客观、明确的得</w:t>
            </w:r>
            <w:r>
              <w:rPr>
                <w:rFonts w:hint="eastAsia" w:ascii="宋体" w:hAnsi="宋体" w:cs="宋体"/>
                <w:color w:val="auto"/>
                <w:spacing w:val="-4"/>
                <w:sz w:val="21"/>
                <w:szCs w:val="21"/>
                <w:highlight w:val="none"/>
                <w:lang w:val="en-US" w:eastAsia="zh-CN"/>
              </w:rPr>
              <w:t>5</w:t>
            </w:r>
            <w:r>
              <w:rPr>
                <w:rFonts w:hint="eastAsia" w:ascii="宋体" w:hAnsi="宋体" w:cs="宋体"/>
                <w:color w:val="auto"/>
                <w:spacing w:val="-4"/>
                <w:sz w:val="21"/>
                <w:szCs w:val="21"/>
                <w:highlight w:val="none"/>
              </w:rPr>
              <w:t>分；投标人有管理运作体系，有部门职责，工作流程较完整，各类规章制度较健全，有规划的得</w:t>
            </w:r>
            <w:r>
              <w:rPr>
                <w:rFonts w:hint="eastAsia" w:ascii="宋体" w:hAnsi="宋体" w:cs="宋体"/>
                <w:color w:val="auto"/>
                <w:spacing w:val="-4"/>
                <w:sz w:val="21"/>
                <w:szCs w:val="21"/>
                <w:highlight w:val="none"/>
                <w:lang w:val="en-US" w:eastAsia="zh-CN"/>
              </w:rPr>
              <w:t>3</w:t>
            </w:r>
            <w:r>
              <w:rPr>
                <w:rFonts w:hint="eastAsia" w:ascii="宋体" w:hAnsi="宋体" w:cs="宋体"/>
                <w:color w:val="auto"/>
                <w:spacing w:val="-4"/>
                <w:sz w:val="21"/>
                <w:szCs w:val="21"/>
                <w:highlight w:val="none"/>
              </w:rPr>
              <w:t>分；投标人有管理运作体系，有粗略的部门职责，工作流程及各类规章制度一般的得</w:t>
            </w:r>
            <w:r>
              <w:rPr>
                <w:rFonts w:hint="eastAsia" w:ascii="宋体" w:hAnsi="宋体" w:cs="宋体"/>
                <w:color w:val="auto"/>
                <w:spacing w:val="-4"/>
                <w:sz w:val="21"/>
                <w:szCs w:val="21"/>
                <w:highlight w:val="none"/>
                <w:lang w:val="en-US" w:eastAsia="zh-CN"/>
              </w:rPr>
              <w:t>1</w:t>
            </w:r>
            <w:r>
              <w:rPr>
                <w:rFonts w:hint="eastAsia" w:ascii="宋体" w:hAnsi="宋体" w:cs="宋体"/>
                <w:color w:val="auto"/>
                <w:spacing w:val="-4"/>
                <w:sz w:val="21"/>
                <w:szCs w:val="21"/>
                <w:highlight w:val="none"/>
              </w:rPr>
              <w:t>分；针对本次项目岗位设置不合理，部门职责、工作流程、规划不合理的不得分</w:t>
            </w:r>
            <w:r>
              <w:rPr>
                <w:rFonts w:hint="eastAsia" w:ascii="宋体" w:hAnsi="宋体" w:cs="宋体"/>
                <w:color w:val="auto"/>
                <w:spacing w:val="-4"/>
                <w:sz w:val="21"/>
                <w:szCs w:val="21"/>
                <w:highlight w:val="none"/>
                <w:lang w:eastAsia="zh-CN"/>
              </w:rPr>
              <w:t>；</w:t>
            </w:r>
            <w:r>
              <w:rPr>
                <w:rFonts w:hint="eastAsia" w:ascii="宋体" w:hAnsi="宋体" w:cs="宋体"/>
                <w:color w:val="auto"/>
                <w:spacing w:val="-17"/>
                <w:sz w:val="21"/>
                <w:szCs w:val="21"/>
                <w:highlight w:val="none"/>
              </w:rPr>
              <w:t>本</w:t>
            </w:r>
            <w:r>
              <w:rPr>
                <w:rFonts w:hint="eastAsia" w:ascii="宋体" w:hAnsi="宋体" w:cs="宋体"/>
                <w:color w:val="auto"/>
                <w:spacing w:val="-10"/>
                <w:sz w:val="21"/>
                <w:szCs w:val="21"/>
                <w:highlight w:val="none"/>
              </w:rPr>
              <w:t>项最高得</w:t>
            </w:r>
            <w:r>
              <w:rPr>
                <w:rFonts w:hint="eastAsia" w:ascii="宋体" w:hAnsi="宋体" w:cs="宋体"/>
                <w:color w:val="auto"/>
                <w:spacing w:val="-10"/>
                <w:sz w:val="21"/>
                <w:szCs w:val="21"/>
                <w:highlight w:val="none"/>
                <w:lang w:val="en-US" w:eastAsia="zh-CN"/>
              </w:rPr>
              <w:t>5</w:t>
            </w:r>
            <w:r>
              <w:rPr>
                <w:rFonts w:hint="eastAsia" w:ascii="宋体" w:hAnsi="宋体" w:cs="宋体"/>
                <w:color w:val="auto"/>
                <w:spacing w:val="-10"/>
                <w:sz w:val="21"/>
                <w:szCs w:val="21"/>
                <w:highlight w:val="none"/>
              </w:rPr>
              <w:t>分。</w:t>
            </w:r>
          </w:p>
        </w:tc>
        <w:tc>
          <w:tcPr>
            <w:tcW w:w="1009" w:type="dxa"/>
            <w:noWrap w:val="0"/>
            <w:vAlign w:val="center"/>
          </w:tcPr>
          <w:p w14:paraId="77A9996E">
            <w:pPr>
              <w:widowControl w:val="0"/>
              <w:spacing w:line="288" w:lineRule="auto"/>
              <w:jc w:val="center"/>
              <w:rPr>
                <w:rFonts w:hint="eastAsia" w:ascii="宋体" w:hAnsi="宋体" w:eastAsia="宋体" w:cs="宋体"/>
                <w:color w:val="auto"/>
                <w:spacing w:val="-5"/>
                <w:sz w:val="21"/>
                <w:szCs w:val="21"/>
                <w:highlight w:val="none"/>
                <w:lang w:eastAsia="zh-CN"/>
              </w:rPr>
            </w:pPr>
            <w:r>
              <w:rPr>
                <w:rFonts w:hint="eastAsia" w:ascii="宋体" w:hAnsi="宋体" w:cs="宋体"/>
                <w:color w:val="auto"/>
                <w:spacing w:val="-4"/>
                <w:sz w:val="21"/>
                <w:szCs w:val="21"/>
                <w:highlight w:val="none"/>
                <w:lang w:val="en-US" w:eastAsia="zh-CN"/>
              </w:rPr>
              <w:t>5</w:t>
            </w:r>
          </w:p>
        </w:tc>
      </w:tr>
    </w:tbl>
    <w:p w14:paraId="65041F5D">
      <w:pPr>
        <w:pageBreakBefore w:val="0"/>
        <w:kinsoku/>
        <w:wordWrap/>
        <w:overflowPunct/>
        <w:topLinePunct w:val="0"/>
        <w:autoSpaceDE/>
        <w:autoSpaceDN/>
        <w:bidi w:val="0"/>
        <w:spacing w:line="300" w:lineRule="auto"/>
        <w:textAlignment w:val="auto"/>
        <w:rPr>
          <w:rFonts w:hint="eastAsia" w:ascii="宋体" w:hAnsi="宋体" w:cs="宋体"/>
          <w:bCs/>
          <w:color w:val="auto"/>
          <w:szCs w:val="21"/>
          <w:highlight w:val="none"/>
        </w:rPr>
      </w:pPr>
      <w:r>
        <w:rPr>
          <w:rFonts w:hint="eastAsia" w:ascii="宋体" w:hAnsi="宋体" w:cs="宋体"/>
          <w:bCs/>
          <w:color w:val="auto"/>
          <w:szCs w:val="21"/>
          <w:highlight w:val="none"/>
        </w:rPr>
        <w:t>说明：</w:t>
      </w:r>
    </w:p>
    <w:p w14:paraId="44BE2B9A">
      <w:pPr>
        <w:pageBreakBefore w:val="0"/>
        <w:kinsoku/>
        <w:wordWrap/>
        <w:overflowPunct/>
        <w:topLinePunct w:val="0"/>
        <w:autoSpaceDE/>
        <w:autoSpaceDN/>
        <w:bidi w:val="0"/>
        <w:spacing w:line="300" w:lineRule="auto"/>
        <w:ind w:firstLine="420"/>
        <w:jc w:val="left"/>
        <w:textAlignment w:val="auto"/>
        <w:rPr>
          <w:rFonts w:ascii="宋体" w:hAnsi="宋体" w:cs="宋体"/>
          <w:bCs/>
          <w:color w:val="auto"/>
          <w:szCs w:val="21"/>
          <w:highlight w:val="none"/>
        </w:rPr>
      </w:pPr>
      <w:r>
        <w:rPr>
          <w:rFonts w:hint="eastAsia" w:ascii="宋体" w:hAnsi="宋体" w:cs="宋体"/>
          <w:bCs/>
          <w:color w:val="auto"/>
          <w:szCs w:val="21"/>
          <w:highlight w:val="none"/>
        </w:rPr>
        <w:t>1、促进中小企业发展政策</w:t>
      </w:r>
    </w:p>
    <w:p w14:paraId="359EBB17">
      <w:pPr>
        <w:pageBreakBefore w:val="0"/>
        <w:kinsoku/>
        <w:wordWrap/>
        <w:overflowPunct/>
        <w:topLinePunct w:val="0"/>
        <w:autoSpaceDE/>
        <w:autoSpaceDN/>
        <w:bidi w:val="0"/>
        <w:spacing w:line="300" w:lineRule="auto"/>
        <w:ind w:firstLine="420"/>
        <w:jc w:val="left"/>
        <w:textAlignment w:val="auto"/>
        <w:rPr>
          <w:rFonts w:ascii="宋体" w:hAnsi="宋体" w:cs="宋体"/>
          <w:bCs/>
          <w:color w:val="auto"/>
          <w:szCs w:val="21"/>
          <w:highlight w:val="none"/>
        </w:rPr>
      </w:pPr>
      <w:r>
        <w:rPr>
          <w:rFonts w:hint="eastAsia" w:ascii="宋体" w:hAnsi="宋体" w:cs="宋体"/>
          <w:bCs/>
          <w:color w:val="auto"/>
          <w:szCs w:val="21"/>
          <w:highlight w:val="none"/>
        </w:rPr>
        <w:t>①本项目为专门面向中小企业</w:t>
      </w:r>
      <w:r>
        <w:rPr>
          <w:rFonts w:hint="eastAsia" w:ascii="宋体" w:hAnsi="宋体" w:cs="宋体"/>
          <w:bCs/>
          <w:color w:val="auto"/>
          <w:szCs w:val="21"/>
          <w:highlight w:val="none"/>
          <w:lang w:val="en-US" w:eastAsia="zh-CN"/>
        </w:rPr>
        <w:t>采购</w:t>
      </w:r>
      <w:r>
        <w:rPr>
          <w:rFonts w:hint="eastAsia" w:ascii="宋体" w:hAnsi="宋体" w:cs="宋体"/>
          <w:bCs/>
          <w:color w:val="auto"/>
          <w:szCs w:val="21"/>
          <w:highlight w:val="none"/>
        </w:rPr>
        <w:t>的项目，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2792F59F">
      <w:pPr>
        <w:pageBreakBefore w:val="0"/>
        <w:numPr>
          <w:ilvl w:val="0"/>
          <w:numId w:val="0"/>
        </w:numPr>
        <w:kinsoku/>
        <w:wordWrap/>
        <w:overflowPunct/>
        <w:topLinePunct w:val="0"/>
        <w:autoSpaceDE/>
        <w:autoSpaceDN/>
        <w:bidi w:val="0"/>
        <w:spacing w:line="300" w:lineRule="auto"/>
        <w:ind w:firstLine="420" w:firstLineChars="0"/>
        <w:textAlignment w:val="auto"/>
        <w:rPr>
          <w:rFonts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（一）</w:t>
      </w:r>
      <w:r>
        <w:rPr>
          <w:rFonts w:hint="eastAsia" w:ascii="宋体" w:hAnsi="宋体" w:cs="宋体"/>
          <w:bCs/>
          <w:color w:val="auto"/>
          <w:szCs w:val="21"/>
          <w:highlight w:val="none"/>
        </w:rPr>
        <w:t>在政府采购活动中，投标人提供的货物、工程或者服务符合下列情形的，享受价格扣除：</w:t>
      </w:r>
    </w:p>
    <w:p w14:paraId="458ACE95">
      <w:pPr>
        <w:pageBreakBefore w:val="0"/>
        <w:numPr>
          <w:ilvl w:val="0"/>
          <w:numId w:val="0"/>
        </w:numPr>
        <w:kinsoku/>
        <w:wordWrap/>
        <w:overflowPunct/>
        <w:topLinePunct w:val="0"/>
        <w:autoSpaceDE/>
        <w:autoSpaceDN/>
        <w:bidi w:val="0"/>
        <w:spacing w:line="300" w:lineRule="auto"/>
        <w:ind w:firstLine="420" w:firstLineChars="0"/>
        <w:textAlignment w:val="auto"/>
        <w:rPr>
          <w:rFonts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（二）</w:t>
      </w:r>
      <w:r>
        <w:rPr>
          <w:rFonts w:hint="eastAsia" w:ascii="宋体" w:hAnsi="宋体" w:cs="宋体"/>
          <w:bCs/>
          <w:color w:val="auto"/>
          <w:szCs w:val="21"/>
          <w:highlight w:val="none"/>
        </w:rPr>
        <w:t>在货物采购项目中，货物由小微企业制造，即货物由小微企业生产且使用该小微企业商号或者注册商标；</w:t>
      </w:r>
    </w:p>
    <w:p w14:paraId="5B8D30F4">
      <w:pPr>
        <w:pageBreakBefore w:val="0"/>
        <w:numPr>
          <w:ilvl w:val="0"/>
          <w:numId w:val="0"/>
        </w:numPr>
        <w:kinsoku/>
        <w:wordWrap/>
        <w:overflowPunct/>
        <w:topLinePunct w:val="0"/>
        <w:autoSpaceDE/>
        <w:autoSpaceDN/>
        <w:bidi w:val="0"/>
        <w:spacing w:line="300" w:lineRule="auto"/>
        <w:ind w:firstLine="420" w:firstLineChars="0"/>
        <w:textAlignment w:val="auto"/>
        <w:rPr>
          <w:rFonts w:ascii="宋体" w:hAnsi="宋体" w:cs="宋体"/>
          <w:bCs/>
          <w:color w:val="auto"/>
          <w:szCs w:val="21"/>
          <w:highlight w:val="none"/>
        </w:rPr>
      </w:pPr>
      <w:r>
        <w:rPr>
          <w:rFonts w:hint="eastAsia" w:ascii="宋体" w:hAnsi="宋体" w:eastAsia="宋体" w:cs="宋体"/>
          <w:bCs/>
          <w:color w:val="auto"/>
          <w:sz w:val="21"/>
          <w:szCs w:val="21"/>
          <w:highlight w:val="none"/>
          <w:lang w:val="en-US" w:eastAsia="zh-CN" w:bidi="ar-SA"/>
        </w:rPr>
        <w:t>（三）</w:t>
      </w:r>
      <w:r>
        <w:rPr>
          <w:rFonts w:hint="eastAsia" w:ascii="宋体" w:hAnsi="宋体" w:cs="宋体"/>
          <w:bCs/>
          <w:color w:val="auto"/>
          <w:szCs w:val="21"/>
          <w:highlight w:val="none"/>
        </w:rPr>
        <w:t>在服务采购项目中，服务由小微企业承接，即提供服务的人员为小微企业依照《中华人民共和国劳动合同法》订立劳动合同的从业人员。</w:t>
      </w:r>
    </w:p>
    <w:p w14:paraId="56D3CF4A">
      <w:pPr>
        <w:pageBreakBefore w:val="0"/>
        <w:kinsoku/>
        <w:wordWrap/>
        <w:overflowPunct/>
        <w:topLinePunct w:val="0"/>
        <w:autoSpaceDE/>
        <w:autoSpaceDN/>
        <w:bidi w:val="0"/>
        <w:spacing w:line="300" w:lineRule="auto"/>
        <w:ind w:firstLine="420"/>
        <w:textAlignment w:val="auto"/>
        <w:rPr>
          <w:rFonts w:ascii="宋体" w:hAnsi="宋体" w:cs="宋体"/>
          <w:bCs/>
          <w:color w:val="auto"/>
          <w:szCs w:val="21"/>
          <w:highlight w:val="none"/>
        </w:rPr>
      </w:pPr>
      <w:r>
        <w:rPr>
          <w:rFonts w:hint="eastAsia" w:ascii="宋体" w:hAnsi="宋体" w:cs="宋体"/>
          <w:bCs/>
          <w:color w:val="auto"/>
          <w:szCs w:val="21"/>
          <w:highlight w:val="none"/>
        </w:rPr>
        <w:t>在货物采购项目中，</w:t>
      </w:r>
      <w:r>
        <w:rPr>
          <w:rFonts w:hint="eastAsia" w:ascii="宋体" w:hAnsi="宋体" w:cs="宋体"/>
          <w:bCs/>
          <w:color w:val="auto"/>
          <w:szCs w:val="21"/>
          <w:highlight w:val="none"/>
          <w:lang w:eastAsia="zh-CN"/>
        </w:rPr>
        <w:t>投标人</w:t>
      </w:r>
      <w:r>
        <w:rPr>
          <w:rFonts w:hint="eastAsia" w:ascii="宋体" w:hAnsi="宋体" w:cs="宋体"/>
          <w:bCs/>
          <w:color w:val="auto"/>
          <w:szCs w:val="21"/>
          <w:highlight w:val="none"/>
        </w:rPr>
        <w:t>提供的货物既有中小企业制造货物，也有大型企业制造货物的，不享受本办法规定的中小企业扶持政策。</w:t>
      </w:r>
    </w:p>
    <w:p w14:paraId="7F806132">
      <w:pPr>
        <w:pageBreakBefore w:val="0"/>
        <w:kinsoku/>
        <w:wordWrap/>
        <w:overflowPunct/>
        <w:topLinePunct w:val="0"/>
        <w:autoSpaceDE/>
        <w:autoSpaceDN/>
        <w:bidi w:val="0"/>
        <w:spacing w:line="300" w:lineRule="auto"/>
        <w:ind w:firstLine="420"/>
        <w:textAlignment w:val="auto"/>
        <w:rPr>
          <w:rFonts w:ascii="宋体" w:hAnsi="宋体" w:cs="宋体"/>
          <w:bCs/>
          <w:color w:val="auto"/>
          <w:szCs w:val="21"/>
          <w:highlight w:val="none"/>
        </w:rPr>
      </w:pPr>
      <w:r>
        <w:rPr>
          <w:rFonts w:hint="eastAsia" w:ascii="宋体" w:hAnsi="宋体" w:cs="宋体"/>
          <w:bCs/>
          <w:color w:val="auto"/>
          <w:szCs w:val="21"/>
          <w:highlight w:val="none"/>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5E56575A">
      <w:pPr>
        <w:pageBreakBefore w:val="0"/>
        <w:kinsoku/>
        <w:wordWrap/>
        <w:overflowPunct/>
        <w:topLinePunct w:val="0"/>
        <w:autoSpaceDE/>
        <w:autoSpaceDN/>
        <w:bidi w:val="0"/>
        <w:spacing w:line="300" w:lineRule="auto"/>
        <w:ind w:firstLine="420"/>
        <w:textAlignment w:val="auto"/>
        <w:rPr>
          <w:rFonts w:ascii="宋体" w:hAnsi="宋体" w:cs="宋体"/>
          <w:bCs/>
          <w:color w:val="auto"/>
          <w:szCs w:val="21"/>
          <w:highlight w:val="none"/>
        </w:rPr>
      </w:pPr>
      <w:r>
        <w:rPr>
          <w:rFonts w:hint="eastAsia" w:ascii="宋体" w:hAnsi="宋体" w:cs="宋体"/>
          <w:bCs/>
          <w:color w:val="auto"/>
          <w:szCs w:val="21"/>
          <w:highlight w:val="none"/>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26C3DF97">
      <w:pPr>
        <w:pageBreakBefore w:val="0"/>
        <w:kinsoku/>
        <w:wordWrap/>
        <w:overflowPunct/>
        <w:topLinePunct w:val="0"/>
        <w:autoSpaceDE/>
        <w:autoSpaceDN/>
        <w:bidi w:val="0"/>
        <w:spacing w:line="300" w:lineRule="auto"/>
        <w:ind w:firstLine="420"/>
        <w:textAlignment w:val="auto"/>
        <w:rPr>
          <w:rFonts w:ascii="宋体" w:hAnsi="宋体" w:cs="宋体"/>
          <w:bCs/>
          <w:color w:val="auto"/>
          <w:szCs w:val="21"/>
          <w:highlight w:val="none"/>
        </w:rPr>
      </w:pPr>
      <w:r>
        <w:rPr>
          <w:rFonts w:hint="eastAsia" w:ascii="宋体" w:hAnsi="宋体" w:cs="宋体"/>
          <w:bCs/>
          <w:color w:val="auto"/>
          <w:szCs w:val="21"/>
          <w:highlight w:val="none"/>
        </w:rPr>
        <w:t>④残疾人福利单位、监狱企业属于小型、微型企业的，不重复享受政策。</w:t>
      </w:r>
    </w:p>
    <w:p w14:paraId="2A93DDB6">
      <w:pPr>
        <w:pageBreakBefore w:val="0"/>
        <w:kinsoku/>
        <w:wordWrap/>
        <w:overflowPunct/>
        <w:topLinePunct w:val="0"/>
        <w:autoSpaceDE/>
        <w:autoSpaceDN/>
        <w:bidi w:val="0"/>
        <w:spacing w:line="300" w:lineRule="auto"/>
        <w:ind w:firstLine="420"/>
        <w:textAlignment w:val="auto"/>
        <w:rPr>
          <w:rFonts w:ascii="宋体" w:hAnsi="宋体" w:cs="宋体"/>
          <w:bCs/>
          <w:color w:val="auto"/>
          <w:szCs w:val="21"/>
          <w:highlight w:val="none"/>
        </w:rPr>
      </w:pPr>
      <w:r>
        <w:rPr>
          <w:rFonts w:hint="eastAsia" w:ascii="宋体" w:hAnsi="宋体" w:cs="宋体"/>
          <w:bCs/>
          <w:color w:val="auto"/>
          <w:szCs w:val="21"/>
          <w:highlight w:val="none"/>
        </w:rPr>
        <w:t>2、根据财政部、国家发改委《节能产品政府采购实施意见》，投标产品属于《节能产品政府采购清单》（最新一期）内的政府采购的节能产品，对相应产品的价格给予</w:t>
      </w:r>
      <w:r>
        <w:rPr>
          <w:rFonts w:hint="eastAsia" w:ascii="宋体" w:hAnsi="宋体" w:cs="宋体"/>
          <w:bCs/>
          <w:color w:val="auto"/>
          <w:szCs w:val="21"/>
          <w:highlight w:val="none"/>
          <w:u w:val="single"/>
          <w:lang w:val="en-US" w:eastAsia="zh-CN"/>
        </w:rPr>
        <w:t>/</w:t>
      </w:r>
      <w:r>
        <w:rPr>
          <w:rFonts w:hint="eastAsia" w:ascii="宋体" w:hAnsi="宋体" w:cs="宋体"/>
          <w:bCs/>
          <w:color w:val="auto"/>
          <w:szCs w:val="21"/>
          <w:highlight w:val="none"/>
        </w:rPr>
        <w:t>%的扣除，用扣除后的价格参与评审。</w:t>
      </w:r>
    </w:p>
    <w:p w14:paraId="1A3DD326">
      <w:pPr>
        <w:pageBreakBefore w:val="0"/>
        <w:kinsoku/>
        <w:wordWrap/>
        <w:overflowPunct/>
        <w:topLinePunct w:val="0"/>
        <w:autoSpaceDE/>
        <w:autoSpaceDN/>
        <w:bidi w:val="0"/>
        <w:spacing w:line="300" w:lineRule="auto"/>
        <w:ind w:firstLine="420"/>
        <w:textAlignment w:val="auto"/>
        <w:rPr>
          <w:rFonts w:ascii="宋体" w:hAnsi="宋体" w:cs="宋体"/>
          <w:bCs/>
          <w:color w:val="auto"/>
          <w:szCs w:val="21"/>
          <w:highlight w:val="none"/>
        </w:rPr>
      </w:pPr>
      <w:r>
        <w:rPr>
          <w:rFonts w:hint="eastAsia" w:ascii="宋体" w:hAnsi="宋体" w:cs="宋体"/>
          <w:bCs/>
          <w:color w:val="auto"/>
          <w:szCs w:val="21"/>
          <w:highlight w:val="none"/>
        </w:rPr>
        <w:t>评标委员会根据</w:t>
      </w:r>
      <w:r>
        <w:rPr>
          <w:rFonts w:hint="eastAsia" w:ascii="宋体" w:hAnsi="宋体" w:cs="宋体"/>
          <w:bCs/>
          <w:color w:val="auto"/>
          <w:szCs w:val="21"/>
          <w:highlight w:val="none"/>
          <w:lang w:eastAsia="zh-CN"/>
        </w:rPr>
        <w:t>投标人</w:t>
      </w:r>
      <w:r>
        <w:rPr>
          <w:rFonts w:hint="eastAsia" w:ascii="宋体" w:hAnsi="宋体" w:cs="宋体"/>
          <w:bCs/>
          <w:color w:val="auto"/>
          <w:szCs w:val="21"/>
          <w:highlight w:val="none"/>
        </w:rPr>
        <w:t>填制的《节能产品报价表》（格式自拟），计算其所投节能产品享受价格折扣部分的多少，如未提供或价格数据不全（必须包括产品名称、单价数量明细和汇总报价），评委会将仅按可明确进行价格扣除的内容进行扣除。</w:t>
      </w:r>
    </w:p>
    <w:p w14:paraId="420A5B8E">
      <w:pPr>
        <w:pageBreakBefore w:val="0"/>
        <w:kinsoku/>
        <w:wordWrap/>
        <w:overflowPunct/>
        <w:topLinePunct w:val="0"/>
        <w:autoSpaceDE/>
        <w:autoSpaceDN/>
        <w:bidi w:val="0"/>
        <w:spacing w:line="300" w:lineRule="auto"/>
        <w:ind w:firstLine="420"/>
        <w:textAlignment w:val="auto"/>
        <w:rPr>
          <w:rFonts w:ascii="宋体" w:hAnsi="宋体" w:cs="宋体"/>
          <w:bCs/>
          <w:color w:val="auto"/>
          <w:szCs w:val="21"/>
          <w:highlight w:val="none"/>
        </w:rPr>
      </w:pPr>
      <w:r>
        <w:rPr>
          <w:rFonts w:hint="eastAsia" w:ascii="宋体" w:hAnsi="宋体" w:cs="宋体"/>
          <w:bCs/>
          <w:color w:val="auto"/>
          <w:szCs w:val="21"/>
          <w:highlight w:val="none"/>
        </w:rPr>
        <w:t>投标产品如为节能产品的，</w:t>
      </w:r>
      <w:r>
        <w:rPr>
          <w:rFonts w:hint="eastAsia" w:ascii="宋体" w:hAnsi="宋体" w:cs="宋体"/>
          <w:bCs/>
          <w:color w:val="auto"/>
          <w:szCs w:val="21"/>
          <w:highlight w:val="none"/>
          <w:lang w:eastAsia="zh-CN"/>
        </w:rPr>
        <w:t>投标人</w:t>
      </w:r>
      <w:r>
        <w:rPr>
          <w:rFonts w:hint="eastAsia" w:ascii="宋体" w:hAnsi="宋体" w:cs="宋体"/>
          <w:bCs/>
          <w:color w:val="auto"/>
          <w:szCs w:val="21"/>
          <w:highlight w:val="none"/>
        </w:rPr>
        <w:t>需提供产品及型号所在清单页的复印件并用标识标明，如未提供，评委会</w:t>
      </w:r>
      <w:r>
        <w:rPr>
          <w:rFonts w:hint="eastAsia" w:ascii="宋体" w:hAnsi="宋体" w:cs="宋体"/>
          <w:color w:val="auto"/>
          <w:szCs w:val="21"/>
          <w:highlight w:val="none"/>
        </w:rPr>
        <w:t>将仅按</w:t>
      </w:r>
      <w:r>
        <w:rPr>
          <w:rFonts w:hint="eastAsia" w:ascii="宋体" w:hAnsi="宋体" w:cs="宋体"/>
          <w:bCs/>
          <w:color w:val="auto"/>
          <w:szCs w:val="21"/>
          <w:highlight w:val="none"/>
        </w:rPr>
        <w:t>可明确进行价格扣除的内容进行扣除。</w:t>
      </w:r>
    </w:p>
    <w:p w14:paraId="56715F28">
      <w:pPr>
        <w:pageBreakBefore w:val="0"/>
        <w:kinsoku/>
        <w:wordWrap/>
        <w:overflowPunct/>
        <w:topLinePunct w:val="0"/>
        <w:autoSpaceDE/>
        <w:autoSpaceDN/>
        <w:bidi w:val="0"/>
        <w:spacing w:line="300" w:lineRule="auto"/>
        <w:ind w:firstLine="420"/>
        <w:textAlignment w:val="auto"/>
        <w:rPr>
          <w:rFonts w:ascii="宋体" w:hAnsi="宋体" w:cs="宋体"/>
          <w:bCs/>
          <w:color w:val="auto"/>
          <w:szCs w:val="21"/>
          <w:highlight w:val="none"/>
        </w:rPr>
      </w:pPr>
      <w:r>
        <w:rPr>
          <w:rFonts w:hint="eastAsia" w:ascii="宋体" w:hAnsi="宋体" w:cs="宋体"/>
          <w:bCs/>
          <w:color w:val="auto"/>
          <w:szCs w:val="21"/>
          <w:highlight w:val="none"/>
        </w:rPr>
        <w:t>3、根据财政部、国家环保总局《关于环境标志产品政府采购实施的意见》，投标产品属于《环境标志产品政府采购清单》（最新一期）内的产品），对相应产品的价格给予</w:t>
      </w:r>
      <w:r>
        <w:rPr>
          <w:rFonts w:hint="eastAsia" w:ascii="宋体" w:hAnsi="宋体" w:cs="宋体"/>
          <w:bCs/>
          <w:color w:val="auto"/>
          <w:szCs w:val="21"/>
          <w:highlight w:val="none"/>
          <w:u w:val="single"/>
          <w:lang w:val="en-US" w:eastAsia="zh-CN"/>
        </w:rPr>
        <w:t>/</w:t>
      </w:r>
      <w:r>
        <w:rPr>
          <w:rFonts w:hint="eastAsia" w:ascii="宋体" w:hAnsi="宋体" w:cs="宋体"/>
          <w:bCs/>
          <w:color w:val="auto"/>
          <w:szCs w:val="21"/>
          <w:highlight w:val="none"/>
        </w:rPr>
        <w:t>%的扣除，用扣除后的价格参与评审。</w:t>
      </w:r>
    </w:p>
    <w:p w14:paraId="043649AE">
      <w:pPr>
        <w:pageBreakBefore w:val="0"/>
        <w:kinsoku/>
        <w:wordWrap/>
        <w:overflowPunct/>
        <w:topLinePunct w:val="0"/>
        <w:autoSpaceDE/>
        <w:autoSpaceDN/>
        <w:bidi w:val="0"/>
        <w:spacing w:line="300" w:lineRule="auto"/>
        <w:ind w:firstLine="420"/>
        <w:textAlignment w:val="auto"/>
        <w:rPr>
          <w:rFonts w:ascii="宋体" w:hAnsi="宋体" w:cs="宋体"/>
          <w:bCs/>
          <w:color w:val="auto"/>
          <w:szCs w:val="21"/>
          <w:highlight w:val="none"/>
        </w:rPr>
      </w:pPr>
      <w:r>
        <w:rPr>
          <w:rFonts w:hint="eastAsia" w:ascii="宋体" w:hAnsi="宋体" w:cs="宋体"/>
          <w:bCs/>
          <w:color w:val="auto"/>
          <w:szCs w:val="21"/>
          <w:highlight w:val="none"/>
        </w:rPr>
        <w:t>评标委员会根据</w:t>
      </w:r>
      <w:r>
        <w:rPr>
          <w:rFonts w:hint="eastAsia" w:ascii="宋体" w:hAnsi="宋体" w:cs="宋体"/>
          <w:bCs/>
          <w:color w:val="auto"/>
          <w:szCs w:val="21"/>
          <w:highlight w:val="none"/>
          <w:lang w:eastAsia="zh-CN"/>
        </w:rPr>
        <w:t>投标人</w:t>
      </w:r>
      <w:r>
        <w:rPr>
          <w:rFonts w:hint="eastAsia" w:ascii="宋体" w:hAnsi="宋体" w:cs="宋体"/>
          <w:bCs/>
          <w:color w:val="auto"/>
          <w:szCs w:val="21"/>
          <w:highlight w:val="none"/>
        </w:rPr>
        <w:t>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color w:val="auto"/>
          <w:szCs w:val="21"/>
          <w:highlight w:val="none"/>
        </w:rPr>
        <w:t>将仅</w:t>
      </w:r>
      <w:r>
        <w:rPr>
          <w:rFonts w:hint="eastAsia" w:ascii="宋体" w:hAnsi="宋体" w:cs="宋体"/>
          <w:bCs/>
          <w:color w:val="auto"/>
          <w:szCs w:val="21"/>
          <w:highlight w:val="none"/>
        </w:rPr>
        <w:t>按可明确进行价格扣除的内容进行扣除。</w:t>
      </w:r>
    </w:p>
    <w:p w14:paraId="3F24CD4C">
      <w:pPr>
        <w:pageBreakBefore w:val="0"/>
        <w:kinsoku/>
        <w:wordWrap/>
        <w:overflowPunct/>
        <w:topLinePunct w:val="0"/>
        <w:autoSpaceDE/>
        <w:autoSpaceDN/>
        <w:bidi w:val="0"/>
        <w:spacing w:line="300" w:lineRule="auto"/>
        <w:ind w:firstLine="420"/>
        <w:textAlignment w:val="auto"/>
        <w:rPr>
          <w:rFonts w:hint="eastAsia" w:ascii="宋体" w:hAnsi="宋体" w:cs="宋体"/>
          <w:bCs/>
          <w:color w:val="auto"/>
          <w:szCs w:val="21"/>
          <w:highlight w:val="none"/>
        </w:rPr>
      </w:pPr>
      <w:r>
        <w:rPr>
          <w:rFonts w:hint="eastAsia" w:ascii="宋体" w:hAnsi="宋体" w:cs="宋体"/>
          <w:bCs/>
          <w:color w:val="auto"/>
          <w:szCs w:val="21"/>
          <w:highlight w:val="none"/>
        </w:rPr>
        <w:t>投标产品如为环境标志产品的，</w:t>
      </w:r>
      <w:r>
        <w:rPr>
          <w:rFonts w:hint="eastAsia" w:ascii="宋体" w:hAnsi="宋体" w:cs="宋体"/>
          <w:bCs/>
          <w:color w:val="auto"/>
          <w:szCs w:val="21"/>
          <w:highlight w:val="none"/>
          <w:lang w:eastAsia="zh-CN"/>
        </w:rPr>
        <w:t>投标人</w:t>
      </w:r>
      <w:r>
        <w:rPr>
          <w:rFonts w:hint="eastAsia" w:ascii="宋体" w:hAnsi="宋体" w:cs="宋体"/>
          <w:bCs/>
          <w:color w:val="auto"/>
          <w:szCs w:val="21"/>
          <w:highlight w:val="none"/>
        </w:rPr>
        <w:t>需提供产品及型号所在清单页的复印件并用标识标明，如未提供，评委会</w:t>
      </w:r>
      <w:r>
        <w:rPr>
          <w:rFonts w:hint="eastAsia" w:ascii="宋体" w:hAnsi="宋体" w:cs="宋体"/>
          <w:color w:val="auto"/>
          <w:szCs w:val="21"/>
          <w:highlight w:val="none"/>
        </w:rPr>
        <w:t>将仅</w:t>
      </w:r>
      <w:r>
        <w:rPr>
          <w:rFonts w:hint="eastAsia" w:ascii="宋体" w:hAnsi="宋体" w:cs="宋体"/>
          <w:bCs/>
          <w:color w:val="auto"/>
          <w:szCs w:val="21"/>
          <w:highlight w:val="none"/>
        </w:rPr>
        <w:t>按可明确进行价格扣除的内容进行扣除。</w:t>
      </w:r>
    </w:p>
    <w:p w14:paraId="546EDDDD">
      <w:pPr>
        <w:pageBreakBefore w:val="0"/>
        <w:kinsoku/>
        <w:wordWrap/>
        <w:overflowPunct/>
        <w:topLinePunct w:val="0"/>
        <w:autoSpaceDE/>
        <w:autoSpaceDN/>
        <w:bidi w:val="0"/>
        <w:spacing w:line="300" w:lineRule="auto"/>
        <w:ind w:firstLine="420"/>
        <w:textAlignment w:va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4、采购本国产品的支持政策（本项目不适用）</w:t>
      </w:r>
    </w:p>
    <w:p w14:paraId="6A73E68D">
      <w:pPr>
        <w:pageBreakBefore w:val="0"/>
        <w:kinsoku/>
        <w:wordWrap/>
        <w:overflowPunct/>
        <w:topLinePunct w:val="0"/>
        <w:autoSpaceDE/>
        <w:autoSpaceDN/>
        <w:bidi w:val="0"/>
        <w:spacing w:line="300" w:lineRule="auto"/>
        <w:ind w:firstLine="420"/>
        <w:textAlignment w:va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①本项目政府采购活动中既有本国产品又有非本国产品参与竞争的，依法对本国产品给予价格评审优惠，对本国产品的报价给予20%的价格扣除，用扣除后的价格参与评审。</w:t>
      </w:r>
    </w:p>
    <w:p w14:paraId="35E3CFB1">
      <w:pPr>
        <w:pageBreakBefore w:val="0"/>
        <w:kinsoku/>
        <w:wordWrap/>
        <w:overflowPunct/>
        <w:topLinePunct w:val="0"/>
        <w:autoSpaceDE/>
        <w:autoSpaceDN/>
        <w:bidi w:val="0"/>
        <w:spacing w:line="300" w:lineRule="auto"/>
        <w:ind w:firstLine="420"/>
        <w:textAlignment w:va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4CB09CD0">
      <w:pPr>
        <w:pageBreakBefore w:val="0"/>
        <w:kinsoku/>
        <w:wordWrap/>
        <w:overflowPunct/>
        <w:topLinePunct w:val="0"/>
        <w:autoSpaceDE/>
        <w:autoSpaceDN/>
        <w:bidi w:val="0"/>
        <w:spacing w:line="300" w:lineRule="auto"/>
        <w:ind w:firstLine="420"/>
        <w:textAlignment w:va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③投标人需按照招标文件的要求提供《关于符合本国产品标准的声明函》（以下简称《声明函》），如不提供将不享受本国产品价格评审优惠。</w:t>
      </w:r>
    </w:p>
    <w:p w14:paraId="0E548D93">
      <w:pPr>
        <w:pageBreakBefore w:val="0"/>
        <w:kinsoku/>
        <w:wordWrap/>
        <w:overflowPunct/>
        <w:topLinePunct w:val="0"/>
        <w:autoSpaceDE/>
        <w:autoSpaceDN/>
        <w:bidi w:val="0"/>
        <w:spacing w:line="300" w:lineRule="auto"/>
        <w:ind w:firstLine="420"/>
        <w:textAlignment w:va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④投标人需在《声明函》中逐一、准确填写产品名称、厂名、生产厂址三项信息，三项信息中任意一项未填写的视为该项产品不符合本国产品标准，不享受本国产品价格评审优惠。</w:t>
      </w:r>
    </w:p>
    <w:p w14:paraId="1D1E169E">
      <w:pPr>
        <w:pageBreakBefore w:val="0"/>
        <w:kinsoku/>
        <w:wordWrap/>
        <w:overflowPunct/>
        <w:topLinePunct w:val="0"/>
        <w:autoSpaceDE/>
        <w:autoSpaceDN/>
        <w:bidi w:val="0"/>
        <w:spacing w:line="300" w:lineRule="auto"/>
        <w:ind w:firstLine="420"/>
        <w:textAlignment w:val="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73BA025A">
      <w:pPr>
        <w:pageBreakBefore w:val="0"/>
        <w:numPr>
          <w:ilvl w:val="0"/>
          <w:numId w:val="0"/>
        </w:numPr>
        <w:kinsoku/>
        <w:wordWrap/>
        <w:overflowPunct/>
        <w:topLinePunct w:val="0"/>
        <w:autoSpaceDE/>
        <w:autoSpaceDN/>
        <w:bidi w:val="0"/>
        <w:spacing w:line="300" w:lineRule="auto"/>
        <w:ind w:firstLine="420" w:firstLineChars="0"/>
        <w:textAlignment w:val="auto"/>
        <w:rPr>
          <w:rFonts w:hint="eastAsia" w:ascii="宋体" w:hAnsi="宋体" w:cs="宋体"/>
          <w:bCs/>
          <w:color w:val="auto"/>
          <w:szCs w:val="21"/>
          <w:highlight w:val="none"/>
          <w:lang w:val="en-US" w:eastAsia="zh-CN"/>
        </w:rPr>
      </w:pPr>
      <w:r>
        <w:rPr>
          <w:rFonts w:hint="eastAsia" w:ascii="宋体" w:hAnsi="宋体" w:cs="宋体"/>
          <w:bCs/>
          <w:color w:val="auto"/>
          <w:sz w:val="21"/>
          <w:szCs w:val="21"/>
          <w:highlight w:val="none"/>
          <w:lang w:val="en-US" w:eastAsia="zh-CN" w:bidi="ar-SA"/>
        </w:rPr>
        <w:t>5</w:t>
      </w:r>
      <w:r>
        <w:rPr>
          <w:rFonts w:hint="eastAsia" w:ascii="宋体" w:hAnsi="宋体" w:eastAsia="宋体" w:cs="宋体"/>
          <w:bCs/>
          <w:color w:val="auto"/>
          <w:sz w:val="21"/>
          <w:szCs w:val="21"/>
          <w:highlight w:val="none"/>
          <w:lang w:val="en-US" w:eastAsia="zh-CN" w:bidi="ar-SA"/>
        </w:rPr>
        <w:t>、</w:t>
      </w:r>
      <w:r>
        <w:rPr>
          <w:rFonts w:hint="eastAsia" w:ascii="宋体" w:hAnsi="宋体" w:cs="宋体"/>
          <w:bCs/>
          <w:color w:val="auto"/>
          <w:szCs w:val="21"/>
          <w:highlight w:val="none"/>
          <w:lang w:val="en-US" w:eastAsia="zh-CN"/>
        </w:rPr>
        <w:t>计算得分四舍五入，精确到小数点后两位。</w:t>
      </w:r>
    </w:p>
    <w:p w14:paraId="16754BAA">
      <w:pPr>
        <w:rPr>
          <w:color w:val="auto"/>
          <w:highlight w:val="none"/>
        </w:rPr>
      </w:pPr>
    </w:p>
    <w:p w14:paraId="52216A11">
      <w:pPr>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br w:type="page"/>
      </w:r>
    </w:p>
    <w:p w14:paraId="7CA20255">
      <w:pPr>
        <w:pStyle w:val="235"/>
        <w:rPr>
          <w:rFonts w:ascii="黑体" w:eastAsia="黑体"/>
          <w:bCs/>
          <w:color w:val="auto"/>
          <w:sz w:val="44"/>
          <w:highlight w:val="none"/>
        </w:rPr>
      </w:pPr>
      <w:bookmarkStart w:id="77" w:name="_Toc5892"/>
      <w:r>
        <w:rPr>
          <w:rFonts w:hint="eastAsia" w:ascii="宋体" w:hAnsi="宋体" w:eastAsia="宋体" w:cs="宋体"/>
          <w:b/>
          <w:bCs w:val="0"/>
          <w:color w:val="auto"/>
          <w:sz w:val="44"/>
          <w:highlight w:val="none"/>
        </w:rPr>
        <w:t>第六章 投标</w:t>
      </w:r>
      <w:bookmarkEnd w:id="71"/>
      <w:bookmarkEnd w:id="72"/>
      <w:bookmarkEnd w:id="75"/>
      <w:r>
        <w:rPr>
          <w:rFonts w:hint="eastAsia" w:ascii="宋体" w:hAnsi="宋体" w:eastAsia="宋体" w:cs="宋体"/>
          <w:b/>
          <w:bCs w:val="0"/>
          <w:color w:val="auto"/>
          <w:sz w:val="44"/>
          <w:highlight w:val="none"/>
        </w:rPr>
        <w:t>文件格式</w:t>
      </w:r>
      <w:bookmarkEnd w:id="77"/>
      <w:r>
        <w:rPr>
          <w:rFonts w:hint="eastAsia" w:ascii="黑体" w:eastAsia="黑体"/>
          <w:bCs/>
          <w:color w:val="auto"/>
          <w:sz w:val="44"/>
          <w:highlight w:val="none"/>
        </w:rPr>
        <w:t xml:space="preserve"> </w:t>
      </w:r>
    </w:p>
    <w:p w14:paraId="38FF8B94">
      <w:pPr>
        <w:jc w:val="center"/>
        <w:rPr>
          <w:rFonts w:ascii="宋体" w:hAnsi="宋体"/>
          <w:b/>
          <w:color w:val="auto"/>
          <w:sz w:val="72"/>
          <w:highlight w:val="none"/>
        </w:rPr>
      </w:pPr>
      <w:bookmarkStart w:id="78" w:name="_Hlt26671244"/>
      <w:bookmarkEnd w:id="78"/>
      <w:bookmarkStart w:id="79" w:name="_Hlt26955039"/>
      <w:bookmarkEnd w:id="79"/>
      <w:bookmarkStart w:id="80" w:name="_Toc26554094"/>
      <w:bookmarkStart w:id="81" w:name="_Toc120614282"/>
      <w:bookmarkStart w:id="82" w:name="_Toc49090576"/>
    </w:p>
    <w:bookmarkEnd w:id="80"/>
    <w:bookmarkEnd w:id="81"/>
    <w:bookmarkEnd w:id="82"/>
    <w:p w14:paraId="18B94873">
      <w:pPr>
        <w:spacing w:line="360" w:lineRule="auto"/>
        <w:jc w:val="center"/>
        <w:rPr>
          <w:rFonts w:ascii="宋体" w:hAnsi="宋体"/>
          <w:b/>
          <w:color w:val="auto"/>
          <w:sz w:val="72"/>
          <w:highlight w:val="none"/>
        </w:rPr>
      </w:pPr>
      <w:bookmarkStart w:id="83" w:name="_Toc120614284"/>
      <w:r>
        <w:rPr>
          <w:rFonts w:hint="eastAsia" w:ascii="宋体" w:hAnsi="宋体"/>
          <w:b/>
          <w:color w:val="auto"/>
          <w:sz w:val="72"/>
          <w:highlight w:val="none"/>
        </w:rPr>
        <w:t>投  标  文  件</w:t>
      </w:r>
    </w:p>
    <w:p w14:paraId="60D8D790">
      <w:pPr>
        <w:spacing w:line="360" w:lineRule="auto"/>
        <w:jc w:val="center"/>
        <w:rPr>
          <w:rFonts w:ascii="宋体" w:hAnsi="宋体"/>
          <w:b/>
          <w:color w:val="auto"/>
          <w:sz w:val="72"/>
          <w:highlight w:val="none"/>
        </w:rPr>
      </w:pPr>
    </w:p>
    <w:p w14:paraId="2091D189">
      <w:pPr>
        <w:spacing w:line="360" w:lineRule="auto"/>
        <w:jc w:val="center"/>
        <w:rPr>
          <w:rFonts w:ascii="宋体" w:hAnsi="宋体"/>
          <w:b/>
          <w:color w:val="auto"/>
          <w:sz w:val="36"/>
          <w:highlight w:val="none"/>
        </w:rPr>
      </w:pPr>
    </w:p>
    <w:p w14:paraId="34079280">
      <w:pPr>
        <w:spacing w:line="360" w:lineRule="auto"/>
        <w:rPr>
          <w:rFonts w:ascii="宋体" w:hAnsi="宋体"/>
          <w:b/>
          <w:color w:val="auto"/>
          <w:sz w:val="36"/>
          <w:highlight w:val="none"/>
        </w:rPr>
      </w:pPr>
    </w:p>
    <w:p w14:paraId="0D1367C2">
      <w:pPr>
        <w:spacing w:line="360" w:lineRule="auto"/>
        <w:jc w:val="center"/>
        <w:rPr>
          <w:rFonts w:ascii="宋体" w:hAnsi="宋体"/>
          <w:b/>
          <w:color w:val="auto"/>
          <w:sz w:val="36"/>
          <w:highlight w:val="none"/>
        </w:rPr>
      </w:pPr>
    </w:p>
    <w:p w14:paraId="5AABE343">
      <w:pPr>
        <w:spacing w:line="360" w:lineRule="auto"/>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7EFDFD12">
      <w:pPr>
        <w:spacing w:line="360" w:lineRule="auto"/>
        <w:ind w:firstLine="1084"/>
        <w:rPr>
          <w:rFonts w:ascii="宋体" w:hAnsi="宋体"/>
          <w:b/>
          <w:color w:val="auto"/>
          <w:sz w:val="36"/>
          <w:highlight w:val="none"/>
          <w:u w:val="single"/>
        </w:rPr>
      </w:pPr>
      <w:r>
        <w:rPr>
          <w:rFonts w:hint="eastAsia" w:ascii="宋体" w:hAnsi="宋体"/>
          <w:b/>
          <w:color w:val="auto"/>
          <w:sz w:val="36"/>
          <w:highlight w:val="none"/>
        </w:rPr>
        <w:t>招 标 编 号：</w:t>
      </w:r>
      <w:r>
        <w:rPr>
          <w:rFonts w:hint="eastAsia" w:ascii="宋体" w:hAnsi="宋体"/>
          <w:b/>
          <w:color w:val="auto"/>
          <w:sz w:val="36"/>
          <w:highlight w:val="none"/>
          <w:u w:val="single"/>
        </w:rPr>
        <w:t xml:space="preserve">               </w:t>
      </w:r>
    </w:p>
    <w:p w14:paraId="1E57EC0B">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082CE25C">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28CCD340">
      <w:pPr>
        <w:spacing w:line="360" w:lineRule="auto"/>
        <w:ind w:firstLine="1084"/>
        <w:rPr>
          <w:rFonts w:ascii="宋体" w:hAnsi="宋体"/>
          <w:b/>
          <w:color w:val="auto"/>
          <w:sz w:val="36"/>
          <w:highlight w:val="none"/>
        </w:rPr>
      </w:pPr>
      <w:r>
        <w:rPr>
          <w:rFonts w:hint="eastAsia" w:ascii="宋体" w:hAnsi="宋体"/>
          <w:b/>
          <w:color w:val="auto"/>
          <w:sz w:val="36"/>
          <w:highlight w:val="none"/>
        </w:rPr>
        <w:t>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（电子签章）</w:t>
      </w:r>
    </w:p>
    <w:p w14:paraId="3537000B">
      <w:pPr>
        <w:spacing w:line="360" w:lineRule="auto"/>
        <w:jc w:val="center"/>
        <w:rPr>
          <w:rFonts w:ascii="宋体" w:hAnsi="宋体"/>
          <w:b/>
          <w:bCs/>
          <w:color w:val="auto"/>
          <w:sz w:val="32"/>
          <w:szCs w:val="32"/>
          <w:highlight w:val="none"/>
        </w:rPr>
      </w:pPr>
    </w:p>
    <w:p w14:paraId="3CE48583">
      <w:pPr>
        <w:spacing w:line="360" w:lineRule="auto"/>
        <w:jc w:val="center"/>
        <w:rPr>
          <w:rFonts w:ascii="宋体" w:hAnsi="宋体"/>
          <w:b/>
          <w:bCs/>
          <w:color w:val="auto"/>
          <w:sz w:val="32"/>
          <w:szCs w:val="32"/>
          <w:highlight w:val="none"/>
        </w:rPr>
      </w:pPr>
    </w:p>
    <w:p w14:paraId="55DFBFE3">
      <w:pPr>
        <w:spacing w:line="360" w:lineRule="auto"/>
        <w:rPr>
          <w:rFonts w:ascii="宋体" w:hAnsi="宋体"/>
          <w:b/>
          <w:bCs/>
          <w:color w:val="auto"/>
          <w:sz w:val="32"/>
          <w:szCs w:val="32"/>
          <w:highlight w:val="none"/>
        </w:rPr>
      </w:pPr>
    </w:p>
    <w:p w14:paraId="69DCE2FE">
      <w:pPr>
        <w:rPr>
          <w:rFonts w:ascii="宋体" w:hAnsi="宋体"/>
          <w:b/>
          <w:bCs/>
          <w:color w:val="auto"/>
          <w:sz w:val="32"/>
          <w:szCs w:val="32"/>
          <w:highlight w:val="none"/>
        </w:rPr>
      </w:pPr>
      <w:r>
        <w:rPr>
          <w:rFonts w:hint="eastAsia" w:ascii="宋体" w:hAnsi="宋体"/>
          <w:b/>
          <w:bCs/>
          <w:color w:val="auto"/>
          <w:sz w:val="32"/>
          <w:szCs w:val="32"/>
          <w:highlight w:val="none"/>
        </w:rPr>
        <w:br w:type="page"/>
      </w:r>
    </w:p>
    <w:p w14:paraId="68AD40E5">
      <w:pPr>
        <w:spacing w:line="360" w:lineRule="auto"/>
        <w:jc w:val="center"/>
        <w:rPr>
          <w:rFonts w:hint="eastAsia" w:ascii="宋体" w:hAnsi="宋体"/>
          <w:b/>
          <w:bCs/>
          <w:color w:val="auto"/>
          <w:sz w:val="32"/>
          <w:szCs w:val="32"/>
          <w:highlight w:val="none"/>
        </w:rPr>
      </w:pPr>
      <w:r>
        <w:rPr>
          <w:rFonts w:hint="eastAsia" w:ascii="宋体" w:hAnsi="宋体"/>
          <w:b/>
          <w:bCs/>
          <w:color w:val="auto"/>
          <w:sz w:val="32"/>
          <w:szCs w:val="32"/>
          <w:highlight w:val="none"/>
        </w:rPr>
        <w:t>投标主要文件目录</w:t>
      </w:r>
    </w:p>
    <w:p w14:paraId="59D085C8">
      <w:pPr>
        <w:spacing w:line="360" w:lineRule="auto"/>
        <w:jc w:val="center"/>
        <w:rPr>
          <w:rFonts w:ascii="宋体" w:hAnsi="宋体"/>
          <w:b/>
          <w:bCs/>
          <w:color w:val="auto"/>
          <w:sz w:val="32"/>
          <w:szCs w:val="32"/>
          <w:highlight w:val="none"/>
        </w:rPr>
      </w:pPr>
    </w:p>
    <w:p w14:paraId="5BBBA40B">
      <w:pPr>
        <w:spacing w:line="360" w:lineRule="auto"/>
        <w:ind w:firstLine="480"/>
        <w:rPr>
          <w:rFonts w:ascii="宋体" w:hAnsi="宋体"/>
          <w:color w:val="auto"/>
          <w:sz w:val="24"/>
          <w:highlight w:val="none"/>
        </w:rPr>
      </w:pPr>
      <w:r>
        <w:rPr>
          <w:rFonts w:hint="eastAsia" w:ascii="宋体" w:hAnsi="宋体"/>
          <w:color w:val="auto"/>
          <w:sz w:val="24"/>
          <w:highlight w:val="none"/>
        </w:rPr>
        <w:t>一、资格审查响应对照表</w:t>
      </w:r>
    </w:p>
    <w:p w14:paraId="2D6B0F45">
      <w:pPr>
        <w:spacing w:line="360" w:lineRule="auto"/>
        <w:ind w:left="480"/>
        <w:rPr>
          <w:rFonts w:ascii="宋体" w:hAnsi="宋体"/>
          <w:color w:val="auto"/>
          <w:sz w:val="24"/>
          <w:highlight w:val="none"/>
        </w:rPr>
      </w:pPr>
      <w:r>
        <w:rPr>
          <w:rFonts w:hint="eastAsia" w:ascii="宋体" w:hAnsi="宋体"/>
          <w:color w:val="auto"/>
          <w:sz w:val="24"/>
          <w:highlight w:val="none"/>
        </w:rPr>
        <w:t>二、符合性审查响应对照表</w:t>
      </w:r>
    </w:p>
    <w:p w14:paraId="5491A9CF">
      <w:pPr>
        <w:spacing w:line="360" w:lineRule="auto"/>
        <w:ind w:left="480"/>
        <w:rPr>
          <w:rFonts w:ascii="宋体" w:hAnsi="宋体"/>
          <w:color w:val="auto"/>
          <w:sz w:val="24"/>
          <w:highlight w:val="none"/>
        </w:rPr>
      </w:pPr>
      <w:r>
        <w:rPr>
          <w:rFonts w:hint="eastAsia" w:ascii="宋体" w:hAnsi="宋体"/>
          <w:color w:val="auto"/>
          <w:sz w:val="24"/>
          <w:highlight w:val="none"/>
        </w:rPr>
        <w:t>三、非实质性响应对照表</w:t>
      </w:r>
    </w:p>
    <w:p w14:paraId="2844D0F5">
      <w:pPr>
        <w:spacing w:line="360" w:lineRule="auto"/>
        <w:ind w:firstLine="480"/>
        <w:rPr>
          <w:rFonts w:ascii="宋体" w:hAnsi="宋体"/>
          <w:b/>
          <w:bCs/>
          <w:color w:val="auto"/>
          <w:sz w:val="24"/>
          <w:highlight w:val="none"/>
        </w:rPr>
      </w:pPr>
      <w:r>
        <w:rPr>
          <w:rFonts w:hint="eastAsia" w:ascii="宋体" w:hAnsi="宋体"/>
          <w:color w:val="auto"/>
          <w:sz w:val="24"/>
          <w:highlight w:val="none"/>
        </w:rPr>
        <w:t>四</w:t>
      </w:r>
      <w:r>
        <w:rPr>
          <w:rFonts w:hint="eastAsia" w:ascii="宋体" w:hAnsi="宋体"/>
          <w:b/>
          <w:bCs/>
          <w:color w:val="auto"/>
          <w:sz w:val="24"/>
          <w:highlight w:val="none"/>
        </w:rPr>
        <w:t>、</w:t>
      </w:r>
      <w:r>
        <w:rPr>
          <w:rFonts w:hint="eastAsia" w:ascii="宋体" w:hAnsi="宋体"/>
          <w:i/>
          <w:color w:val="auto"/>
          <w:sz w:val="24"/>
          <w:highlight w:val="none"/>
          <w:u w:val="single"/>
        </w:rPr>
        <w:t>开标一览表</w:t>
      </w:r>
    </w:p>
    <w:p w14:paraId="283D72F8">
      <w:pPr>
        <w:spacing w:line="360" w:lineRule="auto"/>
        <w:ind w:firstLine="480"/>
        <w:rPr>
          <w:rFonts w:ascii="宋体" w:hAnsi="宋体"/>
          <w:color w:val="auto"/>
          <w:sz w:val="24"/>
          <w:highlight w:val="none"/>
        </w:rPr>
      </w:pPr>
      <w:r>
        <w:rPr>
          <w:rFonts w:hint="eastAsia" w:ascii="宋体" w:hAnsi="宋体"/>
          <w:color w:val="auto"/>
          <w:sz w:val="24"/>
          <w:highlight w:val="none"/>
        </w:rPr>
        <w:t>五、投标配置与分项报价表</w:t>
      </w:r>
    </w:p>
    <w:p w14:paraId="18222CFB">
      <w:pPr>
        <w:spacing w:line="360" w:lineRule="auto"/>
        <w:ind w:firstLine="480"/>
        <w:rPr>
          <w:rFonts w:ascii="宋体" w:hAnsi="宋体"/>
          <w:color w:val="auto"/>
          <w:sz w:val="24"/>
          <w:highlight w:val="none"/>
        </w:rPr>
      </w:pPr>
      <w:r>
        <w:rPr>
          <w:rFonts w:hint="eastAsia" w:ascii="宋体" w:hAnsi="宋体"/>
          <w:color w:val="auto"/>
          <w:sz w:val="24"/>
          <w:highlight w:val="none"/>
        </w:rPr>
        <w:t>六</w:t>
      </w:r>
      <w:r>
        <w:rPr>
          <w:rFonts w:hint="eastAsia" w:ascii="宋体" w:hAnsi="宋体" w:cs="Courier New"/>
          <w:color w:val="auto"/>
          <w:sz w:val="24"/>
          <w:szCs w:val="24"/>
          <w:highlight w:val="none"/>
        </w:rPr>
        <w:t>、</w:t>
      </w:r>
      <w:r>
        <w:rPr>
          <w:rFonts w:hint="eastAsia" w:ascii="宋体" w:hAnsi="宋体"/>
          <w:color w:val="auto"/>
          <w:sz w:val="24"/>
          <w:szCs w:val="24"/>
          <w:highlight w:val="none"/>
        </w:rPr>
        <w:t>技术参数响应及偏离表</w:t>
      </w:r>
    </w:p>
    <w:p w14:paraId="6300FA26">
      <w:pPr>
        <w:spacing w:line="360" w:lineRule="auto"/>
        <w:ind w:firstLine="480"/>
        <w:rPr>
          <w:rFonts w:ascii="宋体" w:hAnsi="宋体"/>
          <w:color w:val="auto"/>
          <w:sz w:val="24"/>
          <w:highlight w:val="none"/>
        </w:rPr>
      </w:pPr>
      <w:r>
        <w:rPr>
          <w:rFonts w:hint="eastAsia" w:ascii="宋体" w:hAnsi="宋体"/>
          <w:color w:val="auto"/>
          <w:sz w:val="24"/>
          <w:highlight w:val="none"/>
        </w:rPr>
        <w:t>七、商务条款响应及偏离表</w:t>
      </w:r>
    </w:p>
    <w:p w14:paraId="4EA1F799">
      <w:pPr>
        <w:spacing w:line="360" w:lineRule="auto"/>
        <w:ind w:firstLine="480"/>
        <w:rPr>
          <w:color w:val="auto"/>
          <w:sz w:val="36"/>
          <w:szCs w:val="36"/>
          <w:highlight w:val="none"/>
        </w:rPr>
      </w:pPr>
      <w:r>
        <w:rPr>
          <w:rFonts w:hint="eastAsia" w:ascii="宋体" w:hAnsi="宋体"/>
          <w:color w:val="auto"/>
          <w:sz w:val="24"/>
          <w:highlight w:val="none"/>
        </w:rPr>
        <w:t>八、其他 （投标人认为有必要提供的声明和文件，如有自拟并自行添加）</w:t>
      </w:r>
    </w:p>
    <w:p w14:paraId="7F77443E">
      <w:pPr>
        <w:spacing w:line="360" w:lineRule="auto"/>
        <w:contextualSpacing/>
        <w:jc w:val="left"/>
        <w:rPr>
          <w:rFonts w:ascii="宋体" w:hAnsi="宋体"/>
          <w:b/>
          <w:color w:val="auto"/>
          <w:sz w:val="72"/>
          <w:highlight w:val="none"/>
        </w:rPr>
      </w:pPr>
    </w:p>
    <w:p w14:paraId="162A2F46">
      <w:pPr>
        <w:spacing w:line="360" w:lineRule="auto"/>
        <w:contextualSpacing/>
        <w:rPr>
          <w:rFonts w:ascii="宋体" w:hAnsi="宋体"/>
          <w:b/>
          <w:color w:val="auto"/>
          <w:sz w:val="36"/>
          <w:highlight w:val="none"/>
        </w:rPr>
      </w:pPr>
    </w:p>
    <w:p w14:paraId="063CA0E1">
      <w:pPr>
        <w:spacing w:line="360" w:lineRule="auto"/>
        <w:contextualSpacing/>
        <w:rPr>
          <w:rFonts w:ascii="宋体" w:hAnsi="宋体"/>
          <w:b/>
          <w:color w:val="auto"/>
          <w:sz w:val="36"/>
          <w:highlight w:val="none"/>
        </w:rPr>
      </w:pPr>
    </w:p>
    <w:p w14:paraId="77F29ACD">
      <w:pPr>
        <w:spacing w:line="360" w:lineRule="auto"/>
        <w:contextualSpacing/>
        <w:rPr>
          <w:rFonts w:ascii="宋体" w:hAnsi="宋体"/>
          <w:b/>
          <w:color w:val="auto"/>
          <w:sz w:val="36"/>
          <w:highlight w:val="none"/>
        </w:rPr>
      </w:pPr>
    </w:p>
    <w:p w14:paraId="616DB86C">
      <w:pPr>
        <w:spacing w:line="360" w:lineRule="auto"/>
        <w:contextualSpacing/>
        <w:rPr>
          <w:rFonts w:ascii="宋体" w:hAnsi="宋体"/>
          <w:b/>
          <w:color w:val="auto"/>
          <w:sz w:val="36"/>
          <w:highlight w:val="none"/>
        </w:rPr>
      </w:pPr>
    </w:p>
    <w:p w14:paraId="3F0468F0">
      <w:pPr>
        <w:spacing w:line="360" w:lineRule="auto"/>
        <w:contextualSpacing/>
        <w:rPr>
          <w:rFonts w:ascii="宋体" w:hAnsi="宋体"/>
          <w:b/>
          <w:color w:val="auto"/>
          <w:sz w:val="36"/>
          <w:highlight w:val="none"/>
        </w:rPr>
      </w:pPr>
    </w:p>
    <w:p w14:paraId="573B7005">
      <w:pPr>
        <w:spacing w:line="360" w:lineRule="auto"/>
        <w:contextualSpacing/>
        <w:rPr>
          <w:rFonts w:ascii="宋体" w:hAnsi="宋体"/>
          <w:b/>
          <w:color w:val="auto"/>
          <w:sz w:val="36"/>
          <w:highlight w:val="none"/>
        </w:rPr>
      </w:pPr>
    </w:p>
    <w:p w14:paraId="0A5F40B7">
      <w:pPr>
        <w:spacing w:line="360" w:lineRule="auto"/>
        <w:contextualSpacing/>
        <w:rPr>
          <w:rFonts w:ascii="宋体" w:hAnsi="宋体"/>
          <w:b/>
          <w:color w:val="auto"/>
          <w:sz w:val="36"/>
          <w:highlight w:val="none"/>
        </w:rPr>
      </w:pPr>
    </w:p>
    <w:p w14:paraId="0654ACF2">
      <w:pPr>
        <w:spacing w:line="360" w:lineRule="auto"/>
        <w:rPr>
          <w:rFonts w:ascii="宋体" w:hAnsi="宋体"/>
          <w:b/>
          <w:color w:val="auto"/>
          <w:sz w:val="32"/>
          <w:szCs w:val="32"/>
          <w:highlight w:val="none"/>
        </w:rPr>
      </w:pPr>
    </w:p>
    <w:p w14:paraId="6BEA0B02">
      <w:pPr>
        <w:pStyle w:val="242"/>
        <w:spacing w:line="240" w:lineRule="auto"/>
        <w:rPr>
          <w:rFonts w:ascii="宋体" w:hAnsi="宋体" w:eastAsia="宋体"/>
          <w:b w:val="0"/>
          <w:color w:val="auto"/>
          <w:sz w:val="24"/>
          <w:szCs w:val="24"/>
          <w:highlight w:val="none"/>
        </w:rPr>
      </w:pPr>
      <w:r>
        <w:rPr>
          <w:rFonts w:hint="eastAsia" w:ascii="宋体" w:hAnsi="宋体"/>
          <w:color w:val="auto"/>
          <w:sz w:val="32"/>
          <w:szCs w:val="32"/>
          <w:highlight w:val="none"/>
        </w:rPr>
        <w:br w:type="page"/>
      </w:r>
      <w:bookmarkStart w:id="84" w:name="_Toc5320"/>
      <w:r>
        <w:rPr>
          <w:rFonts w:hint="eastAsia" w:ascii="宋体" w:hAnsi="宋体" w:eastAsia="宋体"/>
          <w:color w:val="auto"/>
          <w:sz w:val="32"/>
          <w:szCs w:val="44"/>
          <w:highlight w:val="none"/>
        </w:rPr>
        <w:t>一、资格审查响应对照表</w:t>
      </w:r>
      <w:bookmarkEnd w:id="84"/>
    </w:p>
    <w:tbl>
      <w:tblPr>
        <w:tblStyle w:val="38"/>
        <w:tblW w:w="93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6574"/>
        <w:gridCol w:w="2158"/>
      </w:tblGrid>
      <w:tr w14:paraId="6EB3D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646" w:type="dxa"/>
            <w:noWrap w:val="0"/>
            <w:vAlign w:val="center"/>
          </w:tcPr>
          <w:p w14:paraId="4A7B78D4">
            <w:pPr>
              <w:spacing w:line="240" w:lineRule="auto"/>
              <w:jc w:val="center"/>
              <w:rPr>
                <w:rFonts w:ascii="宋体" w:hAnsi="宋体"/>
                <w:b/>
                <w:color w:val="auto"/>
                <w:szCs w:val="21"/>
                <w:highlight w:val="none"/>
              </w:rPr>
            </w:pPr>
            <w:r>
              <w:rPr>
                <w:rFonts w:hint="eastAsia" w:ascii="宋体" w:hAnsi="宋体"/>
                <w:b/>
                <w:color w:val="auto"/>
                <w:szCs w:val="21"/>
                <w:highlight w:val="none"/>
              </w:rPr>
              <w:t>序号</w:t>
            </w:r>
          </w:p>
        </w:tc>
        <w:tc>
          <w:tcPr>
            <w:tcW w:w="6574" w:type="dxa"/>
            <w:noWrap w:val="0"/>
            <w:vAlign w:val="center"/>
          </w:tcPr>
          <w:p w14:paraId="501E751A">
            <w:pPr>
              <w:spacing w:line="240" w:lineRule="auto"/>
              <w:jc w:val="center"/>
              <w:rPr>
                <w:rFonts w:ascii="宋体" w:hAnsi="宋体"/>
                <w:b/>
                <w:color w:val="auto"/>
                <w:szCs w:val="21"/>
                <w:highlight w:val="none"/>
              </w:rPr>
            </w:pPr>
            <w:r>
              <w:rPr>
                <w:rFonts w:hint="eastAsia" w:ascii="宋体" w:hAnsi="宋体"/>
                <w:b/>
                <w:color w:val="auto"/>
                <w:szCs w:val="21"/>
                <w:highlight w:val="none"/>
              </w:rPr>
              <w:t>资格审查响应内容</w:t>
            </w:r>
          </w:p>
        </w:tc>
        <w:tc>
          <w:tcPr>
            <w:tcW w:w="2158" w:type="dxa"/>
            <w:noWrap w:val="0"/>
            <w:vAlign w:val="center"/>
          </w:tcPr>
          <w:p w14:paraId="19C783F5">
            <w:pPr>
              <w:spacing w:line="240" w:lineRule="auto"/>
              <w:jc w:val="center"/>
              <w:rPr>
                <w:rFonts w:ascii="宋体" w:hAnsi="宋体"/>
                <w:b/>
                <w:color w:val="auto"/>
                <w:szCs w:val="21"/>
                <w:highlight w:val="none"/>
              </w:rPr>
            </w:pPr>
            <w:r>
              <w:rPr>
                <w:rFonts w:hint="eastAsia" w:ascii="宋体" w:hAnsi="宋体"/>
                <w:b/>
                <w:color w:val="auto"/>
                <w:szCs w:val="21"/>
                <w:highlight w:val="none"/>
              </w:rPr>
              <w:t>是否响应</w:t>
            </w:r>
          </w:p>
          <w:p w14:paraId="2FC45074">
            <w:pPr>
              <w:spacing w:line="240" w:lineRule="auto"/>
              <w:jc w:val="center"/>
              <w:rPr>
                <w:rFonts w:ascii="宋体" w:hAnsi="宋体"/>
                <w:b/>
                <w:color w:val="auto"/>
                <w:szCs w:val="21"/>
                <w:highlight w:val="none"/>
              </w:rPr>
            </w:pPr>
            <w:r>
              <w:rPr>
                <w:rFonts w:hint="eastAsia" w:ascii="宋体" w:hAnsi="宋体"/>
                <w:b/>
                <w:color w:val="auto"/>
                <w:szCs w:val="21"/>
                <w:highlight w:val="none"/>
              </w:rPr>
              <w:t>（填是或者否并填写材料所在页码）</w:t>
            </w:r>
          </w:p>
        </w:tc>
      </w:tr>
      <w:tr w14:paraId="06FE7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jc w:val="center"/>
        </w:trPr>
        <w:tc>
          <w:tcPr>
            <w:tcW w:w="9378" w:type="dxa"/>
            <w:gridSpan w:val="3"/>
            <w:noWrap w:val="0"/>
            <w:vAlign w:val="center"/>
          </w:tcPr>
          <w:p w14:paraId="0BB32BD3">
            <w:pPr>
              <w:spacing w:line="240" w:lineRule="auto"/>
              <w:rPr>
                <w:rFonts w:ascii="宋体" w:hAnsi="宋体"/>
                <w:b/>
                <w:color w:val="auto"/>
                <w:szCs w:val="21"/>
                <w:highlight w:val="none"/>
              </w:rPr>
            </w:pPr>
            <w:r>
              <w:rPr>
                <w:rFonts w:hint="eastAsia" w:ascii="宋体" w:hAnsi="宋体"/>
                <w:b/>
                <w:color w:val="auto"/>
                <w:szCs w:val="21"/>
                <w:highlight w:val="none"/>
              </w:rPr>
              <w:t>通用资格条件</w:t>
            </w:r>
          </w:p>
        </w:tc>
      </w:tr>
      <w:tr w14:paraId="63A85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jc w:val="center"/>
        </w:trPr>
        <w:tc>
          <w:tcPr>
            <w:tcW w:w="646" w:type="dxa"/>
            <w:noWrap w:val="0"/>
            <w:vAlign w:val="center"/>
          </w:tcPr>
          <w:p w14:paraId="2C7C3DD8">
            <w:pPr>
              <w:spacing w:line="240" w:lineRule="auto"/>
              <w:jc w:val="center"/>
              <w:rPr>
                <w:rFonts w:hint="eastAsia" w:ascii="宋体" w:hAnsi="宋体" w:eastAsia="宋体"/>
                <w:b/>
                <w:color w:val="auto"/>
                <w:szCs w:val="21"/>
                <w:highlight w:val="none"/>
                <w:lang w:val="en-US" w:eastAsia="zh-CN"/>
              </w:rPr>
            </w:pPr>
            <w:r>
              <w:rPr>
                <w:rFonts w:hint="eastAsia" w:ascii="宋体" w:hAnsi="宋体"/>
                <w:b/>
                <w:color w:val="auto"/>
                <w:szCs w:val="21"/>
                <w:highlight w:val="none"/>
                <w:lang w:val="en-US" w:eastAsia="zh-CN"/>
              </w:rPr>
              <w:t>1</w:t>
            </w:r>
          </w:p>
        </w:tc>
        <w:tc>
          <w:tcPr>
            <w:tcW w:w="6574" w:type="dxa"/>
            <w:noWrap w:val="0"/>
            <w:vAlign w:val="center"/>
          </w:tcPr>
          <w:p w14:paraId="1AE56CEF">
            <w:pPr>
              <w:spacing w:line="240" w:lineRule="auto"/>
              <w:rPr>
                <w:rFonts w:hint="eastAsia" w:ascii="宋体" w:hAnsi="宋体" w:eastAsia="宋体" w:cs="宋体"/>
                <w:b w:val="0"/>
                <w:bCs/>
                <w:iCs/>
                <w:color w:val="auto"/>
                <w:szCs w:val="21"/>
                <w:highlight w:val="none"/>
              </w:rPr>
            </w:pPr>
            <w:r>
              <w:rPr>
                <w:rFonts w:hint="eastAsia" w:ascii="宋体" w:hAnsi="宋体" w:eastAsia="宋体" w:cs="宋体"/>
                <w:b w:val="0"/>
                <w:bCs/>
                <w:i w:val="0"/>
                <w:iCs/>
                <w:color w:val="auto"/>
                <w:sz w:val="21"/>
                <w:szCs w:val="21"/>
                <w:highlight w:val="none"/>
                <w:u w:val="none"/>
              </w:rPr>
              <w:t>具有独立承担民事责任的能力（提供法人或者其他组织的营业执照等证明文件，自然人的身份证明复印件）</w:t>
            </w:r>
            <w:r>
              <w:rPr>
                <w:rFonts w:hint="eastAsia" w:ascii="宋体" w:hAnsi="宋体" w:eastAsia="宋体" w:cs="宋体"/>
                <w:b w:val="0"/>
                <w:bCs/>
                <w:i w:val="0"/>
                <w:iCs/>
                <w:color w:val="auto"/>
                <w:sz w:val="21"/>
                <w:szCs w:val="21"/>
                <w:highlight w:val="none"/>
                <w:u w:val="none"/>
                <w:lang w:eastAsia="zh-CN"/>
              </w:rPr>
              <w:t>。</w:t>
            </w:r>
          </w:p>
        </w:tc>
        <w:tc>
          <w:tcPr>
            <w:tcW w:w="2158" w:type="dxa"/>
            <w:noWrap w:val="0"/>
            <w:vAlign w:val="center"/>
          </w:tcPr>
          <w:p w14:paraId="42A473C3">
            <w:pPr>
              <w:spacing w:line="240" w:lineRule="auto"/>
              <w:rPr>
                <w:rFonts w:ascii="宋体" w:hAnsi="宋体"/>
                <w:b/>
                <w:color w:val="auto"/>
                <w:szCs w:val="21"/>
                <w:highlight w:val="none"/>
              </w:rPr>
            </w:pPr>
          </w:p>
        </w:tc>
      </w:tr>
      <w:tr w14:paraId="4765F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69534A9C">
            <w:pPr>
              <w:spacing w:line="240" w:lineRule="auto"/>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2</w:t>
            </w:r>
          </w:p>
        </w:tc>
        <w:tc>
          <w:tcPr>
            <w:tcW w:w="6574" w:type="dxa"/>
            <w:noWrap w:val="0"/>
            <w:vAlign w:val="center"/>
          </w:tcPr>
          <w:p w14:paraId="53EF1E3B">
            <w:pPr>
              <w:spacing w:line="240" w:lineRule="auto"/>
              <w:rPr>
                <w:rFonts w:hint="eastAsia" w:ascii="宋体" w:hAnsi="宋体" w:eastAsia="宋体" w:cs="宋体"/>
                <w:b w:val="0"/>
                <w:bCs/>
                <w:iCs w:val="0"/>
                <w:color w:val="auto"/>
                <w:szCs w:val="22"/>
                <w:highlight w:val="none"/>
              </w:rPr>
            </w:pPr>
            <w:r>
              <w:rPr>
                <w:rFonts w:hint="eastAsia" w:ascii="宋体" w:hAnsi="宋体" w:eastAsia="宋体" w:cs="宋体"/>
                <w:b w:val="0"/>
                <w:bCs/>
                <w:i w:val="0"/>
                <w:iCs/>
                <w:color w:val="auto"/>
                <w:sz w:val="21"/>
                <w:szCs w:val="21"/>
                <w:highlight w:val="none"/>
                <w:u w:val="none"/>
              </w:rPr>
              <w:t>具有良好的商业信誉和健全的财务会计制度</w:t>
            </w:r>
            <w:r>
              <w:rPr>
                <w:rFonts w:hint="eastAsia" w:ascii="宋体" w:hAnsi="宋体" w:eastAsia="宋体" w:cs="宋体"/>
                <w:b w:val="0"/>
                <w:bCs/>
                <w:i w:val="0"/>
                <w:iCs/>
                <w:color w:val="auto"/>
                <w:sz w:val="21"/>
                <w:szCs w:val="21"/>
                <w:highlight w:val="none"/>
                <w:u w:val="none"/>
                <w:lang w:eastAsia="zh-CN"/>
              </w:rPr>
              <w:t>（</w:t>
            </w:r>
            <w:r>
              <w:rPr>
                <w:rFonts w:hint="eastAsia" w:ascii="宋体" w:hAnsi="宋体" w:eastAsia="宋体" w:cs="宋体"/>
                <w:b w:val="0"/>
                <w:bCs/>
                <w:i w:val="0"/>
                <w:iCs/>
                <w:color w:val="auto"/>
                <w:sz w:val="21"/>
                <w:szCs w:val="21"/>
                <w:highlight w:val="none"/>
                <w:u w:val="none"/>
              </w:rPr>
              <w:t>提供开标</w:t>
            </w:r>
            <w:r>
              <w:rPr>
                <w:rFonts w:hint="eastAsia" w:ascii="宋体" w:hAnsi="宋体" w:eastAsia="宋体" w:cs="宋体"/>
                <w:b w:val="0"/>
                <w:bCs/>
                <w:i w:val="0"/>
                <w:iCs/>
                <w:color w:val="auto"/>
                <w:sz w:val="21"/>
                <w:szCs w:val="21"/>
                <w:highlight w:val="none"/>
                <w:u w:val="none"/>
                <w:lang w:val="en-US" w:eastAsia="zh-CN"/>
              </w:rPr>
              <w:t>时间</w:t>
            </w:r>
            <w:r>
              <w:rPr>
                <w:rFonts w:hint="eastAsia" w:ascii="宋体" w:hAnsi="宋体" w:eastAsia="宋体" w:cs="宋体"/>
                <w:b w:val="0"/>
                <w:bCs/>
                <w:i w:val="0"/>
                <w:iCs/>
                <w:color w:val="auto"/>
                <w:sz w:val="21"/>
                <w:szCs w:val="21"/>
                <w:highlight w:val="none"/>
                <w:u w:val="none"/>
              </w:rPr>
              <w:t>前</w:t>
            </w:r>
            <w:r>
              <w:rPr>
                <w:rFonts w:hint="eastAsia" w:ascii="宋体" w:hAnsi="宋体" w:eastAsia="宋体" w:cs="宋体"/>
                <w:b w:val="0"/>
                <w:bCs/>
                <w:i w:val="0"/>
                <w:iCs/>
                <w:color w:val="auto"/>
                <w:sz w:val="21"/>
                <w:szCs w:val="21"/>
                <w:highlight w:val="none"/>
                <w:u w:val="none"/>
                <w:lang w:val="en-US" w:eastAsia="zh-CN"/>
              </w:rPr>
              <w:t>12</w:t>
            </w:r>
            <w:r>
              <w:rPr>
                <w:rFonts w:hint="eastAsia" w:ascii="宋体" w:hAnsi="宋体" w:eastAsia="宋体" w:cs="宋体"/>
                <w:b w:val="0"/>
                <w:bCs/>
                <w:i w:val="0"/>
                <w:iCs/>
                <w:color w:val="auto"/>
                <w:sz w:val="21"/>
                <w:szCs w:val="21"/>
                <w:highlight w:val="none"/>
                <w:u w:val="none"/>
              </w:rPr>
              <w:t>个月内任意</w:t>
            </w:r>
            <w:r>
              <w:rPr>
                <w:rFonts w:hint="eastAsia" w:ascii="宋体" w:hAnsi="宋体" w:eastAsia="宋体" w:cs="宋体"/>
                <w:b w:val="0"/>
                <w:bCs/>
                <w:i w:val="0"/>
                <w:iCs/>
                <w:color w:val="auto"/>
                <w:sz w:val="21"/>
                <w:szCs w:val="21"/>
                <w:highlight w:val="none"/>
                <w:u w:val="none"/>
                <w:lang w:val="en-US" w:eastAsia="zh-CN"/>
              </w:rPr>
              <w:t>1</w:t>
            </w:r>
            <w:r>
              <w:rPr>
                <w:rFonts w:hint="eastAsia" w:ascii="宋体" w:hAnsi="宋体" w:eastAsia="宋体" w:cs="宋体"/>
                <w:b w:val="0"/>
                <w:bCs/>
                <w:i w:val="0"/>
                <w:iCs/>
                <w:color w:val="auto"/>
                <w:sz w:val="21"/>
                <w:szCs w:val="21"/>
                <w:highlight w:val="none"/>
                <w:u w:val="none"/>
              </w:rPr>
              <w:t>个月的财务状况报告(至少包括资产负债表和利润表)（法人或者其他组织成立未满</w:t>
            </w:r>
            <w:r>
              <w:rPr>
                <w:rFonts w:hint="eastAsia" w:ascii="宋体" w:hAnsi="宋体" w:eastAsia="宋体" w:cs="宋体"/>
                <w:b w:val="0"/>
                <w:bCs/>
                <w:i w:val="0"/>
                <w:iCs/>
                <w:color w:val="auto"/>
                <w:sz w:val="21"/>
                <w:szCs w:val="21"/>
                <w:highlight w:val="none"/>
                <w:u w:val="none"/>
                <w:lang w:val="en-US" w:eastAsia="zh-CN"/>
              </w:rPr>
              <w:t>3</w:t>
            </w:r>
            <w:r>
              <w:rPr>
                <w:rFonts w:hint="eastAsia" w:ascii="宋体" w:hAnsi="宋体" w:eastAsia="宋体" w:cs="宋体"/>
                <w:b w:val="0"/>
                <w:bCs/>
                <w:i w:val="0"/>
                <w:iCs/>
                <w:color w:val="auto"/>
                <w:sz w:val="21"/>
                <w:szCs w:val="21"/>
                <w:highlight w:val="none"/>
                <w:u w:val="none"/>
              </w:rPr>
              <w:t>个月的可以不提供）</w:t>
            </w:r>
            <w:r>
              <w:rPr>
                <w:rFonts w:hint="eastAsia" w:ascii="宋体" w:hAnsi="宋体" w:eastAsia="宋体" w:cs="宋体"/>
                <w:b w:val="0"/>
                <w:bCs/>
                <w:i w:val="0"/>
                <w:iCs/>
                <w:color w:val="auto"/>
                <w:sz w:val="21"/>
                <w:szCs w:val="21"/>
                <w:highlight w:val="none"/>
                <w:u w:val="none"/>
                <w:lang w:eastAsia="zh-CN"/>
              </w:rPr>
              <w:t>、</w:t>
            </w:r>
            <w:r>
              <w:rPr>
                <w:rFonts w:hint="eastAsia" w:ascii="宋体" w:hAnsi="宋体" w:eastAsia="宋体" w:cs="宋体"/>
                <w:b w:val="0"/>
                <w:bCs/>
                <w:i w:val="0"/>
                <w:iCs/>
                <w:color w:val="auto"/>
                <w:sz w:val="21"/>
                <w:szCs w:val="21"/>
                <w:highlight w:val="none"/>
                <w:u w:val="none"/>
              </w:rPr>
              <w:t>或开标</w:t>
            </w:r>
            <w:r>
              <w:rPr>
                <w:rFonts w:hint="eastAsia" w:ascii="宋体" w:hAnsi="宋体" w:eastAsia="宋体" w:cs="宋体"/>
                <w:b w:val="0"/>
                <w:bCs/>
                <w:i w:val="0"/>
                <w:iCs/>
                <w:color w:val="auto"/>
                <w:sz w:val="21"/>
                <w:szCs w:val="21"/>
                <w:highlight w:val="none"/>
                <w:u w:val="none"/>
                <w:lang w:val="en-US" w:eastAsia="zh-CN"/>
              </w:rPr>
              <w:t>时间</w:t>
            </w:r>
            <w:r>
              <w:rPr>
                <w:rFonts w:hint="eastAsia" w:ascii="宋体" w:hAnsi="宋体" w:eastAsia="宋体" w:cs="宋体"/>
                <w:b w:val="0"/>
                <w:bCs/>
                <w:i w:val="0"/>
                <w:iCs/>
                <w:color w:val="auto"/>
                <w:sz w:val="21"/>
                <w:szCs w:val="21"/>
                <w:highlight w:val="none"/>
                <w:u w:val="none"/>
              </w:rPr>
              <w:t>前</w:t>
            </w:r>
            <w:r>
              <w:rPr>
                <w:rFonts w:hint="eastAsia" w:ascii="宋体" w:hAnsi="宋体" w:eastAsia="宋体" w:cs="宋体"/>
                <w:b w:val="0"/>
                <w:bCs/>
                <w:i w:val="0"/>
                <w:iCs/>
                <w:color w:val="auto"/>
                <w:sz w:val="21"/>
                <w:szCs w:val="21"/>
                <w:highlight w:val="none"/>
                <w:u w:val="none"/>
                <w:lang w:val="en-US" w:eastAsia="zh-CN"/>
              </w:rPr>
              <w:t>12</w:t>
            </w:r>
            <w:r>
              <w:rPr>
                <w:rFonts w:hint="eastAsia" w:ascii="宋体" w:hAnsi="宋体" w:eastAsia="宋体" w:cs="宋体"/>
                <w:b w:val="0"/>
                <w:bCs/>
                <w:i w:val="0"/>
                <w:iCs/>
                <w:color w:val="auto"/>
                <w:sz w:val="21"/>
                <w:szCs w:val="21"/>
                <w:highlight w:val="none"/>
                <w:u w:val="none"/>
              </w:rPr>
              <w:t>个月内银行出具的资信证书复印件</w:t>
            </w:r>
            <w:r>
              <w:rPr>
                <w:rFonts w:hint="eastAsia" w:ascii="宋体" w:hAnsi="宋体" w:eastAsia="宋体" w:cs="宋体"/>
                <w:b w:val="0"/>
                <w:bCs/>
                <w:i w:val="0"/>
                <w:iCs/>
                <w:color w:val="auto"/>
                <w:sz w:val="21"/>
                <w:szCs w:val="21"/>
                <w:highlight w:val="none"/>
                <w:u w:val="none"/>
                <w:lang w:eastAsia="zh-CN"/>
              </w:rPr>
              <w:t>、</w:t>
            </w:r>
            <w:r>
              <w:rPr>
                <w:rFonts w:hint="eastAsia" w:ascii="宋体" w:hAnsi="宋体" w:eastAsia="宋体" w:cs="宋体"/>
                <w:b w:val="0"/>
                <w:bCs/>
                <w:i w:val="0"/>
                <w:iCs/>
                <w:color w:val="auto"/>
                <w:sz w:val="21"/>
                <w:szCs w:val="21"/>
                <w:highlight w:val="none"/>
                <w:u w:val="none"/>
              </w:rPr>
              <w:t>或其</w:t>
            </w:r>
            <w:r>
              <w:rPr>
                <w:rFonts w:hint="eastAsia" w:ascii="宋体" w:hAnsi="宋体" w:eastAsia="宋体" w:cs="宋体"/>
                <w:b w:val="0"/>
                <w:bCs/>
                <w:i w:val="0"/>
                <w:iCs/>
                <w:color w:val="auto"/>
                <w:sz w:val="21"/>
                <w:szCs w:val="21"/>
                <w:highlight w:val="none"/>
                <w:u w:val="none"/>
                <w:lang w:val="en-US" w:eastAsia="zh-CN"/>
              </w:rPr>
              <w:t>2024</w:t>
            </w:r>
            <w:r>
              <w:rPr>
                <w:rFonts w:hint="eastAsia" w:ascii="宋体" w:hAnsi="宋体" w:eastAsia="宋体" w:cs="宋体"/>
                <w:b w:val="0"/>
                <w:bCs/>
                <w:i w:val="0"/>
                <w:iCs/>
                <w:color w:val="auto"/>
                <w:sz w:val="21"/>
                <w:szCs w:val="21"/>
                <w:highlight w:val="none"/>
                <w:u w:val="none"/>
              </w:rPr>
              <w:t>年度</w:t>
            </w:r>
            <w:r>
              <w:rPr>
                <w:rFonts w:hint="eastAsia" w:ascii="宋体" w:hAnsi="宋体" w:eastAsia="宋体" w:cs="宋体"/>
                <w:b w:val="0"/>
                <w:bCs/>
                <w:i w:val="0"/>
                <w:iCs/>
                <w:color w:val="auto"/>
                <w:sz w:val="21"/>
                <w:szCs w:val="21"/>
                <w:highlight w:val="none"/>
                <w:u w:val="none"/>
                <w:lang w:val="en-US" w:eastAsia="zh-CN"/>
              </w:rPr>
              <w:t>或2025年度</w:t>
            </w:r>
            <w:r>
              <w:rPr>
                <w:rFonts w:hint="eastAsia" w:ascii="宋体" w:hAnsi="宋体" w:eastAsia="宋体" w:cs="宋体"/>
                <w:b w:val="0"/>
                <w:bCs/>
                <w:i w:val="0"/>
                <w:iCs/>
                <w:color w:val="auto"/>
                <w:sz w:val="21"/>
                <w:szCs w:val="21"/>
                <w:highlight w:val="none"/>
                <w:u w:val="none"/>
              </w:rPr>
              <w:t>经审计的财务报告(至少</w:t>
            </w:r>
            <w:r>
              <w:rPr>
                <w:rFonts w:hint="eastAsia" w:ascii="宋体" w:hAnsi="宋体" w:eastAsia="宋体" w:cs="宋体"/>
                <w:b w:val="0"/>
                <w:bCs/>
                <w:i w:val="0"/>
                <w:iCs/>
                <w:color w:val="auto"/>
                <w:sz w:val="21"/>
                <w:szCs w:val="21"/>
                <w:highlight w:val="none"/>
                <w:u w:val="none"/>
                <w:lang w:val="en-US" w:eastAsia="zh-CN"/>
              </w:rPr>
              <w:t>同时</w:t>
            </w:r>
            <w:r>
              <w:rPr>
                <w:rFonts w:hint="eastAsia" w:ascii="宋体" w:hAnsi="宋体" w:eastAsia="宋体" w:cs="宋体"/>
                <w:b w:val="0"/>
                <w:bCs/>
                <w:i w:val="0"/>
                <w:iCs/>
                <w:color w:val="auto"/>
                <w:sz w:val="21"/>
                <w:szCs w:val="21"/>
                <w:highlight w:val="none"/>
                <w:u w:val="none"/>
              </w:rPr>
              <w:t>包括资产负债表</w:t>
            </w:r>
            <w:r>
              <w:rPr>
                <w:rFonts w:hint="eastAsia" w:ascii="宋体" w:hAnsi="宋体" w:eastAsia="宋体" w:cs="宋体"/>
                <w:b w:val="0"/>
                <w:bCs/>
                <w:i w:val="0"/>
                <w:iCs/>
                <w:color w:val="auto"/>
                <w:sz w:val="21"/>
                <w:szCs w:val="21"/>
                <w:highlight w:val="none"/>
                <w:u w:val="none"/>
                <w:lang w:eastAsia="zh-CN"/>
              </w:rPr>
              <w:t>、</w:t>
            </w:r>
            <w:r>
              <w:rPr>
                <w:rFonts w:hint="eastAsia" w:ascii="宋体" w:hAnsi="宋体" w:eastAsia="宋体" w:cs="宋体"/>
                <w:b w:val="0"/>
                <w:bCs/>
                <w:i w:val="0"/>
                <w:iCs/>
                <w:color w:val="auto"/>
                <w:sz w:val="21"/>
                <w:szCs w:val="21"/>
                <w:highlight w:val="none"/>
                <w:u w:val="none"/>
              </w:rPr>
              <w:t>利润表</w:t>
            </w:r>
            <w:r>
              <w:rPr>
                <w:rFonts w:hint="eastAsia" w:ascii="宋体" w:hAnsi="宋体" w:eastAsia="宋体" w:cs="宋体"/>
                <w:b w:val="0"/>
                <w:bCs/>
                <w:i w:val="0"/>
                <w:iCs/>
                <w:color w:val="auto"/>
                <w:sz w:val="21"/>
                <w:szCs w:val="21"/>
                <w:highlight w:val="none"/>
                <w:u w:val="none"/>
                <w:lang w:eastAsia="zh-CN"/>
              </w:rPr>
              <w:t>、</w:t>
            </w:r>
            <w:r>
              <w:rPr>
                <w:rFonts w:hint="eastAsia" w:ascii="宋体" w:hAnsi="宋体" w:eastAsia="宋体" w:cs="宋体"/>
                <w:b w:val="0"/>
                <w:bCs/>
                <w:i w:val="0"/>
                <w:iCs/>
                <w:color w:val="auto"/>
                <w:sz w:val="21"/>
                <w:szCs w:val="21"/>
                <w:highlight w:val="none"/>
                <w:u w:val="none"/>
                <w:lang w:val="en-US" w:eastAsia="zh-CN"/>
              </w:rPr>
              <w:t>现金流量表</w:t>
            </w:r>
            <w:r>
              <w:rPr>
                <w:rFonts w:hint="eastAsia" w:ascii="宋体" w:hAnsi="宋体" w:eastAsia="宋体" w:cs="宋体"/>
                <w:b w:val="0"/>
                <w:bCs/>
                <w:i w:val="0"/>
                <w:iCs/>
                <w:color w:val="auto"/>
                <w:sz w:val="21"/>
                <w:szCs w:val="21"/>
                <w:highlight w:val="none"/>
                <w:u w:val="none"/>
              </w:rPr>
              <w:t>)复印件</w:t>
            </w:r>
            <w:r>
              <w:rPr>
                <w:rFonts w:hint="eastAsia" w:ascii="宋体" w:hAnsi="宋体" w:eastAsia="宋体" w:cs="宋体"/>
                <w:b w:val="0"/>
                <w:bCs/>
                <w:i w:val="0"/>
                <w:iCs/>
                <w:color w:val="auto"/>
                <w:sz w:val="21"/>
                <w:szCs w:val="21"/>
                <w:highlight w:val="none"/>
                <w:u w:val="none"/>
                <w:lang w:eastAsia="zh-CN"/>
              </w:rPr>
              <w:t>）。</w:t>
            </w:r>
          </w:p>
        </w:tc>
        <w:tc>
          <w:tcPr>
            <w:tcW w:w="2158" w:type="dxa"/>
            <w:noWrap w:val="0"/>
            <w:vAlign w:val="center"/>
          </w:tcPr>
          <w:p w14:paraId="3321E967">
            <w:pPr>
              <w:spacing w:line="240" w:lineRule="auto"/>
              <w:rPr>
                <w:rFonts w:ascii="宋体" w:hAnsi="宋体"/>
                <w:color w:val="auto"/>
                <w:szCs w:val="21"/>
                <w:highlight w:val="none"/>
              </w:rPr>
            </w:pPr>
          </w:p>
        </w:tc>
      </w:tr>
      <w:tr w14:paraId="0A506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jc w:val="center"/>
        </w:trPr>
        <w:tc>
          <w:tcPr>
            <w:tcW w:w="646" w:type="dxa"/>
            <w:noWrap w:val="0"/>
            <w:vAlign w:val="center"/>
          </w:tcPr>
          <w:p w14:paraId="07232E9B">
            <w:pPr>
              <w:spacing w:line="240" w:lineRule="auto"/>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3</w:t>
            </w:r>
          </w:p>
        </w:tc>
        <w:tc>
          <w:tcPr>
            <w:tcW w:w="6574" w:type="dxa"/>
            <w:noWrap w:val="0"/>
            <w:vAlign w:val="center"/>
          </w:tcPr>
          <w:p w14:paraId="73E99CEF">
            <w:pPr>
              <w:spacing w:line="240" w:lineRule="auto"/>
              <w:rPr>
                <w:rFonts w:hint="eastAsia" w:ascii="宋体" w:hAnsi="宋体" w:eastAsia="宋体" w:cs="宋体"/>
                <w:b w:val="0"/>
                <w:bCs/>
                <w:iCs w:val="0"/>
                <w:color w:val="auto"/>
                <w:szCs w:val="22"/>
                <w:highlight w:val="none"/>
              </w:rPr>
            </w:pPr>
            <w:r>
              <w:rPr>
                <w:rFonts w:hint="eastAsia" w:ascii="宋体" w:hAnsi="宋体" w:eastAsia="宋体" w:cs="宋体"/>
                <w:b w:val="0"/>
                <w:bCs/>
                <w:i w:val="0"/>
                <w:iCs/>
                <w:color w:val="auto"/>
                <w:sz w:val="21"/>
                <w:szCs w:val="21"/>
                <w:highlight w:val="none"/>
                <w:u w:val="none"/>
              </w:rPr>
              <w:t>具有履行合同所必需的设备和专业技术能力（根据项目需求提供履行合同所必需的设备和专业技术能力的证明材料复印件或</w:t>
            </w:r>
            <w:r>
              <w:rPr>
                <w:rFonts w:hint="eastAsia" w:ascii="宋体" w:hAnsi="宋体" w:eastAsia="宋体" w:cs="宋体"/>
                <w:b w:val="0"/>
                <w:bCs/>
                <w:i w:val="0"/>
                <w:iCs/>
                <w:color w:val="auto"/>
                <w:sz w:val="21"/>
                <w:szCs w:val="21"/>
                <w:highlight w:val="none"/>
                <w:u w:val="none"/>
                <w:lang w:val="en-US" w:eastAsia="zh-CN"/>
              </w:rPr>
              <w:t>声明函</w:t>
            </w:r>
            <w:r>
              <w:rPr>
                <w:rFonts w:hint="eastAsia" w:ascii="宋体" w:hAnsi="宋体" w:eastAsia="宋体" w:cs="宋体"/>
                <w:b w:val="0"/>
                <w:bCs/>
                <w:i w:val="0"/>
                <w:iCs/>
                <w:color w:val="auto"/>
                <w:sz w:val="21"/>
                <w:szCs w:val="21"/>
                <w:highlight w:val="none"/>
                <w:u w:val="none"/>
              </w:rPr>
              <w:t>）</w:t>
            </w:r>
            <w:r>
              <w:rPr>
                <w:rFonts w:hint="eastAsia" w:ascii="宋体" w:hAnsi="宋体" w:eastAsia="宋体" w:cs="宋体"/>
                <w:b w:val="0"/>
                <w:bCs/>
                <w:i w:val="0"/>
                <w:iCs/>
                <w:color w:val="auto"/>
                <w:sz w:val="21"/>
                <w:szCs w:val="21"/>
                <w:highlight w:val="none"/>
                <w:u w:val="none"/>
                <w:lang w:eastAsia="zh-CN"/>
              </w:rPr>
              <w:t>。</w:t>
            </w:r>
          </w:p>
        </w:tc>
        <w:tc>
          <w:tcPr>
            <w:tcW w:w="2158" w:type="dxa"/>
            <w:noWrap w:val="0"/>
            <w:vAlign w:val="center"/>
          </w:tcPr>
          <w:p w14:paraId="5C190DC4">
            <w:pPr>
              <w:spacing w:line="240" w:lineRule="auto"/>
              <w:rPr>
                <w:rFonts w:ascii="宋体" w:hAnsi="宋体"/>
                <w:color w:val="auto"/>
                <w:szCs w:val="21"/>
                <w:highlight w:val="none"/>
              </w:rPr>
            </w:pPr>
          </w:p>
        </w:tc>
      </w:tr>
      <w:tr w14:paraId="7038B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jc w:val="center"/>
        </w:trPr>
        <w:tc>
          <w:tcPr>
            <w:tcW w:w="646" w:type="dxa"/>
            <w:noWrap w:val="0"/>
            <w:vAlign w:val="center"/>
          </w:tcPr>
          <w:p w14:paraId="73A48923">
            <w:pPr>
              <w:spacing w:line="240" w:lineRule="auto"/>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4</w:t>
            </w:r>
          </w:p>
        </w:tc>
        <w:tc>
          <w:tcPr>
            <w:tcW w:w="6574" w:type="dxa"/>
            <w:noWrap w:val="0"/>
            <w:vAlign w:val="center"/>
          </w:tcPr>
          <w:p w14:paraId="7A4913AE">
            <w:pPr>
              <w:spacing w:line="240" w:lineRule="auto"/>
              <w:rPr>
                <w:rFonts w:hint="eastAsia" w:ascii="宋体" w:hAnsi="宋体" w:eastAsia="宋体" w:cs="宋体"/>
                <w:b w:val="0"/>
                <w:bCs/>
                <w:iCs/>
                <w:color w:val="auto"/>
                <w:szCs w:val="21"/>
                <w:highlight w:val="none"/>
              </w:rPr>
            </w:pPr>
            <w:r>
              <w:rPr>
                <w:rFonts w:hint="eastAsia" w:ascii="宋体" w:hAnsi="宋体" w:eastAsia="宋体" w:cs="宋体"/>
                <w:b w:val="0"/>
                <w:bCs/>
                <w:i w:val="0"/>
                <w:iCs/>
                <w:color w:val="auto"/>
                <w:sz w:val="21"/>
                <w:szCs w:val="21"/>
                <w:highlight w:val="none"/>
                <w:u w:val="none"/>
              </w:rPr>
              <w:t>有依法缴纳税收和社会保障资金的良好记录（提供开标</w:t>
            </w:r>
            <w:r>
              <w:rPr>
                <w:rFonts w:hint="eastAsia" w:ascii="宋体" w:hAnsi="宋体" w:eastAsia="宋体" w:cs="宋体"/>
                <w:b w:val="0"/>
                <w:bCs/>
                <w:i w:val="0"/>
                <w:iCs/>
                <w:color w:val="auto"/>
                <w:sz w:val="21"/>
                <w:szCs w:val="21"/>
                <w:highlight w:val="none"/>
                <w:u w:val="none"/>
                <w:lang w:val="en-US" w:eastAsia="zh-CN"/>
              </w:rPr>
              <w:t>时间</w:t>
            </w:r>
            <w:r>
              <w:rPr>
                <w:rFonts w:hint="eastAsia" w:ascii="宋体" w:hAnsi="宋体" w:eastAsia="宋体" w:cs="宋体"/>
                <w:b w:val="0"/>
                <w:bCs/>
                <w:i w:val="0"/>
                <w:iCs/>
                <w:color w:val="auto"/>
                <w:sz w:val="21"/>
                <w:szCs w:val="21"/>
                <w:highlight w:val="none"/>
                <w:u w:val="none"/>
              </w:rPr>
              <w:t>前</w:t>
            </w:r>
            <w:r>
              <w:rPr>
                <w:rFonts w:hint="eastAsia" w:ascii="宋体" w:hAnsi="宋体" w:eastAsia="宋体" w:cs="宋体"/>
                <w:b w:val="0"/>
                <w:bCs/>
                <w:i w:val="0"/>
                <w:iCs/>
                <w:color w:val="auto"/>
                <w:sz w:val="21"/>
                <w:szCs w:val="21"/>
                <w:highlight w:val="none"/>
                <w:u w:val="none"/>
                <w:lang w:val="en-US" w:eastAsia="zh-CN"/>
              </w:rPr>
              <w:t>6</w:t>
            </w:r>
            <w:r>
              <w:rPr>
                <w:rFonts w:hint="eastAsia" w:ascii="宋体" w:hAnsi="宋体" w:eastAsia="宋体" w:cs="宋体"/>
                <w:b w:val="0"/>
                <w:bCs/>
                <w:i w:val="0"/>
                <w:iCs/>
                <w:color w:val="auto"/>
                <w:sz w:val="21"/>
                <w:szCs w:val="21"/>
                <w:highlight w:val="none"/>
                <w:u w:val="none"/>
              </w:rPr>
              <w:t>个月内任意</w:t>
            </w:r>
            <w:r>
              <w:rPr>
                <w:rFonts w:hint="eastAsia" w:ascii="宋体" w:hAnsi="宋体" w:eastAsia="宋体" w:cs="宋体"/>
                <w:b w:val="0"/>
                <w:bCs/>
                <w:i w:val="0"/>
                <w:iCs/>
                <w:color w:val="auto"/>
                <w:sz w:val="21"/>
                <w:szCs w:val="21"/>
                <w:highlight w:val="none"/>
                <w:u w:val="none"/>
                <w:lang w:val="en-US" w:eastAsia="zh-CN"/>
              </w:rPr>
              <w:t>1</w:t>
            </w:r>
            <w:r>
              <w:rPr>
                <w:rFonts w:hint="eastAsia" w:ascii="宋体" w:hAnsi="宋体" w:eastAsia="宋体" w:cs="宋体"/>
                <w:b w:val="0"/>
                <w:bCs/>
                <w:i w:val="0"/>
                <w:iCs/>
                <w:color w:val="auto"/>
                <w:sz w:val="21"/>
                <w:szCs w:val="21"/>
                <w:highlight w:val="none"/>
                <w:u w:val="none"/>
              </w:rPr>
              <w:t>个月依法缴纳税收和社会保障资金的相关材料复印件，依法享受免缴、缓缴的提供证明材料复印件）</w:t>
            </w:r>
            <w:r>
              <w:rPr>
                <w:rFonts w:hint="eastAsia" w:ascii="宋体" w:hAnsi="宋体" w:eastAsia="宋体" w:cs="宋体"/>
                <w:b w:val="0"/>
                <w:bCs/>
                <w:i w:val="0"/>
                <w:iCs/>
                <w:color w:val="auto"/>
                <w:sz w:val="21"/>
                <w:szCs w:val="21"/>
                <w:highlight w:val="none"/>
                <w:u w:val="none"/>
                <w:lang w:val="en-US" w:eastAsia="zh-CN"/>
              </w:rPr>
              <w:t>。</w:t>
            </w:r>
          </w:p>
        </w:tc>
        <w:tc>
          <w:tcPr>
            <w:tcW w:w="2158" w:type="dxa"/>
            <w:noWrap w:val="0"/>
            <w:vAlign w:val="center"/>
          </w:tcPr>
          <w:p w14:paraId="6CE9BDDD">
            <w:pPr>
              <w:spacing w:line="240" w:lineRule="auto"/>
              <w:rPr>
                <w:rFonts w:ascii="宋体" w:hAnsi="宋体"/>
                <w:color w:val="auto"/>
                <w:szCs w:val="21"/>
                <w:highlight w:val="none"/>
              </w:rPr>
            </w:pPr>
          </w:p>
        </w:tc>
      </w:tr>
      <w:tr w14:paraId="17C7F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jc w:val="center"/>
        </w:trPr>
        <w:tc>
          <w:tcPr>
            <w:tcW w:w="646" w:type="dxa"/>
            <w:noWrap w:val="0"/>
            <w:vAlign w:val="center"/>
          </w:tcPr>
          <w:p w14:paraId="2EA7DF82">
            <w:pPr>
              <w:spacing w:line="240" w:lineRule="auto"/>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5</w:t>
            </w:r>
          </w:p>
        </w:tc>
        <w:tc>
          <w:tcPr>
            <w:tcW w:w="6574" w:type="dxa"/>
            <w:noWrap w:val="0"/>
            <w:vAlign w:val="center"/>
          </w:tcPr>
          <w:p w14:paraId="342EB618">
            <w:pPr>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i w:val="0"/>
                <w:iCs/>
                <w:color w:val="auto"/>
                <w:sz w:val="21"/>
                <w:szCs w:val="21"/>
                <w:highlight w:val="none"/>
                <w:u w:val="none"/>
              </w:rPr>
              <w:t>参加政府采购活动前</w:t>
            </w:r>
            <w:r>
              <w:rPr>
                <w:rFonts w:hint="eastAsia" w:ascii="宋体" w:hAnsi="宋体" w:eastAsia="宋体" w:cs="宋体"/>
                <w:b w:val="0"/>
                <w:bCs/>
                <w:i w:val="0"/>
                <w:iCs/>
                <w:color w:val="auto"/>
                <w:sz w:val="21"/>
                <w:szCs w:val="21"/>
                <w:highlight w:val="none"/>
                <w:u w:val="none"/>
                <w:lang w:val="en-US" w:eastAsia="zh-CN"/>
              </w:rPr>
              <w:t>3</w:t>
            </w:r>
            <w:r>
              <w:rPr>
                <w:rFonts w:hint="eastAsia" w:ascii="宋体" w:hAnsi="宋体" w:eastAsia="宋体" w:cs="宋体"/>
                <w:b w:val="0"/>
                <w:bCs/>
                <w:i w:val="0"/>
                <w:iCs/>
                <w:color w:val="auto"/>
                <w:sz w:val="21"/>
                <w:szCs w:val="21"/>
                <w:highlight w:val="none"/>
                <w:u w:val="none"/>
              </w:rPr>
              <w:t>年内，在经营活动中没有重大违法记录（提供声明函原件（重大违法记录是指供应商因违法经营受到刑事处罚或责令停产停业、吊销许可证或者执照、较大数额罚款等行政处罚））。</w:t>
            </w:r>
          </w:p>
        </w:tc>
        <w:tc>
          <w:tcPr>
            <w:tcW w:w="2158" w:type="dxa"/>
            <w:noWrap w:val="0"/>
            <w:vAlign w:val="center"/>
          </w:tcPr>
          <w:p w14:paraId="2C3BA1F0">
            <w:pPr>
              <w:spacing w:line="240" w:lineRule="auto"/>
              <w:rPr>
                <w:rFonts w:ascii="宋体" w:hAnsi="宋体"/>
                <w:color w:val="auto"/>
                <w:szCs w:val="21"/>
                <w:highlight w:val="none"/>
              </w:rPr>
            </w:pPr>
          </w:p>
        </w:tc>
      </w:tr>
      <w:tr w14:paraId="7901E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jc w:val="center"/>
        </w:trPr>
        <w:tc>
          <w:tcPr>
            <w:tcW w:w="646" w:type="dxa"/>
            <w:noWrap w:val="0"/>
            <w:vAlign w:val="center"/>
          </w:tcPr>
          <w:p w14:paraId="64F0CBB4">
            <w:pPr>
              <w:spacing w:line="240" w:lineRule="auto"/>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6</w:t>
            </w:r>
          </w:p>
        </w:tc>
        <w:tc>
          <w:tcPr>
            <w:tcW w:w="6574" w:type="dxa"/>
            <w:noWrap w:val="0"/>
            <w:vAlign w:val="center"/>
          </w:tcPr>
          <w:p w14:paraId="53018639">
            <w:pPr>
              <w:spacing w:line="240" w:lineRule="auto"/>
              <w:rPr>
                <w:rFonts w:hint="eastAsia" w:ascii="宋体" w:hAnsi="宋体" w:eastAsia="宋体" w:cs="宋体"/>
                <w:b w:val="0"/>
                <w:bCs/>
                <w:color w:val="auto"/>
                <w:szCs w:val="21"/>
                <w:highlight w:val="none"/>
              </w:rPr>
            </w:pPr>
            <w:r>
              <w:rPr>
                <w:rFonts w:hint="eastAsia" w:ascii="宋体" w:hAnsi="宋体" w:eastAsia="宋体" w:cs="宋体"/>
                <w:b w:val="0"/>
                <w:bCs/>
                <w:i w:val="0"/>
                <w:iCs/>
                <w:color w:val="auto"/>
                <w:sz w:val="21"/>
                <w:szCs w:val="21"/>
                <w:highlight w:val="none"/>
                <w:u w:val="none"/>
              </w:rPr>
              <w:t>法律、行政法规规定的其他条件。</w:t>
            </w:r>
          </w:p>
        </w:tc>
        <w:tc>
          <w:tcPr>
            <w:tcW w:w="2158" w:type="dxa"/>
            <w:noWrap w:val="0"/>
            <w:vAlign w:val="center"/>
          </w:tcPr>
          <w:p w14:paraId="7C08025F">
            <w:pPr>
              <w:spacing w:line="240" w:lineRule="auto"/>
              <w:rPr>
                <w:rFonts w:ascii="宋体" w:hAnsi="宋体"/>
                <w:color w:val="auto"/>
                <w:szCs w:val="21"/>
                <w:highlight w:val="none"/>
              </w:rPr>
            </w:pPr>
          </w:p>
        </w:tc>
      </w:tr>
      <w:tr w14:paraId="2B66A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378" w:type="dxa"/>
            <w:gridSpan w:val="3"/>
            <w:noWrap w:val="0"/>
            <w:vAlign w:val="center"/>
          </w:tcPr>
          <w:p w14:paraId="72B0DDEE">
            <w:pPr>
              <w:spacing w:line="240" w:lineRule="auto"/>
              <w:rPr>
                <w:rFonts w:ascii="宋体" w:hAnsi="宋体"/>
                <w:color w:val="auto"/>
                <w:szCs w:val="21"/>
                <w:highlight w:val="none"/>
              </w:rPr>
            </w:pPr>
            <w:r>
              <w:rPr>
                <w:rFonts w:hint="eastAsia" w:ascii="宋体" w:hAnsi="宋体" w:cs="宋体"/>
                <w:b/>
                <w:bCs/>
                <w:color w:val="auto"/>
                <w:szCs w:val="21"/>
                <w:highlight w:val="none"/>
              </w:rPr>
              <w:t>落实政府采购政策需满足的资格要求</w:t>
            </w:r>
          </w:p>
        </w:tc>
      </w:tr>
      <w:tr w14:paraId="36027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646" w:type="dxa"/>
            <w:noWrap w:val="0"/>
            <w:vAlign w:val="center"/>
          </w:tcPr>
          <w:p w14:paraId="79D53E46">
            <w:pPr>
              <w:spacing w:line="240" w:lineRule="auto"/>
              <w:jc w:val="center"/>
              <w:rPr>
                <w:rFonts w:hint="eastAsia" w:ascii="宋体" w:hAnsi="宋体" w:eastAsia="宋体"/>
                <w:color w:val="auto"/>
                <w:szCs w:val="21"/>
                <w:highlight w:val="none"/>
                <w:lang w:eastAsia="zh-CN"/>
              </w:rPr>
            </w:pPr>
          </w:p>
        </w:tc>
        <w:tc>
          <w:tcPr>
            <w:tcW w:w="6574" w:type="dxa"/>
            <w:noWrap w:val="0"/>
            <w:vAlign w:val="center"/>
          </w:tcPr>
          <w:p w14:paraId="439C0603">
            <w:pPr>
              <w:spacing w:line="240" w:lineRule="auto"/>
              <w:rPr>
                <w:rFonts w:hint="eastAsia"/>
                <w:color w:val="auto"/>
                <w:highlight w:val="none"/>
              </w:rPr>
            </w:pPr>
            <w:r>
              <w:rPr>
                <w:rFonts w:hint="eastAsia"/>
                <w:color w:val="auto"/>
                <w:highlight w:val="none"/>
              </w:rPr>
              <w:t>1.本项目为专门面向中小企业采购项目。</w:t>
            </w:r>
          </w:p>
          <w:p w14:paraId="62BCE613">
            <w:pPr>
              <w:spacing w:line="240" w:lineRule="auto"/>
              <w:rPr>
                <w:rFonts w:hint="eastAsia"/>
                <w:color w:val="auto"/>
                <w:highlight w:val="none"/>
              </w:rPr>
            </w:pPr>
            <w:r>
              <w:rPr>
                <w:rFonts w:hint="eastAsia"/>
                <w:color w:val="auto"/>
                <w:highlight w:val="none"/>
              </w:rPr>
              <w:t>2.本项目属于服务类采购。根据《政府采购促进中小企业发展管理办法》（财库〔2020〕46号）、《关于做好政府采购支持企业发展有关事项的通知》(苏财购(2020)52号)的要求，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p>
          <w:p w14:paraId="0DD85A05">
            <w:pPr>
              <w:spacing w:line="240" w:lineRule="auto"/>
              <w:rPr>
                <w:color w:val="auto"/>
                <w:highlight w:val="none"/>
              </w:rPr>
            </w:pPr>
            <w:r>
              <w:rPr>
                <w:rFonts w:hint="eastAsia"/>
                <w:color w:val="auto"/>
                <w:highlight w:val="none"/>
              </w:rPr>
              <w:t>3.中小微企业划型标准请对照《关于印发中小企业划型标准规定的通知》（工信部联企业〔2011〕300号）（详见格式）。本项目采购标的对应的行业主要为“租赁和商务服务业”。</w:t>
            </w:r>
          </w:p>
        </w:tc>
        <w:tc>
          <w:tcPr>
            <w:tcW w:w="2158" w:type="dxa"/>
            <w:noWrap w:val="0"/>
            <w:vAlign w:val="center"/>
          </w:tcPr>
          <w:p w14:paraId="2C3F1251">
            <w:pPr>
              <w:spacing w:line="240" w:lineRule="auto"/>
              <w:rPr>
                <w:rFonts w:ascii="宋体" w:hAnsi="宋体"/>
                <w:color w:val="auto"/>
                <w:szCs w:val="21"/>
                <w:highlight w:val="none"/>
              </w:rPr>
            </w:pPr>
          </w:p>
        </w:tc>
      </w:tr>
      <w:tr w14:paraId="46B1B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9378" w:type="dxa"/>
            <w:gridSpan w:val="3"/>
            <w:noWrap w:val="0"/>
            <w:vAlign w:val="center"/>
          </w:tcPr>
          <w:p w14:paraId="0FDCC1C9">
            <w:pPr>
              <w:spacing w:line="240" w:lineRule="auto"/>
              <w:rPr>
                <w:rFonts w:ascii="宋体" w:hAnsi="宋体"/>
                <w:color w:val="auto"/>
                <w:szCs w:val="21"/>
                <w:highlight w:val="none"/>
              </w:rPr>
            </w:pPr>
            <w:r>
              <w:rPr>
                <w:rFonts w:hint="eastAsia" w:ascii="宋体" w:hAnsi="宋体"/>
                <w:b/>
                <w:color w:val="auto"/>
                <w:szCs w:val="21"/>
                <w:highlight w:val="none"/>
              </w:rPr>
              <w:t>特定资格条件</w:t>
            </w:r>
          </w:p>
        </w:tc>
      </w:tr>
      <w:tr w14:paraId="7B895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646" w:type="dxa"/>
            <w:noWrap w:val="0"/>
            <w:vAlign w:val="center"/>
          </w:tcPr>
          <w:p w14:paraId="7720A51F">
            <w:pPr>
              <w:spacing w:line="24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w:t>
            </w:r>
          </w:p>
        </w:tc>
        <w:tc>
          <w:tcPr>
            <w:tcW w:w="6574" w:type="dxa"/>
            <w:noWrap w:val="0"/>
            <w:vAlign w:val="center"/>
          </w:tcPr>
          <w:p w14:paraId="511E22F8">
            <w:pPr>
              <w:pBdr>
                <w:top w:val="none" w:color="auto" w:sz="0" w:space="0"/>
                <w:left w:val="none" w:color="auto" w:sz="0" w:space="0"/>
                <w:bottom w:val="none" w:color="auto" w:sz="0" w:space="0"/>
                <w:right w:val="none" w:color="auto" w:sz="0" w:space="0"/>
              </w:pBdr>
              <w:spacing w:line="240" w:lineRule="auto"/>
              <w:rPr>
                <w:rFonts w:hint="eastAsia" w:ascii="宋体" w:hAnsi="宋体"/>
                <w:iCs/>
                <w:color w:val="auto"/>
                <w:szCs w:val="21"/>
                <w:highlight w:val="none"/>
              </w:rPr>
            </w:pPr>
            <w:r>
              <w:rPr>
                <w:rFonts w:hint="eastAsia" w:ascii="宋体" w:hAnsi="宋体"/>
                <w:iCs/>
                <w:color w:val="auto"/>
                <w:szCs w:val="21"/>
                <w:highlight w:val="none"/>
              </w:rPr>
              <w:t>1.供应商存在下列情形的不得参加本次采购活动：</w:t>
            </w:r>
          </w:p>
          <w:p w14:paraId="7503AE1C">
            <w:pPr>
              <w:pBdr>
                <w:top w:val="none" w:color="auto" w:sz="0" w:space="0"/>
                <w:left w:val="none" w:color="auto" w:sz="0" w:space="0"/>
                <w:bottom w:val="none" w:color="auto" w:sz="0" w:space="0"/>
                <w:right w:val="none" w:color="auto" w:sz="0" w:space="0"/>
              </w:pBdr>
              <w:spacing w:line="240" w:lineRule="auto"/>
              <w:rPr>
                <w:rFonts w:hint="eastAsia" w:ascii="宋体" w:hAnsi="宋体"/>
                <w:iCs/>
                <w:color w:val="auto"/>
                <w:szCs w:val="21"/>
                <w:highlight w:val="none"/>
              </w:rPr>
            </w:pPr>
            <w:r>
              <w:rPr>
                <w:rFonts w:hint="eastAsia" w:ascii="宋体" w:hAnsi="宋体"/>
                <w:iCs/>
                <w:color w:val="auto"/>
                <w:szCs w:val="21"/>
                <w:highlight w:val="none"/>
              </w:rPr>
              <w:t>（1）单位负责人为同一人或者存在直接控股、管理关系的不同供应商，不得参加同一合同项下的政府采购活动。</w:t>
            </w:r>
          </w:p>
          <w:p w14:paraId="0DA4CADB">
            <w:pPr>
              <w:pBdr>
                <w:top w:val="none" w:color="auto" w:sz="0" w:space="0"/>
                <w:left w:val="none" w:color="auto" w:sz="0" w:space="0"/>
                <w:bottom w:val="none" w:color="auto" w:sz="0" w:space="0"/>
                <w:right w:val="none" w:color="auto" w:sz="0" w:space="0"/>
              </w:pBdr>
              <w:spacing w:line="240" w:lineRule="auto"/>
              <w:rPr>
                <w:rFonts w:hint="eastAsia" w:ascii="宋体" w:hAnsi="宋体"/>
                <w:iCs/>
                <w:color w:val="auto"/>
                <w:szCs w:val="21"/>
                <w:highlight w:val="none"/>
              </w:rPr>
            </w:pPr>
            <w:r>
              <w:rPr>
                <w:rFonts w:hint="eastAsia" w:ascii="宋体" w:hAnsi="宋体"/>
                <w:iCs/>
                <w:color w:val="auto"/>
                <w:szCs w:val="21"/>
                <w:highlight w:val="none"/>
              </w:rPr>
              <w:t>（2）除单一来源项目外，凡为采购项目提供整体设计、规范编制或者项目管理、检测等服务的供应商不得再参加本项目的采购活动。</w:t>
            </w:r>
          </w:p>
          <w:p w14:paraId="51187A1D">
            <w:pPr>
              <w:pBdr>
                <w:top w:val="none" w:color="auto" w:sz="0" w:space="0"/>
                <w:left w:val="none" w:color="auto" w:sz="0" w:space="0"/>
                <w:bottom w:val="none" w:color="auto" w:sz="0" w:space="0"/>
                <w:right w:val="none" w:color="auto" w:sz="0" w:space="0"/>
              </w:pBdr>
              <w:spacing w:line="240" w:lineRule="auto"/>
              <w:rPr>
                <w:rFonts w:ascii="宋体" w:hAnsi="宋体"/>
                <w:iCs/>
                <w:color w:val="auto"/>
                <w:szCs w:val="21"/>
                <w:highlight w:val="none"/>
              </w:rPr>
            </w:pPr>
            <w:r>
              <w:rPr>
                <w:rFonts w:hint="eastAsia" w:ascii="宋体" w:hAnsi="宋体"/>
                <w:iCs/>
                <w:color w:val="auto"/>
                <w:szCs w:val="21"/>
                <w:highlight w:val="none"/>
              </w:rPr>
              <w:t>（3）通过“信用中国”网站（http://www.creditchina.gov.cn）、“中国政府采购网”（http://www.ccgp.gov.cn）查询供应商的信用记录，通过以上查询渠道，供应商被列入失信被执行人、重大税收违法失信主体、政府采购严重违法失信行为记录。（查询时间为投标截止时间以后、资格审查阶段采购人或采购代理机构的实际查询时间）</w:t>
            </w:r>
          </w:p>
        </w:tc>
        <w:tc>
          <w:tcPr>
            <w:tcW w:w="2158" w:type="dxa"/>
            <w:noWrap w:val="0"/>
            <w:vAlign w:val="center"/>
          </w:tcPr>
          <w:p w14:paraId="2ACD5102">
            <w:pPr>
              <w:spacing w:line="240" w:lineRule="auto"/>
              <w:rPr>
                <w:rFonts w:ascii="宋体" w:hAnsi="宋体"/>
                <w:color w:val="auto"/>
                <w:szCs w:val="21"/>
                <w:highlight w:val="none"/>
              </w:rPr>
            </w:pPr>
          </w:p>
        </w:tc>
      </w:tr>
      <w:tr w14:paraId="35C60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646" w:type="dxa"/>
            <w:noWrap w:val="0"/>
            <w:vAlign w:val="center"/>
          </w:tcPr>
          <w:p w14:paraId="6B1A1358">
            <w:pPr>
              <w:spacing w:line="240" w:lineRule="auto"/>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w:t>
            </w:r>
          </w:p>
        </w:tc>
        <w:tc>
          <w:tcPr>
            <w:tcW w:w="6574" w:type="dxa"/>
            <w:noWrap w:val="0"/>
            <w:vAlign w:val="center"/>
          </w:tcPr>
          <w:p w14:paraId="4D486528">
            <w:pPr>
              <w:pBdr>
                <w:top w:val="none" w:color="auto" w:sz="0" w:space="0"/>
                <w:left w:val="none" w:color="auto" w:sz="0" w:space="0"/>
                <w:bottom w:val="none" w:color="auto" w:sz="0" w:space="0"/>
                <w:right w:val="none" w:color="auto" w:sz="0" w:space="0"/>
              </w:pBdr>
              <w:spacing w:line="240" w:lineRule="auto"/>
              <w:rPr>
                <w:rFonts w:ascii="宋体" w:hAnsi="宋体"/>
                <w:iCs/>
                <w:color w:val="auto"/>
                <w:szCs w:val="21"/>
                <w:highlight w:val="none"/>
              </w:rPr>
            </w:pPr>
            <w:r>
              <w:rPr>
                <w:rFonts w:hint="eastAsia" w:ascii="宋体" w:hAnsi="宋体"/>
                <w:iCs/>
                <w:color w:val="auto"/>
                <w:szCs w:val="21"/>
                <w:highlight w:val="none"/>
              </w:rPr>
              <w:t>投标人信用承诺函（注：采购人、采购代理机构、投标人实际控制人为同一人或者存在直接控股、管理关系的，不得参加同一合同项下的采购活动。采购代理机构及其分支机构不得在所代理的招标项目中投标或代理投标。）</w:t>
            </w:r>
          </w:p>
        </w:tc>
        <w:tc>
          <w:tcPr>
            <w:tcW w:w="2158" w:type="dxa"/>
            <w:noWrap w:val="0"/>
            <w:vAlign w:val="center"/>
          </w:tcPr>
          <w:p w14:paraId="32BB0A28">
            <w:pPr>
              <w:spacing w:line="240" w:lineRule="auto"/>
              <w:rPr>
                <w:rFonts w:ascii="宋体" w:hAnsi="宋体"/>
                <w:color w:val="auto"/>
                <w:szCs w:val="21"/>
                <w:highlight w:val="none"/>
              </w:rPr>
            </w:pPr>
          </w:p>
        </w:tc>
      </w:tr>
    </w:tbl>
    <w:p w14:paraId="79DC76AB">
      <w:pPr>
        <w:jc w:val="center"/>
        <w:rPr>
          <w:rFonts w:hint="eastAsia" w:ascii="宋体" w:hAnsi="宋体"/>
          <w:b/>
          <w:bCs/>
          <w:color w:val="auto"/>
          <w:highlight w:val="none"/>
        </w:rPr>
      </w:pPr>
      <w:r>
        <w:rPr>
          <w:rFonts w:hint="eastAsia" w:ascii="宋体" w:hAnsi="宋体"/>
          <w:b/>
          <w:bCs/>
          <w:color w:val="auto"/>
          <w:highlight w:val="none"/>
        </w:rPr>
        <w:br w:type="page"/>
      </w:r>
      <w:r>
        <w:rPr>
          <w:rFonts w:hint="eastAsia" w:ascii="宋体" w:hAnsi="宋体"/>
          <w:b/>
          <w:bCs/>
          <w:color w:val="auto"/>
          <w:highlight w:val="none"/>
        </w:rPr>
        <w:t>1、</w:t>
      </w:r>
      <w:r>
        <w:rPr>
          <w:rFonts w:hint="eastAsia" w:ascii="宋体" w:hAnsi="宋体" w:eastAsia="宋体" w:cs="宋体"/>
          <w:b/>
          <w:bCs w:val="0"/>
          <w:i w:val="0"/>
          <w:iCs/>
          <w:color w:val="auto"/>
          <w:sz w:val="21"/>
          <w:szCs w:val="21"/>
          <w:highlight w:val="none"/>
          <w:u w:val="none"/>
        </w:rPr>
        <w:t>具有独立承担民事责任的能力（提供法人或者其他组织的营业执照等证明文件，自然人的身份证明复印件）</w:t>
      </w:r>
      <w:r>
        <w:rPr>
          <w:rFonts w:hint="eastAsia" w:ascii="宋体" w:hAnsi="宋体" w:eastAsia="宋体" w:cs="宋体"/>
          <w:b/>
          <w:bCs w:val="0"/>
          <w:i w:val="0"/>
          <w:iCs/>
          <w:color w:val="auto"/>
          <w:sz w:val="21"/>
          <w:szCs w:val="21"/>
          <w:highlight w:val="none"/>
          <w:u w:val="none"/>
          <w:lang w:eastAsia="zh-CN"/>
        </w:rPr>
        <w:t>。</w:t>
      </w:r>
    </w:p>
    <w:p w14:paraId="5B01EA3A">
      <w:pPr>
        <w:jc w:val="center"/>
        <w:rPr>
          <w:rFonts w:hint="eastAsia" w:ascii="宋体" w:hAnsi="宋体"/>
          <w:b/>
          <w:bCs/>
          <w:color w:val="auto"/>
          <w:highlight w:val="none"/>
          <w:lang w:eastAsia="zh-CN"/>
        </w:rPr>
      </w:pPr>
      <w:r>
        <w:rPr>
          <w:rFonts w:hint="eastAsia" w:ascii="宋体" w:hAnsi="宋体"/>
          <w:b/>
          <w:bCs/>
          <w:color w:val="auto"/>
          <w:highlight w:val="none"/>
        </w:rPr>
        <w:br w:type="page"/>
      </w:r>
      <w:r>
        <w:rPr>
          <w:rFonts w:hint="eastAsia" w:ascii="宋体" w:hAnsi="宋体"/>
          <w:b/>
          <w:bCs/>
          <w:color w:val="auto"/>
          <w:highlight w:val="none"/>
        </w:rPr>
        <w:t>2、</w:t>
      </w:r>
      <w:r>
        <w:rPr>
          <w:rFonts w:hint="eastAsia" w:ascii="宋体" w:hAnsi="宋体" w:eastAsia="宋体" w:cs="宋体"/>
          <w:b/>
          <w:bCs w:val="0"/>
          <w:i w:val="0"/>
          <w:iCs/>
          <w:color w:val="auto"/>
          <w:sz w:val="21"/>
          <w:szCs w:val="21"/>
          <w:highlight w:val="none"/>
          <w:u w:val="none"/>
        </w:rPr>
        <w:t>具有良好的商业信誉和健全的财务会计制度</w:t>
      </w:r>
      <w:r>
        <w:rPr>
          <w:rFonts w:hint="eastAsia" w:ascii="宋体" w:hAnsi="宋体" w:eastAsia="宋体" w:cs="宋体"/>
          <w:b/>
          <w:bCs w:val="0"/>
          <w:i w:val="0"/>
          <w:iCs/>
          <w:color w:val="auto"/>
          <w:sz w:val="21"/>
          <w:szCs w:val="21"/>
          <w:highlight w:val="none"/>
          <w:u w:val="none"/>
          <w:lang w:eastAsia="zh-CN"/>
        </w:rPr>
        <w:t>（</w:t>
      </w:r>
      <w:r>
        <w:rPr>
          <w:rFonts w:hint="eastAsia" w:ascii="宋体" w:hAnsi="宋体" w:eastAsia="宋体" w:cs="宋体"/>
          <w:b/>
          <w:bCs w:val="0"/>
          <w:i w:val="0"/>
          <w:iCs/>
          <w:color w:val="auto"/>
          <w:sz w:val="21"/>
          <w:szCs w:val="21"/>
          <w:highlight w:val="none"/>
          <w:u w:val="none"/>
        </w:rPr>
        <w:t>提供开标</w:t>
      </w:r>
      <w:r>
        <w:rPr>
          <w:rFonts w:hint="eastAsia" w:ascii="宋体" w:hAnsi="宋体" w:eastAsia="宋体" w:cs="宋体"/>
          <w:b/>
          <w:bCs w:val="0"/>
          <w:i w:val="0"/>
          <w:iCs/>
          <w:color w:val="auto"/>
          <w:sz w:val="21"/>
          <w:szCs w:val="21"/>
          <w:highlight w:val="none"/>
          <w:u w:val="none"/>
          <w:lang w:val="en-US" w:eastAsia="zh-CN"/>
        </w:rPr>
        <w:t>时间</w:t>
      </w:r>
      <w:r>
        <w:rPr>
          <w:rFonts w:hint="eastAsia" w:ascii="宋体" w:hAnsi="宋体" w:eastAsia="宋体" w:cs="宋体"/>
          <w:b/>
          <w:bCs w:val="0"/>
          <w:i w:val="0"/>
          <w:iCs/>
          <w:color w:val="auto"/>
          <w:sz w:val="21"/>
          <w:szCs w:val="21"/>
          <w:highlight w:val="none"/>
          <w:u w:val="none"/>
        </w:rPr>
        <w:t>前</w:t>
      </w:r>
      <w:r>
        <w:rPr>
          <w:rFonts w:hint="eastAsia" w:ascii="宋体" w:hAnsi="宋体" w:eastAsia="宋体" w:cs="宋体"/>
          <w:b/>
          <w:bCs w:val="0"/>
          <w:i w:val="0"/>
          <w:iCs/>
          <w:color w:val="auto"/>
          <w:sz w:val="21"/>
          <w:szCs w:val="21"/>
          <w:highlight w:val="none"/>
          <w:u w:val="none"/>
          <w:lang w:val="en-US" w:eastAsia="zh-CN"/>
        </w:rPr>
        <w:t>12</w:t>
      </w:r>
      <w:r>
        <w:rPr>
          <w:rFonts w:hint="eastAsia" w:ascii="宋体" w:hAnsi="宋体" w:eastAsia="宋体" w:cs="宋体"/>
          <w:b/>
          <w:bCs w:val="0"/>
          <w:i w:val="0"/>
          <w:iCs/>
          <w:color w:val="auto"/>
          <w:sz w:val="21"/>
          <w:szCs w:val="21"/>
          <w:highlight w:val="none"/>
          <w:u w:val="none"/>
        </w:rPr>
        <w:t>个月内任意</w:t>
      </w:r>
      <w:r>
        <w:rPr>
          <w:rFonts w:hint="eastAsia" w:ascii="宋体" w:hAnsi="宋体" w:eastAsia="宋体" w:cs="宋体"/>
          <w:b/>
          <w:bCs w:val="0"/>
          <w:i w:val="0"/>
          <w:iCs/>
          <w:color w:val="auto"/>
          <w:sz w:val="21"/>
          <w:szCs w:val="21"/>
          <w:highlight w:val="none"/>
          <w:u w:val="none"/>
          <w:lang w:val="en-US" w:eastAsia="zh-CN"/>
        </w:rPr>
        <w:t>1</w:t>
      </w:r>
      <w:r>
        <w:rPr>
          <w:rFonts w:hint="eastAsia" w:ascii="宋体" w:hAnsi="宋体" w:eastAsia="宋体" w:cs="宋体"/>
          <w:b/>
          <w:bCs w:val="0"/>
          <w:i w:val="0"/>
          <w:iCs/>
          <w:color w:val="auto"/>
          <w:sz w:val="21"/>
          <w:szCs w:val="21"/>
          <w:highlight w:val="none"/>
          <w:u w:val="none"/>
        </w:rPr>
        <w:t>个月的财务状况报告(至少包括资产负债表和利润表)（法人或者其他组织成立未满</w:t>
      </w:r>
      <w:r>
        <w:rPr>
          <w:rFonts w:hint="eastAsia" w:ascii="宋体" w:hAnsi="宋体" w:eastAsia="宋体" w:cs="宋体"/>
          <w:b/>
          <w:bCs w:val="0"/>
          <w:i w:val="0"/>
          <w:iCs/>
          <w:color w:val="auto"/>
          <w:sz w:val="21"/>
          <w:szCs w:val="21"/>
          <w:highlight w:val="none"/>
          <w:u w:val="none"/>
          <w:lang w:val="en-US" w:eastAsia="zh-CN"/>
        </w:rPr>
        <w:t>3</w:t>
      </w:r>
      <w:r>
        <w:rPr>
          <w:rFonts w:hint="eastAsia" w:ascii="宋体" w:hAnsi="宋体" w:eastAsia="宋体" w:cs="宋体"/>
          <w:b/>
          <w:bCs w:val="0"/>
          <w:i w:val="0"/>
          <w:iCs/>
          <w:color w:val="auto"/>
          <w:sz w:val="21"/>
          <w:szCs w:val="21"/>
          <w:highlight w:val="none"/>
          <w:u w:val="none"/>
        </w:rPr>
        <w:t>个月的可以不提供）</w:t>
      </w:r>
      <w:r>
        <w:rPr>
          <w:rFonts w:hint="eastAsia" w:ascii="宋体" w:hAnsi="宋体" w:eastAsia="宋体" w:cs="宋体"/>
          <w:b/>
          <w:bCs w:val="0"/>
          <w:i w:val="0"/>
          <w:iCs/>
          <w:color w:val="auto"/>
          <w:sz w:val="21"/>
          <w:szCs w:val="21"/>
          <w:highlight w:val="none"/>
          <w:u w:val="none"/>
          <w:lang w:eastAsia="zh-CN"/>
        </w:rPr>
        <w:t>、</w:t>
      </w:r>
      <w:r>
        <w:rPr>
          <w:rFonts w:hint="eastAsia" w:ascii="宋体" w:hAnsi="宋体" w:eastAsia="宋体" w:cs="宋体"/>
          <w:b/>
          <w:bCs w:val="0"/>
          <w:i w:val="0"/>
          <w:iCs/>
          <w:color w:val="auto"/>
          <w:sz w:val="21"/>
          <w:szCs w:val="21"/>
          <w:highlight w:val="none"/>
          <w:u w:val="none"/>
        </w:rPr>
        <w:t>或开标</w:t>
      </w:r>
      <w:r>
        <w:rPr>
          <w:rFonts w:hint="eastAsia" w:ascii="宋体" w:hAnsi="宋体" w:eastAsia="宋体" w:cs="宋体"/>
          <w:b/>
          <w:bCs w:val="0"/>
          <w:i w:val="0"/>
          <w:iCs/>
          <w:color w:val="auto"/>
          <w:sz w:val="21"/>
          <w:szCs w:val="21"/>
          <w:highlight w:val="none"/>
          <w:u w:val="none"/>
          <w:lang w:val="en-US" w:eastAsia="zh-CN"/>
        </w:rPr>
        <w:t>时间</w:t>
      </w:r>
      <w:r>
        <w:rPr>
          <w:rFonts w:hint="eastAsia" w:ascii="宋体" w:hAnsi="宋体" w:eastAsia="宋体" w:cs="宋体"/>
          <w:b/>
          <w:bCs w:val="0"/>
          <w:i w:val="0"/>
          <w:iCs/>
          <w:color w:val="auto"/>
          <w:sz w:val="21"/>
          <w:szCs w:val="21"/>
          <w:highlight w:val="none"/>
          <w:u w:val="none"/>
        </w:rPr>
        <w:t>前</w:t>
      </w:r>
      <w:r>
        <w:rPr>
          <w:rFonts w:hint="eastAsia" w:ascii="宋体" w:hAnsi="宋体" w:eastAsia="宋体" w:cs="宋体"/>
          <w:b/>
          <w:bCs w:val="0"/>
          <w:i w:val="0"/>
          <w:iCs/>
          <w:color w:val="auto"/>
          <w:sz w:val="21"/>
          <w:szCs w:val="21"/>
          <w:highlight w:val="none"/>
          <w:u w:val="none"/>
          <w:lang w:val="en-US" w:eastAsia="zh-CN"/>
        </w:rPr>
        <w:t>12</w:t>
      </w:r>
      <w:r>
        <w:rPr>
          <w:rFonts w:hint="eastAsia" w:ascii="宋体" w:hAnsi="宋体" w:eastAsia="宋体" w:cs="宋体"/>
          <w:b/>
          <w:bCs w:val="0"/>
          <w:i w:val="0"/>
          <w:iCs/>
          <w:color w:val="auto"/>
          <w:sz w:val="21"/>
          <w:szCs w:val="21"/>
          <w:highlight w:val="none"/>
          <w:u w:val="none"/>
        </w:rPr>
        <w:t>个月内银行出具的资信证书复印件</w:t>
      </w:r>
      <w:r>
        <w:rPr>
          <w:rFonts w:hint="eastAsia" w:ascii="宋体" w:hAnsi="宋体" w:eastAsia="宋体" w:cs="宋体"/>
          <w:b/>
          <w:bCs w:val="0"/>
          <w:i w:val="0"/>
          <w:iCs/>
          <w:color w:val="auto"/>
          <w:sz w:val="21"/>
          <w:szCs w:val="21"/>
          <w:highlight w:val="none"/>
          <w:u w:val="none"/>
          <w:lang w:eastAsia="zh-CN"/>
        </w:rPr>
        <w:t>、</w:t>
      </w:r>
      <w:r>
        <w:rPr>
          <w:rFonts w:hint="eastAsia" w:ascii="宋体" w:hAnsi="宋体" w:eastAsia="宋体" w:cs="宋体"/>
          <w:b/>
          <w:bCs w:val="0"/>
          <w:i w:val="0"/>
          <w:iCs/>
          <w:color w:val="auto"/>
          <w:sz w:val="21"/>
          <w:szCs w:val="21"/>
          <w:highlight w:val="none"/>
          <w:u w:val="none"/>
        </w:rPr>
        <w:t>或其</w:t>
      </w:r>
      <w:r>
        <w:rPr>
          <w:rFonts w:hint="eastAsia" w:ascii="宋体" w:hAnsi="宋体" w:eastAsia="宋体" w:cs="宋体"/>
          <w:b/>
          <w:bCs w:val="0"/>
          <w:i w:val="0"/>
          <w:iCs/>
          <w:color w:val="auto"/>
          <w:sz w:val="21"/>
          <w:szCs w:val="21"/>
          <w:highlight w:val="none"/>
          <w:u w:val="none"/>
          <w:lang w:val="en-US" w:eastAsia="zh-CN"/>
        </w:rPr>
        <w:t>2024</w:t>
      </w:r>
      <w:r>
        <w:rPr>
          <w:rFonts w:hint="eastAsia" w:ascii="宋体" w:hAnsi="宋体" w:eastAsia="宋体" w:cs="宋体"/>
          <w:b/>
          <w:bCs w:val="0"/>
          <w:i w:val="0"/>
          <w:iCs/>
          <w:color w:val="auto"/>
          <w:sz w:val="21"/>
          <w:szCs w:val="21"/>
          <w:highlight w:val="none"/>
          <w:u w:val="none"/>
        </w:rPr>
        <w:t>年度</w:t>
      </w:r>
      <w:r>
        <w:rPr>
          <w:rFonts w:hint="eastAsia" w:ascii="宋体" w:hAnsi="宋体" w:eastAsia="宋体" w:cs="宋体"/>
          <w:b/>
          <w:bCs w:val="0"/>
          <w:i w:val="0"/>
          <w:iCs/>
          <w:color w:val="auto"/>
          <w:sz w:val="21"/>
          <w:szCs w:val="21"/>
          <w:highlight w:val="none"/>
          <w:u w:val="none"/>
          <w:lang w:val="en-US" w:eastAsia="zh-CN"/>
        </w:rPr>
        <w:t>或2025年度</w:t>
      </w:r>
      <w:r>
        <w:rPr>
          <w:rFonts w:hint="eastAsia" w:ascii="宋体" w:hAnsi="宋体" w:eastAsia="宋体" w:cs="宋体"/>
          <w:b/>
          <w:bCs w:val="0"/>
          <w:i w:val="0"/>
          <w:iCs/>
          <w:color w:val="auto"/>
          <w:sz w:val="21"/>
          <w:szCs w:val="21"/>
          <w:highlight w:val="none"/>
          <w:u w:val="none"/>
        </w:rPr>
        <w:t>经审计的财务报告(至少</w:t>
      </w:r>
      <w:r>
        <w:rPr>
          <w:rFonts w:hint="eastAsia" w:ascii="宋体" w:hAnsi="宋体" w:eastAsia="宋体" w:cs="宋体"/>
          <w:b/>
          <w:bCs w:val="0"/>
          <w:i w:val="0"/>
          <w:iCs/>
          <w:color w:val="auto"/>
          <w:sz w:val="21"/>
          <w:szCs w:val="21"/>
          <w:highlight w:val="none"/>
          <w:u w:val="none"/>
          <w:lang w:val="en-US" w:eastAsia="zh-CN"/>
        </w:rPr>
        <w:t>同时</w:t>
      </w:r>
      <w:r>
        <w:rPr>
          <w:rFonts w:hint="eastAsia" w:ascii="宋体" w:hAnsi="宋体" w:eastAsia="宋体" w:cs="宋体"/>
          <w:b/>
          <w:bCs w:val="0"/>
          <w:i w:val="0"/>
          <w:iCs/>
          <w:color w:val="auto"/>
          <w:sz w:val="21"/>
          <w:szCs w:val="21"/>
          <w:highlight w:val="none"/>
          <w:u w:val="none"/>
        </w:rPr>
        <w:t>包括资产负债表</w:t>
      </w:r>
      <w:r>
        <w:rPr>
          <w:rFonts w:hint="eastAsia" w:ascii="宋体" w:hAnsi="宋体" w:eastAsia="宋体" w:cs="宋体"/>
          <w:b/>
          <w:bCs w:val="0"/>
          <w:i w:val="0"/>
          <w:iCs/>
          <w:color w:val="auto"/>
          <w:sz w:val="21"/>
          <w:szCs w:val="21"/>
          <w:highlight w:val="none"/>
          <w:u w:val="none"/>
          <w:lang w:eastAsia="zh-CN"/>
        </w:rPr>
        <w:t>、</w:t>
      </w:r>
      <w:r>
        <w:rPr>
          <w:rFonts w:hint="eastAsia" w:ascii="宋体" w:hAnsi="宋体" w:eastAsia="宋体" w:cs="宋体"/>
          <w:b/>
          <w:bCs w:val="0"/>
          <w:i w:val="0"/>
          <w:iCs/>
          <w:color w:val="auto"/>
          <w:sz w:val="21"/>
          <w:szCs w:val="21"/>
          <w:highlight w:val="none"/>
          <w:u w:val="none"/>
        </w:rPr>
        <w:t>利润表</w:t>
      </w:r>
      <w:r>
        <w:rPr>
          <w:rFonts w:hint="eastAsia" w:ascii="宋体" w:hAnsi="宋体" w:eastAsia="宋体" w:cs="宋体"/>
          <w:b/>
          <w:bCs w:val="0"/>
          <w:i w:val="0"/>
          <w:iCs/>
          <w:color w:val="auto"/>
          <w:sz w:val="21"/>
          <w:szCs w:val="21"/>
          <w:highlight w:val="none"/>
          <w:u w:val="none"/>
          <w:lang w:eastAsia="zh-CN"/>
        </w:rPr>
        <w:t>、</w:t>
      </w:r>
      <w:r>
        <w:rPr>
          <w:rFonts w:hint="eastAsia" w:ascii="宋体" w:hAnsi="宋体" w:eastAsia="宋体" w:cs="宋体"/>
          <w:b/>
          <w:bCs w:val="0"/>
          <w:i w:val="0"/>
          <w:iCs/>
          <w:color w:val="auto"/>
          <w:sz w:val="21"/>
          <w:szCs w:val="21"/>
          <w:highlight w:val="none"/>
          <w:u w:val="none"/>
          <w:lang w:val="en-US" w:eastAsia="zh-CN"/>
        </w:rPr>
        <w:t>现金流量表</w:t>
      </w:r>
      <w:r>
        <w:rPr>
          <w:rFonts w:hint="eastAsia" w:ascii="宋体" w:hAnsi="宋体" w:eastAsia="宋体" w:cs="宋体"/>
          <w:b/>
          <w:bCs w:val="0"/>
          <w:i w:val="0"/>
          <w:iCs/>
          <w:color w:val="auto"/>
          <w:sz w:val="21"/>
          <w:szCs w:val="21"/>
          <w:highlight w:val="none"/>
          <w:u w:val="none"/>
        </w:rPr>
        <w:t>)复印件</w:t>
      </w:r>
      <w:r>
        <w:rPr>
          <w:rFonts w:hint="eastAsia" w:ascii="宋体" w:hAnsi="宋体" w:eastAsia="宋体" w:cs="宋体"/>
          <w:b/>
          <w:bCs w:val="0"/>
          <w:i w:val="0"/>
          <w:iCs/>
          <w:color w:val="auto"/>
          <w:sz w:val="21"/>
          <w:szCs w:val="21"/>
          <w:highlight w:val="none"/>
          <w:u w:val="none"/>
          <w:lang w:eastAsia="zh-CN"/>
        </w:rPr>
        <w:t>）。</w:t>
      </w:r>
    </w:p>
    <w:p w14:paraId="4FC8C766">
      <w:pPr>
        <w:jc w:val="center"/>
        <w:rPr>
          <w:rFonts w:hint="eastAsia" w:ascii="宋体" w:hAnsi="宋体"/>
          <w:b/>
          <w:bCs/>
          <w:color w:val="auto"/>
          <w:highlight w:val="none"/>
        </w:rPr>
      </w:pPr>
    </w:p>
    <w:p w14:paraId="65C5E752">
      <w:pPr>
        <w:numPr>
          <w:ilvl w:val="0"/>
          <w:numId w:val="10"/>
        </w:numPr>
        <w:jc w:val="center"/>
        <w:rPr>
          <w:rFonts w:hint="eastAsia" w:ascii="宋体" w:hAnsi="宋体"/>
          <w:b/>
          <w:bCs/>
          <w:color w:val="auto"/>
          <w:highlight w:val="none"/>
        </w:rPr>
      </w:pPr>
      <w:r>
        <w:rPr>
          <w:rFonts w:hint="eastAsia" w:ascii="宋体" w:hAnsi="宋体"/>
          <w:b/>
          <w:bCs/>
          <w:color w:val="auto"/>
          <w:highlight w:val="none"/>
        </w:rPr>
        <w:br w:type="page"/>
      </w:r>
      <w:r>
        <w:rPr>
          <w:rFonts w:hint="eastAsia" w:ascii="宋体" w:hAnsi="宋体" w:eastAsia="宋体" w:cs="宋体"/>
          <w:b/>
          <w:bCs w:val="0"/>
          <w:i w:val="0"/>
          <w:iCs/>
          <w:color w:val="auto"/>
          <w:sz w:val="21"/>
          <w:szCs w:val="21"/>
          <w:highlight w:val="none"/>
          <w:u w:val="none"/>
        </w:rPr>
        <w:t>具有履行合同所必需的设备和专业技术能力（根据项目需求提供履行合同所必需的设备和专业技术能力的证明材料复印件或</w:t>
      </w:r>
      <w:r>
        <w:rPr>
          <w:rFonts w:hint="eastAsia" w:ascii="宋体" w:hAnsi="宋体" w:eastAsia="宋体" w:cs="宋体"/>
          <w:b/>
          <w:bCs w:val="0"/>
          <w:i w:val="0"/>
          <w:iCs/>
          <w:color w:val="auto"/>
          <w:sz w:val="21"/>
          <w:szCs w:val="21"/>
          <w:highlight w:val="none"/>
          <w:u w:val="none"/>
          <w:lang w:val="en-US" w:eastAsia="zh-CN"/>
        </w:rPr>
        <w:t>声明函</w:t>
      </w:r>
      <w:r>
        <w:rPr>
          <w:rFonts w:hint="eastAsia" w:ascii="宋体" w:hAnsi="宋体" w:eastAsia="宋体" w:cs="宋体"/>
          <w:b/>
          <w:bCs w:val="0"/>
          <w:i w:val="0"/>
          <w:iCs/>
          <w:color w:val="auto"/>
          <w:sz w:val="21"/>
          <w:szCs w:val="21"/>
          <w:highlight w:val="none"/>
          <w:u w:val="none"/>
        </w:rPr>
        <w:t>）</w:t>
      </w:r>
      <w:r>
        <w:rPr>
          <w:rFonts w:hint="eastAsia" w:ascii="宋体" w:hAnsi="宋体" w:eastAsia="宋体" w:cs="宋体"/>
          <w:b/>
          <w:bCs w:val="0"/>
          <w:i w:val="0"/>
          <w:iCs/>
          <w:color w:val="auto"/>
          <w:sz w:val="21"/>
          <w:szCs w:val="21"/>
          <w:highlight w:val="none"/>
          <w:u w:val="none"/>
          <w:lang w:eastAsia="zh-CN"/>
        </w:rPr>
        <w:t>。</w:t>
      </w:r>
    </w:p>
    <w:p w14:paraId="5D8EF004">
      <w:pPr>
        <w:numPr>
          <w:ilvl w:val="0"/>
          <w:numId w:val="0"/>
        </w:numPr>
        <w:jc w:val="both"/>
        <w:rPr>
          <w:rFonts w:hint="eastAsia" w:ascii="宋体" w:hAnsi="宋体"/>
          <w:b/>
          <w:bCs/>
          <w:color w:val="auto"/>
          <w:highlight w:val="none"/>
        </w:rPr>
      </w:pPr>
    </w:p>
    <w:p w14:paraId="07DCB557">
      <w:pPr>
        <w:jc w:val="center"/>
        <w:rPr>
          <w:rFonts w:hint="eastAsia" w:ascii="宋体" w:hAnsi="宋体"/>
          <w:b/>
          <w:bCs/>
          <w:color w:val="auto"/>
          <w:highlight w:val="none"/>
        </w:rPr>
      </w:pPr>
      <w:r>
        <w:rPr>
          <w:rFonts w:hint="eastAsia" w:ascii="宋体" w:hAnsi="宋体"/>
          <w:b/>
          <w:bCs/>
          <w:color w:val="auto"/>
          <w:highlight w:val="none"/>
        </w:rPr>
        <w:t>具备履行合同所必需的设备和专业技术能力的书面声明</w:t>
      </w:r>
    </w:p>
    <w:p w14:paraId="2AD2BE0C">
      <w:pPr>
        <w:spacing w:line="360" w:lineRule="auto"/>
        <w:ind w:firstLine="492"/>
        <w:rPr>
          <w:rFonts w:ascii="宋体" w:hAnsi="宋体"/>
          <w:bCs/>
          <w:color w:val="auto"/>
          <w:szCs w:val="21"/>
          <w:highlight w:val="none"/>
        </w:rPr>
      </w:pPr>
      <w:r>
        <w:rPr>
          <w:rFonts w:hint="eastAsia" w:ascii="宋体" w:hAnsi="宋体"/>
          <w:bCs/>
          <w:color w:val="auto"/>
          <w:szCs w:val="21"/>
          <w:highlight w:val="none"/>
        </w:rPr>
        <w:t>我单位郑重声明：我单位具备履行本项采购合同所必需的设备和专业技术能力，为履行本项采购合同我公司具备如下主要设备和主要专业技术能力：</w:t>
      </w:r>
    </w:p>
    <w:p w14:paraId="2EDE0AEF">
      <w:pPr>
        <w:spacing w:line="360" w:lineRule="auto"/>
        <w:ind w:firstLine="492"/>
        <w:rPr>
          <w:rFonts w:ascii="宋体" w:hAnsi="宋体"/>
          <w:bCs/>
          <w:color w:val="auto"/>
          <w:szCs w:val="21"/>
          <w:highlight w:val="none"/>
        </w:rPr>
      </w:pPr>
      <w:r>
        <w:rPr>
          <w:rFonts w:hint="eastAsia" w:ascii="宋体" w:hAnsi="宋体"/>
          <w:bCs/>
          <w:color w:val="auto"/>
          <w:szCs w:val="21"/>
          <w:highlight w:val="none"/>
        </w:rPr>
        <w:t>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14:paraId="198A8CCA">
      <w:pPr>
        <w:spacing w:line="360" w:lineRule="auto"/>
        <w:ind w:firstLine="492"/>
        <w:rPr>
          <w:rFonts w:ascii="宋体" w:hAnsi="宋体"/>
          <w:bCs/>
          <w:color w:val="auto"/>
          <w:szCs w:val="21"/>
          <w:highlight w:val="none"/>
        </w:rPr>
      </w:pPr>
      <w:r>
        <w:rPr>
          <w:rFonts w:hint="eastAsia" w:ascii="宋体" w:hAnsi="宋体"/>
          <w:bCs/>
          <w:color w:val="auto"/>
          <w:szCs w:val="21"/>
          <w:highlight w:val="none"/>
        </w:rPr>
        <w:t>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14:paraId="207B3741">
      <w:pPr>
        <w:jc w:val="center"/>
        <w:rPr>
          <w:rFonts w:hint="eastAsia" w:ascii="宋体" w:hAnsi="宋体"/>
          <w:b/>
          <w:bCs/>
          <w:color w:val="auto"/>
          <w:highlight w:val="none"/>
        </w:rPr>
      </w:pPr>
      <w:r>
        <w:rPr>
          <w:rFonts w:hint="eastAsia" w:ascii="宋体" w:hAnsi="宋体"/>
          <w:b/>
          <w:bCs/>
          <w:color w:val="auto"/>
          <w:highlight w:val="none"/>
        </w:rPr>
        <w:br w:type="page"/>
      </w:r>
      <w:r>
        <w:rPr>
          <w:rFonts w:hint="eastAsia" w:ascii="宋体" w:hAnsi="宋体"/>
          <w:b/>
          <w:bCs/>
          <w:color w:val="auto"/>
          <w:highlight w:val="none"/>
        </w:rPr>
        <w:t>4、</w:t>
      </w:r>
      <w:r>
        <w:rPr>
          <w:rFonts w:hint="eastAsia" w:ascii="宋体" w:hAnsi="宋体" w:eastAsia="宋体" w:cs="宋体"/>
          <w:b/>
          <w:bCs w:val="0"/>
          <w:i w:val="0"/>
          <w:iCs/>
          <w:color w:val="auto"/>
          <w:sz w:val="21"/>
          <w:szCs w:val="21"/>
          <w:highlight w:val="none"/>
          <w:u w:val="none"/>
        </w:rPr>
        <w:t>有依法缴纳税收和社会保障资金的良好记录（提供开标</w:t>
      </w:r>
      <w:r>
        <w:rPr>
          <w:rFonts w:hint="eastAsia" w:ascii="宋体" w:hAnsi="宋体" w:eastAsia="宋体" w:cs="宋体"/>
          <w:b/>
          <w:bCs w:val="0"/>
          <w:i w:val="0"/>
          <w:iCs/>
          <w:color w:val="auto"/>
          <w:sz w:val="21"/>
          <w:szCs w:val="21"/>
          <w:highlight w:val="none"/>
          <w:u w:val="none"/>
          <w:lang w:val="en-US" w:eastAsia="zh-CN"/>
        </w:rPr>
        <w:t>时间</w:t>
      </w:r>
      <w:r>
        <w:rPr>
          <w:rFonts w:hint="eastAsia" w:ascii="宋体" w:hAnsi="宋体" w:eastAsia="宋体" w:cs="宋体"/>
          <w:b/>
          <w:bCs w:val="0"/>
          <w:i w:val="0"/>
          <w:iCs/>
          <w:color w:val="auto"/>
          <w:sz w:val="21"/>
          <w:szCs w:val="21"/>
          <w:highlight w:val="none"/>
          <w:u w:val="none"/>
        </w:rPr>
        <w:t>前</w:t>
      </w:r>
      <w:r>
        <w:rPr>
          <w:rFonts w:hint="eastAsia" w:ascii="宋体" w:hAnsi="宋体" w:eastAsia="宋体" w:cs="宋体"/>
          <w:b/>
          <w:bCs w:val="0"/>
          <w:i w:val="0"/>
          <w:iCs/>
          <w:color w:val="auto"/>
          <w:sz w:val="21"/>
          <w:szCs w:val="21"/>
          <w:highlight w:val="none"/>
          <w:u w:val="none"/>
          <w:lang w:val="en-US" w:eastAsia="zh-CN"/>
        </w:rPr>
        <w:t>6</w:t>
      </w:r>
      <w:r>
        <w:rPr>
          <w:rFonts w:hint="eastAsia" w:ascii="宋体" w:hAnsi="宋体" w:eastAsia="宋体" w:cs="宋体"/>
          <w:b/>
          <w:bCs w:val="0"/>
          <w:i w:val="0"/>
          <w:iCs/>
          <w:color w:val="auto"/>
          <w:sz w:val="21"/>
          <w:szCs w:val="21"/>
          <w:highlight w:val="none"/>
          <w:u w:val="none"/>
        </w:rPr>
        <w:t>个月内任意</w:t>
      </w:r>
      <w:r>
        <w:rPr>
          <w:rFonts w:hint="eastAsia" w:ascii="宋体" w:hAnsi="宋体" w:eastAsia="宋体" w:cs="宋体"/>
          <w:b/>
          <w:bCs w:val="0"/>
          <w:i w:val="0"/>
          <w:iCs/>
          <w:color w:val="auto"/>
          <w:sz w:val="21"/>
          <w:szCs w:val="21"/>
          <w:highlight w:val="none"/>
          <w:u w:val="none"/>
          <w:lang w:val="en-US" w:eastAsia="zh-CN"/>
        </w:rPr>
        <w:t>1</w:t>
      </w:r>
      <w:r>
        <w:rPr>
          <w:rFonts w:hint="eastAsia" w:ascii="宋体" w:hAnsi="宋体" w:eastAsia="宋体" w:cs="宋体"/>
          <w:b/>
          <w:bCs w:val="0"/>
          <w:i w:val="0"/>
          <w:iCs/>
          <w:color w:val="auto"/>
          <w:sz w:val="21"/>
          <w:szCs w:val="21"/>
          <w:highlight w:val="none"/>
          <w:u w:val="none"/>
        </w:rPr>
        <w:t>个月依法缴纳税收和社会保障资金的相关材料复印件，依法享受免缴、缓缴的提供证明材料复印件）</w:t>
      </w:r>
      <w:r>
        <w:rPr>
          <w:rFonts w:hint="eastAsia" w:ascii="宋体" w:hAnsi="宋体" w:eastAsia="宋体" w:cs="宋体"/>
          <w:b/>
          <w:bCs w:val="0"/>
          <w:i w:val="0"/>
          <w:iCs/>
          <w:color w:val="auto"/>
          <w:sz w:val="21"/>
          <w:szCs w:val="21"/>
          <w:highlight w:val="none"/>
          <w:u w:val="none"/>
          <w:lang w:val="en-US" w:eastAsia="zh-CN"/>
        </w:rPr>
        <w:t>。</w:t>
      </w:r>
    </w:p>
    <w:p w14:paraId="659E1D9E">
      <w:pPr>
        <w:rPr>
          <w:rFonts w:ascii="宋体" w:hAnsi="宋体"/>
          <w:b/>
          <w:bCs/>
          <w:color w:val="auto"/>
          <w:highlight w:val="none"/>
        </w:rPr>
      </w:pPr>
      <w:r>
        <w:rPr>
          <w:rFonts w:hint="eastAsia" w:ascii="宋体" w:hAnsi="宋体"/>
          <w:b/>
          <w:bCs/>
          <w:color w:val="auto"/>
          <w:highlight w:val="none"/>
        </w:rPr>
        <w:br w:type="page"/>
      </w:r>
    </w:p>
    <w:p w14:paraId="234A783E">
      <w:pPr>
        <w:spacing w:line="360" w:lineRule="auto"/>
        <w:ind w:firstLine="492"/>
        <w:rPr>
          <w:rFonts w:ascii="宋体" w:hAnsi="宋体"/>
          <w:bCs/>
          <w:color w:val="auto"/>
          <w:szCs w:val="21"/>
          <w:highlight w:val="none"/>
        </w:rPr>
      </w:pPr>
      <w:r>
        <w:rPr>
          <w:rFonts w:hint="eastAsia" w:ascii="宋体" w:hAnsi="宋体"/>
          <w:b/>
          <w:bCs/>
          <w:color w:val="auto"/>
          <w:highlight w:val="none"/>
        </w:rPr>
        <w:t>5、</w:t>
      </w:r>
      <w:r>
        <w:rPr>
          <w:rFonts w:hint="eastAsia" w:ascii="宋体" w:hAnsi="宋体" w:eastAsia="宋体" w:cs="宋体"/>
          <w:b/>
          <w:bCs w:val="0"/>
          <w:i w:val="0"/>
          <w:iCs/>
          <w:color w:val="auto"/>
          <w:sz w:val="21"/>
          <w:szCs w:val="21"/>
          <w:highlight w:val="none"/>
          <w:u w:val="none"/>
        </w:rPr>
        <w:t>参加政府采购活动前</w:t>
      </w:r>
      <w:r>
        <w:rPr>
          <w:rFonts w:hint="eastAsia" w:ascii="宋体" w:hAnsi="宋体" w:eastAsia="宋体" w:cs="宋体"/>
          <w:b/>
          <w:bCs w:val="0"/>
          <w:i w:val="0"/>
          <w:iCs/>
          <w:color w:val="auto"/>
          <w:sz w:val="21"/>
          <w:szCs w:val="21"/>
          <w:highlight w:val="none"/>
          <w:u w:val="none"/>
          <w:lang w:val="en-US" w:eastAsia="zh-CN"/>
        </w:rPr>
        <w:t>3</w:t>
      </w:r>
      <w:r>
        <w:rPr>
          <w:rFonts w:hint="eastAsia" w:ascii="宋体" w:hAnsi="宋体" w:eastAsia="宋体" w:cs="宋体"/>
          <w:b/>
          <w:bCs w:val="0"/>
          <w:i w:val="0"/>
          <w:iCs/>
          <w:color w:val="auto"/>
          <w:sz w:val="21"/>
          <w:szCs w:val="21"/>
          <w:highlight w:val="none"/>
          <w:u w:val="none"/>
        </w:rPr>
        <w:t>年内，在经营活动中没有重大违法记录（提供声明函原件（重大违法记录是指供应商因违法经营受到刑事处罚或责令停产停业、吊销许可证或者执照、较大数额罚款等行政处罚））。</w:t>
      </w:r>
    </w:p>
    <w:p w14:paraId="5A8AC7B2">
      <w:pPr>
        <w:spacing w:after="312" w:line="360" w:lineRule="auto"/>
        <w:jc w:val="center"/>
        <w:rPr>
          <w:rFonts w:ascii="宋体" w:hAnsi="宋体"/>
          <w:b/>
          <w:bCs/>
          <w:color w:val="auto"/>
          <w:highlight w:val="none"/>
        </w:rPr>
      </w:pPr>
      <w:r>
        <w:rPr>
          <w:rFonts w:hint="eastAsia" w:ascii="宋体" w:hAnsi="宋体"/>
          <w:b/>
          <w:bCs/>
          <w:color w:val="auto"/>
          <w:highlight w:val="none"/>
        </w:rPr>
        <w:t>声  明</w:t>
      </w:r>
    </w:p>
    <w:p w14:paraId="70057A60">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我公司郑重声明：参加本次政府采购活动前 3 年内，我公司在经营活动中没有因违法经营受到刑事处罚或者责令停产停业、吊销许可证或者执照、较大数额罚款等行政处罚。</w:t>
      </w:r>
    </w:p>
    <w:p w14:paraId="7F35961D">
      <w:pPr>
        <w:spacing w:line="360" w:lineRule="auto"/>
        <w:rPr>
          <w:rFonts w:ascii="宋体" w:hAnsi="宋体"/>
          <w:bCs/>
          <w:color w:val="auto"/>
          <w:highlight w:val="none"/>
        </w:rPr>
      </w:pPr>
      <w:r>
        <w:rPr>
          <w:rFonts w:hint="eastAsia" w:ascii="宋体" w:hAnsi="宋体"/>
          <w:bCs/>
          <w:color w:val="auto"/>
          <w:highlight w:val="none"/>
        </w:rPr>
        <w:t xml:space="preserve">                               投标人名称（公章）：</w:t>
      </w:r>
    </w:p>
    <w:p w14:paraId="37A5287F">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_______________________</w:t>
      </w:r>
    </w:p>
    <w:p w14:paraId="1DD52BCC">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年</w:t>
      </w:r>
      <w:r>
        <w:rPr>
          <w:rFonts w:hint="eastAsia" w:ascii="宋体" w:hAnsi="宋体"/>
          <w:bCs/>
          <w:color w:val="auto"/>
          <w:highlight w:val="none"/>
          <w:u w:val="single"/>
        </w:rPr>
        <w:t xml:space="preserve">    </w:t>
      </w:r>
      <w:r>
        <w:rPr>
          <w:rFonts w:hint="eastAsia" w:ascii="宋体" w:hAnsi="宋体"/>
          <w:bCs/>
          <w:color w:val="auto"/>
          <w:highlight w:val="none"/>
        </w:rPr>
        <w:t>月</w:t>
      </w:r>
      <w:r>
        <w:rPr>
          <w:rFonts w:hint="eastAsia" w:ascii="宋体" w:hAnsi="宋体"/>
          <w:bCs/>
          <w:color w:val="auto"/>
          <w:highlight w:val="none"/>
          <w:u w:val="single"/>
        </w:rPr>
        <w:t xml:space="preserve">    </w:t>
      </w:r>
      <w:r>
        <w:rPr>
          <w:rFonts w:hint="eastAsia" w:ascii="宋体" w:hAnsi="宋体"/>
          <w:bCs/>
          <w:color w:val="auto"/>
          <w:highlight w:val="none"/>
        </w:rPr>
        <w:t>日</w:t>
      </w:r>
    </w:p>
    <w:p w14:paraId="6C372FC7">
      <w:pPr>
        <w:numPr>
          <w:ilvl w:val="0"/>
          <w:numId w:val="0"/>
        </w:numPr>
        <w:spacing w:line="360" w:lineRule="auto"/>
        <w:ind w:left="0" w:leftChars="0" w:firstLine="0" w:firstLineChars="0"/>
        <w:rPr>
          <w:rFonts w:hint="eastAsia" w:ascii="宋体" w:hAnsi="宋体"/>
          <w:b/>
          <w:bCs/>
          <w:color w:val="auto"/>
          <w:highlight w:val="none"/>
        </w:rPr>
      </w:pPr>
    </w:p>
    <w:p w14:paraId="417AD793">
      <w:pPr>
        <w:spacing w:line="360" w:lineRule="auto"/>
        <w:contextualSpacing/>
        <w:rPr>
          <w:rFonts w:ascii="宋体" w:hAnsi="宋体"/>
          <w:b/>
          <w:color w:val="auto"/>
          <w:sz w:val="36"/>
          <w:highlight w:val="none"/>
        </w:rPr>
      </w:pPr>
    </w:p>
    <w:p w14:paraId="00E28D6D">
      <w:pPr>
        <w:spacing w:line="360" w:lineRule="auto"/>
        <w:contextualSpacing/>
        <w:rPr>
          <w:rFonts w:ascii="宋体" w:hAnsi="宋体"/>
          <w:b/>
          <w:color w:val="auto"/>
          <w:sz w:val="36"/>
          <w:highlight w:val="none"/>
        </w:rPr>
      </w:pPr>
    </w:p>
    <w:p w14:paraId="3EA611E9">
      <w:pPr>
        <w:spacing w:line="360" w:lineRule="auto"/>
        <w:contextualSpacing/>
        <w:rPr>
          <w:rFonts w:ascii="宋体" w:hAnsi="宋体"/>
          <w:b/>
          <w:color w:val="auto"/>
          <w:sz w:val="36"/>
          <w:highlight w:val="none"/>
        </w:rPr>
      </w:pPr>
    </w:p>
    <w:p w14:paraId="076E9CB9">
      <w:pPr>
        <w:spacing w:line="360" w:lineRule="auto"/>
        <w:contextualSpacing/>
        <w:rPr>
          <w:rFonts w:ascii="宋体" w:hAnsi="宋体"/>
          <w:b/>
          <w:color w:val="auto"/>
          <w:sz w:val="36"/>
          <w:highlight w:val="none"/>
        </w:rPr>
      </w:pPr>
    </w:p>
    <w:p w14:paraId="0A9C6BA0">
      <w:pPr>
        <w:spacing w:line="360" w:lineRule="auto"/>
        <w:contextualSpacing/>
        <w:rPr>
          <w:rFonts w:ascii="宋体" w:hAnsi="宋体"/>
          <w:b/>
          <w:color w:val="auto"/>
          <w:sz w:val="36"/>
          <w:highlight w:val="none"/>
        </w:rPr>
      </w:pPr>
    </w:p>
    <w:p w14:paraId="23A1DCB1">
      <w:pPr>
        <w:spacing w:line="360" w:lineRule="auto"/>
        <w:contextualSpacing/>
        <w:rPr>
          <w:rFonts w:ascii="宋体" w:hAnsi="宋体"/>
          <w:b/>
          <w:color w:val="auto"/>
          <w:sz w:val="36"/>
          <w:highlight w:val="none"/>
        </w:rPr>
      </w:pPr>
    </w:p>
    <w:p w14:paraId="3A5BF020">
      <w:pPr>
        <w:spacing w:line="360" w:lineRule="auto"/>
        <w:contextualSpacing/>
        <w:rPr>
          <w:rFonts w:ascii="宋体" w:hAnsi="宋体"/>
          <w:b/>
          <w:color w:val="auto"/>
          <w:sz w:val="36"/>
          <w:highlight w:val="none"/>
        </w:rPr>
      </w:pPr>
    </w:p>
    <w:p w14:paraId="69BCB5A4">
      <w:pPr>
        <w:spacing w:line="360" w:lineRule="auto"/>
        <w:contextualSpacing/>
        <w:rPr>
          <w:rFonts w:ascii="宋体" w:hAnsi="宋体"/>
          <w:b/>
          <w:color w:val="auto"/>
          <w:sz w:val="36"/>
          <w:highlight w:val="none"/>
        </w:rPr>
      </w:pPr>
    </w:p>
    <w:p w14:paraId="29DC7FFF">
      <w:pPr>
        <w:spacing w:line="360" w:lineRule="auto"/>
        <w:contextualSpacing/>
        <w:rPr>
          <w:rFonts w:ascii="宋体" w:hAnsi="宋体"/>
          <w:b/>
          <w:color w:val="auto"/>
          <w:sz w:val="36"/>
          <w:highlight w:val="none"/>
        </w:rPr>
      </w:pPr>
    </w:p>
    <w:p w14:paraId="799BF593">
      <w:pPr>
        <w:spacing w:line="360" w:lineRule="auto"/>
        <w:contextualSpacing/>
        <w:rPr>
          <w:rFonts w:ascii="宋体" w:hAnsi="宋体"/>
          <w:b/>
          <w:color w:val="auto"/>
          <w:sz w:val="36"/>
          <w:highlight w:val="none"/>
        </w:rPr>
      </w:pPr>
    </w:p>
    <w:p w14:paraId="37CAD759">
      <w:pPr>
        <w:spacing w:line="360" w:lineRule="auto"/>
        <w:contextualSpacing/>
        <w:rPr>
          <w:rFonts w:ascii="宋体" w:hAnsi="宋体"/>
          <w:b/>
          <w:color w:val="auto"/>
          <w:sz w:val="36"/>
          <w:highlight w:val="none"/>
        </w:rPr>
      </w:pPr>
    </w:p>
    <w:p w14:paraId="264B222E">
      <w:pPr>
        <w:spacing w:line="360" w:lineRule="auto"/>
        <w:contextualSpacing/>
        <w:rPr>
          <w:rFonts w:ascii="宋体" w:hAnsi="宋体"/>
          <w:b/>
          <w:color w:val="auto"/>
          <w:sz w:val="36"/>
          <w:highlight w:val="none"/>
        </w:rPr>
      </w:pPr>
    </w:p>
    <w:p w14:paraId="330FE828">
      <w:pPr>
        <w:spacing w:line="360" w:lineRule="auto"/>
        <w:contextualSpacing/>
        <w:rPr>
          <w:rFonts w:ascii="宋体" w:hAnsi="宋体"/>
          <w:b/>
          <w:color w:val="auto"/>
          <w:sz w:val="36"/>
          <w:highlight w:val="none"/>
        </w:rPr>
      </w:pPr>
    </w:p>
    <w:p w14:paraId="7682F654">
      <w:pPr>
        <w:rPr>
          <w:rFonts w:hint="eastAsia" w:ascii="宋体" w:hAnsi="宋体"/>
          <w:b/>
          <w:color w:val="auto"/>
          <w:szCs w:val="21"/>
          <w:highlight w:val="none"/>
        </w:rPr>
      </w:pPr>
      <w:r>
        <w:rPr>
          <w:rFonts w:hint="eastAsia" w:ascii="宋体" w:hAnsi="宋体"/>
          <w:b/>
          <w:color w:val="auto"/>
          <w:szCs w:val="21"/>
          <w:highlight w:val="none"/>
        </w:rPr>
        <w:br w:type="page"/>
      </w:r>
    </w:p>
    <w:p w14:paraId="4A902EE9">
      <w:pPr>
        <w:spacing w:line="360" w:lineRule="auto"/>
        <w:jc w:val="center"/>
        <w:rPr>
          <w:rFonts w:ascii="宋体" w:hAnsi="宋体"/>
          <w:b/>
          <w:color w:val="auto"/>
          <w:szCs w:val="21"/>
          <w:highlight w:val="none"/>
        </w:rPr>
      </w:pPr>
      <w:r>
        <w:rPr>
          <w:rFonts w:hint="eastAsia" w:ascii="宋体" w:hAnsi="宋体"/>
          <w:b/>
          <w:color w:val="auto"/>
          <w:szCs w:val="21"/>
          <w:highlight w:val="none"/>
        </w:rPr>
        <w:t>投标人信用承诺书</w:t>
      </w:r>
    </w:p>
    <w:p w14:paraId="69AB274D">
      <w:pPr>
        <w:spacing w:line="360" w:lineRule="auto"/>
        <w:rPr>
          <w:rFonts w:ascii="方正仿宋_GBK"/>
          <w:color w:val="auto"/>
          <w:szCs w:val="32"/>
          <w:highlight w:val="none"/>
        </w:rPr>
      </w:pPr>
    </w:p>
    <w:p w14:paraId="1D71C0CC">
      <w:pPr>
        <w:spacing w:line="360" w:lineRule="auto"/>
        <w:rPr>
          <w:rFonts w:ascii="宋体" w:hAnsi="宋体"/>
          <w:color w:val="auto"/>
          <w:szCs w:val="21"/>
          <w:highlight w:val="none"/>
        </w:rPr>
      </w:pPr>
      <w:r>
        <w:rPr>
          <w:rFonts w:hint="eastAsia" w:ascii="宋体" w:hAnsi="宋体"/>
          <w:color w:val="auto"/>
          <w:szCs w:val="21"/>
          <w:highlight w:val="none"/>
        </w:rPr>
        <w:t>承诺主体名称：</w:t>
      </w:r>
    </w:p>
    <w:p w14:paraId="2ED83CE0">
      <w:pPr>
        <w:spacing w:line="360" w:lineRule="auto"/>
        <w:rPr>
          <w:rFonts w:ascii="宋体" w:hAnsi="宋体"/>
          <w:color w:val="auto"/>
          <w:szCs w:val="21"/>
          <w:highlight w:val="none"/>
        </w:rPr>
      </w:pPr>
      <w:r>
        <w:rPr>
          <w:rFonts w:hint="eastAsia" w:ascii="宋体" w:hAnsi="宋体"/>
          <w:color w:val="auto"/>
          <w:szCs w:val="21"/>
          <w:highlight w:val="none"/>
        </w:rPr>
        <w:t>统一社会信用代码：</w:t>
      </w:r>
    </w:p>
    <w:p w14:paraId="5F01E906">
      <w:pPr>
        <w:spacing w:line="360" w:lineRule="auto"/>
        <w:rPr>
          <w:rFonts w:ascii="宋体" w:hAnsi="宋体"/>
          <w:color w:val="auto"/>
          <w:szCs w:val="21"/>
          <w:highlight w:val="none"/>
        </w:rPr>
      </w:pPr>
    </w:p>
    <w:p w14:paraId="0672318A">
      <w:pPr>
        <w:spacing w:line="360" w:lineRule="auto"/>
        <w:ind w:firstLine="420"/>
        <w:rPr>
          <w:rFonts w:ascii="宋体" w:hAnsi="宋体"/>
          <w:color w:val="auto"/>
          <w:szCs w:val="21"/>
          <w:highlight w:val="none"/>
        </w:rPr>
      </w:pPr>
      <w:r>
        <w:rPr>
          <w:rFonts w:hint="eastAsia" w:ascii="宋体" w:hAnsi="宋体"/>
          <w:color w:val="auto"/>
          <w:szCs w:val="21"/>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7D08E1D9">
      <w:pPr>
        <w:spacing w:line="360" w:lineRule="auto"/>
        <w:ind w:firstLine="420"/>
        <w:rPr>
          <w:rFonts w:ascii="宋体" w:hAnsi="宋体"/>
          <w:color w:val="auto"/>
          <w:szCs w:val="21"/>
          <w:highlight w:val="none"/>
        </w:rPr>
      </w:pPr>
      <w:r>
        <w:rPr>
          <w:rFonts w:hint="eastAsia" w:ascii="宋体" w:hAnsi="宋体"/>
          <w:color w:val="auto"/>
          <w:szCs w:val="21"/>
          <w:highlight w:val="none"/>
        </w:rPr>
        <w:t>一、对提供给注册登记部门、行业管理部门、司法部门、行业组织以及在政府采购活动中提交的所有资料的合法性、真实性、准确性和有效性负责；</w:t>
      </w:r>
    </w:p>
    <w:p w14:paraId="3E36F0B0">
      <w:pPr>
        <w:spacing w:line="360" w:lineRule="auto"/>
        <w:ind w:firstLine="420"/>
        <w:rPr>
          <w:rFonts w:ascii="宋体" w:hAnsi="宋体"/>
          <w:color w:val="auto"/>
          <w:szCs w:val="21"/>
          <w:highlight w:val="none"/>
        </w:rPr>
      </w:pPr>
      <w:r>
        <w:rPr>
          <w:rFonts w:hint="eastAsia" w:ascii="宋体" w:hAnsi="宋体"/>
          <w:color w:val="auto"/>
          <w:szCs w:val="21"/>
          <w:highlight w:val="none"/>
        </w:rPr>
        <w:t>二、严格按照国家法律、法规和规章开展采购活动，全面履行应尽的责任和义务，全面做到履约守信，具备《中华人民共和国政府采购法》第二十二条第一款规定的条件;</w:t>
      </w:r>
    </w:p>
    <w:p w14:paraId="7131BB78">
      <w:pPr>
        <w:spacing w:line="360" w:lineRule="auto"/>
        <w:ind w:firstLine="420"/>
        <w:rPr>
          <w:rFonts w:ascii="宋体" w:hAnsi="宋体"/>
          <w:color w:val="auto"/>
          <w:szCs w:val="21"/>
          <w:highlight w:val="none"/>
        </w:rPr>
      </w:pPr>
      <w:r>
        <w:rPr>
          <w:rFonts w:hint="eastAsia" w:ascii="宋体" w:hAnsi="宋体"/>
          <w:color w:val="auto"/>
          <w:szCs w:val="21"/>
          <w:highlight w:val="none"/>
        </w:rPr>
        <w:t>三、严格依法开展生产经营活动，主动接受行业监管，自愿接受依法开展的日常检查；违法失信经营后将自愿接受约束和惩戒，并依法承担相应责任；</w:t>
      </w:r>
    </w:p>
    <w:p w14:paraId="0763E8C5">
      <w:pPr>
        <w:spacing w:line="360" w:lineRule="auto"/>
        <w:ind w:firstLine="420"/>
        <w:rPr>
          <w:rFonts w:ascii="宋体" w:hAnsi="宋体"/>
          <w:color w:val="auto"/>
          <w:szCs w:val="21"/>
          <w:highlight w:val="none"/>
        </w:rPr>
      </w:pPr>
      <w:r>
        <w:rPr>
          <w:rFonts w:hint="eastAsia" w:ascii="宋体" w:hAnsi="宋体"/>
          <w:color w:val="auto"/>
          <w:szCs w:val="21"/>
          <w:highlight w:val="none"/>
        </w:rPr>
        <w:t>四、自觉接受行政管理部门、行业组织、社会公众、新闻舆论的监督；</w:t>
      </w:r>
    </w:p>
    <w:p w14:paraId="2907494E">
      <w:pPr>
        <w:spacing w:line="360" w:lineRule="auto"/>
        <w:ind w:firstLine="420"/>
        <w:rPr>
          <w:rFonts w:ascii="宋体" w:hAnsi="宋体"/>
          <w:color w:val="auto"/>
          <w:szCs w:val="21"/>
          <w:highlight w:val="none"/>
        </w:rPr>
      </w:pPr>
      <w:r>
        <w:rPr>
          <w:rFonts w:hint="eastAsia" w:ascii="宋体" w:hAnsi="宋体"/>
          <w:color w:val="auto"/>
          <w:szCs w:val="21"/>
          <w:highlight w:val="none"/>
        </w:rPr>
        <w:t>五、自觉做到自我约束、自我管理，不制假售假、商标侵权、虚假宣传、违约毁约、恶意逃债、偷税漏税、垄断和不正当竞争，维护经营者、消费者的合法权益；</w:t>
      </w:r>
    </w:p>
    <w:p w14:paraId="01887269">
      <w:pPr>
        <w:spacing w:line="360" w:lineRule="auto"/>
        <w:ind w:firstLine="420"/>
        <w:rPr>
          <w:rFonts w:ascii="宋体" w:hAnsi="宋体"/>
          <w:color w:val="auto"/>
          <w:szCs w:val="21"/>
          <w:highlight w:val="none"/>
        </w:rPr>
      </w:pPr>
      <w:r>
        <w:rPr>
          <w:rFonts w:hint="eastAsia" w:ascii="宋体" w:hAnsi="宋体"/>
          <w:color w:val="auto"/>
          <w:szCs w:val="21"/>
          <w:highlight w:val="none"/>
        </w:rPr>
        <w:t>六、提出政府采购质疑和投诉坚持依法依规、诚实信用原则，在全国范围12个月内没有三次以上查无实据的政府采购投诉；</w:t>
      </w:r>
    </w:p>
    <w:p w14:paraId="0F0A7DAC">
      <w:pPr>
        <w:spacing w:line="360" w:lineRule="auto"/>
        <w:ind w:firstLine="420"/>
        <w:rPr>
          <w:rFonts w:ascii="宋体" w:hAnsi="宋体"/>
          <w:color w:val="auto"/>
          <w:szCs w:val="21"/>
          <w:highlight w:val="none"/>
        </w:rPr>
      </w:pPr>
      <w:r>
        <w:rPr>
          <w:rFonts w:hint="eastAsia" w:ascii="宋体" w:hAnsi="宋体"/>
          <w:color w:val="auto"/>
          <w:szCs w:val="21"/>
          <w:highlight w:val="none"/>
        </w:rPr>
        <w:t>七、严格遵守信用信息公示相关规定，向社会公示信用信息；</w:t>
      </w:r>
    </w:p>
    <w:p w14:paraId="42B7029C">
      <w:pPr>
        <w:spacing w:line="360" w:lineRule="auto"/>
        <w:ind w:firstLine="420"/>
        <w:rPr>
          <w:rFonts w:ascii="宋体" w:hAnsi="宋体"/>
          <w:color w:val="auto"/>
          <w:szCs w:val="21"/>
          <w:highlight w:val="none"/>
        </w:rPr>
      </w:pPr>
      <w:r>
        <w:rPr>
          <w:rFonts w:hint="eastAsia" w:ascii="宋体" w:hAnsi="宋体"/>
          <w:color w:val="auto"/>
          <w:szCs w:val="21"/>
          <w:highlight w:val="none"/>
        </w:rPr>
        <w:t>八、在“信用中国”和“中国政府采购网”网站中无违法违规、较重或严重失信记录；</w:t>
      </w:r>
    </w:p>
    <w:p w14:paraId="39A315C7">
      <w:pPr>
        <w:spacing w:line="360" w:lineRule="auto"/>
        <w:ind w:firstLine="420"/>
        <w:rPr>
          <w:rFonts w:ascii="宋体" w:hAnsi="宋体"/>
          <w:color w:val="auto"/>
          <w:szCs w:val="21"/>
          <w:highlight w:val="none"/>
        </w:rPr>
      </w:pPr>
      <w:r>
        <w:rPr>
          <w:rFonts w:hint="eastAsia" w:ascii="宋体" w:hAnsi="宋体"/>
          <w:color w:val="auto"/>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4ABC1E28">
      <w:pPr>
        <w:spacing w:line="360" w:lineRule="auto"/>
        <w:ind w:firstLine="420"/>
        <w:rPr>
          <w:rFonts w:ascii="宋体" w:hAnsi="宋体"/>
          <w:color w:val="auto"/>
          <w:szCs w:val="21"/>
          <w:highlight w:val="none"/>
        </w:rPr>
      </w:pPr>
      <w:r>
        <w:rPr>
          <w:rFonts w:hint="eastAsia" w:ascii="宋体" w:hAnsi="宋体"/>
          <w:color w:val="auto"/>
          <w:szCs w:val="21"/>
          <w:highlight w:val="none"/>
        </w:rPr>
        <w:t>十、本承诺书自签订之日起生效。</w:t>
      </w:r>
    </w:p>
    <w:p w14:paraId="2882C85A">
      <w:pPr>
        <w:spacing w:line="360" w:lineRule="auto"/>
        <w:ind w:firstLine="420"/>
        <w:rPr>
          <w:rFonts w:ascii="宋体" w:hAnsi="宋体"/>
          <w:color w:val="auto"/>
          <w:szCs w:val="21"/>
          <w:highlight w:val="none"/>
        </w:rPr>
      </w:pPr>
      <w:r>
        <w:rPr>
          <w:rFonts w:hint="eastAsia" w:ascii="宋体" w:hAnsi="宋体"/>
          <w:color w:val="auto"/>
          <w:szCs w:val="21"/>
          <w:highlight w:val="none"/>
        </w:rPr>
        <w:t> （注：法定代表人或负责人、主体名称发生变更的应当重新做出承诺。）</w:t>
      </w:r>
    </w:p>
    <w:p w14:paraId="2B92798A">
      <w:pPr>
        <w:spacing w:line="360" w:lineRule="auto"/>
        <w:rPr>
          <w:rFonts w:ascii="宋体" w:hAnsi="宋体"/>
          <w:color w:val="auto"/>
          <w:szCs w:val="21"/>
          <w:highlight w:val="none"/>
        </w:rPr>
      </w:pPr>
    </w:p>
    <w:p w14:paraId="0490ED20">
      <w:pPr>
        <w:spacing w:line="360" w:lineRule="auto"/>
        <w:jc w:val="center"/>
        <w:rPr>
          <w:rFonts w:ascii="宋体" w:hAnsi="宋体"/>
          <w:color w:val="auto"/>
          <w:szCs w:val="21"/>
          <w:highlight w:val="none"/>
        </w:rPr>
      </w:pPr>
      <w:r>
        <w:rPr>
          <w:rFonts w:hint="eastAsia" w:ascii="宋体" w:hAnsi="宋体"/>
          <w:color w:val="auto"/>
          <w:szCs w:val="21"/>
          <w:highlight w:val="none"/>
        </w:rPr>
        <w:t xml:space="preserve">　　　　　　　　　　        承诺单位（签章）：           </w:t>
      </w:r>
    </w:p>
    <w:p w14:paraId="353CF0C3">
      <w:pPr>
        <w:spacing w:line="360" w:lineRule="auto"/>
        <w:jc w:val="center"/>
        <w:rPr>
          <w:rFonts w:ascii="宋体" w:hAnsi="宋体"/>
          <w:color w:val="auto"/>
          <w:szCs w:val="21"/>
          <w:highlight w:val="none"/>
        </w:rPr>
      </w:pPr>
      <w:r>
        <w:rPr>
          <w:rFonts w:hint="eastAsia" w:ascii="宋体" w:hAnsi="宋体"/>
          <w:color w:val="auto"/>
          <w:szCs w:val="21"/>
          <w:highlight w:val="none"/>
        </w:rPr>
        <w:t>　　　　　　　　　   　  法定代表人（负责人）：</w:t>
      </w:r>
    </w:p>
    <w:p w14:paraId="4B277EC2">
      <w:pPr>
        <w:spacing w:line="360" w:lineRule="auto"/>
        <w:jc w:val="center"/>
        <w:rPr>
          <w:rFonts w:ascii="宋体" w:hAnsi="宋体"/>
          <w:color w:val="auto"/>
          <w:szCs w:val="21"/>
          <w:highlight w:val="none"/>
        </w:rPr>
      </w:pPr>
      <w:r>
        <w:rPr>
          <w:rFonts w:hint="eastAsia" w:ascii="宋体" w:hAnsi="宋体"/>
          <w:color w:val="auto"/>
          <w:szCs w:val="21"/>
          <w:highlight w:val="none"/>
        </w:rPr>
        <w:t>　　　　　　　　　      　年    月    日</w:t>
      </w:r>
    </w:p>
    <w:p w14:paraId="66E23F08">
      <w:pPr>
        <w:spacing w:line="360" w:lineRule="auto"/>
        <w:jc w:val="center"/>
        <w:rPr>
          <w:rFonts w:hint="eastAsia" w:ascii="宋体" w:hAnsi="宋体"/>
          <w:b/>
          <w:bCs/>
          <w:color w:val="auto"/>
          <w:highlight w:val="none"/>
        </w:rPr>
      </w:pPr>
    </w:p>
    <w:p w14:paraId="6BF2628C">
      <w:pPr>
        <w:rPr>
          <w:rFonts w:hint="eastAsia" w:ascii="宋体" w:hAnsi="宋体"/>
          <w:b/>
          <w:bCs/>
          <w:color w:val="auto"/>
          <w:highlight w:val="none"/>
        </w:rPr>
      </w:pPr>
      <w:r>
        <w:rPr>
          <w:rFonts w:hint="eastAsia" w:ascii="宋体" w:hAnsi="宋体"/>
          <w:b/>
          <w:bCs/>
          <w:color w:val="auto"/>
          <w:highlight w:val="none"/>
        </w:rPr>
        <w:br w:type="page"/>
      </w:r>
    </w:p>
    <w:p w14:paraId="2A2DC518">
      <w:pPr>
        <w:jc w:val="center"/>
        <w:rPr>
          <w:rFonts w:hint="eastAsia" w:ascii="宋体" w:hAnsi="宋体"/>
          <w:b/>
          <w:bCs/>
          <w:color w:val="auto"/>
          <w:highlight w:val="none"/>
        </w:rPr>
      </w:pPr>
      <w:r>
        <w:rPr>
          <w:rFonts w:hint="eastAsia" w:ascii="宋体" w:hAnsi="宋体"/>
          <w:b/>
          <w:bCs/>
          <w:color w:val="auto"/>
          <w:highlight w:val="none"/>
          <w:lang w:val="en-US" w:eastAsia="zh-CN"/>
        </w:rPr>
        <w:t>其他证明材料</w:t>
      </w:r>
      <w:r>
        <w:rPr>
          <w:rFonts w:hint="eastAsia" w:ascii="宋体" w:hAnsi="宋体"/>
          <w:b/>
          <w:bCs/>
          <w:color w:val="auto"/>
          <w:highlight w:val="none"/>
        </w:rPr>
        <w:br w:type="page"/>
      </w:r>
    </w:p>
    <w:p w14:paraId="79E4936C">
      <w:pPr>
        <w:spacing w:line="360" w:lineRule="auto"/>
        <w:jc w:val="center"/>
        <w:rPr>
          <w:rFonts w:hint="eastAsia" w:ascii="宋体" w:hAnsi="宋体"/>
          <w:b/>
          <w:bCs/>
          <w:color w:val="auto"/>
          <w:highlight w:val="none"/>
        </w:rPr>
      </w:pPr>
      <w:r>
        <w:rPr>
          <w:rFonts w:hint="eastAsia" w:ascii="宋体" w:hAnsi="宋体"/>
          <w:b/>
          <w:bCs/>
          <w:color w:val="auto"/>
          <w:highlight w:val="none"/>
        </w:rPr>
        <w:t>投标函格式</w:t>
      </w:r>
    </w:p>
    <w:p w14:paraId="2F7146DB">
      <w:pPr>
        <w:pStyle w:val="237"/>
        <w:rPr>
          <w:rFonts w:hint="eastAsia" w:hAnsi="宋体"/>
          <w:b/>
          <w:bCs/>
          <w:color w:val="auto"/>
          <w:highlight w:val="none"/>
        </w:rPr>
      </w:pPr>
    </w:p>
    <w:p w14:paraId="0D67C191">
      <w:pPr>
        <w:pStyle w:val="238"/>
        <w:rPr>
          <w:color w:val="auto"/>
          <w:highlight w:val="none"/>
          <w:lang w:eastAsia="zh-CN"/>
        </w:rPr>
      </w:pPr>
    </w:p>
    <w:p w14:paraId="04FA8243">
      <w:pPr>
        <w:pStyle w:val="333"/>
        <w:spacing w:before="0" w:after="0"/>
        <w:ind w:firstLine="0"/>
        <w:rPr>
          <w:rFonts w:ascii="宋体" w:hAnsi="宋体"/>
          <w:color w:val="auto"/>
          <w:sz w:val="21"/>
          <w:szCs w:val="21"/>
          <w:highlight w:val="none"/>
        </w:rPr>
      </w:pPr>
      <w:r>
        <w:rPr>
          <w:rFonts w:hint="eastAsia" w:ascii="宋体" w:hAnsi="宋体"/>
          <w:color w:val="auto"/>
          <w:sz w:val="21"/>
          <w:szCs w:val="21"/>
          <w:highlight w:val="none"/>
        </w:rPr>
        <w:t>致：</w:t>
      </w:r>
      <w:r>
        <w:rPr>
          <w:rFonts w:hint="eastAsia" w:hAnsi="宋体"/>
          <w:color w:val="auto"/>
          <w:sz w:val="21"/>
          <w:highlight w:val="none"/>
        </w:rPr>
        <w:t>（</w:t>
      </w:r>
      <w:r>
        <w:rPr>
          <w:rFonts w:hint="eastAsia" w:hAnsi="宋体"/>
          <w:color w:val="auto"/>
          <w:sz w:val="21"/>
          <w:highlight w:val="none"/>
          <w:lang w:eastAsia="zh-CN"/>
        </w:rPr>
        <w:t>江苏省招标中心有限公司</w:t>
      </w:r>
      <w:r>
        <w:rPr>
          <w:rFonts w:hint="eastAsia" w:hAnsi="宋体"/>
          <w:color w:val="auto"/>
          <w:sz w:val="21"/>
          <w:highlight w:val="none"/>
        </w:rPr>
        <w:t>）</w:t>
      </w:r>
    </w:p>
    <w:p w14:paraId="2CB63C8F">
      <w:pPr>
        <w:pStyle w:val="333"/>
        <w:spacing w:before="0" w:after="0"/>
        <w:ind w:firstLine="420"/>
        <w:rPr>
          <w:rFonts w:ascii="宋体" w:hAnsi="宋体"/>
          <w:color w:val="auto"/>
          <w:sz w:val="21"/>
          <w:szCs w:val="21"/>
          <w:highlight w:val="none"/>
        </w:rPr>
      </w:pPr>
      <w:r>
        <w:rPr>
          <w:rFonts w:hint="eastAsia" w:ascii="宋体" w:hAnsi="宋体"/>
          <w:color w:val="auto"/>
          <w:sz w:val="21"/>
          <w:szCs w:val="21"/>
          <w:highlight w:val="none"/>
        </w:rPr>
        <w:t>根据贵方的（）号采购文件，正式授权下述签字人_________________(姓名)代表我方______________（投标人的名称），全权处理本次项目投标的有关事宜。</w:t>
      </w:r>
    </w:p>
    <w:p w14:paraId="7399E018">
      <w:pPr>
        <w:pStyle w:val="333"/>
        <w:spacing w:before="0" w:after="0"/>
        <w:ind w:firstLine="420"/>
        <w:rPr>
          <w:rFonts w:ascii="宋体" w:hAnsi="宋体"/>
          <w:color w:val="auto"/>
          <w:sz w:val="21"/>
          <w:szCs w:val="21"/>
          <w:highlight w:val="none"/>
        </w:rPr>
      </w:pPr>
      <w:r>
        <w:rPr>
          <w:rFonts w:hint="eastAsia" w:ascii="宋体" w:hAnsi="宋体"/>
          <w:color w:val="auto"/>
          <w:sz w:val="21"/>
          <w:szCs w:val="21"/>
          <w:highlight w:val="none"/>
        </w:rPr>
        <w:t>据此函，__________签字人（姓名）兹宣布同意如下：</w:t>
      </w:r>
    </w:p>
    <w:p w14:paraId="766C6772">
      <w:pPr>
        <w:pStyle w:val="333"/>
        <w:spacing w:before="0" w:after="0"/>
        <w:ind w:firstLine="420"/>
        <w:rPr>
          <w:rFonts w:ascii="宋体" w:hAnsi="宋体"/>
          <w:color w:val="auto"/>
          <w:sz w:val="21"/>
          <w:szCs w:val="21"/>
          <w:highlight w:val="none"/>
        </w:rPr>
      </w:pPr>
      <w:r>
        <w:rPr>
          <w:rFonts w:hint="eastAsia" w:ascii="宋体" w:hAnsi="宋体"/>
          <w:color w:val="auto"/>
          <w:sz w:val="21"/>
          <w:szCs w:val="21"/>
          <w:highlight w:val="none"/>
        </w:rPr>
        <w:t>1.按采购文件规定的各项要求，向买方提供所需货物与服务。</w:t>
      </w:r>
    </w:p>
    <w:p w14:paraId="15BFEC3B">
      <w:pPr>
        <w:pStyle w:val="333"/>
        <w:spacing w:before="0" w:after="0"/>
        <w:ind w:firstLine="420"/>
        <w:rPr>
          <w:rFonts w:ascii="宋体" w:hAnsi="宋体"/>
          <w:color w:val="auto"/>
          <w:sz w:val="21"/>
          <w:szCs w:val="21"/>
          <w:highlight w:val="none"/>
        </w:rPr>
      </w:pPr>
      <w:r>
        <w:rPr>
          <w:rFonts w:hint="eastAsia" w:ascii="宋体" w:hAnsi="宋体"/>
          <w:color w:val="auto"/>
          <w:sz w:val="21"/>
          <w:szCs w:val="21"/>
          <w:highlight w:val="none"/>
        </w:rPr>
        <w:t>2.我们完全理解贵方不一定将合同授予最低报价的投标人。</w:t>
      </w:r>
    </w:p>
    <w:p w14:paraId="255B0C36">
      <w:pPr>
        <w:pStyle w:val="333"/>
        <w:spacing w:before="0" w:after="0"/>
        <w:ind w:firstLine="420"/>
        <w:rPr>
          <w:rFonts w:ascii="宋体" w:hAnsi="宋体"/>
          <w:color w:val="auto"/>
          <w:sz w:val="21"/>
          <w:szCs w:val="21"/>
          <w:highlight w:val="none"/>
        </w:rPr>
      </w:pPr>
      <w:r>
        <w:rPr>
          <w:rFonts w:hint="eastAsia" w:ascii="宋体" w:hAnsi="宋体"/>
          <w:color w:val="auto"/>
          <w:sz w:val="21"/>
          <w:szCs w:val="21"/>
          <w:highlight w:val="none"/>
        </w:rPr>
        <w:t>3.我们已详细审核全部采购文件及其有效补充文件，我们知道必须放弃提出含糊不清或误解问题的权利。</w:t>
      </w:r>
    </w:p>
    <w:p w14:paraId="7EDC1AC3">
      <w:pPr>
        <w:pStyle w:val="333"/>
        <w:spacing w:before="0" w:after="0"/>
        <w:rPr>
          <w:rFonts w:ascii="宋体" w:hAnsi="宋体"/>
          <w:color w:val="auto"/>
          <w:sz w:val="21"/>
          <w:szCs w:val="21"/>
          <w:highlight w:val="none"/>
        </w:rPr>
      </w:pPr>
      <w:r>
        <w:rPr>
          <w:rFonts w:hint="eastAsia" w:ascii="宋体" w:hAnsi="宋体"/>
          <w:color w:val="auto"/>
          <w:sz w:val="21"/>
          <w:szCs w:val="21"/>
          <w:highlight w:val="none"/>
        </w:rPr>
        <w:t>4.我们同意从规定的开标日期起遵循本投标文件，并在规定的投标有效期期满之前均具有约束力。</w:t>
      </w:r>
    </w:p>
    <w:p w14:paraId="48A752C0">
      <w:pPr>
        <w:pStyle w:val="333"/>
        <w:spacing w:before="0" w:after="0"/>
        <w:rPr>
          <w:rFonts w:ascii="宋体" w:hAnsi="宋体"/>
          <w:color w:val="auto"/>
          <w:sz w:val="21"/>
          <w:szCs w:val="21"/>
          <w:highlight w:val="none"/>
        </w:rPr>
      </w:pPr>
      <w:r>
        <w:rPr>
          <w:rFonts w:hint="eastAsia" w:ascii="宋体" w:hAnsi="宋体"/>
          <w:color w:val="auto"/>
          <w:sz w:val="21"/>
          <w:szCs w:val="21"/>
          <w:highlight w:val="none"/>
        </w:rPr>
        <w:t>5.同意向贵方提供贵方可能另外要求的与投标有关的任何证据或资料，并保证我方已提供和将要提供的文件是真实的、准确的。</w:t>
      </w:r>
    </w:p>
    <w:p w14:paraId="4A995CCA">
      <w:pPr>
        <w:pStyle w:val="333"/>
        <w:spacing w:before="0" w:after="0"/>
        <w:rPr>
          <w:rFonts w:ascii="宋体" w:hAnsi="宋体"/>
          <w:color w:val="auto"/>
          <w:sz w:val="21"/>
          <w:szCs w:val="21"/>
          <w:highlight w:val="none"/>
        </w:rPr>
      </w:pPr>
      <w:r>
        <w:rPr>
          <w:rFonts w:hint="eastAsia" w:ascii="宋体" w:hAnsi="宋体"/>
          <w:color w:val="auto"/>
          <w:sz w:val="21"/>
          <w:szCs w:val="21"/>
          <w:highlight w:val="none"/>
        </w:rPr>
        <w:t>6.一旦我方中标,我方将根据采购文件的规定，严格履行合同的责任和义务,并保证在采购文件规定的时间完成项目，交付买方验收、使用。</w:t>
      </w:r>
    </w:p>
    <w:p w14:paraId="3FF4AC13">
      <w:pPr>
        <w:pStyle w:val="333"/>
        <w:spacing w:before="0" w:after="0"/>
        <w:ind w:left="425" w:firstLine="105"/>
        <w:rPr>
          <w:rFonts w:ascii="宋体" w:hAnsi="宋体"/>
          <w:color w:val="auto"/>
          <w:sz w:val="21"/>
          <w:szCs w:val="21"/>
          <w:highlight w:val="none"/>
        </w:rPr>
      </w:pPr>
      <w:r>
        <w:rPr>
          <w:rFonts w:hint="eastAsia" w:ascii="宋体" w:hAnsi="宋体"/>
          <w:color w:val="auto"/>
          <w:sz w:val="21"/>
          <w:szCs w:val="21"/>
          <w:highlight w:val="none"/>
        </w:rPr>
        <w:t>7.与本投标有关的正式通讯地址为：</w:t>
      </w:r>
    </w:p>
    <w:p w14:paraId="6D5F848B">
      <w:pPr>
        <w:pStyle w:val="333"/>
        <w:spacing w:before="0" w:after="0"/>
        <w:ind w:firstLine="479"/>
        <w:rPr>
          <w:rFonts w:ascii="宋体" w:hAnsi="宋体"/>
          <w:color w:val="auto"/>
          <w:sz w:val="21"/>
          <w:szCs w:val="21"/>
          <w:highlight w:val="none"/>
        </w:rPr>
      </w:pPr>
      <w:r>
        <w:rPr>
          <w:rFonts w:hint="eastAsia" w:ascii="宋体" w:hAnsi="宋体"/>
          <w:color w:val="auto"/>
          <w:sz w:val="21"/>
          <w:szCs w:val="21"/>
          <w:highlight w:val="none"/>
        </w:rPr>
        <w:t>地 址：</w:t>
      </w:r>
    </w:p>
    <w:p w14:paraId="0959972C">
      <w:pPr>
        <w:pStyle w:val="333"/>
        <w:spacing w:before="0" w:after="0"/>
        <w:ind w:firstLine="479"/>
        <w:rPr>
          <w:rFonts w:ascii="宋体" w:hAnsi="宋体"/>
          <w:color w:val="auto"/>
          <w:sz w:val="21"/>
          <w:szCs w:val="21"/>
          <w:highlight w:val="none"/>
        </w:rPr>
      </w:pPr>
      <w:r>
        <w:rPr>
          <w:rFonts w:hint="eastAsia" w:ascii="宋体" w:hAnsi="宋体"/>
          <w:color w:val="auto"/>
          <w:sz w:val="21"/>
          <w:szCs w:val="21"/>
          <w:highlight w:val="none"/>
        </w:rPr>
        <w:t>邮 编：</w:t>
      </w:r>
    </w:p>
    <w:p w14:paraId="6A4CB6C3">
      <w:pPr>
        <w:pStyle w:val="333"/>
        <w:spacing w:before="0" w:after="0"/>
        <w:ind w:firstLine="479"/>
        <w:rPr>
          <w:rFonts w:ascii="宋体" w:hAnsi="宋体"/>
          <w:color w:val="auto"/>
          <w:sz w:val="21"/>
          <w:szCs w:val="21"/>
          <w:highlight w:val="none"/>
        </w:rPr>
      </w:pPr>
      <w:r>
        <w:rPr>
          <w:rFonts w:hint="eastAsia" w:ascii="宋体" w:hAnsi="宋体"/>
          <w:color w:val="auto"/>
          <w:sz w:val="21"/>
          <w:szCs w:val="21"/>
          <w:highlight w:val="none"/>
        </w:rPr>
        <w:t xml:space="preserve">电 话： </w:t>
      </w:r>
    </w:p>
    <w:p w14:paraId="57967879">
      <w:pPr>
        <w:pStyle w:val="333"/>
        <w:spacing w:before="0" w:after="0"/>
        <w:ind w:firstLine="479"/>
        <w:rPr>
          <w:rFonts w:ascii="宋体" w:hAnsi="宋体"/>
          <w:color w:val="auto"/>
          <w:sz w:val="21"/>
          <w:szCs w:val="21"/>
          <w:highlight w:val="none"/>
        </w:rPr>
      </w:pPr>
      <w:r>
        <w:rPr>
          <w:rFonts w:hint="eastAsia" w:ascii="宋体" w:hAnsi="宋体"/>
          <w:color w:val="auto"/>
          <w:sz w:val="21"/>
          <w:szCs w:val="21"/>
          <w:highlight w:val="none"/>
        </w:rPr>
        <w:t xml:space="preserve">传 真： </w:t>
      </w:r>
    </w:p>
    <w:p w14:paraId="2DE3B2E1">
      <w:pPr>
        <w:pStyle w:val="333"/>
        <w:spacing w:before="0" w:after="0"/>
        <w:ind w:firstLine="479"/>
        <w:rPr>
          <w:rFonts w:ascii="宋体" w:hAnsi="宋体"/>
          <w:color w:val="auto"/>
          <w:sz w:val="21"/>
          <w:szCs w:val="21"/>
          <w:highlight w:val="none"/>
        </w:rPr>
      </w:pPr>
      <w:r>
        <w:rPr>
          <w:rFonts w:hint="eastAsia" w:ascii="宋体" w:hAnsi="宋体"/>
          <w:color w:val="auto"/>
          <w:sz w:val="21"/>
          <w:szCs w:val="21"/>
          <w:highlight w:val="none"/>
        </w:rPr>
        <w:t>投标人开户行：</w:t>
      </w:r>
    </w:p>
    <w:p w14:paraId="176FA562">
      <w:pPr>
        <w:pStyle w:val="333"/>
        <w:spacing w:before="0" w:after="0"/>
        <w:ind w:firstLine="479"/>
        <w:rPr>
          <w:rFonts w:ascii="宋体" w:hAnsi="宋体"/>
          <w:color w:val="auto"/>
          <w:sz w:val="21"/>
          <w:szCs w:val="21"/>
          <w:highlight w:val="none"/>
        </w:rPr>
      </w:pPr>
      <w:r>
        <w:rPr>
          <w:rFonts w:hint="eastAsia" w:ascii="宋体" w:hAnsi="宋体"/>
          <w:color w:val="auto"/>
          <w:sz w:val="21"/>
          <w:szCs w:val="21"/>
          <w:highlight w:val="none"/>
        </w:rPr>
        <w:t xml:space="preserve">账 户： </w:t>
      </w:r>
    </w:p>
    <w:p w14:paraId="729504DF">
      <w:pPr>
        <w:pStyle w:val="333"/>
        <w:spacing w:before="0" w:after="0"/>
        <w:ind w:firstLine="479"/>
        <w:rPr>
          <w:rFonts w:ascii="宋体" w:hAnsi="宋体"/>
          <w:color w:val="auto"/>
          <w:sz w:val="21"/>
          <w:szCs w:val="21"/>
          <w:highlight w:val="none"/>
        </w:rPr>
      </w:pPr>
      <w:r>
        <w:rPr>
          <w:rFonts w:hint="eastAsia" w:ascii="宋体" w:hAnsi="宋体"/>
          <w:color w:val="auto"/>
          <w:sz w:val="21"/>
          <w:szCs w:val="21"/>
          <w:highlight w:val="none"/>
        </w:rPr>
        <w:t>行 号：</w:t>
      </w:r>
    </w:p>
    <w:p w14:paraId="71A844C4">
      <w:pPr>
        <w:pStyle w:val="333"/>
        <w:spacing w:before="0" w:after="0"/>
        <w:ind w:firstLine="479"/>
        <w:rPr>
          <w:rFonts w:ascii="宋体" w:hAnsi="宋体"/>
          <w:color w:val="auto"/>
          <w:sz w:val="21"/>
          <w:szCs w:val="21"/>
          <w:highlight w:val="none"/>
        </w:rPr>
      </w:pPr>
      <w:r>
        <w:rPr>
          <w:rFonts w:hint="eastAsia" w:ascii="宋体" w:hAnsi="宋体"/>
          <w:color w:val="auto"/>
          <w:sz w:val="21"/>
          <w:szCs w:val="21"/>
          <w:highlight w:val="none"/>
        </w:rPr>
        <w:t>日 期：________年____月____日</w:t>
      </w:r>
    </w:p>
    <w:p w14:paraId="21A08DF5">
      <w:pPr>
        <w:spacing w:line="360" w:lineRule="auto"/>
        <w:contextualSpacing/>
        <w:rPr>
          <w:rFonts w:ascii="宋体" w:hAnsi="宋体"/>
          <w:b/>
          <w:bCs/>
          <w:color w:val="auto"/>
          <w:sz w:val="32"/>
          <w:szCs w:val="32"/>
          <w:highlight w:val="none"/>
        </w:rPr>
      </w:pPr>
    </w:p>
    <w:p w14:paraId="7CCB001E">
      <w:pPr>
        <w:spacing w:line="360" w:lineRule="auto"/>
        <w:jc w:val="center"/>
        <w:rPr>
          <w:rFonts w:ascii="宋体" w:hAnsi="宋体"/>
          <w:b/>
          <w:color w:val="auto"/>
          <w:szCs w:val="21"/>
          <w:highlight w:val="none"/>
        </w:rPr>
      </w:pPr>
      <w:r>
        <w:rPr>
          <w:rFonts w:hint="eastAsia" w:ascii="宋体" w:hAnsi="宋体"/>
          <w:b/>
          <w:color w:val="auto"/>
          <w:sz w:val="32"/>
          <w:szCs w:val="32"/>
          <w:highlight w:val="none"/>
        </w:rPr>
        <w:br w:type="page"/>
      </w:r>
      <w:r>
        <w:rPr>
          <w:rFonts w:hint="eastAsia" w:ascii="宋体" w:hAnsi="宋体"/>
          <w:b/>
          <w:color w:val="auto"/>
          <w:szCs w:val="21"/>
          <w:highlight w:val="none"/>
        </w:rPr>
        <w:t>法人授权书</w:t>
      </w:r>
    </w:p>
    <w:p w14:paraId="27007ED4">
      <w:pPr>
        <w:pStyle w:val="302"/>
        <w:tabs>
          <w:tab w:val="left" w:pos="360"/>
        </w:tabs>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本授权书声明：</w:t>
      </w:r>
      <w:r>
        <w:rPr>
          <w:rFonts w:ascii="宋体" w:hAnsi="宋体"/>
          <w:color w:val="auto"/>
          <w:sz w:val="21"/>
          <w:szCs w:val="21"/>
          <w:highlight w:val="none"/>
        </w:rPr>
        <w:t>________________</w:t>
      </w:r>
      <w:r>
        <w:rPr>
          <w:rFonts w:hint="eastAsia" w:ascii="宋体" w:hAnsi="宋体"/>
          <w:color w:val="auto"/>
          <w:sz w:val="21"/>
          <w:szCs w:val="21"/>
          <w:highlight w:val="none"/>
        </w:rPr>
        <w:t>（投标人名称）授权</w:t>
      </w:r>
      <w:r>
        <w:rPr>
          <w:rFonts w:ascii="宋体" w:hAnsi="宋体"/>
          <w:color w:val="auto"/>
          <w:sz w:val="21"/>
          <w:szCs w:val="21"/>
          <w:highlight w:val="none"/>
        </w:rPr>
        <w:t>________________</w:t>
      </w:r>
      <w:r>
        <w:rPr>
          <w:rFonts w:hint="eastAsia" w:ascii="宋体" w:hAnsi="宋体"/>
          <w:color w:val="auto"/>
          <w:sz w:val="21"/>
          <w:szCs w:val="21"/>
          <w:highlight w:val="none"/>
        </w:rPr>
        <w:t>（被授权人的姓名）为我方就（项目编号）号（项目名称）项目采购活动的合法代理人，以本公司名义全权处理一切与该项目采购有关的事务。</w:t>
      </w:r>
    </w:p>
    <w:p w14:paraId="30995EC1">
      <w:pPr>
        <w:pStyle w:val="302"/>
        <w:tabs>
          <w:tab w:val="left" w:pos="360"/>
        </w:tabs>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本授权书于</w:t>
      </w:r>
      <w:r>
        <w:rPr>
          <w:rFonts w:ascii="宋体" w:hAnsi="宋体"/>
          <w:color w:val="auto"/>
          <w:sz w:val="21"/>
          <w:szCs w:val="21"/>
          <w:highlight w:val="none"/>
        </w:rPr>
        <w:t>______</w:t>
      </w:r>
      <w:r>
        <w:rPr>
          <w:rFonts w:hint="eastAsia" w:ascii="宋体" w:hAnsi="宋体"/>
          <w:color w:val="auto"/>
          <w:sz w:val="21"/>
          <w:szCs w:val="21"/>
          <w:highlight w:val="none"/>
        </w:rPr>
        <w:t>年</w:t>
      </w:r>
      <w:r>
        <w:rPr>
          <w:rFonts w:ascii="宋体" w:hAnsi="宋体"/>
          <w:color w:val="auto"/>
          <w:sz w:val="21"/>
          <w:szCs w:val="21"/>
          <w:highlight w:val="none"/>
        </w:rPr>
        <w:t>____</w:t>
      </w:r>
      <w:r>
        <w:rPr>
          <w:rFonts w:hint="eastAsia" w:ascii="宋体" w:hAnsi="宋体"/>
          <w:color w:val="auto"/>
          <w:sz w:val="21"/>
          <w:szCs w:val="21"/>
          <w:highlight w:val="none"/>
        </w:rPr>
        <w:t>月</w:t>
      </w:r>
      <w:r>
        <w:rPr>
          <w:rFonts w:ascii="宋体" w:hAnsi="宋体"/>
          <w:color w:val="auto"/>
          <w:sz w:val="21"/>
          <w:szCs w:val="21"/>
          <w:highlight w:val="none"/>
        </w:rPr>
        <w:t>____</w:t>
      </w:r>
      <w:r>
        <w:rPr>
          <w:rFonts w:hint="eastAsia" w:ascii="宋体" w:hAnsi="宋体"/>
          <w:color w:val="auto"/>
          <w:sz w:val="21"/>
          <w:szCs w:val="21"/>
          <w:highlight w:val="none"/>
        </w:rPr>
        <w:t>日起生效，特此声明。</w:t>
      </w:r>
    </w:p>
    <w:p w14:paraId="15DEB46B">
      <w:pPr>
        <w:pStyle w:val="302"/>
        <w:tabs>
          <w:tab w:val="left" w:pos="360"/>
        </w:tabs>
        <w:spacing w:line="360" w:lineRule="auto"/>
        <w:ind w:firstLine="0"/>
        <w:rPr>
          <w:rFonts w:ascii="宋体" w:hAnsi="宋体"/>
          <w:color w:val="auto"/>
          <w:sz w:val="21"/>
          <w:szCs w:val="21"/>
          <w:highlight w:val="none"/>
        </w:rPr>
      </w:pPr>
      <w:r>
        <w:rPr>
          <w:rFonts w:ascii="宋体" w:hAnsi="宋体"/>
          <w:color w:val="auto"/>
          <w:sz w:val="21"/>
          <w:szCs w:val="21"/>
          <w:highlight w:val="none"/>
        </w:rPr>
        <w:t xml:space="preserve">    </w:t>
      </w:r>
    </w:p>
    <w:p w14:paraId="236B83FF">
      <w:pPr>
        <w:pStyle w:val="302"/>
        <w:tabs>
          <w:tab w:val="left" w:pos="360"/>
        </w:tabs>
        <w:spacing w:line="360" w:lineRule="auto"/>
        <w:ind w:firstLine="420"/>
        <w:rPr>
          <w:rFonts w:ascii="宋体" w:hAnsi="宋体"/>
          <w:color w:val="auto"/>
          <w:sz w:val="21"/>
          <w:szCs w:val="21"/>
          <w:highlight w:val="none"/>
          <w:u w:val="single"/>
        </w:rPr>
      </w:pPr>
      <w:r>
        <w:rPr>
          <w:rFonts w:hint="eastAsia" w:ascii="宋体" w:hAnsi="宋体"/>
          <w:color w:val="auto"/>
          <w:sz w:val="21"/>
          <w:szCs w:val="21"/>
          <w:highlight w:val="none"/>
        </w:rPr>
        <w:t>被授权人姓名：</w:t>
      </w:r>
      <w:r>
        <w:rPr>
          <w:rFonts w:ascii="宋体" w:hAnsi="宋体"/>
          <w:color w:val="auto"/>
          <w:sz w:val="21"/>
          <w:szCs w:val="21"/>
          <w:highlight w:val="none"/>
        </w:rPr>
        <w:t>_________________</w:t>
      </w:r>
      <w:r>
        <w:rPr>
          <w:rFonts w:hint="eastAsia" w:ascii="宋体" w:hAnsi="宋体"/>
          <w:color w:val="auto"/>
          <w:sz w:val="21"/>
          <w:szCs w:val="21"/>
          <w:highlight w:val="none"/>
        </w:rPr>
        <w:t xml:space="preserve">         </w:t>
      </w:r>
    </w:p>
    <w:p w14:paraId="09A8B8BE">
      <w:pPr>
        <w:pStyle w:val="302"/>
        <w:tabs>
          <w:tab w:val="left" w:pos="360"/>
        </w:tabs>
        <w:spacing w:line="360" w:lineRule="auto"/>
        <w:ind w:firstLine="420"/>
        <w:rPr>
          <w:rFonts w:ascii="宋体" w:hAnsi="宋体"/>
          <w:color w:val="auto"/>
          <w:sz w:val="21"/>
          <w:szCs w:val="21"/>
          <w:highlight w:val="none"/>
          <w:u w:val="single"/>
        </w:rPr>
      </w:pPr>
      <w:r>
        <w:rPr>
          <w:rFonts w:hint="eastAsia" w:ascii="宋体" w:hAnsi="宋体"/>
          <w:color w:val="auto"/>
          <w:sz w:val="21"/>
          <w:szCs w:val="21"/>
          <w:highlight w:val="none"/>
        </w:rPr>
        <w:t>联系电话（手机）：</w:t>
      </w:r>
      <w:r>
        <w:rPr>
          <w:rFonts w:hint="eastAsia" w:ascii="宋体" w:hAnsi="宋体"/>
          <w:color w:val="auto"/>
          <w:sz w:val="21"/>
          <w:szCs w:val="21"/>
          <w:highlight w:val="none"/>
          <w:u w:val="single"/>
        </w:rPr>
        <w:t xml:space="preserve">                             </w:t>
      </w:r>
    </w:p>
    <w:p w14:paraId="2A9F9764">
      <w:pPr>
        <w:pStyle w:val="302"/>
        <w:tabs>
          <w:tab w:val="left" w:pos="360"/>
        </w:tabs>
        <w:spacing w:line="360" w:lineRule="auto"/>
        <w:ind w:firstLine="0"/>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单位名称：</w:t>
      </w:r>
      <w:r>
        <w:rPr>
          <w:rFonts w:ascii="宋体" w:hAnsi="宋体"/>
          <w:color w:val="auto"/>
          <w:sz w:val="21"/>
          <w:szCs w:val="21"/>
          <w:highlight w:val="none"/>
        </w:rPr>
        <w:t>____________________________________</w:t>
      </w:r>
    </w:p>
    <w:p w14:paraId="1128C1EC">
      <w:pPr>
        <w:pStyle w:val="302"/>
        <w:tabs>
          <w:tab w:val="left" w:pos="360"/>
        </w:tabs>
        <w:spacing w:line="360" w:lineRule="auto"/>
        <w:ind w:firstLine="420"/>
        <w:rPr>
          <w:color w:val="auto"/>
          <w:sz w:val="21"/>
          <w:szCs w:val="21"/>
          <w:highlight w:val="none"/>
          <w:u w:val="single"/>
        </w:rPr>
      </w:pPr>
      <w:r>
        <w:rPr>
          <w:rFonts w:hint="eastAsia"/>
          <w:color w:val="auto"/>
          <w:sz w:val="21"/>
          <w:szCs w:val="21"/>
          <w:highlight w:val="none"/>
        </w:rPr>
        <w:t>单位地址：</w:t>
      </w:r>
      <w:r>
        <w:rPr>
          <w:color w:val="auto"/>
          <w:sz w:val="21"/>
          <w:szCs w:val="21"/>
          <w:highlight w:val="none"/>
          <w:u w:val="single"/>
        </w:rPr>
        <w:t xml:space="preserve">                                         </w:t>
      </w:r>
    </w:p>
    <w:p w14:paraId="140D34DD">
      <w:pPr>
        <w:pStyle w:val="302"/>
        <w:tabs>
          <w:tab w:val="left" w:pos="360"/>
        </w:tabs>
        <w:spacing w:line="360" w:lineRule="auto"/>
        <w:ind w:firstLine="420"/>
        <w:rPr>
          <w:color w:val="auto"/>
          <w:sz w:val="21"/>
          <w:szCs w:val="21"/>
          <w:highlight w:val="none"/>
        </w:rPr>
      </w:pPr>
      <w:r>
        <w:rPr>
          <w:rFonts w:hint="eastAsia"/>
          <w:color w:val="auto"/>
          <w:sz w:val="21"/>
          <w:szCs w:val="21"/>
          <w:highlight w:val="none"/>
        </w:rPr>
        <w:t>日期：</w:t>
      </w:r>
      <w:r>
        <w:rPr>
          <w:color w:val="auto"/>
          <w:sz w:val="21"/>
          <w:szCs w:val="21"/>
          <w:highlight w:val="none"/>
          <w:u w:val="single"/>
        </w:rPr>
        <w:t xml:space="preserve">                                         </w:t>
      </w:r>
      <w:r>
        <w:rPr>
          <w:color w:val="auto"/>
          <w:sz w:val="21"/>
          <w:szCs w:val="21"/>
          <w:highlight w:val="none"/>
        </w:rPr>
        <w:t xml:space="preserve"> </w:t>
      </w:r>
    </w:p>
    <w:p w14:paraId="17C18EB5">
      <w:pPr>
        <w:spacing w:line="360" w:lineRule="auto"/>
        <w:rPr>
          <w:rFonts w:ascii="宋体" w:hAnsi="宋体"/>
          <w:bCs/>
          <w:color w:val="auto"/>
          <w:highlight w:val="none"/>
        </w:rPr>
      </w:pPr>
    </w:p>
    <w:p w14:paraId="589B842A">
      <w:pPr>
        <w:spacing w:line="360" w:lineRule="auto"/>
        <w:rPr>
          <w:rFonts w:ascii="宋体" w:hAnsi="宋体"/>
          <w:bCs/>
          <w:color w:val="auto"/>
          <w:sz w:val="24"/>
          <w:highlight w:val="none"/>
        </w:rPr>
      </w:pPr>
    </w:p>
    <w:p w14:paraId="434D953E">
      <w:pPr>
        <w:spacing w:line="360" w:lineRule="auto"/>
        <w:rPr>
          <w:rFonts w:hint="eastAsia" w:ascii="宋体" w:hAnsi="宋体"/>
          <w:bCs/>
          <w:color w:val="auto"/>
          <w:highlight w:val="none"/>
        </w:rPr>
      </w:pPr>
      <w:r>
        <w:rPr>
          <w:rFonts w:hint="eastAsia" w:ascii="宋体" w:hAnsi="宋体"/>
          <w:bCs/>
          <w:color w:val="auto"/>
          <w:highlight w:val="none"/>
        </w:rPr>
        <w:t>注：</w:t>
      </w:r>
    </w:p>
    <w:p w14:paraId="186B2D54">
      <w:pPr>
        <w:spacing w:line="360" w:lineRule="auto"/>
        <w:ind w:firstLine="420"/>
        <w:rPr>
          <w:rFonts w:hint="eastAsia" w:ascii="宋体" w:hAnsi="宋体"/>
          <w:bCs/>
          <w:color w:val="auto"/>
          <w:highlight w:val="none"/>
        </w:rPr>
      </w:pPr>
      <w:r>
        <w:rPr>
          <w:rFonts w:hint="eastAsia" w:ascii="宋体" w:hAnsi="宋体"/>
          <w:bCs/>
          <w:color w:val="auto"/>
          <w:highlight w:val="none"/>
        </w:rPr>
        <w:t>1、需同时提供法定代表人和被授权人身份证复印件，如法定代表人签署文件则无需出具授权书，仅需提供法定代表人身份证复印件</w:t>
      </w:r>
    </w:p>
    <w:p w14:paraId="7ABFC969">
      <w:pPr>
        <w:spacing w:line="360" w:lineRule="auto"/>
        <w:ind w:firstLine="420"/>
        <w:rPr>
          <w:rFonts w:hint="eastAsia" w:ascii="宋体" w:hAnsi="宋体"/>
          <w:bCs/>
          <w:color w:val="auto"/>
          <w:highlight w:val="none"/>
        </w:rPr>
        <w:sectPr>
          <w:headerReference r:id="rId5" w:type="default"/>
          <w:footerReference r:id="rId6" w:type="default"/>
          <w:pgSz w:w="11906" w:h="16838"/>
          <w:pgMar w:top="1440" w:right="1803" w:bottom="1440" w:left="1803" w:header="851" w:footer="992" w:gutter="0"/>
          <w:pgNumType w:fmt="decimal"/>
          <w:cols w:space="0" w:num="1"/>
          <w:rtlGutter w:val="0"/>
          <w:docGrid w:linePitch="360" w:charSpace="0"/>
        </w:sectPr>
      </w:pPr>
    </w:p>
    <w:p w14:paraId="197D5630">
      <w:pPr>
        <w:pStyle w:val="242"/>
        <w:spacing w:line="360" w:lineRule="auto"/>
        <w:rPr>
          <w:rFonts w:ascii="宋体" w:hAnsi="宋体"/>
          <w:b/>
          <w:color w:val="auto"/>
          <w:sz w:val="32"/>
          <w:szCs w:val="32"/>
          <w:highlight w:val="none"/>
        </w:rPr>
      </w:pPr>
      <w:bookmarkStart w:id="85" w:name="_Toc7308"/>
      <w:r>
        <w:rPr>
          <w:rFonts w:hint="eastAsia" w:ascii="宋体" w:hAnsi="宋体" w:eastAsia="宋体"/>
          <w:color w:val="auto"/>
          <w:sz w:val="32"/>
          <w:highlight w:val="none"/>
        </w:rPr>
        <w:t>二、符合性审查响应对照表</w:t>
      </w:r>
      <w:bookmarkEnd w:id="85"/>
    </w:p>
    <w:tbl>
      <w:tblPr>
        <w:tblStyle w:val="38"/>
        <w:tblpPr w:leftFromText="180" w:rightFromText="180" w:vertAnchor="text" w:horzAnchor="page" w:tblpX="1447" w:tblpY="297"/>
        <w:tblOverlap w:val="neve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148B9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0C790760">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序号</w:t>
            </w:r>
          </w:p>
        </w:tc>
        <w:tc>
          <w:tcPr>
            <w:tcW w:w="5447" w:type="dxa"/>
            <w:noWrap w:val="0"/>
            <w:vAlign w:val="center"/>
          </w:tcPr>
          <w:p w14:paraId="6CCBCE88">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符合性审查响应内容</w:t>
            </w:r>
          </w:p>
        </w:tc>
        <w:tc>
          <w:tcPr>
            <w:tcW w:w="1680" w:type="dxa"/>
            <w:noWrap w:val="0"/>
            <w:vAlign w:val="center"/>
          </w:tcPr>
          <w:p w14:paraId="25F7567B">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是否响应</w:t>
            </w:r>
          </w:p>
          <w:p w14:paraId="74543683">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（填是或者否）</w:t>
            </w:r>
          </w:p>
        </w:tc>
        <w:tc>
          <w:tcPr>
            <w:tcW w:w="1308" w:type="dxa"/>
            <w:noWrap w:val="0"/>
            <w:vAlign w:val="center"/>
          </w:tcPr>
          <w:p w14:paraId="076647E3">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响应情况</w:t>
            </w:r>
          </w:p>
        </w:tc>
      </w:tr>
      <w:tr w14:paraId="7B58F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784CCCE6">
            <w:pPr>
              <w:spacing w:line="360" w:lineRule="auto"/>
              <w:jc w:val="center"/>
              <w:rPr>
                <w:rFonts w:hint="eastAsia" w:ascii="宋体" w:hAnsi="宋体"/>
                <w:bCs/>
                <w:color w:val="auto"/>
                <w:szCs w:val="21"/>
                <w:highlight w:val="none"/>
              </w:rPr>
            </w:pPr>
            <w:r>
              <w:rPr>
                <w:rFonts w:hint="eastAsia" w:ascii="宋体" w:hAnsi="宋体"/>
                <w:bCs/>
                <w:color w:val="auto"/>
                <w:szCs w:val="21"/>
                <w:highlight w:val="none"/>
              </w:rPr>
              <w:t>1</w:t>
            </w:r>
          </w:p>
        </w:tc>
        <w:tc>
          <w:tcPr>
            <w:tcW w:w="5447" w:type="dxa"/>
            <w:noWrap w:val="0"/>
            <w:vAlign w:val="center"/>
          </w:tcPr>
          <w:p w14:paraId="687B74DC">
            <w:pPr>
              <w:spacing w:line="360" w:lineRule="auto"/>
              <w:jc w:val="left"/>
              <w:rPr>
                <w:color w:val="auto"/>
                <w:szCs w:val="21"/>
                <w:highlight w:val="none"/>
              </w:rPr>
            </w:pPr>
            <w:r>
              <w:rPr>
                <w:rFonts w:hint="eastAsia"/>
                <w:color w:val="auto"/>
                <w:szCs w:val="21"/>
                <w:highlight w:val="none"/>
              </w:rPr>
              <w:t>非选择性报价</w:t>
            </w:r>
          </w:p>
        </w:tc>
        <w:tc>
          <w:tcPr>
            <w:tcW w:w="1680" w:type="dxa"/>
            <w:noWrap w:val="0"/>
            <w:vAlign w:val="center"/>
          </w:tcPr>
          <w:p w14:paraId="41FE0541">
            <w:pPr>
              <w:spacing w:line="360" w:lineRule="auto"/>
              <w:rPr>
                <w:rFonts w:ascii="宋体" w:hAnsi="宋体"/>
                <w:b/>
                <w:color w:val="auto"/>
                <w:szCs w:val="21"/>
                <w:highlight w:val="none"/>
              </w:rPr>
            </w:pPr>
          </w:p>
        </w:tc>
        <w:tc>
          <w:tcPr>
            <w:tcW w:w="1308" w:type="dxa"/>
            <w:noWrap w:val="0"/>
            <w:vAlign w:val="center"/>
          </w:tcPr>
          <w:p w14:paraId="42ECFEED">
            <w:pPr>
              <w:spacing w:line="360" w:lineRule="auto"/>
              <w:rPr>
                <w:rFonts w:ascii="宋体" w:hAnsi="宋体"/>
                <w:b/>
                <w:color w:val="auto"/>
                <w:szCs w:val="21"/>
                <w:highlight w:val="none"/>
              </w:rPr>
            </w:pPr>
          </w:p>
        </w:tc>
      </w:tr>
      <w:tr w14:paraId="7DB5E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0B04C1B8">
            <w:pPr>
              <w:spacing w:line="360" w:lineRule="auto"/>
              <w:jc w:val="center"/>
              <w:rPr>
                <w:rFonts w:hint="eastAsia" w:ascii="宋体" w:hAnsi="宋体"/>
                <w:b/>
                <w:color w:val="auto"/>
                <w:szCs w:val="21"/>
                <w:highlight w:val="none"/>
              </w:rPr>
            </w:pPr>
            <w:r>
              <w:rPr>
                <w:rFonts w:hint="eastAsia" w:ascii="宋体" w:hAnsi="宋体"/>
                <w:bCs/>
                <w:color w:val="auto"/>
                <w:szCs w:val="21"/>
                <w:highlight w:val="none"/>
              </w:rPr>
              <w:t>2</w:t>
            </w:r>
          </w:p>
        </w:tc>
        <w:tc>
          <w:tcPr>
            <w:tcW w:w="5447" w:type="dxa"/>
            <w:noWrap w:val="0"/>
            <w:vAlign w:val="center"/>
          </w:tcPr>
          <w:p w14:paraId="7B81035D">
            <w:pPr>
              <w:spacing w:line="360" w:lineRule="auto"/>
              <w:jc w:val="left"/>
              <w:rPr>
                <w:rFonts w:ascii="宋体" w:hAnsi="宋体"/>
                <w:iCs/>
                <w:color w:val="auto"/>
                <w:szCs w:val="21"/>
                <w:highlight w:val="none"/>
              </w:rPr>
            </w:pPr>
            <w:r>
              <w:rPr>
                <w:color w:val="auto"/>
                <w:szCs w:val="21"/>
                <w:highlight w:val="none"/>
              </w:rPr>
              <w:t>法定代表人身份证明或授权委托书</w:t>
            </w:r>
          </w:p>
        </w:tc>
        <w:tc>
          <w:tcPr>
            <w:tcW w:w="1680" w:type="dxa"/>
            <w:noWrap w:val="0"/>
            <w:vAlign w:val="center"/>
          </w:tcPr>
          <w:p w14:paraId="01D883CD">
            <w:pPr>
              <w:spacing w:line="360" w:lineRule="auto"/>
              <w:rPr>
                <w:rFonts w:ascii="宋体" w:hAnsi="宋体"/>
                <w:b/>
                <w:color w:val="auto"/>
                <w:szCs w:val="21"/>
                <w:highlight w:val="none"/>
              </w:rPr>
            </w:pPr>
          </w:p>
        </w:tc>
        <w:tc>
          <w:tcPr>
            <w:tcW w:w="1308" w:type="dxa"/>
            <w:noWrap w:val="0"/>
            <w:vAlign w:val="center"/>
          </w:tcPr>
          <w:p w14:paraId="29E4727D">
            <w:pPr>
              <w:spacing w:line="360" w:lineRule="auto"/>
              <w:rPr>
                <w:rFonts w:ascii="宋体" w:hAnsi="宋体"/>
                <w:b/>
                <w:color w:val="auto"/>
                <w:szCs w:val="21"/>
                <w:highlight w:val="none"/>
              </w:rPr>
            </w:pPr>
          </w:p>
        </w:tc>
      </w:tr>
      <w:tr w14:paraId="723DD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0CEAC5A3">
            <w:pPr>
              <w:spacing w:line="360" w:lineRule="auto"/>
              <w:jc w:val="center"/>
              <w:rPr>
                <w:rFonts w:hint="eastAsia" w:ascii="宋体" w:hAnsi="宋体"/>
                <w:color w:val="auto"/>
                <w:szCs w:val="21"/>
                <w:highlight w:val="none"/>
              </w:rPr>
            </w:pPr>
            <w:r>
              <w:rPr>
                <w:rFonts w:hint="eastAsia" w:ascii="宋体" w:hAnsi="宋体"/>
                <w:color w:val="auto"/>
                <w:szCs w:val="21"/>
                <w:highlight w:val="none"/>
              </w:rPr>
              <w:t>3</w:t>
            </w:r>
          </w:p>
        </w:tc>
        <w:tc>
          <w:tcPr>
            <w:tcW w:w="5447" w:type="dxa"/>
            <w:noWrap w:val="0"/>
            <w:vAlign w:val="center"/>
          </w:tcPr>
          <w:p w14:paraId="64847227">
            <w:pPr>
              <w:spacing w:line="360" w:lineRule="auto"/>
              <w:jc w:val="left"/>
              <w:rPr>
                <w:rFonts w:ascii="宋体" w:hAnsi="宋体"/>
                <w:iCs/>
                <w:color w:val="auto"/>
                <w:szCs w:val="21"/>
                <w:highlight w:val="none"/>
              </w:rPr>
            </w:pPr>
            <w:r>
              <w:rPr>
                <w:color w:val="auto"/>
                <w:szCs w:val="21"/>
                <w:highlight w:val="none"/>
              </w:rPr>
              <w:t>投标文件签署、盖章齐全完整</w:t>
            </w:r>
          </w:p>
        </w:tc>
        <w:tc>
          <w:tcPr>
            <w:tcW w:w="1680" w:type="dxa"/>
            <w:noWrap w:val="0"/>
            <w:vAlign w:val="center"/>
          </w:tcPr>
          <w:p w14:paraId="709B2771">
            <w:pPr>
              <w:spacing w:line="360" w:lineRule="auto"/>
              <w:rPr>
                <w:rFonts w:ascii="宋体" w:hAnsi="宋体"/>
                <w:color w:val="auto"/>
                <w:szCs w:val="21"/>
                <w:highlight w:val="none"/>
              </w:rPr>
            </w:pPr>
          </w:p>
        </w:tc>
        <w:tc>
          <w:tcPr>
            <w:tcW w:w="1308" w:type="dxa"/>
            <w:noWrap w:val="0"/>
            <w:vAlign w:val="center"/>
          </w:tcPr>
          <w:p w14:paraId="3153EC16">
            <w:pPr>
              <w:spacing w:line="360" w:lineRule="auto"/>
              <w:rPr>
                <w:rFonts w:ascii="宋体" w:hAnsi="宋体"/>
                <w:color w:val="auto"/>
                <w:szCs w:val="21"/>
                <w:highlight w:val="none"/>
              </w:rPr>
            </w:pPr>
          </w:p>
        </w:tc>
      </w:tr>
      <w:tr w14:paraId="57257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40C55E06">
            <w:pPr>
              <w:spacing w:line="360" w:lineRule="auto"/>
              <w:jc w:val="center"/>
              <w:rPr>
                <w:rFonts w:hint="eastAsia" w:ascii="宋体" w:hAnsi="宋体"/>
                <w:color w:val="auto"/>
                <w:szCs w:val="21"/>
                <w:highlight w:val="none"/>
              </w:rPr>
            </w:pPr>
            <w:r>
              <w:rPr>
                <w:rFonts w:hint="eastAsia" w:ascii="宋体" w:hAnsi="宋体"/>
                <w:color w:val="auto"/>
                <w:szCs w:val="21"/>
                <w:highlight w:val="none"/>
              </w:rPr>
              <w:t>4</w:t>
            </w:r>
          </w:p>
        </w:tc>
        <w:tc>
          <w:tcPr>
            <w:tcW w:w="5447" w:type="dxa"/>
            <w:noWrap w:val="0"/>
            <w:vAlign w:val="center"/>
          </w:tcPr>
          <w:p w14:paraId="1BBA74AF">
            <w:pPr>
              <w:spacing w:line="360" w:lineRule="auto"/>
              <w:jc w:val="left"/>
              <w:rPr>
                <w:rFonts w:ascii="宋体" w:hAnsi="宋体"/>
                <w:iCs/>
                <w:color w:val="auto"/>
                <w:szCs w:val="21"/>
                <w:highlight w:val="none"/>
              </w:rPr>
            </w:pPr>
            <w:r>
              <w:rPr>
                <w:rFonts w:hint="eastAsia"/>
                <w:color w:val="auto"/>
                <w:szCs w:val="21"/>
                <w:highlight w:val="none"/>
              </w:rPr>
              <w:t>投标有效期</w:t>
            </w:r>
          </w:p>
        </w:tc>
        <w:tc>
          <w:tcPr>
            <w:tcW w:w="1680" w:type="dxa"/>
            <w:noWrap w:val="0"/>
            <w:vAlign w:val="center"/>
          </w:tcPr>
          <w:p w14:paraId="26416412">
            <w:pPr>
              <w:spacing w:line="360" w:lineRule="auto"/>
              <w:rPr>
                <w:rFonts w:ascii="宋体" w:hAnsi="宋体"/>
                <w:color w:val="auto"/>
                <w:szCs w:val="21"/>
                <w:highlight w:val="none"/>
              </w:rPr>
            </w:pPr>
          </w:p>
        </w:tc>
        <w:tc>
          <w:tcPr>
            <w:tcW w:w="1308" w:type="dxa"/>
            <w:noWrap w:val="0"/>
            <w:vAlign w:val="center"/>
          </w:tcPr>
          <w:p w14:paraId="2FC693F3">
            <w:pPr>
              <w:spacing w:line="360" w:lineRule="auto"/>
              <w:rPr>
                <w:rFonts w:ascii="宋体" w:hAnsi="宋体"/>
                <w:color w:val="auto"/>
                <w:szCs w:val="21"/>
                <w:highlight w:val="none"/>
              </w:rPr>
            </w:pPr>
          </w:p>
        </w:tc>
      </w:tr>
      <w:tr w14:paraId="3BEA7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732D2D4B">
            <w:pPr>
              <w:spacing w:line="360" w:lineRule="auto"/>
              <w:jc w:val="center"/>
              <w:rPr>
                <w:rFonts w:hint="eastAsia" w:ascii="宋体" w:hAnsi="宋体"/>
                <w:color w:val="auto"/>
                <w:szCs w:val="21"/>
                <w:highlight w:val="none"/>
              </w:rPr>
            </w:pPr>
            <w:r>
              <w:rPr>
                <w:rFonts w:hint="eastAsia" w:ascii="宋体" w:hAnsi="宋体"/>
                <w:color w:val="auto"/>
                <w:szCs w:val="21"/>
                <w:highlight w:val="none"/>
              </w:rPr>
              <w:t>5</w:t>
            </w:r>
          </w:p>
        </w:tc>
        <w:tc>
          <w:tcPr>
            <w:tcW w:w="5447" w:type="dxa"/>
            <w:noWrap w:val="0"/>
            <w:vAlign w:val="center"/>
          </w:tcPr>
          <w:p w14:paraId="1344AF59">
            <w:pPr>
              <w:spacing w:line="360" w:lineRule="auto"/>
              <w:jc w:val="left"/>
              <w:rPr>
                <w:rFonts w:hint="eastAsia"/>
                <w:color w:val="auto"/>
                <w:szCs w:val="21"/>
                <w:highlight w:val="none"/>
              </w:rPr>
            </w:pPr>
            <w:r>
              <w:rPr>
                <w:rFonts w:hint="eastAsia"/>
                <w:color w:val="auto"/>
                <w:szCs w:val="21"/>
                <w:highlight w:val="none"/>
              </w:rPr>
              <w:t>中小企业声明函</w:t>
            </w:r>
          </w:p>
        </w:tc>
        <w:tc>
          <w:tcPr>
            <w:tcW w:w="1680" w:type="dxa"/>
            <w:noWrap w:val="0"/>
            <w:vAlign w:val="center"/>
          </w:tcPr>
          <w:p w14:paraId="578D23E3">
            <w:pPr>
              <w:spacing w:line="360" w:lineRule="auto"/>
              <w:rPr>
                <w:rFonts w:ascii="宋体" w:hAnsi="宋体"/>
                <w:color w:val="auto"/>
                <w:szCs w:val="21"/>
                <w:highlight w:val="none"/>
              </w:rPr>
            </w:pPr>
          </w:p>
        </w:tc>
        <w:tc>
          <w:tcPr>
            <w:tcW w:w="1308" w:type="dxa"/>
            <w:noWrap w:val="0"/>
            <w:vAlign w:val="center"/>
          </w:tcPr>
          <w:p w14:paraId="29C8EFE7">
            <w:pPr>
              <w:spacing w:line="360" w:lineRule="auto"/>
              <w:rPr>
                <w:rFonts w:ascii="宋体" w:hAnsi="宋体"/>
                <w:color w:val="auto"/>
                <w:szCs w:val="21"/>
                <w:highlight w:val="none"/>
              </w:rPr>
            </w:pPr>
          </w:p>
        </w:tc>
      </w:tr>
      <w:tr w14:paraId="397FC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15FEEBE4">
            <w:pPr>
              <w:spacing w:line="360" w:lineRule="auto"/>
              <w:jc w:val="center"/>
              <w:rPr>
                <w:rFonts w:hint="eastAsia" w:ascii="宋体" w:hAnsi="宋体"/>
                <w:color w:val="auto"/>
                <w:szCs w:val="21"/>
                <w:highlight w:val="none"/>
              </w:rPr>
            </w:pPr>
            <w:r>
              <w:rPr>
                <w:rFonts w:hint="eastAsia" w:ascii="宋体" w:hAnsi="宋体"/>
                <w:color w:val="auto"/>
                <w:szCs w:val="21"/>
                <w:highlight w:val="none"/>
              </w:rPr>
              <w:t>6</w:t>
            </w:r>
          </w:p>
        </w:tc>
        <w:tc>
          <w:tcPr>
            <w:tcW w:w="5447" w:type="dxa"/>
            <w:noWrap w:val="0"/>
            <w:vAlign w:val="center"/>
          </w:tcPr>
          <w:p w14:paraId="7AC814F9">
            <w:pPr>
              <w:spacing w:line="360" w:lineRule="auto"/>
              <w:jc w:val="left"/>
              <w:rPr>
                <w:rFonts w:ascii="宋体" w:hAnsi="宋体"/>
                <w:iCs/>
                <w:color w:val="auto"/>
                <w:szCs w:val="21"/>
                <w:highlight w:val="none"/>
              </w:rPr>
            </w:pPr>
            <w:r>
              <w:rPr>
                <w:rFonts w:hint="eastAsia"/>
                <w:color w:val="auto"/>
                <w:szCs w:val="21"/>
                <w:highlight w:val="none"/>
              </w:rPr>
              <w:t>项目需求中的实质性要求</w:t>
            </w:r>
          </w:p>
        </w:tc>
        <w:tc>
          <w:tcPr>
            <w:tcW w:w="1680" w:type="dxa"/>
            <w:noWrap w:val="0"/>
            <w:vAlign w:val="center"/>
          </w:tcPr>
          <w:p w14:paraId="1A78F138">
            <w:pPr>
              <w:spacing w:line="360" w:lineRule="auto"/>
              <w:rPr>
                <w:rFonts w:ascii="宋体" w:hAnsi="宋体"/>
                <w:color w:val="auto"/>
                <w:szCs w:val="21"/>
                <w:highlight w:val="none"/>
              </w:rPr>
            </w:pPr>
          </w:p>
        </w:tc>
        <w:tc>
          <w:tcPr>
            <w:tcW w:w="1308" w:type="dxa"/>
            <w:noWrap w:val="0"/>
            <w:vAlign w:val="center"/>
          </w:tcPr>
          <w:p w14:paraId="0DCF61B3">
            <w:pPr>
              <w:spacing w:line="360" w:lineRule="auto"/>
              <w:rPr>
                <w:rFonts w:ascii="宋体" w:hAnsi="宋体"/>
                <w:color w:val="auto"/>
                <w:szCs w:val="21"/>
                <w:highlight w:val="none"/>
              </w:rPr>
            </w:pPr>
          </w:p>
        </w:tc>
      </w:tr>
      <w:tr w14:paraId="372C9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7A6E91B2">
            <w:pPr>
              <w:spacing w:line="360" w:lineRule="auto"/>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7</w:t>
            </w:r>
          </w:p>
        </w:tc>
        <w:tc>
          <w:tcPr>
            <w:tcW w:w="5447" w:type="dxa"/>
            <w:noWrap w:val="0"/>
            <w:vAlign w:val="center"/>
          </w:tcPr>
          <w:p w14:paraId="0F641509">
            <w:pPr>
              <w:spacing w:line="360" w:lineRule="auto"/>
              <w:jc w:val="left"/>
              <w:rPr>
                <w:rFonts w:ascii="宋体" w:hAnsi="宋体"/>
                <w:iCs/>
                <w:color w:val="auto"/>
                <w:szCs w:val="21"/>
                <w:highlight w:val="none"/>
              </w:rPr>
            </w:pPr>
            <w:r>
              <w:rPr>
                <w:color w:val="auto"/>
                <w:szCs w:val="21"/>
                <w:highlight w:val="none"/>
              </w:rPr>
              <w:t>其他</w:t>
            </w:r>
            <w:r>
              <w:rPr>
                <w:rFonts w:hint="eastAsia"/>
                <w:color w:val="auto"/>
                <w:szCs w:val="21"/>
                <w:highlight w:val="none"/>
              </w:rPr>
              <w:t>实质性要求</w:t>
            </w:r>
          </w:p>
        </w:tc>
        <w:tc>
          <w:tcPr>
            <w:tcW w:w="1680" w:type="dxa"/>
            <w:noWrap w:val="0"/>
            <w:vAlign w:val="center"/>
          </w:tcPr>
          <w:p w14:paraId="7EF50DEA">
            <w:pPr>
              <w:spacing w:line="360" w:lineRule="auto"/>
              <w:rPr>
                <w:rFonts w:ascii="宋体" w:hAnsi="宋体"/>
                <w:color w:val="auto"/>
                <w:szCs w:val="21"/>
                <w:highlight w:val="none"/>
              </w:rPr>
            </w:pPr>
          </w:p>
        </w:tc>
        <w:tc>
          <w:tcPr>
            <w:tcW w:w="1308" w:type="dxa"/>
            <w:noWrap w:val="0"/>
            <w:vAlign w:val="center"/>
          </w:tcPr>
          <w:p w14:paraId="27E8065C">
            <w:pPr>
              <w:spacing w:line="360" w:lineRule="auto"/>
              <w:rPr>
                <w:rFonts w:ascii="宋体" w:hAnsi="宋体"/>
                <w:color w:val="auto"/>
                <w:szCs w:val="21"/>
                <w:highlight w:val="none"/>
              </w:rPr>
            </w:pPr>
          </w:p>
        </w:tc>
      </w:tr>
    </w:tbl>
    <w:p w14:paraId="38AA43C7">
      <w:pPr>
        <w:spacing w:line="360" w:lineRule="auto"/>
        <w:contextualSpacing/>
        <w:jc w:val="center"/>
        <w:rPr>
          <w:rFonts w:ascii="宋体" w:hAnsi="宋体"/>
          <w:b/>
          <w:bCs/>
          <w:color w:val="auto"/>
          <w:sz w:val="32"/>
          <w:szCs w:val="32"/>
          <w:highlight w:val="none"/>
        </w:rPr>
      </w:pPr>
    </w:p>
    <w:p w14:paraId="2FC1F27F">
      <w:pPr>
        <w:spacing w:line="360" w:lineRule="auto"/>
        <w:contextualSpacing/>
        <w:jc w:val="center"/>
        <w:rPr>
          <w:rFonts w:ascii="宋体" w:hAnsi="宋体"/>
          <w:b/>
          <w:bCs/>
          <w:color w:val="auto"/>
          <w:sz w:val="32"/>
          <w:szCs w:val="32"/>
          <w:highlight w:val="none"/>
        </w:rPr>
      </w:pPr>
    </w:p>
    <w:p w14:paraId="204B9D5F">
      <w:pPr>
        <w:spacing w:line="360" w:lineRule="auto"/>
        <w:contextualSpacing/>
        <w:jc w:val="center"/>
        <w:rPr>
          <w:rFonts w:ascii="宋体" w:hAnsi="宋体"/>
          <w:b/>
          <w:bCs/>
          <w:color w:val="auto"/>
          <w:sz w:val="32"/>
          <w:szCs w:val="32"/>
          <w:highlight w:val="none"/>
        </w:rPr>
      </w:pPr>
    </w:p>
    <w:p w14:paraId="1CA47B34">
      <w:pPr>
        <w:spacing w:line="360" w:lineRule="auto"/>
        <w:contextualSpacing/>
        <w:jc w:val="center"/>
        <w:rPr>
          <w:rFonts w:ascii="宋体" w:hAnsi="宋体"/>
          <w:b/>
          <w:bCs/>
          <w:color w:val="auto"/>
          <w:sz w:val="32"/>
          <w:szCs w:val="32"/>
          <w:highlight w:val="none"/>
        </w:rPr>
      </w:pPr>
    </w:p>
    <w:p w14:paraId="25180853">
      <w:pPr>
        <w:spacing w:line="360" w:lineRule="auto"/>
        <w:contextualSpacing/>
        <w:jc w:val="center"/>
        <w:rPr>
          <w:rFonts w:ascii="宋体" w:hAnsi="宋体"/>
          <w:b/>
          <w:bCs/>
          <w:color w:val="auto"/>
          <w:sz w:val="32"/>
          <w:szCs w:val="32"/>
          <w:highlight w:val="none"/>
        </w:rPr>
      </w:pPr>
    </w:p>
    <w:p w14:paraId="6B6C1FFD">
      <w:pPr>
        <w:spacing w:line="360" w:lineRule="auto"/>
        <w:contextualSpacing/>
        <w:jc w:val="center"/>
        <w:rPr>
          <w:rFonts w:ascii="宋体" w:hAnsi="宋体"/>
          <w:b/>
          <w:bCs/>
          <w:color w:val="auto"/>
          <w:sz w:val="32"/>
          <w:szCs w:val="32"/>
          <w:highlight w:val="none"/>
        </w:rPr>
      </w:pPr>
    </w:p>
    <w:p w14:paraId="39A903FB">
      <w:pPr>
        <w:rPr>
          <w:rFonts w:hint="eastAsia" w:ascii="宋体" w:hAnsi="宋体" w:eastAsia="宋体"/>
          <w:color w:val="auto"/>
          <w:sz w:val="32"/>
          <w:highlight w:val="none"/>
        </w:rPr>
      </w:pPr>
      <w:r>
        <w:rPr>
          <w:rFonts w:hint="eastAsia" w:ascii="宋体" w:hAnsi="宋体" w:eastAsia="宋体"/>
          <w:color w:val="auto"/>
          <w:sz w:val="32"/>
          <w:highlight w:val="none"/>
        </w:rPr>
        <w:br w:type="page"/>
      </w:r>
    </w:p>
    <w:p w14:paraId="134DBA16">
      <w:pPr>
        <w:pStyle w:val="242"/>
        <w:spacing w:line="360" w:lineRule="auto"/>
        <w:rPr>
          <w:rFonts w:ascii="宋体" w:hAnsi="宋体" w:eastAsia="宋体"/>
          <w:color w:val="auto"/>
          <w:sz w:val="32"/>
          <w:highlight w:val="none"/>
        </w:rPr>
      </w:pPr>
      <w:bookmarkStart w:id="86" w:name="_Toc31224"/>
      <w:r>
        <w:rPr>
          <w:rFonts w:hint="eastAsia" w:ascii="宋体" w:hAnsi="宋体" w:eastAsia="宋体"/>
          <w:color w:val="auto"/>
          <w:sz w:val="32"/>
          <w:highlight w:val="none"/>
        </w:rPr>
        <w:t>三、非实质性响应对照表</w:t>
      </w:r>
      <w:bookmarkEnd w:id="86"/>
    </w:p>
    <w:p w14:paraId="0AEE0156">
      <w:pPr>
        <w:spacing w:line="360" w:lineRule="auto"/>
        <w:rPr>
          <w:rFonts w:ascii="宋体" w:hAnsi="宋体"/>
          <w:b/>
          <w:color w:val="auto"/>
          <w:sz w:val="32"/>
          <w:szCs w:val="32"/>
          <w:highlight w:val="none"/>
        </w:rPr>
      </w:pPr>
    </w:p>
    <w:tbl>
      <w:tblPr>
        <w:tblStyle w:val="38"/>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5C267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188078B2">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序号</w:t>
            </w:r>
          </w:p>
        </w:tc>
        <w:tc>
          <w:tcPr>
            <w:tcW w:w="5447" w:type="dxa"/>
            <w:noWrap w:val="0"/>
            <w:vAlign w:val="center"/>
          </w:tcPr>
          <w:p w14:paraId="5ACF890D">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非实质性响应内容</w:t>
            </w:r>
          </w:p>
        </w:tc>
        <w:tc>
          <w:tcPr>
            <w:tcW w:w="1680" w:type="dxa"/>
            <w:noWrap w:val="0"/>
            <w:vAlign w:val="center"/>
          </w:tcPr>
          <w:p w14:paraId="1FF7F1C2">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是否响应</w:t>
            </w:r>
          </w:p>
          <w:p w14:paraId="10E4FAF6">
            <w:pPr>
              <w:spacing w:line="360" w:lineRule="auto"/>
              <w:jc w:val="center"/>
              <w:rPr>
                <w:rFonts w:ascii="幼圆" w:eastAsia="幼圆"/>
                <w:b/>
                <w:color w:val="auto"/>
                <w:szCs w:val="21"/>
                <w:highlight w:val="none"/>
              </w:rPr>
            </w:pPr>
            <w:r>
              <w:rPr>
                <w:rFonts w:hint="eastAsia" w:ascii="宋体" w:hAnsi="宋体" w:cs="宋体"/>
                <w:b/>
                <w:color w:val="auto"/>
                <w:szCs w:val="21"/>
                <w:highlight w:val="none"/>
              </w:rPr>
              <w:t>（填是或者否）</w:t>
            </w:r>
          </w:p>
        </w:tc>
        <w:tc>
          <w:tcPr>
            <w:tcW w:w="1308" w:type="dxa"/>
            <w:noWrap w:val="0"/>
            <w:vAlign w:val="center"/>
          </w:tcPr>
          <w:p w14:paraId="05A86C0F">
            <w:pPr>
              <w:spacing w:line="360" w:lineRule="auto"/>
              <w:jc w:val="center"/>
              <w:rPr>
                <w:rFonts w:ascii="宋体" w:hAnsi="宋体" w:cs="宋体"/>
                <w:b/>
                <w:color w:val="auto"/>
                <w:szCs w:val="21"/>
                <w:highlight w:val="none"/>
              </w:rPr>
            </w:pPr>
            <w:r>
              <w:rPr>
                <w:rFonts w:hint="eastAsia" w:ascii="宋体" w:hAnsi="宋体" w:cs="宋体"/>
                <w:b/>
                <w:color w:val="auto"/>
                <w:szCs w:val="21"/>
                <w:highlight w:val="none"/>
              </w:rPr>
              <w:t>响应情况</w:t>
            </w:r>
          </w:p>
        </w:tc>
      </w:tr>
      <w:tr w14:paraId="79433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542ECCD7">
            <w:pPr>
              <w:spacing w:line="360" w:lineRule="auto"/>
              <w:jc w:val="center"/>
              <w:rPr>
                <w:rFonts w:ascii="宋体" w:hAnsi="宋体"/>
                <w:b/>
                <w:color w:val="auto"/>
                <w:szCs w:val="21"/>
                <w:highlight w:val="none"/>
              </w:rPr>
            </w:pPr>
            <w:r>
              <w:rPr>
                <w:rFonts w:hint="eastAsia" w:ascii="宋体" w:hAnsi="宋体"/>
                <w:b w:val="0"/>
                <w:bCs/>
                <w:color w:val="auto"/>
                <w:szCs w:val="21"/>
                <w:highlight w:val="none"/>
              </w:rPr>
              <w:t>1</w:t>
            </w:r>
          </w:p>
        </w:tc>
        <w:tc>
          <w:tcPr>
            <w:tcW w:w="5447" w:type="dxa"/>
            <w:noWrap w:val="0"/>
            <w:vAlign w:val="center"/>
          </w:tcPr>
          <w:p w14:paraId="375A5936">
            <w:pPr>
              <w:spacing w:line="360" w:lineRule="auto"/>
              <w:rPr>
                <w:rFonts w:ascii="宋体" w:hAnsi="宋体"/>
                <w:iCs/>
                <w:color w:val="auto"/>
                <w:szCs w:val="21"/>
                <w:highlight w:val="none"/>
              </w:rPr>
            </w:pPr>
            <w:r>
              <w:rPr>
                <w:rFonts w:hint="eastAsia" w:ascii="宋体" w:hAnsi="宋体"/>
                <w:color w:val="auto"/>
                <w:szCs w:val="21"/>
                <w:highlight w:val="none"/>
              </w:rPr>
              <w:t>《残疾人福利性单位声明函》</w:t>
            </w:r>
          </w:p>
        </w:tc>
        <w:tc>
          <w:tcPr>
            <w:tcW w:w="1680" w:type="dxa"/>
            <w:noWrap w:val="0"/>
            <w:vAlign w:val="center"/>
          </w:tcPr>
          <w:p w14:paraId="0715E0C0">
            <w:pPr>
              <w:spacing w:line="360" w:lineRule="auto"/>
              <w:rPr>
                <w:rFonts w:ascii="宋体" w:hAnsi="宋体"/>
                <w:b/>
                <w:color w:val="auto"/>
                <w:szCs w:val="21"/>
                <w:highlight w:val="none"/>
              </w:rPr>
            </w:pPr>
          </w:p>
        </w:tc>
        <w:tc>
          <w:tcPr>
            <w:tcW w:w="1308" w:type="dxa"/>
            <w:noWrap w:val="0"/>
            <w:vAlign w:val="center"/>
          </w:tcPr>
          <w:p w14:paraId="74085CB3">
            <w:pPr>
              <w:spacing w:line="360" w:lineRule="auto"/>
              <w:rPr>
                <w:rFonts w:ascii="宋体" w:hAnsi="宋体"/>
                <w:b/>
                <w:color w:val="auto"/>
                <w:szCs w:val="21"/>
                <w:highlight w:val="none"/>
              </w:rPr>
            </w:pPr>
          </w:p>
        </w:tc>
      </w:tr>
      <w:tr w14:paraId="1E059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45BB055F">
            <w:pPr>
              <w:spacing w:line="360" w:lineRule="auto"/>
              <w:jc w:val="center"/>
              <w:rPr>
                <w:rFonts w:ascii="宋体" w:hAnsi="宋体"/>
                <w:color w:val="auto"/>
                <w:szCs w:val="21"/>
                <w:highlight w:val="none"/>
              </w:rPr>
            </w:pPr>
            <w:r>
              <w:rPr>
                <w:rFonts w:hint="eastAsia" w:ascii="宋体" w:hAnsi="宋体"/>
                <w:color w:val="auto"/>
                <w:szCs w:val="21"/>
                <w:highlight w:val="none"/>
              </w:rPr>
              <w:t>2</w:t>
            </w:r>
          </w:p>
        </w:tc>
        <w:tc>
          <w:tcPr>
            <w:tcW w:w="5447" w:type="dxa"/>
            <w:noWrap w:val="0"/>
            <w:vAlign w:val="center"/>
          </w:tcPr>
          <w:p w14:paraId="0EE52063">
            <w:pPr>
              <w:spacing w:line="360" w:lineRule="auto"/>
              <w:rPr>
                <w:rFonts w:ascii="宋体" w:hAnsi="宋体"/>
                <w:iCs/>
                <w:color w:val="auto"/>
                <w:szCs w:val="21"/>
                <w:highlight w:val="none"/>
              </w:rPr>
            </w:pPr>
            <w:r>
              <w:rPr>
                <w:rFonts w:ascii="宋体" w:hAnsi="宋体"/>
                <w:iCs/>
                <w:color w:val="auto"/>
                <w:szCs w:val="21"/>
                <w:highlight w:val="none"/>
              </w:rPr>
              <w:t>……</w:t>
            </w:r>
          </w:p>
        </w:tc>
        <w:tc>
          <w:tcPr>
            <w:tcW w:w="1680" w:type="dxa"/>
            <w:noWrap w:val="0"/>
            <w:vAlign w:val="center"/>
          </w:tcPr>
          <w:p w14:paraId="4D06602D">
            <w:pPr>
              <w:spacing w:line="360" w:lineRule="auto"/>
              <w:rPr>
                <w:rFonts w:ascii="宋体" w:hAnsi="宋体"/>
                <w:color w:val="auto"/>
                <w:szCs w:val="21"/>
                <w:highlight w:val="none"/>
              </w:rPr>
            </w:pPr>
          </w:p>
        </w:tc>
        <w:tc>
          <w:tcPr>
            <w:tcW w:w="1308" w:type="dxa"/>
            <w:noWrap w:val="0"/>
            <w:vAlign w:val="center"/>
          </w:tcPr>
          <w:p w14:paraId="29249B23">
            <w:pPr>
              <w:spacing w:line="360" w:lineRule="auto"/>
              <w:rPr>
                <w:rFonts w:ascii="宋体" w:hAnsi="宋体"/>
                <w:color w:val="auto"/>
                <w:szCs w:val="21"/>
                <w:highlight w:val="none"/>
              </w:rPr>
            </w:pPr>
          </w:p>
        </w:tc>
      </w:tr>
    </w:tbl>
    <w:p w14:paraId="48AF8404">
      <w:pPr>
        <w:spacing w:line="360" w:lineRule="auto"/>
        <w:contextualSpacing/>
        <w:jc w:val="center"/>
        <w:rPr>
          <w:rFonts w:ascii="宋体" w:hAnsi="宋体"/>
          <w:b/>
          <w:bCs/>
          <w:color w:val="auto"/>
          <w:sz w:val="32"/>
          <w:szCs w:val="32"/>
          <w:highlight w:val="none"/>
        </w:rPr>
      </w:pPr>
    </w:p>
    <w:p w14:paraId="6C8ED9BC">
      <w:pPr>
        <w:spacing w:line="360" w:lineRule="auto"/>
        <w:contextualSpacing/>
        <w:jc w:val="center"/>
        <w:rPr>
          <w:rFonts w:ascii="宋体" w:hAnsi="宋体"/>
          <w:b/>
          <w:bCs/>
          <w:color w:val="auto"/>
          <w:sz w:val="32"/>
          <w:szCs w:val="32"/>
          <w:highlight w:val="none"/>
        </w:rPr>
      </w:pPr>
    </w:p>
    <w:p w14:paraId="3C2FBD0F">
      <w:pPr>
        <w:spacing w:line="360" w:lineRule="auto"/>
        <w:rPr>
          <w:color w:val="auto"/>
          <w:highlight w:val="none"/>
        </w:rPr>
      </w:pPr>
    </w:p>
    <w:p w14:paraId="1AA2D8CB">
      <w:pPr>
        <w:widowControl/>
        <w:spacing w:line="360" w:lineRule="auto"/>
        <w:jc w:val="left"/>
        <w:rPr>
          <w:rFonts w:ascii="宋体" w:hAnsi="宋体" w:cs="Arial"/>
          <w:b/>
          <w:bCs/>
          <w:color w:val="auto"/>
          <w:highlight w:val="none"/>
        </w:rPr>
      </w:pPr>
    </w:p>
    <w:p w14:paraId="170F25ED">
      <w:pPr>
        <w:widowControl/>
        <w:spacing w:line="360" w:lineRule="auto"/>
        <w:jc w:val="left"/>
        <w:rPr>
          <w:rFonts w:ascii="宋体" w:hAnsi="宋体" w:cs="Arial"/>
          <w:b/>
          <w:bCs/>
          <w:color w:val="auto"/>
          <w:highlight w:val="none"/>
        </w:rPr>
      </w:pPr>
    </w:p>
    <w:p w14:paraId="7B7CDF92">
      <w:pPr>
        <w:widowControl/>
        <w:spacing w:line="360" w:lineRule="auto"/>
        <w:jc w:val="left"/>
        <w:rPr>
          <w:rFonts w:ascii="宋体" w:hAnsi="宋体" w:cs="Arial"/>
          <w:b/>
          <w:bCs/>
          <w:color w:val="auto"/>
          <w:highlight w:val="none"/>
        </w:rPr>
      </w:pPr>
    </w:p>
    <w:p w14:paraId="5909519B">
      <w:pPr>
        <w:widowControl/>
        <w:spacing w:line="360" w:lineRule="auto"/>
        <w:jc w:val="left"/>
        <w:rPr>
          <w:rFonts w:ascii="宋体" w:hAnsi="宋体" w:cs="Arial"/>
          <w:b/>
          <w:bCs/>
          <w:color w:val="auto"/>
          <w:highlight w:val="none"/>
        </w:rPr>
      </w:pPr>
    </w:p>
    <w:p w14:paraId="09410A4D">
      <w:pPr>
        <w:widowControl/>
        <w:spacing w:line="360" w:lineRule="auto"/>
        <w:jc w:val="left"/>
        <w:rPr>
          <w:rFonts w:ascii="宋体" w:hAnsi="宋体" w:cs="Arial"/>
          <w:b/>
          <w:bCs/>
          <w:color w:val="auto"/>
          <w:highlight w:val="none"/>
        </w:rPr>
      </w:pPr>
    </w:p>
    <w:p w14:paraId="4324EC7B">
      <w:pPr>
        <w:widowControl/>
        <w:spacing w:line="360" w:lineRule="auto"/>
        <w:jc w:val="left"/>
        <w:rPr>
          <w:rFonts w:ascii="宋体" w:hAnsi="宋体" w:cs="Arial"/>
          <w:b/>
          <w:bCs/>
          <w:color w:val="auto"/>
          <w:highlight w:val="none"/>
        </w:rPr>
      </w:pPr>
    </w:p>
    <w:p w14:paraId="5BB5F91D">
      <w:pPr>
        <w:widowControl/>
        <w:spacing w:line="360" w:lineRule="auto"/>
        <w:jc w:val="left"/>
        <w:rPr>
          <w:rFonts w:ascii="宋体" w:hAnsi="宋体" w:cs="Arial"/>
          <w:b/>
          <w:bCs/>
          <w:color w:val="auto"/>
          <w:highlight w:val="none"/>
        </w:rPr>
      </w:pPr>
    </w:p>
    <w:p w14:paraId="1AA807D5">
      <w:pPr>
        <w:widowControl/>
        <w:spacing w:line="360" w:lineRule="auto"/>
        <w:jc w:val="left"/>
        <w:rPr>
          <w:rFonts w:ascii="宋体" w:hAnsi="宋体" w:cs="Arial"/>
          <w:b/>
          <w:bCs/>
          <w:color w:val="auto"/>
          <w:highlight w:val="none"/>
        </w:rPr>
      </w:pPr>
    </w:p>
    <w:p w14:paraId="03902AE5">
      <w:pPr>
        <w:widowControl/>
        <w:spacing w:line="360" w:lineRule="auto"/>
        <w:jc w:val="left"/>
        <w:rPr>
          <w:rFonts w:ascii="宋体" w:hAnsi="宋体" w:cs="Arial"/>
          <w:b/>
          <w:bCs/>
          <w:color w:val="auto"/>
          <w:highlight w:val="none"/>
        </w:rPr>
      </w:pPr>
    </w:p>
    <w:p w14:paraId="594C0798">
      <w:pPr>
        <w:widowControl/>
        <w:spacing w:line="360" w:lineRule="auto"/>
        <w:jc w:val="left"/>
        <w:rPr>
          <w:rFonts w:ascii="宋体" w:hAnsi="宋体" w:cs="Arial"/>
          <w:b/>
          <w:bCs/>
          <w:color w:val="auto"/>
          <w:highlight w:val="none"/>
        </w:rPr>
      </w:pPr>
    </w:p>
    <w:p w14:paraId="7FC4B71C">
      <w:pPr>
        <w:widowControl/>
        <w:spacing w:line="360" w:lineRule="auto"/>
        <w:jc w:val="left"/>
        <w:rPr>
          <w:rFonts w:ascii="宋体" w:hAnsi="宋体" w:cs="Arial"/>
          <w:b/>
          <w:bCs/>
          <w:color w:val="auto"/>
          <w:highlight w:val="none"/>
        </w:rPr>
      </w:pPr>
    </w:p>
    <w:p w14:paraId="09CB4861">
      <w:pPr>
        <w:widowControl/>
        <w:spacing w:line="360" w:lineRule="auto"/>
        <w:jc w:val="left"/>
        <w:rPr>
          <w:rFonts w:ascii="宋体" w:hAnsi="宋体" w:cs="Arial"/>
          <w:b/>
          <w:bCs/>
          <w:color w:val="auto"/>
          <w:highlight w:val="none"/>
        </w:rPr>
      </w:pPr>
    </w:p>
    <w:p w14:paraId="54BE0522">
      <w:pPr>
        <w:widowControl/>
        <w:spacing w:line="360" w:lineRule="auto"/>
        <w:jc w:val="left"/>
        <w:rPr>
          <w:rFonts w:ascii="宋体" w:hAnsi="宋体" w:cs="Arial"/>
          <w:b/>
          <w:bCs/>
          <w:color w:val="auto"/>
          <w:highlight w:val="none"/>
        </w:rPr>
      </w:pPr>
    </w:p>
    <w:p w14:paraId="29066B64">
      <w:pPr>
        <w:widowControl/>
        <w:spacing w:line="360" w:lineRule="auto"/>
        <w:jc w:val="left"/>
        <w:rPr>
          <w:rFonts w:ascii="宋体" w:hAnsi="宋体" w:cs="Arial"/>
          <w:b/>
          <w:bCs/>
          <w:color w:val="auto"/>
          <w:highlight w:val="none"/>
        </w:rPr>
      </w:pPr>
    </w:p>
    <w:p w14:paraId="69312732">
      <w:pPr>
        <w:widowControl/>
        <w:spacing w:line="360" w:lineRule="auto"/>
        <w:jc w:val="left"/>
        <w:rPr>
          <w:rFonts w:ascii="宋体" w:hAnsi="宋体" w:cs="Arial"/>
          <w:b/>
          <w:bCs/>
          <w:color w:val="auto"/>
          <w:highlight w:val="none"/>
        </w:rPr>
      </w:pPr>
    </w:p>
    <w:p w14:paraId="214C8F96">
      <w:pPr>
        <w:widowControl/>
        <w:spacing w:line="360" w:lineRule="auto"/>
        <w:jc w:val="left"/>
        <w:rPr>
          <w:rFonts w:ascii="宋体" w:hAnsi="宋体" w:cs="Arial"/>
          <w:b/>
          <w:bCs/>
          <w:color w:val="auto"/>
          <w:highlight w:val="none"/>
        </w:rPr>
      </w:pPr>
    </w:p>
    <w:p w14:paraId="6EA2BD25">
      <w:pPr>
        <w:rPr>
          <w:b/>
          <w:bCs/>
          <w:color w:val="auto"/>
          <w:highlight w:val="none"/>
        </w:rPr>
      </w:pPr>
      <w:r>
        <w:rPr>
          <w:rFonts w:hint="eastAsia"/>
          <w:b/>
          <w:bCs/>
          <w:color w:val="auto"/>
          <w:highlight w:val="none"/>
        </w:rPr>
        <w:br w:type="page"/>
      </w:r>
    </w:p>
    <w:p w14:paraId="2D106F56">
      <w:pPr>
        <w:pStyle w:val="365"/>
        <w:ind w:firstLine="4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中小企业声明函（工程、服务）</w:t>
      </w:r>
    </w:p>
    <w:p w14:paraId="532E96F3">
      <w:pPr>
        <w:spacing w:line="340" w:lineRule="exact"/>
        <w:ind w:left="120" w:right="207" w:firstLine="641"/>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本公司（联合体）郑重声明，根据《政府采购促进中小企业发展管理办法》（财库﹝2020﹞46 号）的规定，本公司（联合体）参加</w:t>
      </w:r>
      <w:r>
        <w:rPr>
          <w:rFonts w:hint="eastAsia" w:ascii="宋体" w:hAnsi="宋体" w:eastAsia="宋体" w:cs="宋体"/>
          <w:i/>
          <w:color w:val="auto"/>
          <w:spacing w:val="3"/>
          <w:szCs w:val="21"/>
          <w:highlight w:val="none"/>
          <w:u w:val="single"/>
        </w:rPr>
        <w:t>（单位名称）</w:t>
      </w:r>
      <w:r>
        <w:rPr>
          <w:rFonts w:hint="eastAsia" w:ascii="宋体" w:hAnsi="宋体" w:eastAsia="宋体" w:cs="宋体"/>
          <w:color w:val="auto"/>
          <w:spacing w:val="3"/>
          <w:szCs w:val="21"/>
          <w:highlight w:val="none"/>
        </w:rPr>
        <w:t>的</w:t>
      </w:r>
      <w:r>
        <w:rPr>
          <w:rFonts w:hint="eastAsia" w:ascii="宋体" w:hAnsi="宋体" w:eastAsia="宋体" w:cs="宋体"/>
          <w:i/>
          <w:color w:val="auto"/>
          <w:spacing w:val="3"/>
          <w:szCs w:val="21"/>
          <w:highlight w:val="none"/>
          <w:u w:val="single"/>
        </w:rPr>
        <w:t>（项目名称）</w:t>
      </w:r>
      <w:r>
        <w:rPr>
          <w:rFonts w:hint="eastAsia" w:ascii="宋体" w:hAnsi="宋体" w:eastAsia="宋体" w:cs="宋体"/>
          <w:color w:val="auto"/>
          <w:spacing w:val="3"/>
          <w:szCs w:val="21"/>
          <w:highlight w:val="none"/>
        </w:rPr>
        <w:t>采购活动，工程的施工单位全部为符合政策要求的中小企业（或者：服务 全部由符合政策要求的中小企业承接）。相关企业（含联合 体中的中小企业、签订分包意向协议的中小企业）的具体情 况如下：</w:t>
      </w:r>
    </w:p>
    <w:p w14:paraId="4EE63951">
      <w:pPr>
        <w:spacing w:line="340" w:lineRule="exact"/>
        <w:ind w:left="120" w:right="207" w:firstLine="641"/>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 xml:space="preserve">1. </w:t>
      </w:r>
      <w:r>
        <w:rPr>
          <w:rFonts w:hint="eastAsia" w:ascii="宋体" w:hAnsi="宋体" w:eastAsia="宋体" w:cs="宋体"/>
          <w:i/>
          <w:color w:val="auto"/>
          <w:spacing w:val="3"/>
          <w:szCs w:val="21"/>
          <w:highlight w:val="none"/>
          <w:u w:val="single"/>
        </w:rPr>
        <w:t>（标的名称）</w:t>
      </w:r>
      <w:r>
        <w:rPr>
          <w:rFonts w:hint="eastAsia" w:ascii="宋体" w:hAnsi="宋体" w:eastAsia="宋体" w:cs="宋体"/>
          <w:color w:val="auto"/>
          <w:spacing w:val="3"/>
          <w:szCs w:val="21"/>
          <w:highlight w:val="none"/>
        </w:rPr>
        <w:t>，属于</w:t>
      </w:r>
      <w:r>
        <w:rPr>
          <w:rFonts w:hint="eastAsia" w:ascii="宋体" w:hAnsi="宋体" w:eastAsia="宋体" w:cs="宋体"/>
          <w:i/>
          <w:color w:val="auto"/>
          <w:spacing w:val="3"/>
          <w:szCs w:val="21"/>
          <w:highlight w:val="none"/>
          <w:u w:val="single"/>
        </w:rPr>
        <w:t>（租赁和商务服务业）</w:t>
      </w:r>
      <w:r>
        <w:rPr>
          <w:rFonts w:hint="eastAsia" w:ascii="宋体" w:hAnsi="宋体" w:eastAsia="宋体" w:cs="宋体"/>
          <w:color w:val="auto"/>
          <w:spacing w:val="3"/>
          <w:szCs w:val="21"/>
          <w:highlight w:val="none"/>
        </w:rPr>
        <w:t>； 承建（承接）企业为</w:t>
      </w:r>
      <w:r>
        <w:rPr>
          <w:rFonts w:hint="eastAsia" w:ascii="宋体" w:hAnsi="宋体" w:eastAsia="宋体" w:cs="宋体"/>
          <w:i/>
          <w:color w:val="auto"/>
          <w:spacing w:val="3"/>
          <w:szCs w:val="21"/>
          <w:highlight w:val="none"/>
          <w:u w:val="single"/>
        </w:rPr>
        <w:t>（企业名称）</w:t>
      </w:r>
      <w:r>
        <w:rPr>
          <w:rFonts w:hint="eastAsia" w:ascii="宋体" w:hAnsi="宋体" w:eastAsia="宋体" w:cs="宋体"/>
          <w:color w:val="auto"/>
          <w:spacing w:val="3"/>
          <w:szCs w:val="21"/>
          <w:highlight w:val="none"/>
        </w:rPr>
        <w:t>，从业人员</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人，营业 收入为</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万元，资产总额为</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万元</w:t>
      </w:r>
      <w:r>
        <w:rPr>
          <w:rFonts w:hint="eastAsia" w:ascii="宋体" w:hAnsi="宋体" w:eastAsia="宋体" w:cs="宋体"/>
          <w:color w:val="auto"/>
          <w:spacing w:val="3"/>
          <w:szCs w:val="21"/>
          <w:highlight w:val="none"/>
          <w:vertAlign w:val="superscript"/>
        </w:rPr>
        <w:t>1</w:t>
      </w:r>
      <w:r>
        <w:rPr>
          <w:rFonts w:hint="eastAsia" w:ascii="宋体" w:hAnsi="宋体" w:eastAsia="宋体" w:cs="宋体"/>
          <w:color w:val="auto"/>
          <w:spacing w:val="3"/>
          <w:szCs w:val="21"/>
          <w:highlight w:val="none"/>
        </w:rPr>
        <w:t>，属于</w:t>
      </w:r>
      <w:r>
        <w:rPr>
          <w:rFonts w:hint="eastAsia" w:ascii="宋体" w:hAnsi="宋体" w:eastAsia="宋体" w:cs="宋体"/>
          <w:i/>
          <w:color w:val="auto"/>
          <w:spacing w:val="3"/>
          <w:szCs w:val="21"/>
          <w:highlight w:val="none"/>
          <w:u w:val="single"/>
        </w:rPr>
        <w:t>（中型企业、 小型企业、微型企业）</w:t>
      </w:r>
      <w:r>
        <w:rPr>
          <w:rFonts w:hint="eastAsia" w:ascii="宋体" w:hAnsi="宋体" w:eastAsia="宋体" w:cs="宋体"/>
          <w:color w:val="auto"/>
          <w:spacing w:val="3"/>
          <w:szCs w:val="21"/>
          <w:highlight w:val="none"/>
        </w:rPr>
        <w:t>；</w:t>
      </w:r>
    </w:p>
    <w:p w14:paraId="7062C138">
      <w:pPr>
        <w:spacing w:line="340" w:lineRule="exact"/>
        <w:ind w:left="120" w:right="207" w:firstLine="641"/>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 xml:space="preserve">2. </w:t>
      </w:r>
      <w:r>
        <w:rPr>
          <w:rFonts w:hint="eastAsia" w:ascii="宋体" w:hAnsi="宋体" w:eastAsia="宋体" w:cs="宋体"/>
          <w:i/>
          <w:color w:val="auto"/>
          <w:spacing w:val="3"/>
          <w:szCs w:val="21"/>
          <w:highlight w:val="none"/>
          <w:u w:val="single"/>
        </w:rPr>
        <w:t>（标的名称）</w:t>
      </w:r>
      <w:r>
        <w:rPr>
          <w:rFonts w:hint="eastAsia" w:ascii="宋体" w:hAnsi="宋体" w:eastAsia="宋体" w:cs="宋体"/>
          <w:color w:val="auto"/>
          <w:spacing w:val="3"/>
          <w:szCs w:val="21"/>
          <w:highlight w:val="none"/>
        </w:rPr>
        <w:t>，属于</w:t>
      </w:r>
      <w:r>
        <w:rPr>
          <w:rFonts w:hint="eastAsia" w:ascii="宋体" w:hAnsi="宋体" w:eastAsia="宋体" w:cs="宋体"/>
          <w:i/>
          <w:color w:val="auto"/>
          <w:spacing w:val="3"/>
          <w:szCs w:val="21"/>
          <w:highlight w:val="none"/>
          <w:u w:val="single"/>
        </w:rPr>
        <w:t>（租赁和商务服务业）</w:t>
      </w:r>
      <w:r>
        <w:rPr>
          <w:rFonts w:hint="eastAsia" w:ascii="宋体" w:hAnsi="宋体" w:eastAsia="宋体" w:cs="宋体"/>
          <w:color w:val="auto"/>
          <w:spacing w:val="3"/>
          <w:szCs w:val="21"/>
          <w:highlight w:val="none"/>
        </w:rPr>
        <w:t>； 承建（承接）企业为</w:t>
      </w:r>
      <w:r>
        <w:rPr>
          <w:rFonts w:hint="eastAsia" w:ascii="宋体" w:hAnsi="宋体" w:eastAsia="宋体" w:cs="宋体"/>
          <w:i/>
          <w:color w:val="auto"/>
          <w:spacing w:val="3"/>
          <w:szCs w:val="21"/>
          <w:highlight w:val="none"/>
          <w:u w:val="single"/>
        </w:rPr>
        <w:t>（企业名称）</w:t>
      </w:r>
      <w:r>
        <w:rPr>
          <w:rFonts w:hint="eastAsia" w:ascii="宋体" w:hAnsi="宋体" w:eastAsia="宋体" w:cs="宋体"/>
          <w:color w:val="auto"/>
          <w:spacing w:val="3"/>
          <w:szCs w:val="21"/>
          <w:highlight w:val="none"/>
        </w:rPr>
        <w:t>，从业人员</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人，营业 收入为</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万元，资产总额为</w:t>
      </w:r>
      <w:r>
        <w:rPr>
          <w:rFonts w:hint="eastAsia" w:ascii="宋体" w:hAnsi="宋体" w:eastAsia="宋体" w:cs="宋体"/>
          <w:color w:val="auto"/>
          <w:spacing w:val="3"/>
          <w:szCs w:val="21"/>
          <w:highlight w:val="none"/>
          <w:u w:val="single"/>
        </w:rPr>
        <w:t xml:space="preserve"> </w:t>
      </w:r>
      <w:r>
        <w:rPr>
          <w:rFonts w:hint="eastAsia" w:ascii="宋体" w:hAnsi="宋体" w:eastAsia="宋体" w:cs="宋体"/>
          <w:color w:val="auto"/>
          <w:spacing w:val="3"/>
          <w:szCs w:val="21"/>
          <w:highlight w:val="none"/>
          <w:u w:val="single"/>
        </w:rPr>
        <w:tab/>
      </w:r>
      <w:r>
        <w:rPr>
          <w:rFonts w:hint="eastAsia" w:ascii="宋体" w:hAnsi="宋体" w:eastAsia="宋体" w:cs="宋体"/>
          <w:color w:val="auto"/>
          <w:spacing w:val="3"/>
          <w:szCs w:val="21"/>
          <w:highlight w:val="none"/>
        </w:rPr>
        <w:t>万元，属于</w:t>
      </w:r>
      <w:r>
        <w:rPr>
          <w:rFonts w:hint="eastAsia" w:ascii="宋体" w:hAnsi="宋体" w:eastAsia="宋体" w:cs="宋体"/>
          <w:i/>
          <w:color w:val="auto"/>
          <w:spacing w:val="3"/>
          <w:szCs w:val="21"/>
          <w:highlight w:val="none"/>
          <w:u w:val="single"/>
        </w:rPr>
        <w:t>（中型企业、 小型企业、微型企业）</w:t>
      </w:r>
      <w:r>
        <w:rPr>
          <w:rFonts w:hint="eastAsia" w:ascii="宋体" w:hAnsi="宋体" w:eastAsia="宋体" w:cs="宋体"/>
          <w:color w:val="auto"/>
          <w:spacing w:val="3"/>
          <w:szCs w:val="21"/>
          <w:highlight w:val="none"/>
        </w:rPr>
        <w:t>；</w:t>
      </w:r>
    </w:p>
    <w:p w14:paraId="2F5EEA6E">
      <w:pPr>
        <w:spacing w:line="340" w:lineRule="exact"/>
        <w:ind w:left="120" w:right="207" w:firstLine="641"/>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 xml:space="preserve">…… </w:t>
      </w:r>
    </w:p>
    <w:p w14:paraId="342F3D7A">
      <w:pPr>
        <w:spacing w:line="340" w:lineRule="exact"/>
        <w:ind w:left="120" w:right="207" w:firstLine="641"/>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以上企业，不属于大企业的分支机构，不存在控股股东为大企业的情形，也不存在与大企业的负责人为同一人的情形。</w:t>
      </w:r>
    </w:p>
    <w:p w14:paraId="2E42BD03">
      <w:pPr>
        <w:spacing w:line="340" w:lineRule="exact"/>
        <w:ind w:left="120" w:right="207" w:firstLine="641"/>
        <w:rPr>
          <w:rFonts w:hint="eastAsia" w:ascii="宋体" w:hAnsi="宋体" w:eastAsia="宋体" w:cs="宋体"/>
          <w:color w:val="auto"/>
          <w:spacing w:val="3"/>
          <w:szCs w:val="21"/>
          <w:highlight w:val="none"/>
        </w:rPr>
      </w:pPr>
      <w:r>
        <w:rPr>
          <w:rFonts w:hint="eastAsia" w:ascii="宋体" w:hAnsi="宋体" w:eastAsia="宋体" w:cs="宋体"/>
          <w:color w:val="auto"/>
          <w:spacing w:val="3"/>
          <w:szCs w:val="21"/>
          <w:highlight w:val="none"/>
        </w:rPr>
        <w:t>本企业对上述声明内容的真实性负责。如有虚假，将依法承担相应责任。</w:t>
      </w:r>
    </w:p>
    <w:p w14:paraId="373C38B0">
      <w:pPr>
        <w:spacing w:before="0" w:line="340" w:lineRule="exact"/>
        <w:rPr>
          <w:rFonts w:hint="eastAsia" w:ascii="宋体" w:hAnsi="宋体" w:eastAsia="宋体" w:cs="宋体"/>
          <w:color w:val="auto"/>
          <w:szCs w:val="21"/>
          <w:highlight w:val="none"/>
        </w:rPr>
      </w:pPr>
    </w:p>
    <w:p w14:paraId="3742B170">
      <w:pPr>
        <w:spacing w:line="340" w:lineRule="exact"/>
        <w:ind w:right="400" w:firstLine="3780" w:firstLineChars="1800"/>
        <w:rPr>
          <w:rFonts w:hint="eastAsia" w:ascii="宋体" w:hAnsi="宋体" w:eastAsia="宋体" w:cs="宋体"/>
          <w:color w:val="auto"/>
          <w:szCs w:val="21"/>
          <w:highlight w:val="none"/>
          <w:u w:val="single"/>
        </w:rPr>
      </w:pPr>
      <w:r>
        <w:rPr>
          <w:rFonts w:hint="eastAsia" w:ascii="宋体" w:hAnsi="宋体" w:eastAsia="宋体" w:cs="宋体"/>
          <w:color w:val="auto"/>
          <w:position w:val="-2"/>
          <w:szCs w:val="21"/>
          <w:highlight w:val="none"/>
        </w:rPr>
        <w:t>企</w:t>
      </w:r>
      <w:r>
        <w:rPr>
          <w:rFonts w:hint="eastAsia" w:ascii="宋体" w:hAnsi="宋体" w:eastAsia="宋体" w:cs="宋体"/>
          <w:color w:val="auto"/>
          <w:spacing w:val="3"/>
          <w:position w:val="-2"/>
          <w:szCs w:val="21"/>
          <w:highlight w:val="none"/>
        </w:rPr>
        <w:t>业</w:t>
      </w:r>
      <w:r>
        <w:rPr>
          <w:rFonts w:hint="eastAsia" w:ascii="宋体" w:hAnsi="宋体" w:eastAsia="宋体" w:cs="宋体"/>
          <w:color w:val="auto"/>
          <w:position w:val="-2"/>
          <w:szCs w:val="21"/>
          <w:highlight w:val="none"/>
        </w:rPr>
        <w:t>名称</w:t>
      </w:r>
      <w:r>
        <w:rPr>
          <w:rFonts w:hint="eastAsia" w:ascii="宋体" w:hAnsi="宋体" w:eastAsia="宋体" w:cs="宋体"/>
          <w:color w:val="auto"/>
          <w:spacing w:val="3"/>
          <w:position w:val="-2"/>
          <w:szCs w:val="21"/>
          <w:highlight w:val="none"/>
        </w:rPr>
        <w:t>（</w:t>
      </w:r>
      <w:r>
        <w:rPr>
          <w:rFonts w:hint="eastAsia" w:ascii="宋体" w:hAnsi="宋体" w:eastAsia="宋体" w:cs="宋体"/>
          <w:color w:val="auto"/>
          <w:position w:val="-2"/>
          <w:szCs w:val="21"/>
          <w:highlight w:val="none"/>
        </w:rPr>
        <w:t>盖章</w:t>
      </w:r>
      <w:r>
        <w:rPr>
          <w:rFonts w:hint="eastAsia" w:ascii="宋体" w:hAnsi="宋体" w:eastAsia="宋体" w:cs="宋体"/>
          <w:color w:val="auto"/>
          <w:spacing w:val="-158"/>
          <w:position w:val="-2"/>
          <w:szCs w:val="21"/>
          <w:highlight w:val="none"/>
        </w:rPr>
        <w:t>）</w:t>
      </w:r>
      <w:r>
        <w:rPr>
          <w:rFonts w:hint="eastAsia" w:ascii="宋体" w:hAnsi="宋体" w:eastAsia="宋体" w:cs="宋体"/>
          <w:color w:val="auto"/>
          <w:position w:val="-2"/>
          <w:szCs w:val="21"/>
          <w:highlight w:val="none"/>
        </w:rPr>
        <w:t xml:space="preserve">  ：</w:t>
      </w:r>
      <w:r>
        <w:rPr>
          <w:rFonts w:hint="eastAsia" w:ascii="宋体" w:hAnsi="宋体" w:eastAsia="宋体" w:cs="宋体"/>
          <w:color w:val="auto"/>
          <w:position w:val="-2"/>
          <w:szCs w:val="21"/>
          <w:highlight w:val="none"/>
          <w:u w:val="single"/>
        </w:rPr>
        <w:t xml:space="preserve">           </w:t>
      </w:r>
    </w:p>
    <w:p w14:paraId="3CF73096">
      <w:pPr>
        <w:snapToGrid w:val="0"/>
        <w:spacing w:line="340" w:lineRule="exact"/>
        <w:ind w:right="420" w:firstLine="3780" w:firstLineChars="18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5E0D69A3">
      <w:pPr>
        <w:spacing w:line="240" w:lineRule="auto"/>
        <w:jc w:val="center"/>
        <w:rPr>
          <w:rFonts w:hint="eastAsia" w:ascii="宋体" w:hAnsi="宋体" w:eastAsia="宋体" w:cs="宋体"/>
          <w:color w:val="auto"/>
          <w:szCs w:val="21"/>
          <w:highlight w:val="none"/>
        </w:rPr>
      </w:pPr>
    </w:p>
    <w:p w14:paraId="3A19EFBD">
      <w:pPr>
        <w:spacing w:line="240" w:lineRule="auto"/>
        <w:jc w:val="center"/>
        <w:rPr>
          <w:rFonts w:hint="eastAsia" w:ascii="宋体" w:hAnsi="宋体" w:eastAsia="宋体" w:cs="宋体"/>
          <w:color w:val="auto"/>
          <w:szCs w:val="21"/>
          <w:highlight w:val="none"/>
        </w:rPr>
      </w:pPr>
    </w:p>
    <w:p w14:paraId="75D27C4A">
      <w:pPr>
        <w:spacing w:line="360" w:lineRule="auto"/>
        <w:ind w:right="-20"/>
        <w:rPr>
          <w:rFonts w:hint="eastAsia" w:ascii="宋体" w:hAnsi="宋体" w:eastAsia="宋体" w:cs="宋体"/>
          <w:color w:val="auto"/>
          <w:position w:val="-2"/>
          <w:szCs w:val="21"/>
          <w:highlight w:val="none"/>
        </w:rPr>
      </w:pPr>
      <w:r>
        <w:rPr>
          <w:rFonts w:hint="eastAsia" w:ascii="宋体" w:hAnsi="宋体" w:eastAsia="宋体" w:cs="宋体"/>
          <w:color w:val="auto"/>
          <w:position w:val="-2"/>
          <w:szCs w:val="21"/>
          <w:highlight w:val="none"/>
          <w:vertAlign w:val="superscript"/>
        </w:rPr>
        <w:t>1</w:t>
      </w:r>
      <w:r>
        <w:rPr>
          <w:rFonts w:hint="eastAsia" w:ascii="宋体" w:hAnsi="宋体" w:eastAsia="宋体" w:cs="宋体"/>
          <w:color w:val="auto"/>
          <w:position w:val="-2"/>
          <w:szCs w:val="21"/>
          <w:highlight w:val="none"/>
        </w:rPr>
        <w:t>从业人员、营业收入、资产总额填报上一年度数据，无上一年度数据的新成立企业可不填报。</w:t>
      </w:r>
    </w:p>
    <w:p w14:paraId="07F3AF67">
      <w:pPr>
        <w:rPr>
          <w:rFonts w:hint="eastAsia" w:ascii="宋体" w:hAnsi="宋体" w:eastAsia="宋体" w:cs="宋体"/>
          <w:color w:val="auto"/>
          <w:szCs w:val="21"/>
          <w:highlight w:val="none"/>
        </w:rPr>
      </w:pPr>
    </w:p>
    <w:p w14:paraId="0F37B8F3">
      <w:pPr>
        <w:spacing w:line="312" w:lineRule="auto"/>
        <w:jc w:val="left"/>
        <w:rPr>
          <w:color w:val="auto"/>
          <w:highlight w:val="none"/>
        </w:rPr>
      </w:pPr>
      <w:r>
        <w:rPr>
          <w:rFonts w:hint="eastAsia" w:ascii="宋体" w:hAnsi="宋体" w:eastAsia="宋体" w:cs="宋体"/>
          <w:b/>
          <w:color w:val="auto"/>
          <w:szCs w:val="21"/>
          <w:highlight w:val="none"/>
        </w:rPr>
        <w:t>注：1.填写前请认真阅读《工业和信息化部</w:t>
      </w:r>
      <w:r>
        <w:rPr>
          <w:rFonts w:hint="eastAsia" w:ascii="宋体" w:hAnsi="宋体" w:eastAsia="宋体" w:cs="宋体"/>
          <w:b/>
          <w:color w:val="auto"/>
          <w:szCs w:val="21"/>
          <w:highlight w:val="none"/>
          <w:lang w:val="en-US" w:eastAsia="zh-CN"/>
        </w:rPr>
        <w:t xml:space="preserve"> </w:t>
      </w:r>
      <w:r>
        <w:rPr>
          <w:rFonts w:hint="eastAsia" w:ascii="宋体" w:hAnsi="宋体" w:eastAsia="宋体" w:cs="宋体"/>
          <w:b/>
          <w:color w:val="auto"/>
          <w:szCs w:val="21"/>
          <w:highlight w:val="none"/>
        </w:rPr>
        <w:t>国家统计局</w:t>
      </w:r>
      <w:r>
        <w:rPr>
          <w:rFonts w:hint="eastAsia" w:ascii="宋体" w:hAnsi="宋体" w:eastAsia="宋体" w:cs="宋体"/>
          <w:b/>
          <w:color w:val="auto"/>
          <w:szCs w:val="21"/>
          <w:highlight w:val="none"/>
          <w:lang w:val="en-US" w:eastAsia="zh-CN"/>
        </w:rPr>
        <w:t xml:space="preserve"> </w:t>
      </w:r>
      <w:r>
        <w:rPr>
          <w:rFonts w:hint="eastAsia" w:ascii="宋体" w:hAnsi="宋体" w:eastAsia="宋体" w:cs="宋体"/>
          <w:b/>
          <w:color w:val="auto"/>
          <w:szCs w:val="21"/>
          <w:highlight w:val="none"/>
        </w:rPr>
        <w:t>国家发展和改革委员会</w:t>
      </w:r>
      <w:r>
        <w:rPr>
          <w:rFonts w:hint="eastAsia" w:ascii="宋体" w:hAnsi="宋体" w:eastAsia="宋体" w:cs="宋体"/>
          <w:b/>
          <w:color w:val="auto"/>
          <w:szCs w:val="21"/>
          <w:highlight w:val="none"/>
          <w:lang w:val="en-US" w:eastAsia="zh-CN"/>
        </w:rPr>
        <w:t xml:space="preserve"> </w:t>
      </w:r>
      <w:r>
        <w:rPr>
          <w:rFonts w:hint="eastAsia" w:ascii="宋体" w:hAnsi="宋体" w:eastAsia="宋体" w:cs="宋体"/>
          <w:b/>
          <w:color w:val="auto"/>
          <w:szCs w:val="21"/>
          <w:highlight w:val="none"/>
        </w:rPr>
        <w:t>财政部关于印发中小企业划型标准规定的通知》</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工信部联企业〔2011〕300号</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和《财政部、工业和信息化部关于印发《政府采购促进中小企业发展管理办法》的通知》</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财库〔2020〕46号</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相关规定。2.授权用投标专用章的，与公章具有相同法律效力。</w:t>
      </w:r>
    </w:p>
    <w:p w14:paraId="11D0BCE0">
      <w:pPr>
        <w:spacing w:line="360" w:lineRule="auto"/>
        <w:jc w:val="center"/>
        <w:rPr>
          <w:rStyle w:val="279"/>
          <w:rFonts w:ascii="宋体" w:hAnsi="宋体" w:cs="仿宋"/>
          <w:color w:val="auto"/>
          <w:szCs w:val="21"/>
          <w:highlight w:val="none"/>
        </w:rPr>
      </w:pPr>
      <w:r>
        <w:rPr>
          <w:rStyle w:val="279"/>
          <w:rFonts w:hint="eastAsia" w:ascii="宋体" w:hAnsi="宋体" w:cs="仿宋"/>
          <w:color w:val="auto"/>
          <w:szCs w:val="21"/>
          <w:highlight w:val="none"/>
        </w:rPr>
        <w:br w:type="page"/>
      </w:r>
      <w:r>
        <w:rPr>
          <w:rStyle w:val="279"/>
          <w:rFonts w:hint="eastAsia" w:ascii="宋体" w:hAnsi="宋体" w:cs="仿宋"/>
          <w:color w:val="auto"/>
          <w:szCs w:val="21"/>
          <w:highlight w:val="none"/>
        </w:rPr>
        <w:t>中小微企业划型标准</w:t>
      </w:r>
    </w:p>
    <w:p w14:paraId="78712FA1">
      <w:pPr>
        <w:pStyle w:val="307"/>
        <w:widowControl/>
        <w:spacing w:before="300" w:after="452" w:line="360" w:lineRule="auto"/>
        <w:ind w:firstLine="420"/>
        <w:rPr>
          <w:rStyle w:val="279"/>
          <w:rFonts w:ascii="宋体" w:hAnsi="宋体" w:cs="仿宋"/>
          <w:color w:val="auto"/>
          <w:sz w:val="21"/>
          <w:szCs w:val="21"/>
          <w:highlight w:val="none"/>
        </w:rPr>
      </w:pPr>
      <w:r>
        <w:rPr>
          <w:rFonts w:hint="eastAsia" w:ascii="宋体" w:hAnsi="宋体" w:cs="仿宋"/>
          <w:color w:val="auto"/>
          <w:sz w:val="21"/>
          <w:szCs w:val="21"/>
          <w:highlight w:val="none"/>
        </w:rPr>
        <w:t>    </w:t>
      </w:r>
      <w:r>
        <w:rPr>
          <w:rStyle w:val="279"/>
          <w:rFonts w:hint="eastAsia" w:ascii="宋体" w:hAnsi="宋体" w:cs="仿宋"/>
          <w:color w:val="auto"/>
          <w:sz w:val="21"/>
          <w:szCs w:val="21"/>
          <w:highlight w:val="none"/>
        </w:rPr>
        <w:t>中小微企业划型标准如下：</w:t>
      </w:r>
    </w:p>
    <w:tbl>
      <w:tblPr>
        <w:tblStyle w:val="38"/>
        <w:tblW w:w="931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739"/>
        <w:gridCol w:w="835"/>
        <w:gridCol w:w="2089"/>
        <w:gridCol w:w="1709"/>
        <w:gridCol w:w="1500"/>
      </w:tblGrid>
      <w:tr w14:paraId="0241B81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trPr>
        <w:tc>
          <w:tcPr>
            <w:tcW w:w="1401" w:type="dxa"/>
            <w:tcBorders>
              <w:top w:val="single" w:color="000000" w:sz="6" w:space="0"/>
              <w:left w:val="single" w:color="000000" w:sz="6" w:space="0"/>
              <w:bottom w:val="single" w:color="000000" w:sz="6" w:space="0"/>
              <w:right w:val="single" w:color="000000" w:sz="6" w:space="0"/>
            </w:tcBorders>
            <w:noWrap w:val="0"/>
            <w:tcMar>
              <w:top w:w="0" w:type="dxa"/>
              <w:left w:w="105" w:type="dxa"/>
              <w:bottom w:w="0" w:type="dxa"/>
              <w:right w:w="105" w:type="dxa"/>
            </w:tcMar>
            <w:vAlign w:val="center"/>
          </w:tcPr>
          <w:p w14:paraId="61F70E95">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行业名称</w:t>
            </w:r>
          </w:p>
        </w:tc>
        <w:tc>
          <w:tcPr>
            <w:tcW w:w="170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3888E352">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指标名称</w:t>
            </w:r>
          </w:p>
        </w:tc>
        <w:tc>
          <w:tcPr>
            <w:tcW w:w="805"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748F4211">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计量单位</w:t>
            </w:r>
          </w:p>
        </w:tc>
        <w:tc>
          <w:tcPr>
            <w:tcW w:w="205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40D77F6B">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中型</w:t>
            </w:r>
          </w:p>
        </w:tc>
        <w:tc>
          <w:tcPr>
            <w:tcW w:w="167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6CAA3624">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小型</w:t>
            </w:r>
          </w:p>
        </w:tc>
        <w:tc>
          <w:tcPr>
            <w:tcW w:w="1455"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46278923">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微型</w:t>
            </w:r>
          </w:p>
        </w:tc>
      </w:tr>
      <w:tr w14:paraId="03AE28E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7618F28F">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农、林、牧、渔</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20D685C">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C763DD">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DD2D66">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A89D4DE">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50≤Y＜500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DBDDB0">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Y＜50</w:t>
            </w:r>
          </w:p>
        </w:tc>
      </w:tr>
      <w:tr w14:paraId="1DC383F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D8C76DA">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工业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C84DA6C">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A0823C">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B5953AE">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E31CDB9">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69CC99">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X＜20</w:t>
            </w:r>
          </w:p>
        </w:tc>
      </w:tr>
      <w:tr w14:paraId="0CD98D1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55427154">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282240">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B86445">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236F54">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2000≤Y＜40000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AD611FA">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300≤Y＜2000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F43FE32">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Y＜300</w:t>
            </w:r>
          </w:p>
        </w:tc>
      </w:tr>
      <w:tr w14:paraId="6065617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767100E5">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建筑业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5600AF4">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A77254">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601C15">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6000≤Y＜80000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B83923B">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300≤Y＜6000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6B6E15">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Y＜300</w:t>
            </w:r>
          </w:p>
        </w:tc>
      </w:tr>
      <w:tr w14:paraId="49B39C9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2652098D">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D4017B">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资产总额（Z）</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438281">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7310FD">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5000≤Z＜80000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464FEB">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300≤Z＜5000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615BEB">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Z＜300</w:t>
            </w:r>
          </w:p>
        </w:tc>
      </w:tr>
      <w:tr w14:paraId="10E891C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269470EB">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批发业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6229DC">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E83F62">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F15855">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20≤X＜200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777C14">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5≤X＜20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8BA617">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X＜5</w:t>
            </w:r>
          </w:p>
        </w:tc>
      </w:tr>
      <w:tr w14:paraId="6332711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01571429">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C72FD93">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09CAB3E">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71C500">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5000≤Y＜40000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4F5EFFF">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328159">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Y＜1000</w:t>
            </w:r>
          </w:p>
        </w:tc>
      </w:tr>
      <w:tr w14:paraId="55F5551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0D2C4567">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零售业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2A589D">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757036">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9A4CD0">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50≤X＜300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075982">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10≤X＜50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0C87BED">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X＜10</w:t>
            </w:r>
          </w:p>
        </w:tc>
      </w:tr>
      <w:tr w14:paraId="3DC5476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62F4872E">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225ED0">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A9AA397">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1DE5C28">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D690AE">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7D7BCDF">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Y＜100</w:t>
            </w:r>
          </w:p>
        </w:tc>
      </w:tr>
      <w:tr w14:paraId="7EECD0B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06412506">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交通运输业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9B787FE">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E7F1B1">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F1BE76">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C4ADD0">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56DEB54">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X＜20</w:t>
            </w:r>
          </w:p>
        </w:tc>
      </w:tr>
      <w:tr w14:paraId="6A4DCBE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3752912F">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0F7712">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495160">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2C3C184">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3000≤Y＜30000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D3323B">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200≤Y＜3000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E232E9E">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Y＜200</w:t>
            </w:r>
          </w:p>
        </w:tc>
      </w:tr>
      <w:tr w14:paraId="7085D75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1232CD59">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仓储业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14147C">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8148104">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048A06">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100≤X＜200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8C878E">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20≤X＜100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5A529A">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X＜20</w:t>
            </w:r>
          </w:p>
        </w:tc>
      </w:tr>
      <w:tr w14:paraId="7003EA4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03CEE7E0">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92FB53">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35705E6">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9A2FB63">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1000≤Y＜30000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787E05C">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6DCE5B">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Y＜100</w:t>
            </w:r>
          </w:p>
        </w:tc>
      </w:tr>
      <w:tr w14:paraId="5E310D8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7AD123EA">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邮政业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619F20">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AAA5BC">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E798E59">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EE5107">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596F197">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X＜20</w:t>
            </w:r>
          </w:p>
        </w:tc>
      </w:tr>
      <w:tr w14:paraId="712F88F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3AAD4F50">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5920B5">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AE07E3">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C6210E">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2000≤Y＜30000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379567D">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1EC2DB">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Y＜100</w:t>
            </w:r>
          </w:p>
        </w:tc>
      </w:tr>
      <w:tr w14:paraId="56B0562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4624D689">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住宿业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1C260A">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4A30D9C">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5528D6B">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A86741">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ED71B77">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X＜10</w:t>
            </w:r>
          </w:p>
        </w:tc>
      </w:tr>
      <w:tr w14:paraId="2A2B59A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75231BE4">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2E4D42">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02BAAC">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EA2EF1A">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FEA8290">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34D2B7">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Y＜100</w:t>
            </w:r>
          </w:p>
        </w:tc>
      </w:tr>
      <w:tr w14:paraId="5262537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59F20F0E">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餐饮业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EC64A6">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BC3519">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770F0CC">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1A900D">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ADD555A">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X＜10</w:t>
            </w:r>
          </w:p>
        </w:tc>
      </w:tr>
      <w:tr w14:paraId="54E4692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039C8DAC">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B1EDC23">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11713E">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1BB24D">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7D72740">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F952B86">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Y＜100</w:t>
            </w:r>
          </w:p>
        </w:tc>
      </w:tr>
      <w:tr w14:paraId="5063F9A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5C3E7413">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信息传输业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03C620F">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1444AF4">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3A22F4C">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100≤X＜2000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9935B5">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D828950">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X＜10</w:t>
            </w:r>
          </w:p>
        </w:tc>
      </w:tr>
      <w:tr w14:paraId="5B01C97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09AA53DC">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F5BADDE">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66B73E">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1B96A2">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1000≤Y＜100000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65B74A">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BBF773">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Y＜100</w:t>
            </w:r>
          </w:p>
        </w:tc>
      </w:tr>
      <w:tr w14:paraId="6C3E654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7F6B411E">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软件和信息技术服务业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60661A">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64B74A8">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09B5DE">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53DD823">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8842ED">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X＜10</w:t>
            </w:r>
          </w:p>
        </w:tc>
      </w:tr>
      <w:tr w14:paraId="3DFFBB5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5D369D1D">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3E9848">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93ED3D">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502C1C">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1000≤Y＜10000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180F03">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50≤Y＜1000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1B76082">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Y＜50</w:t>
            </w:r>
          </w:p>
        </w:tc>
      </w:tr>
      <w:tr w14:paraId="7DEC119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1506C627">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房地产开发经营</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D6CBD6">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EBB5E2B">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32F0F7">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1000≤Y＜200000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6E3726">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100≤X＜1000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542A62">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X＜100</w:t>
            </w:r>
          </w:p>
        </w:tc>
      </w:tr>
      <w:tr w14:paraId="0E55CB9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6B9AC212">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BB907C">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资产总额（Z）</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993093">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5E3EA4">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5000≤Z＜10000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759DF3C">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2000≤Y＜5000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EFDC13">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Y＜2000</w:t>
            </w:r>
          </w:p>
        </w:tc>
      </w:tr>
      <w:tr w14:paraId="5FAC42A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1D98CF17">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物业管理</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D1DAB24">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F7FE067">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02B901">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15797D">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B08CF6">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X＜100</w:t>
            </w:r>
          </w:p>
        </w:tc>
      </w:tr>
      <w:tr w14:paraId="27FA5BC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0E0E8711">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9305D2D">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FA6319">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1C0FC9">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1000≤Y＜5000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C55907">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500≤Y＜1000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78AD3C">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Y＜500</w:t>
            </w:r>
          </w:p>
        </w:tc>
      </w:tr>
      <w:tr w14:paraId="2835A07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0C689D3F">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租赁和商务服务业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0536818">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D85947">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BB7A31">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0D8B03">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6D6557F">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X＜10</w:t>
            </w:r>
          </w:p>
        </w:tc>
      </w:tr>
      <w:tr w14:paraId="725320A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680933B4">
            <w:pPr>
              <w:widowControl/>
              <w:jc w:val="left"/>
              <w:rPr>
                <w:rFonts w:ascii="宋体" w:hAnsi="宋体"/>
                <w:color w:val="auto"/>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7C0F0D1">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资产总额（Z）</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D4ACC6">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0E9A45">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8000≤Z＜120000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3FFEA7">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100≤Z＜8000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E28F07">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Y＜100</w:t>
            </w:r>
          </w:p>
        </w:tc>
      </w:tr>
      <w:tr w14:paraId="3241577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4F16D83F">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其他未列明行业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5350C76">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ED1DC36">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830F3AF">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E99ED8E">
            <w:pPr>
              <w:pStyle w:val="307"/>
              <w:widowControl/>
              <w:jc w:val="center"/>
              <w:rPr>
                <w:rFonts w:ascii="宋体" w:hAnsi="宋体"/>
                <w:color w:val="auto"/>
                <w:sz w:val="21"/>
                <w:szCs w:val="21"/>
                <w:highlight w:val="none"/>
              </w:rPr>
            </w:pPr>
            <w:r>
              <w:rPr>
                <w:rStyle w:val="279"/>
                <w:rFonts w:hint="eastAsia" w:ascii="宋体" w:hAnsi="宋体" w:cs="仿宋"/>
                <w:color w:val="auto"/>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EA839AF">
            <w:pPr>
              <w:pStyle w:val="307"/>
              <w:widowControl/>
              <w:rPr>
                <w:rFonts w:ascii="宋体" w:hAnsi="宋体"/>
                <w:color w:val="auto"/>
                <w:sz w:val="21"/>
                <w:szCs w:val="21"/>
                <w:highlight w:val="none"/>
              </w:rPr>
            </w:pPr>
            <w:r>
              <w:rPr>
                <w:rStyle w:val="279"/>
                <w:rFonts w:hint="eastAsia" w:ascii="宋体" w:hAnsi="宋体" w:cs="仿宋"/>
                <w:color w:val="auto"/>
                <w:sz w:val="21"/>
                <w:szCs w:val="21"/>
                <w:highlight w:val="none"/>
              </w:rPr>
              <w:t>X＜10</w:t>
            </w:r>
          </w:p>
        </w:tc>
      </w:tr>
    </w:tbl>
    <w:p w14:paraId="5CD0CA38">
      <w:pPr>
        <w:pStyle w:val="307"/>
        <w:widowControl/>
        <w:spacing w:before="300" w:after="452" w:line="360" w:lineRule="auto"/>
        <w:ind w:firstLine="810"/>
        <w:rPr>
          <w:rStyle w:val="279"/>
          <w:rFonts w:ascii="宋体" w:hAnsi="宋体" w:cs="仿宋"/>
          <w:color w:val="auto"/>
          <w:sz w:val="21"/>
          <w:szCs w:val="21"/>
          <w:highlight w:val="none"/>
        </w:rPr>
      </w:pPr>
      <w:r>
        <w:rPr>
          <w:rStyle w:val="279"/>
          <w:rFonts w:hint="eastAsia" w:ascii="宋体" w:hAnsi="宋体" w:cs="仿宋"/>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5DA044C8">
      <w:pPr>
        <w:pStyle w:val="243"/>
        <w:spacing w:line="360" w:lineRule="auto"/>
        <w:jc w:val="center"/>
        <w:rPr>
          <w:rFonts w:ascii="宋体" w:hAnsi="宋体"/>
          <w:color w:val="auto"/>
          <w:highlight w:val="none"/>
        </w:rPr>
      </w:pPr>
      <w:r>
        <w:rPr>
          <w:rStyle w:val="279"/>
          <w:rFonts w:ascii="宋体" w:hAnsi="宋体" w:cs="仿宋"/>
          <w:b w:val="0"/>
          <w:color w:val="auto"/>
          <w:sz w:val="21"/>
          <w:szCs w:val="21"/>
          <w:highlight w:val="none"/>
        </w:rPr>
        <w:br w:type="page"/>
      </w:r>
      <w:bookmarkStart w:id="87" w:name="_Toc26813"/>
      <w:r>
        <w:rPr>
          <w:rFonts w:hint="eastAsia" w:ascii="宋体" w:hAnsi="宋体"/>
          <w:color w:val="auto"/>
          <w:sz w:val="21"/>
          <w:szCs w:val="21"/>
          <w:highlight w:val="none"/>
        </w:rPr>
        <w:t>残疾人福利性单位声明函</w:t>
      </w:r>
      <w:bookmarkEnd w:id="87"/>
    </w:p>
    <w:p w14:paraId="07C0CA54">
      <w:pPr>
        <w:spacing w:line="360" w:lineRule="auto"/>
        <w:ind w:firstLine="624"/>
        <w:rPr>
          <w:rFonts w:ascii="仿宋_GB2312" w:eastAsia="仿宋_GB2312"/>
          <w:color w:val="auto"/>
          <w:spacing w:val="6"/>
          <w:sz w:val="30"/>
          <w:szCs w:val="30"/>
          <w:highlight w:val="none"/>
        </w:rPr>
      </w:pPr>
    </w:p>
    <w:p w14:paraId="60ED1D70">
      <w:pPr>
        <w:spacing w:line="360" w:lineRule="auto"/>
        <w:ind w:firstLine="420"/>
        <w:rPr>
          <w:rFonts w:ascii="宋体" w:hAnsi="宋体"/>
          <w:color w:val="auto"/>
          <w:szCs w:val="21"/>
          <w:highlight w:val="none"/>
        </w:rPr>
      </w:pPr>
      <w:r>
        <w:rPr>
          <w:rFonts w:hint="eastAsia" w:ascii="宋体" w:hAnsi="宋体"/>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6B623823">
      <w:pPr>
        <w:spacing w:line="360" w:lineRule="auto"/>
        <w:ind w:firstLine="420"/>
        <w:rPr>
          <w:rFonts w:ascii="宋体" w:hAnsi="宋体"/>
          <w:color w:val="auto"/>
          <w:szCs w:val="21"/>
          <w:highlight w:val="none"/>
        </w:rPr>
      </w:pPr>
      <w:r>
        <w:rPr>
          <w:rFonts w:hint="eastAsia" w:ascii="宋体" w:hAnsi="宋体"/>
          <w:color w:val="auto"/>
          <w:szCs w:val="21"/>
          <w:highlight w:val="none"/>
        </w:rPr>
        <w:t>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圆整（￥：     ）。</w:t>
      </w:r>
    </w:p>
    <w:p w14:paraId="03CA5F67">
      <w:pPr>
        <w:spacing w:line="360" w:lineRule="auto"/>
        <w:ind w:firstLine="420"/>
        <w:rPr>
          <w:rFonts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1972BD84">
      <w:pPr>
        <w:spacing w:line="360" w:lineRule="auto"/>
        <w:ind w:firstLine="420"/>
        <w:rPr>
          <w:rFonts w:ascii="宋体" w:hAnsi="宋体"/>
          <w:color w:val="auto"/>
          <w:szCs w:val="21"/>
          <w:highlight w:val="none"/>
        </w:rPr>
      </w:pPr>
    </w:p>
    <w:p w14:paraId="067C76DC">
      <w:pPr>
        <w:spacing w:line="360" w:lineRule="auto"/>
        <w:ind w:firstLine="420"/>
        <w:rPr>
          <w:rFonts w:ascii="宋体" w:hAnsi="宋体"/>
          <w:color w:val="auto"/>
          <w:szCs w:val="21"/>
          <w:highlight w:val="none"/>
        </w:rPr>
      </w:pPr>
      <w:r>
        <w:rPr>
          <w:rFonts w:hint="eastAsia" w:ascii="宋体" w:hAnsi="宋体"/>
          <w:color w:val="auto"/>
          <w:szCs w:val="21"/>
          <w:highlight w:val="none"/>
        </w:rPr>
        <w:t>（备注：1、投标人如不提供此声明函，价格将不做相应扣除。2、中标投标人为残疾人福利单位的，此声明函将随中标结果同时公告，接受社会监督）</w:t>
      </w:r>
    </w:p>
    <w:p w14:paraId="002C8CF2">
      <w:pPr>
        <w:spacing w:line="360" w:lineRule="auto"/>
        <w:ind w:firstLine="444"/>
        <w:rPr>
          <w:rFonts w:ascii="仿宋_GB2312" w:eastAsia="仿宋_GB2312"/>
          <w:color w:val="auto"/>
          <w:spacing w:val="6"/>
          <w:szCs w:val="21"/>
          <w:highlight w:val="none"/>
        </w:rPr>
      </w:pPr>
    </w:p>
    <w:p w14:paraId="33CB5DD7">
      <w:pPr>
        <w:tabs>
          <w:tab w:val="left" w:pos="4860"/>
        </w:tabs>
        <w:spacing w:line="360" w:lineRule="auto"/>
        <w:ind w:right="1560" w:firstLine="444"/>
        <w:jc w:val="center"/>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投标人全称（盖章）：</w:t>
      </w:r>
    </w:p>
    <w:p w14:paraId="1F0115F2">
      <w:pPr>
        <w:tabs>
          <w:tab w:val="left" w:pos="4860"/>
        </w:tabs>
        <w:spacing w:line="360" w:lineRule="auto"/>
        <w:ind w:right="1560" w:firstLine="420"/>
        <w:jc w:val="center"/>
        <w:rPr>
          <w:rFonts w:ascii="宋体" w:hAnsi="宋体"/>
          <w:color w:val="auto"/>
          <w:szCs w:val="21"/>
          <w:highlight w:val="none"/>
        </w:rPr>
      </w:pPr>
      <w:r>
        <w:rPr>
          <w:rFonts w:hint="eastAsia" w:ascii="宋体" w:hAnsi="宋体"/>
          <w:color w:val="auto"/>
          <w:szCs w:val="21"/>
          <w:highlight w:val="none"/>
        </w:rPr>
        <w:t xml:space="preserve">                              日  期：</w:t>
      </w:r>
    </w:p>
    <w:p w14:paraId="6A752DD5">
      <w:pPr>
        <w:widowControl/>
        <w:spacing w:line="360" w:lineRule="auto"/>
        <w:jc w:val="left"/>
        <w:rPr>
          <w:rFonts w:ascii="宋体" w:hAnsi="宋体" w:cs="Arial"/>
          <w:b/>
          <w:bCs/>
          <w:color w:val="auto"/>
          <w:highlight w:val="none"/>
        </w:rPr>
      </w:pPr>
    </w:p>
    <w:p w14:paraId="3EE8040D">
      <w:pPr>
        <w:widowControl/>
        <w:spacing w:line="360" w:lineRule="auto"/>
        <w:jc w:val="left"/>
        <w:rPr>
          <w:rFonts w:ascii="宋体" w:hAnsi="宋体" w:cs="Arial"/>
          <w:b/>
          <w:bCs/>
          <w:color w:val="auto"/>
          <w:highlight w:val="none"/>
        </w:rPr>
      </w:pPr>
    </w:p>
    <w:p w14:paraId="22CA30B8">
      <w:pPr>
        <w:spacing w:line="360" w:lineRule="auto"/>
        <w:jc w:val="center"/>
        <w:rPr>
          <w:rFonts w:ascii="宋体" w:hAnsi="宋体" w:cs="Arial"/>
          <w:b/>
          <w:bCs/>
          <w:color w:val="auto"/>
          <w:highlight w:val="none"/>
        </w:rPr>
      </w:pPr>
    </w:p>
    <w:p w14:paraId="2A74A5A4">
      <w:pPr>
        <w:widowControl/>
        <w:spacing w:line="360" w:lineRule="auto"/>
        <w:jc w:val="left"/>
        <w:rPr>
          <w:rFonts w:ascii="宋体" w:hAnsi="宋体" w:cs="Arial"/>
          <w:b/>
          <w:bCs/>
          <w:color w:val="auto"/>
          <w:highlight w:val="none"/>
        </w:rPr>
      </w:pPr>
    </w:p>
    <w:p w14:paraId="4F1BEDBC">
      <w:pPr>
        <w:widowControl/>
        <w:spacing w:line="360" w:lineRule="auto"/>
        <w:jc w:val="left"/>
        <w:rPr>
          <w:rFonts w:ascii="宋体" w:hAnsi="宋体" w:cs="Arial"/>
          <w:b/>
          <w:bCs/>
          <w:color w:val="auto"/>
          <w:highlight w:val="none"/>
        </w:rPr>
      </w:pPr>
    </w:p>
    <w:p w14:paraId="424FD4C7">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0"/>
        <w:jc w:val="center"/>
        <w:rPr>
          <w:rFonts w:hint="eastAsia" w:ascii="宋体" w:hAnsi="宋体" w:eastAsia="宋体" w:cs="宋体"/>
          <w:i w:val="0"/>
          <w:iCs w:val="0"/>
          <w:caps w:val="0"/>
          <w:color w:val="auto"/>
          <w:spacing w:val="0"/>
          <w:sz w:val="24"/>
          <w:szCs w:val="24"/>
          <w:highlight w:val="none"/>
        </w:rPr>
      </w:pPr>
      <w:r>
        <w:rPr>
          <w:rFonts w:hint="eastAsia" w:ascii="宋体" w:hAnsi="宋体"/>
          <w:b/>
          <w:color w:val="auto"/>
          <w:sz w:val="32"/>
          <w:szCs w:val="32"/>
          <w:highlight w:val="none"/>
        </w:rPr>
        <w:br w:type="page"/>
      </w:r>
      <w:r>
        <w:rPr>
          <w:rStyle w:val="41"/>
          <w:rFonts w:hint="eastAsia" w:ascii="宋体" w:hAnsi="宋体" w:eastAsia="宋体" w:cs="宋体"/>
          <w:i w:val="0"/>
          <w:iCs w:val="0"/>
          <w:caps w:val="0"/>
          <w:color w:val="auto"/>
          <w:spacing w:val="0"/>
          <w:sz w:val="24"/>
          <w:szCs w:val="24"/>
          <w:highlight w:val="none"/>
          <w:shd w:val="clear" w:color="auto" w:fill="FFFFFF"/>
        </w:rPr>
        <w:t>关于符合本国产品标准的声明函</w:t>
      </w:r>
    </w:p>
    <w:p w14:paraId="56852748">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16"/>
          <w:szCs w:val="16"/>
          <w:highlight w:val="none"/>
        </w:rPr>
      </w:pPr>
    </w:p>
    <w:p w14:paraId="46B62B9A">
      <w:pPr>
        <w:spacing w:line="360" w:lineRule="auto"/>
        <w:ind w:left="120" w:right="207" w:firstLine="324"/>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本公司（单位）郑重声明，根据《国务院办公厅关于在政府采购中实施本国产品标准及相关政策的通知》（国办发〔2025〕34号）的规定，本公司（单位）提供的以下产品属于本国产品。具体情况如下：</w:t>
      </w:r>
    </w:p>
    <w:p w14:paraId="71327082">
      <w:pPr>
        <w:spacing w:line="360" w:lineRule="auto"/>
        <w:ind w:left="120" w:right="207" w:firstLine="324"/>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1.</w:t>
      </w:r>
      <w:r>
        <w:rPr>
          <w:rFonts w:hint="eastAsia" w:ascii="宋体" w:hAnsi="宋体" w:eastAsia="宋体" w:cs="Microsoft New Tai Lue"/>
          <w:i/>
          <w:iCs/>
          <w:color w:val="auto"/>
          <w:spacing w:val="3"/>
          <w:highlight w:val="none"/>
          <w:u w:val="single"/>
        </w:rPr>
        <w:t>（产品名称1）</w:t>
      </w:r>
      <w:r>
        <w:rPr>
          <w:rFonts w:hint="eastAsia" w:ascii="宋体" w:hAnsi="宋体" w:eastAsia="宋体" w:cs="Microsoft New Tai Lue"/>
          <w:i/>
          <w:iCs/>
          <w:color w:val="auto"/>
          <w:spacing w:val="6"/>
          <w:sz w:val="21"/>
          <w:highlight w:val="none"/>
          <w:u w:val="single"/>
          <w:vertAlign w:val="superscript"/>
        </w:rPr>
        <w:t>1</w:t>
      </w:r>
      <w:r>
        <w:rPr>
          <w:rFonts w:hint="eastAsia" w:ascii="宋体" w:hAnsi="宋体" w:eastAsia="宋体" w:cs="Microsoft New Tai Lue"/>
          <w:color w:val="auto"/>
          <w:spacing w:val="3"/>
          <w:highlight w:val="none"/>
        </w:rPr>
        <w:t>，生产厂为</w:t>
      </w:r>
      <w:r>
        <w:rPr>
          <w:rFonts w:hint="eastAsia" w:ascii="宋体" w:hAnsi="宋体" w:eastAsia="宋体" w:cs="Microsoft New Tai Lue"/>
          <w:i/>
          <w:iCs/>
          <w:color w:val="auto"/>
          <w:spacing w:val="3"/>
          <w:highlight w:val="none"/>
          <w:u w:val="single"/>
        </w:rPr>
        <w:t>（厂名）</w:t>
      </w:r>
      <w:r>
        <w:rPr>
          <w:rFonts w:hint="eastAsia" w:ascii="宋体" w:hAnsi="宋体" w:eastAsia="宋体" w:cs="Microsoft New Tai Lue"/>
          <w:i/>
          <w:iCs/>
          <w:color w:val="auto"/>
          <w:spacing w:val="6"/>
          <w:sz w:val="21"/>
          <w:highlight w:val="none"/>
          <w:u w:val="single"/>
          <w:vertAlign w:val="superscript"/>
        </w:rPr>
        <w:t>2</w:t>
      </w:r>
      <w:r>
        <w:rPr>
          <w:rFonts w:hint="eastAsia" w:ascii="宋体" w:hAnsi="宋体" w:eastAsia="宋体" w:cs="Microsoft New Tai Lue"/>
          <w:color w:val="auto"/>
          <w:spacing w:val="3"/>
          <w:highlight w:val="none"/>
        </w:rPr>
        <w:t>，厂址为</w:t>
      </w:r>
      <w:r>
        <w:rPr>
          <w:rFonts w:hint="eastAsia" w:ascii="宋体" w:hAnsi="宋体" w:eastAsia="宋体" w:cs="Microsoft New Tai Lue"/>
          <w:i/>
          <w:iCs/>
          <w:color w:val="auto"/>
          <w:spacing w:val="3"/>
          <w:highlight w:val="none"/>
          <w:u w:val="single"/>
        </w:rPr>
        <w:t>（生产厂址）</w:t>
      </w:r>
      <w:r>
        <w:rPr>
          <w:rFonts w:hint="eastAsia" w:ascii="宋体" w:hAnsi="宋体" w:eastAsia="宋体" w:cs="Microsoft New Tai Lue"/>
          <w:color w:val="auto"/>
          <w:spacing w:val="3"/>
          <w:highlight w:val="none"/>
        </w:rPr>
        <w:t>。</w:t>
      </w:r>
      <w:r>
        <w:rPr>
          <w:rFonts w:hint="eastAsia" w:ascii="宋体" w:hAnsi="宋体" w:eastAsia="宋体" w:cs="Microsoft New Tai Lue"/>
          <w:i/>
          <w:iCs/>
          <w:color w:val="auto"/>
          <w:spacing w:val="3"/>
          <w:highlight w:val="none"/>
          <w:u w:val="single"/>
        </w:rPr>
        <w:t>（产品名称1）</w:t>
      </w:r>
      <w:r>
        <w:rPr>
          <w:rFonts w:hint="eastAsia" w:ascii="宋体" w:hAnsi="宋体" w:eastAsia="宋体" w:cs="Microsoft New Tai Lue"/>
          <w:color w:val="auto"/>
          <w:spacing w:val="3"/>
          <w:highlight w:val="none"/>
        </w:rPr>
        <w:t>的中国境内生产的组件成本占比≥</w:t>
      </w:r>
      <w:r>
        <w:rPr>
          <w:rFonts w:hint="eastAsia" w:ascii="宋体" w:hAnsi="宋体" w:eastAsia="宋体" w:cs="Microsoft New Tai Lue"/>
          <w:i/>
          <w:iCs/>
          <w:color w:val="auto"/>
          <w:spacing w:val="3"/>
          <w:highlight w:val="none"/>
          <w:u w:val="single"/>
        </w:rPr>
        <w:t>（规定比例）</w:t>
      </w:r>
      <w:r>
        <w:rPr>
          <w:rFonts w:hint="eastAsia" w:ascii="宋体" w:hAnsi="宋体" w:eastAsia="宋体" w:cs="Microsoft New Tai Lue"/>
          <w:color w:val="auto"/>
          <w:spacing w:val="6"/>
          <w:sz w:val="21"/>
          <w:highlight w:val="none"/>
          <w:vertAlign w:val="superscript"/>
        </w:rPr>
        <w:t>3</w:t>
      </w:r>
      <w:r>
        <w:rPr>
          <w:rFonts w:hint="eastAsia" w:ascii="宋体" w:hAnsi="宋体" w:eastAsia="宋体" w:cs="Microsoft New Tai Lue"/>
          <w:color w:val="auto"/>
          <w:spacing w:val="3"/>
          <w:highlight w:val="none"/>
        </w:rPr>
        <w:t>。</w:t>
      </w:r>
      <w:r>
        <w:rPr>
          <w:rFonts w:hint="eastAsia" w:ascii="宋体" w:hAnsi="宋体" w:eastAsia="宋体" w:cs="Microsoft New Tai Lue"/>
          <w:i/>
          <w:iCs/>
          <w:color w:val="auto"/>
          <w:spacing w:val="3"/>
          <w:highlight w:val="none"/>
          <w:u w:val="single"/>
        </w:rPr>
        <w:t>（产品名称1）</w:t>
      </w:r>
      <w:r>
        <w:rPr>
          <w:rFonts w:hint="eastAsia" w:ascii="宋体" w:hAnsi="宋体" w:eastAsia="宋体" w:cs="Microsoft New Tai Lue"/>
          <w:color w:val="auto"/>
          <w:spacing w:val="3"/>
          <w:highlight w:val="none"/>
        </w:rPr>
        <w:t>的</w:t>
      </w:r>
      <w:r>
        <w:rPr>
          <w:rFonts w:hint="eastAsia" w:ascii="宋体" w:hAnsi="宋体" w:eastAsia="宋体" w:cs="Microsoft New Tai Lue"/>
          <w:i/>
          <w:iCs/>
          <w:color w:val="auto"/>
          <w:spacing w:val="3"/>
          <w:highlight w:val="none"/>
          <w:u w:val="single"/>
        </w:rPr>
        <w:t>（关键组件）</w:t>
      </w:r>
      <w:r>
        <w:rPr>
          <w:rFonts w:hint="eastAsia" w:ascii="宋体" w:hAnsi="宋体" w:eastAsia="宋体" w:cs="Microsoft New Tai Lue"/>
          <w:color w:val="auto"/>
          <w:spacing w:val="6"/>
          <w:sz w:val="21"/>
          <w:highlight w:val="none"/>
          <w:vertAlign w:val="superscript"/>
        </w:rPr>
        <w:t>4</w:t>
      </w:r>
      <w:r>
        <w:rPr>
          <w:rFonts w:hint="eastAsia" w:ascii="宋体" w:hAnsi="宋体" w:eastAsia="宋体" w:cs="Microsoft New Tai Lue"/>
          <w:color w:val="auto"/>
          <w:spacing w:val="3"/>
          <w:highlight w:val="none"/>
        </w:rPr>
        <w:t>在中国境内生产。</w:t>
      </w:r>
      <w:r>
        <w:rPr>
          <w:rFonts w:hint="eastAsia" w:ascii="宋体" w:hAnsi="宋体" w:eastAsia="宋体" w:cs="Microsoft New Tai Lue"/>
          <w:i/>
          <w:iCs/>
          <w:color w:val="auto"/>
          <w:spacing w:val="3"/>
          <w:highlight w:val="none"/>
          <w:u w:val="single"/>
        </w:rPr>
        <w:t>（产品名称1）</w:t>
      </w:r>
      <w:r>
        <w:rPr>
          <w:rFonts w:hint="eastAsia" w:ascii="宋体" w:hAnsi="宋体" w:eastAsia="宋体" w:cs="Microsoft New Tai Lue"/>
          <w:color w:val="auto"/>
          <w:spacing w:val="3"/>
          <w:highlight w:val="none"/>
        </w:rPr>
        <w:t>的</w:t>
      </w:r>
      <w:r>
        <w:rPr>
          <w:rFonts w:hint="eastAsia" w:ascii="宋体" w:hAnsi="宋体" w:eastAsia="宋体" w:cs="Microsoft New Tai Lue"/>
          <w:i/>
          <w:iCs/>
          <w:color w:val="auto"/>
          <w:spacing w:val="3"/>
          <w:highlight w:val="none"/>
          <w:u w:val="single"/>
        </w:rPr>
        <w:t>（关键工序）</w:t>
      </w:r>
      <w:r>
        <w:rPr>
          <w:rFonts w:hint="eastAsia" w:ascii="宋体" w:hAnsi="宋体" w:eastAsia="宋体" w:cs="Microsoft New Tai Lue"/>
          <w:color w:val="auto"/>
          <w:spacing w:val="6"/>
          <w:sz w:val="21"/>
          <w:highlight w:val="none"/>
          <w:vertAlign w:val="superscript"/>
        </w:rPr>
        <w:t>5</w:t>
      </w:r>
      <w:r>
        <w:rPr>
          <w:rFonts w:hint="eastAsia" w:ascii="宋体" w:hAnsi="宋体" w:eastAsia="宋体" w:cs="Microsoft New Tai Lue"/>
          <w:color w:val="auto"/>
          <w:spacing w:val="3"/>
          <w:highlight w:val="none"/>
        </w:rPr>
        <w:t>在中国境内完成。</w:t>
      </w:r>
    </w:p>
    <w:p w14:paraId="6E1A6D15">
      <w:pPr>
        <w:spacing w:line="360" w:lineRule="auto"/>
        <w:ind w:left="120" w:right="207" w:firstLine="324"/>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2.</w:t>
      </w:r>
      <w:r>
        <w:rPr>
          <w:rFonts w:hint="eastAsia" w:ascii="宋体" w:hAnsi="宋体" w:eastAsia="宋体" w:cs="Microsoft New Tai Lue"/>
          <w:i/>
          <w:iCs/>
          <w:color w:val="auto"/>
          <w:spacing w:val="3"/>
          <w:highlight w:val="none"/>
          <w:u w:val="single"/>
        </w:rPr>
        <w:t>（产品名称2）</w:t>
      </w:r>
      <w:r>
        <w:rPr>
          <w:rFonts w:hint="eastAsia" w:ascii="宋体" w:hAnsi="宋体" w:eastAsia="宋体" w:cs="Microsoft New Tai Lue"/>
          <w:color w:val="auto"/>
          <w:spacing w:val="3"/>
          <w:highlight w:val="none"/>
        </w:rPr>
        <w:t>，生产厂为</w:t>
      </w:r>
      <w:r>
        <w:rPr>
          <w:rFonts w:hint="eastAsia" w:ascii="宋体" w:hAnsi="宋体" w:eastAsia="宋体" w:cs="Microsoft New Tai Lue"/>
          <w:i/>
          <w:iCs/>
          <w:color w:val="auto"/>
          <w:spacing w:val="3"/>
          <w:highlight w:val="none"/>
          <w:u w:val="single"/>
        </w:rPr>
        <w:t>（厂名）</w:t>
      </w:r>
      <w:r>
        <w:rPr>
          <w:rFonts w:hint="eastAsia" w:ascii="宋体" w:hAnsi="宋体" w:eastAsia="宋体" w:cs="Microsoft New Tai Lue"/>
          <w:color w:val="auto"/>
          <w:spacing w:val="3"/>
          <w:highlight w:val="none"/>
        </w:rPr>
        <w:t>，厂址为</w:t>
      </w:r>
      <w:r>
        <w:rPr>
          <w:rFonts w:hint="eastAsia" w:ascii="宋体" w:hAnsi="宋体" w:eastAsia="宋体" w:cs="Microsoft New Tai Lue"/>
          <w:i/>
          <w:iCs/>
          <w:color w:val="auto"/>
          <w:spacing w:val="3"/>
          <w:highlight w:val="none"/>
          <w:u w:val="single"/>
        </w:rPr>
        <w:t>（生产厂址）</w:t>
      </w:r>
      <w:r>
        <w:rPr>
          <w:rFonts w:hint="eastAsia" w:ascii="宋体" w:hAnsi="宋体" w:eastAsia="宋体" w:cs="Microsoft New Tai Lue"/>
          <w:color w:val="auto"/>
          <w:spacing w:val="3"/>
          <w:highlight w:val="none"/>
        </w:rPr>
        <w:t>。</w:t>
      </w:r>
      <w:r>
        <w:rPr>
          <w:rFonts w:hint="eastAsia" w:ascii="宋体" w:hAnsi="宋体" w:eastAsia="宋体" w:cs="Microsoft New Tai Lue"/>
          <w:i/>
          <w:iCs/>
          <w:color w:val="auto"/>
          <w:spacing w:val="3"/>
          <w:highlight w:val="none"/>
          <w:u w:val="single"/>
        </w:rPr>
        <w:t>（产品名称2）</w:t>
      </w:r>
      <w:r>
        <w:rPr>
          <w:rFonts w:hint="eastAsia" w:ascii="宋体" w:hAnsi="宋体" w:eastAsia="宋体" w:cs="Microsoft New Tai Lue"/>
          <w:color w:val="auto"/>
          <w:spacing w:val="3"/>
          <w:highlight w:val="none"/>
        </w:rPr>
        <w:t>的中国境内生产的组件成本占比≥</w:t>
      </w:r>
      <w:r>
        <w:rPr>
          <w:rFonts w:hint="eastAsia" w:ascii="宋体" w:hAnsi="宋体" w:eastAsia="宋体" w:cs="Microsoft New Tai Lue"/>
          <w:i/>
          <w:iCs/>
          <w:color w:val="auto"/>
          <w:spacing w:val="3"/>
          <w:highlight w:val="none"/>
          <w:u w:val="single"/>
        </w:rPr>
        <w:t>（规定比例）</w:t>
      </w:r>
      <w:r>
        <w:rPr>
          <w:rFonts w:hint="eastAsia" w:ascii="宋体" w:hAnsi="宋体" w:eastAsia="宋体" w:cs="Microsoft New Tai Lue"/>
          <w:color w:val="auto"/>
          <w:spacing w:val="3"/>
          <w:highlight w:val="none"/>
        </w:rPr>
        <w:t>。</w:t>
      </w:r>
      <w:r>
        <w:rPr>
          <w:rFonts w:hint="eastAsia" w:ascii="宋体" w:hAnsi="宋体" w:eastAsia="宋体" w:cs="Microsoft New Tai Lue"/>
          <w:i/>
          <w:iCs/>
          <w:color w:val="auto"/>
          <w:spacing w:val="3"/>
          <w:highlight w:val="none"/>
          <w:u w:val="single"/>
        </w:rPr>
        <w:t>（产品名称2）</w:t>
      </w:r>
      <w:r>
        <w:rPr>
          <w:rFonts w:hint="eastAsia" w:ascii="宋体" w:hAnsi="宋体" w:eastAsia="宋体" w:cs="Microsoft New Tai Lue"/>
          <w:color w:val="auto"/>
          <w:spacing w:val="3"/>
          <w:highlight w:val="none"/>
        </w:rPr>
        <w:t>的</w:t>
      </w:r>
      <w:r>
        <w:rPr>
          <w:rFonts w:hint="eastAsia" w:ascii="宋体" w:hAnsi="宋体" w:eastAsia="宋体" w:cs="Microsoft New Tai Lue"/>
          <w:i/>
          <w:iCs/>
          <w:color w:val="auto"/>
          <w:spacing w:val="3"/>
          <w:highlight w:val="none"/>
          <w:u w:val="single"/>
        </w:rPr>
        <w:t>（关键组件）</w:t>
      </w:r>
      <w:r>
        <w:rPr>
          <w:rFonts w:hint="eastAsia" w:ascii="宋体" w:hAnsi="宋体" w:eastAsia="宋体" w:cs="Microsoft New Tai Lue"/>
          <w:color w:val="auto"/>
          <w:spacing w:val="3"/>
          <w:highlight w:val="none"/>
        </w:rPr>
        <w:t>在中国境内生产。</w:t>
      </w:r>
      <w:r>
        <w:rPr>
          <w:rFonts w:hint="eastAsia" w:ascii="宋体" w:hAnsi="宋体" w:eastAsia="宋体" w:cs="Microsoft New Tai Lue"/>
          <w:i/>
          <w:iCs/>
          <w:color w:val="auto"/>
          <w:spacing w:val="3"/>
          <w:highlight w:val="none"/>
          <w:u w:val="single"/>
        </w:rPr>
        <w:t>（产品名称2）</w:t>
      </w:r>
      <w:r>
        <w:rPr>
          <w:rFonts w:hint="eastAsia" w:ascii="宋体" w:hAnsi="宋体" w:eastAsia="宋体" w:cs="Microsoft New Tai Lue"/>
          <w:color w:val="auto"/>
          <w:spacing w:val="3"/>
          <w:highlight w:val="none"/>
        </w:rPr>
        <w:t>的</w:t>
      </w:r>
      <w:r>
        <w:rPr>
          <w:rFonts w:hint="eastAsia" w:ascii="宋体" w:hAnsi="宋体" w:eastAsia="宋体" w:cs="Microsoft New Tai Lue"/>
          <w:i/>
          <w:iCs/>
          <w:color w:val="auto"/>
          <w:spacing w:val="3"/>
          <w:highlight w:val="none"/>
          <w:u w:val="single"/>
        </w:rPr>
        <w:t>（关键工序）</w:t>
      </w:r>
      <w:r>
        <w:rPr>
          <w:rFonts w:hint="eastAsia" w:ascii="宋体" w:hAnsi="宋体" w:eastAsia="宋体" w:cs="Microsoft New Tai Lue"/>
          <w:color w:val="auto"/>
          <w:spacing w:val="3"/>
          <w:highlight w:val="none"/>
        </w:rPr>
        <w:t>在中国境内完成。</w:t>
      </w:r>
    </w:p>
    <w:p w14:paraId="30E9A51E">
      <w:pPr>
        <w:spacing w:line="360" w:lineRule="auto"/>
        <w:ind w:left="120" w:right="207" w:firstLine="324"/>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w:t>
      </w:r>
    </w:p>
    <w:p w14:paraId="79CA4F55">
      <w:pPr>
        <w:spacing w:line="360" w:lineRule="auto"/>
        <w:ind w:left="120" w:right="207" w:firstLine="324"/>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本公司（单位）对上述声明内容的真实性负责。如有虚假，愿承担相应法律责任。</w:t>
      </w:r>
    </w:p>
    <w:p w14:paraId="1F6CB82E">
      <w:pPr>
        <w:spacing w:line="360" w:lineRule="auto"/>
        <w:ind w:left="120" w:right="207" w:firstLine="324"/>
        <w:rPr>
          <w:rFonts w:hint="eastAsia" w:ascii="宋体" w:hAnsi="宋体" w:eastAsia="宋体" w:cs="Microsoft New Tai Lue"/>
          <w:color w:val="auto"/>
          <w:spacing w:val="3"/>
          <w:highlight w:val="none"/>
        </w:rPr>
      </w:pPr>
    </w:p>
    <w:p w14:paraId="392A13E7">
      <w:pPr>
        <w:spacing w:line="360" w:lineRule="auto"/>
        <w:ind w:left="120" w:right="207" w:firstLine="324"/>
        <w:jc w:val="right"/>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公司（单位）名称（盖章）：　        </w:t>
      </w:r>
    </w:p>
    <w:p w14:paraId="643FB992">
      <w:pPr>
        <w:spacing w:line="360" w:lineRule="auto"/>
        <w:ind w:left="120" w:right="207" w:firstLine="324"/>
        <w:jc w:val="right"/>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日期：　     年　  月　  日         </w:t>
      </w:r>
    </w:p>
    <w:p w14:paraId="55B3F4AA">
      <w:pPr>
        <w:spacing w:line="360" w:lineRule="auto"/>
        <w:ind w:left="120" w:right="207" w:firstLine="324"/>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__________________</w:t>
      </w:r>
    </w:p>
    <w:p w14:paraId="271A45F0">
      <w:pPr>
        <w:spacing w:line="360" w:lineRule="auto"/>
        <w:ind w:left="120" w:right="207" w:firstLine="324"/>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1.产品如有型号，请在“产品名称”栏一并填写。</w:t>
      </w:r>
    </w:p>
    <w:p w14:paraId="65B8D315">
      <w:pPr>
        <w:spacing w:line="360" w:lineRule="auto"/>
        <w:ind w:left="120" w:right="207" w:firstLine="324"/>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2.生产厂名与厂址应与生产厂营业执照载明的相关信息保持一致。</w:t>
      </w:r>
    </w:p>
    <w:p w14:paraId="59AA618F">
      <w:pPr>
        <w:spacing w:line="360" w:lineRule="auto"/>
        <w:ind w:left="120" w:right="207" w:firstLine="324"/>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3.该产品的中国境内生产的组件成本占比相关要求实施前，“规定比例”栏可不填，下同。</w:t>
      </w:r>
    </w:p>
    <w:p w14:paraId="33E2C045">
      <w:pPr>
        <w:spacing w:line="360" w:lineRule="auto"/>
        <w:ind w:left="120" w:right="207" w:firstLine="324"/>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4.该产品的关键组件要求实施前，“关键组件”栏可不填，下同。</w:t>
      </w:r>
    </w:p>
    <w:p w14:paraId="24470E94">
      <w:pPr>
        <w:spacing w:line="360" w:lineRule="auto"/>
        <w:ind w:left="120" w:right="207" w:firstLine="324"/>
        <w:rPr>
          <w:rFonts w:hint="eastAsia" w:ascii="宋体" w:hAnsi="宋体" w:eastAsia="宋体" w:cs="Microsoft New Tai Lue"/>
          <w:color w:val="auto"/>
          <w:spacing w:val="3"/>
          <w:highlight w:val="none"/>
        </w:rPr>
      </w:pPr>
      <w:r>
        <w:rPr>
          <w:rFonts w:hint="eastAsia" w:ascii="宋体" w:hAnsi="宋体" w:eastAsia="宋体" w:cs="Microsoft New Tai Lue"/>
          <w:color w:val="auto"/>
          <w:spacing w:val="3"/>
          <w:highlight w:val="none"/>
        </w:rPr>
        <w:t>5.该产品的关键工序要求实施前，“关键工序”栏可不填，下同。</w:t>
      </w:r>
    </w:p>
    <w:p w14:paraId="13A85F6F">
      <w:pPr>
        <w:rPr>
          <w:rFonts w:hint="eastAsia" w:ascii="宋体" w:hAnsi="宋体"/>
          <w:b/>
          <w:color w:val="auto"/>
          <w:sz w:val="32"/>
          <w:szCs w:val="32"/>
          <w:highlight w:val="none"/>
        </w:rPr>
      </w:pPr>
    </w:p>
    <w:p w14:paraId="6ABCE33A">
      <w:pPr>
        <w:rPr>
          <w:rFonts w:hint="eastAsia" w:ascii="宋体" w:hAnsi="宋体" w:cs="Arial"/>
          <w:b/>
          <w:bCs/>
          <w:color w:val="auto"/>
          <w:sz w:val="32"/>
          <w:szCs w:val="44"/>
          <w:highlight w:val="none"/>
        </w:rPr>
      </w:pPr>
      <w:r>
        <w:rPr>
          <w:rFonts w:hint="eastAsia" w:ascii="宋体" w:hAnsi="宋体" w:cs="Arial"/>
          <w:b/>
          <w:bCs/>
          <w:color w:val="auto"/>
          <w:sz w:val="32"/>
          <w:szCs w:val="44"/>
          <w:highlight w:val="none"/>
        </w:rPr>
        <w:br w:type="page"/>
      </w:r>
    </w:p>
    <w:p w14:paraId="15DF1CD9">
      <w:pPr>
        <w:spacing w:line="360" w:lineRule="auto"/>
        <w:jc w:val="center"/>
        <w:outlineLvl w:val="1"/>
        <w:rPr>
          <w:rFonts w:ascii="宋体" w:hAnsi="宋体"/>
          <w:color w:val="auto"/>
          <w:sz w:val="32"/>
          <w:highlight w:val="none"/>
        </w:rPr>
      </w:pPr>
      <w:r>
        <w:rPr>
          <w:rFonts w:hint="eastAsia" w:ascii="宋体" w:hAnsi="宋体" w:cs="Arial"/>
          <w:b/>
          <w:bCs/>
          <w:color w:val="auto"/>
          <w:sz w:val="32"/>
          <w:szCs w:val="44"/>
          <w:highlight w:val="none"/>
        </w:rPr>
        <w:t>四、开标一览表</w:t>
      </w:r>
    </w:p>
    <w:p w14:paraId="16B1FA5A">
      <w:pPr>
        <w:spacing w:line="360" w:lineRule="auto"/>
        <w:ind w:firstLine="480"/>
        <w:rPr>
          <w:color w:val="auto"/>
          <w:szCs w:val="21"/>
          <w:highlight w:val="none"/>
        </w:rPr>
      </w:pPr>
      <w:r>
        <w:rPr>
          <w:rFonts w:hint="eastAsia" w:ascii="宋体" w:hAnsi="宋体"/>
          <w:color w:val="auto"/>
          <w:szCs w:val="21"/>
          <w:highlight w:val="none"/>
        </w:rPr>
        <w:t>项目名称：</w:t>
      </w:r>
    </w:p>
    <w:p w14:paraId="6B572C36">
      <w:pPr>
        <w:spacing w:line="360" w:lineRule="auto"/>
        <w:ind w:firstLine="480"/>
        <w:rPr>
          <w:rFonts w:ascii="宋体" w:hAnsi="宋体"/>
          <w:color w:val="auto"/>
          <w:szCs w:val="21"/>
          <w:highlight w:val="none"/>
        </w:rPr>
      </w:pPr>
      <w:r>
        <w:rPr>
          <w:rFonts w:hint="eastAsia" w:ascii="宋体" w:hAnsi="宋体"/>
          <w:color w:val="auto"/>
          <w:szCs w:val="21"/>
          <w:highlight w:val="none"/>
        </w:rPr>
        <w:t>项目编号：</w:t>
      </w:r>
    </w:p>
    <w:p w14:paraId="0072656D">
      <w:pPr>
        <w:spacing w:line="360" w:lineRule="auto"/>
        <w:ind w:firstLine="480"/>
        <w:rPr>
          <w:rFonts w:ascii="宋体" w:hAnsi="宋体"/>
          <w:color w:val="auto"/>
          <w:szCs w:val="21"/>
          <w:highlight w:val="none"/>
        </w:rPr>
      </w:pPr>
      <w:r>
        <w:rPr>
          <w:rFonts w:hint="eastAsia" w:ascii="宋体" w:hAnsi="宋体"/>
          <w:color w:val="auto"/>
          <w:szCs w:val="21"/>
          <w:highlight w:val="none"/>
        </w:rPr>
        <w:t xml:space="preserve">分包号(如有)： </w:t>
      </w:r>
    </w:p>
    <w:p w14:paraId="4F23FCE9">
      <w:pPr>
        <w:spacing w:line="360" w:lineRule="auto"/>
        <w:ind w:firstLine="480"/>
        <w:rPr>
          <w:rFonts w:ascii="宋体" w:hAnsi="宋体"/>
          <w:color w:val="auto"/>
          <w:szCs w:val="21"/>
          <w:highlight w:val="none"/>
        </w:rPr>
      </w:pPr>
      <w:r>
        <w:rPr>
          <w:rFonts w:hint="eastAsia" w:ascii="宋体" w:hAnsi="宋体"/>
          <w:color w:val="auto"/>
          <w:szCs w:val="21"/>
          <w:highlight w:val="none"/>
        </w:rPr>
        <w:t xml:space="preserve">                       </w:t>
      </w:r>
    </w:p>
    <w:tbl>
      <w:tblPr>
        <w:tblStyle w:val="38"/>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764C0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trPr>
        <w:tc>
          <w:tcPr>
            <w:tcW w:w="2481" w:type="dxa"/>
            <w:noWrap w:val="0"/>
            <w:vAlign w:val="center"/>
          </w:tcPr>
          <w:p w14:paraId="1FFD09FC">
            <w:pPr>
              <w:pStyle w:val="359"/>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p>
        </w:tc>
        <w:tc>
          <w:tcPr>
            <w:tcW w:w="6405" w:type="dxa"/>
            <w:noWrap w:val="0"/>
            <w:vAlign w:val="center"/>
          </w:tcPr>
          <w:p w14:paraId="434C0701">
            <w:pPr>
              <w:spacing w:line="360" w:lineRule="auto"/>
              <w:rPr>
                <w:rFonts w:hint="eastAsia" w:ascii="宋体" w:hAnsi="宋体" w:eastAsia="宋体"/>
                <w:color w:val="auto"/>
                <w:szCs w:val="21"/>
                <w:highlight w:val="none"/>
                <w:lang w:eastAsia="zh-CN"/>
              </w:rPr>
            </w:pPr>
            <w:r>
              <w:rPr>
                <w:rFonts w:hint="eastAsia" w:ascii="宋体" w:hAnsi="宋体" w:cs="宋体"/>
                <w:color w:val="auto"/>
                <w:szCs w:val="21"/>
                <w:highlight w:val="none"/>
              </w:rPr>
              <w:t xml:space="preserve">                      </w:t>
            </w:r>
            <w:r>
              <w:rPr>
                <w:rFonts w:hint="eastAsia" w:ascii="宋体" w:hAnsi="宋体"/>
                <w:color w:val="auto"/>
                <w:szCs w:val="21"/>
                <w:highlight w:val="none"/>
              </w:rPr>
              <w:t>投标报价</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三年总价</w:t>
            </w:r>
            <w:r>
              <w:rPr>
                <w:rFonts w:hint="eastAsia" w:ascii="宋体" w:hAnsi="宋体"/>
                <w:color w:val="auto"/>
                <w:szCs w:val="21"/>
                <w:highlight w:val="none"/>
                <w:lang w:eastAsia="zh-CN"/>
              </w:rPr>
              <w:t>）</w:t>
            </w:r>
          </w:p>
        </w:tc>
      </w:tr>
      <w:tr w14:paraId="33F4C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trPr>
        <w:tc>
          <w:tcPr>
            <w:tcW w:w="2481" w:type="dxa"/>
            <w:noWrap w:val="0"/>
            <w:vAlign w:val="center"/>
          </w:tcPr>
          <w:p w14:paraId="0FCD0503">
            <w:pPr>
              <w:pStyle w:val="359"/>
              <w:spacing w:line="360" w:lineRule="auto"/>
              <w:jc w:val="center"/>
              <w:rPr>
                <w:rFonts w:hint="eastAsia" w:ascii="宋体" w:hAnsi="宋体" w:eastAsia="宋体" w:cs="宋体"/>
                <w:color w:val="auto"/>
                <w:sz w:val="21"/>
                <w:szCs w:val="21"/>
                <w:highlight w:val="none"/>
              </w:rPr>
            </w:pPr>
          </w:p>
        </w:tc>
        <w:tc>
          <w:tcPr>
            <w:tcW w:w="6405" w:type="dxa"/>
            <w:noWrap w:val="0"/>
            <w:vAlign w:val="center"/>
          </w:tcPr>
          <w:p w14:paraId="3B09403B">
            <w:pPr>
              <w:pStyle w:val="333"/>
              <w:spacing w:before="0" w:after="0"/>
              <w:ind w:firstLine="0"/>
              <w:rPr>
                <w:rFonts w:ascii="宋体" w:hAnsi="宋体" w:cs="宋体"/>
                <w:color w:val="auto"/>
                <w:sz w:val="21"/>
                <w:szCs w:val="21"/>
                <w:highlight w:val="none"/>
              </w:rPr>
            </w:pPr>
            <w:r>
              <w:rPr>
                <w:rFonts w:hint="eastAsia" w:ascii="宋体" w:hAnsi="宋体" w:cs="宋体"/>
                <w:color w:val="auto"/>
                <w:sz w:val="21"/>
                <w:szCs w:val="21"/>
                <w:highlight w:val="none"/>
              </w:rPr>
              <w:t>大写：</w:t>
            </w:r>
          </w:p>
          <w:p w14:paraId="5486E787">
            <w:pPr>
              <w:pStyle w:val="333"/>
              <w:spacing w:before="0" w:after="0"/>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t>小写：                             （人民币：元）</w:t>
            </w:r>
          </w:p>
        </w:tc>
      </w:tr>
    </w:tbl>
    <w:p w14:paraId="0323FF6E">
      <w:pPr>
        <w:spacing w:line="360" w:lineRule="auto"/>
        <w:rPr>
          <w:rFonts w:ascii="宋体" w:hAnsi="宋体"/>
          <w:color w:val="auto"/>
          <w:szCs w:val="21"/>
          <w:highlight w:val="none"/>
        </w:rPr>
      </w:pPr>
    </w:p>
    <w:p w14:paraId="1023C7E6">
      <w:pPr>
        <w:spacing w:line="360" w:lineRule="auto"/>
        <w:ind w:firstLine="480"/>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2AE2A358">
      <w:pPr>
        <w:pStyle w:val="50"/>
        <w:spacing w:line="360" w:lineRule="auto"/>
        <w:ind w:left="422" w:firstLine="0"/>
        <w:rPr>
          <w:rFonts w:ascii="宋体" w:hAnsi="宋体"/>
          <w:color w:val="auto"/>
          <w:sz w:val="32"/>
          <w:szCs w:val="32"/>
          <w:highlight w:val="none"/>
        </w:rPr>
      </w:pPr>
      <w:r>
        <w:rPr>
          <w:rFonts w:hint="eastAsia"/>
          <w:b/>
          <w:bCs/>
          <w:color w:val="auto"/>
          <w:highlight w:val="none"/>
        </w:rPr>
        <w:t>注：1、供应商在报价时应充分考虑不确定性因素所引起的费用。</w:t>
      </w:r>
    </w:p>
    <w:p w14:paraId="75E4F04C">
      <w:pPr>
        <w:pStyle w:val="50"/>
        <w:spacing w:line="360" w:lineRule="auto"/>
        <w:ind w:firstLine="640"/>
        <w:rPr>
          <w:rFonts w:ascii="宋体" w:hAnsi="宋体"/>
          <w:color w:val="auto"/>
          <w:sz w:val="32"/>
          <w:szCs w:val="32"/>
          <w:highlight w:val="none"/>
        </w:rPr>
      </w:pPr>
    </w:p>
    <w:p w14:paraId="7C883088">
      <w:pPr>
        <w:numPr>
          <w:ilvl w:val="0"/>
          <w:numId w:val="0"/>
        </w:numPr>
        <w:spacing w:line="360" w:lineRule="auto"/>
        <w:jc w:val="center"/>
        <w:outlineLvl w:val="9"/>
        <w:rPr>
          <w:rFonts w:hint="eastAsia" w:ascii="宋体" w:hAnsi="宋体" w:eastAsia="宋体" w:cs="Arial"/>
          <w:b/>
          <w:bCs/>
          <w:color w:val="auto"/>
          <w:sz w:val="32"/>
          <w:szCs w:val="44"/>
          <w:lang w:val="en-US" w:eastAsia="zh-CN" w:bidi="ar-SA"/>
        </w:rPr>
      </w:pPr>
    </w:p>
    <w:p w14:paraId="5DD654C2">
      <w:pPr>
        <w:numPr>
          <w:ilvl w:val="0"/>
          <w:numId w:val="0"/>
        </w:numPr>
        <w:spacing w:line="360" w:lineRule="auto"/>
        <w:jc w:val="center"/>
        <w:outlineLvl w:val="9"/>
        <w:rPr>
          <w:rFonts w:hint="eastAsia" w:ascii="宋体" w:hAnsi="宋体" w:eastAsia="宋体" w:cs="Arial"/>
          <w:b/>
          <w:bCs/>
          <w:color w:val="auto"/>
          <w:sz w:val="32"/>
          <w:szCs w:val="44"/>
          <w:lang w:val="en-US" w:eastAsia="zh-CN" w:bidi="ar-SA"/>
        </w:rPr>
      </w:pPr>
    </w:p>
    <w:p w14:paraId="57D242CD">
      <w:pPr>
        <w:rPr>
          <w:rFonts w:hint="eastAsia" w:ascii="宋体" w:hAnsi="宋体" w:cs="Arial"/>
          <w:b/>
          <w:bCs/>
          <w:color w:val="auto"/>
          <w:sz w:val="32"/>
          <w:szCs w:val="44"/>
          <w:highlight w:val="none"/>
        </w:rPr>
      </w:pPr>
      <w:r>
        <w:rPr>
          <w:rFonts w:hint="eastAsia" w:ascii="宋体" w:hAnsi="宋体" w:cs="Arial"/>
          <w:b/>
          <w:bCs/>
          <w:color w:val="auto"/>
          <w:sz w:val="32"/>
          <w:szCs w:val="44"/>
          <w:highlight w:val="none"/>
        </w:rPr>
        <w:br w:type="page"/>
      </w:r>
    </w:p>
    <w:p w14:paraId="6DBAEBD8">
      <w:pPr>
        <w:numPr>
          <w:ilvl w:val="0"/>
          <w:numId w:val="0"/>
        </w:numPr>
        <w:spacing w:line="360" w:lineRule="auto"/>
        <w:jc w:val="center"/>
        <w:outlineLvl w:val="1"/>
        <w:rPr>
          <w:rFonts w:hint="eastAsia" w:ascii="宋体" w:hAnsi="宋体" w:cs="Arial"/>
          <w:b/>
          <w:bCs/>
          <w:color w:val="auto"/>
          <w:sz w:val="32"/>
          <w:szCs w:val="44"/>
          <w:highlight w:val="none"/>
        </w:rPr>
      </w:pPr>
      <w:r>
        <w:rPr>
          <w:rFonts w:hint="eastAsia" w:ascii="宋体" w:hAnsi="宋体" w:cs="Arial"/>
          <w:b/>
          <w:bCs/>
          <w:color w:val="auto"/>
          <w:sz w:val="32"/>
          <w:szCs w:val="44"/>
          <w:highlight w:val="none"/>
          <w:lang w:val="en-US" w:eastAsia="zh-CN"/>
        </w:rPr>
        <w:t>五、</w:t>
      </w:r>
      <w:r>
        <w:rPr>
          <w:rFonts w:hint="eastAsia" w:ascii="宋体" w:hAnsi="宋体" w:cs="Arial"/>
          <w:b/>
          <w:bCs/>
          <w:color w:val="auto"/>
          <w:sz w:val="32"/>
          <w:szCs w:val="44"/>
          <w:highlight w:val="none"/>
        </w:rPr>
        <w:t>分项报价表</w:t>
      </w:r>
    </w:p>
    <w:tbl>
      <w:tblPr>
        <w:tblStyle w:val="38"/>
        <w:tblW w:w="85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25"/>
        <w:gridCol w:w="645"/>
        <w:gridCol w:w="2314"/>
        <w:gridCol w:w="890"/>
        <w:gridCol w:w="1482"/>
        <w:gridCol w:w="928"/>
        <w:gridCol w:w="1628"/>
      </w:tblGrid>
      <w:tr w14:paraId="24595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A67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646D3">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费用项目</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E3AA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数量</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03EE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单价</w:t>
            </w:r>
          </w:p>
        </w:tc>
        <w:tc>
          <w:tcPr>
            <w:tcW w:w="9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BE14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总价（元/年）</w:t>
            </w:r>
          </w:p>
        </w:tc>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9E3AA">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测算依据</w:t>
            </w:r>
          </w:p>
        </w:tc>
      </w:tr>
      <w:tr w14:paraId="562E8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20B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45" w:type="dxa"/>
            <w:vMerge w:val="restart"/>
            <w:tcBorders>
              <w:top w:val="single" w:color="000000" w:sz="4" w:space="0"/>
              <w:left w:val="single" w:color="000000" w:sz="4" w:space="0"/>
              <w:right w:val="single" w:color="auto" w:sz="4" w:space="0"/>
            </w:tcBorders>
            <w:shd w:val="clear" w:color="auto" w:fill="auto"/>
            <w:vAlign w:val="center"/>
          </w:tcPr>
          <w:p w14:paraId="75C2BD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人员工资</w:t>
            </w:r>
          </w:p>
        </w:tc>
        <w:tc>
          <w:tcPr>
            <w:tcW w:w="2314" w:type="dxa"/>
            <w:tcBorders>
              <w:top w:val="single" w:color="000000" w:sz="4" w:space="0"/>
              <w:left w:val="single" w:color="auto" w:sz="4" w:space="0"/>
              <w:bottom w:val="single" w:color="000000" w:sz="4" w:space="0"/>
              <w:right w:val="single" w:color="000000" w:sz="4" w:space="0"/>
            </w:tcBorders>
            <w:shd w:val="clear" w:color="auto" w:fill="auto"/>
            <w:vAlign w:val="center"/>
          </w:tcPr>
          <w:p w14:paraId="5282E596">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项目负责人工资</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EF969">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1人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EA375">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57A22">
            <w:pPr>
              <w:jc w:val="center"/>
              <w:rPr>
                <w:rFonts w:hint="eastAsia" w:ascii="宋体" w:hAnsi="宋体" w:eastAsia="宋体" w:cs="宋体"/>
                <w:b/>
                <w:bCs/>
                <w:i w:val="0"/>
                <w:iCs w:val="0"/>
                <w:color w:val="auto"/>
                <w:sz w:val="21"/>
                <w:szCs w:val="21"/>
                <w:highlight w:val="none"/>
                <w:u w:val="none"/>
              </w:rPr>
            </w:pPr>
          </w:p>
        </w:tc>
        <w:tc>
          <w:tcPr>
            <w:tcW w:w="1628" w:type="dxa"/>
            <w:vMerge w:val="restart"/>
            <w:tcBorders>
              <w:top w:val="single" w:color="000000" w:sz="4" w:space="0"/>
              <w:left w:val="single" w:color="000000" w:sz="4" w:space="0"/>
              <w:right w:val="single" w:color="000000" w:sz="4" w:space="0"/>
            </w:tcBorders>
            <w:shd w:val="clear" w:color="auto" w:fill="auto"/>
            <w:noWrap/>
            <w:vAlign w:val="center"/>
          </w:tcPr>
          <w:p w14:paraId="372FF70B">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color w:val="auto"/>
                <w:sz w:val="21"/>
                <w:szCs w:val="21"/>
                <w:highlight w:val="none"/>
                <w:lang w:val="en-US" w:eastAsia="zh-CN"/>
              </w:rPr>
              <w:t>其中，</w:t>
            </w:r>
            <w:r>
              <w:rPr>
                <w:rFonts w:hint="eastAsia" w:ascii="宋体" w:hAnsi="宋体" w:cs="宋体"/>
                <w:color w:val="auto"/>
                <w:sz w:val="21"/>
                <w:szCs w:val="21"/>
                <w:highlight w:val="none"/>
                <w:lang w:val="en-US" w:eastAsia="zh-CN"/>
              </w:rPr>
              <w:t>缴纳社保、医保、公积金的人员</w:t>
            </w:r>
            <w:r>
              <w:rPr>
                <w:rFonts w:hint="eastAsia" w:ascii="宋体" w:hAnsi="宋体" w:eastAsia="宋体" w:cs="宋体"/>
                <w:color w:val="auto"/>
                <w:sz w:val="21"/>
                <w:szCs w:val="21"/>
                <w:highlight w:val="none"/>
                <w:lang w:val="en-US" w:eastAsia="zh-CN"/>
              </w:rPr>
              <w:t>，</w:t>
            </w:r>
            <w:r>
              <w:rPr>
                <w:rFonts w:hint="eastAsia" w:ascii="宋体" w:hAnsi="宋体" w:eastAsia="宋体" w:cs="宋体"/>
                <w:b w:val="0"/>
                <w:bCs w:val="0"/>
                <w:i w:val="0"/>
                <w:iCs w:val="0"/>
                <w:color w:val="auto"/>
                <w:sz w:val="21"/>
                <w:szCs w:val="21"/>
                <w:highlight w:val="none"/>
                <w:u w:val="none"/>
              </w:rPr>
              <w:t>人员工资含个人缴纳社会、医疗保险、住房公积金及个税部分，不得低于扬州市最低标准。</w:t>
            </w:r>
          </w:p>
          <w:p w14:paraId="199B641A">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color w:val="auto"/>
                <w:sz w:val="21"/>
                <w:szCs w:val="21"/>
                <w:highlight w:val="none"/>
                <w:lang w:val="en-US" w:eastAsia="zh-CN"/>
              </w:rPr>
              <w:t>总价=单价*数量*12个月</w:t>
            </w:r>
          </w:p>
        </w:tc>
      </w:tr>
      <w:tr w14:paraId="522D3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493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p>
        </w:tc>
        <w:tc>
          <w:tcPr>
            <w:tcW w:w="645" w:type="dxa"/>
            <w:vMerge w:val="continue"/>
            <w:tcBorders>
              <w:left w:val="single" w:color="000000" w:sz="4" w:space="0"/>
              <w:right w:val="single" w:color="auto" w:sz="4" w:space="0"/>
            </w:tcBorders>
            <w:shd w:val="clear" w:color="auto" w:fill="auto"/>
            <w:vAlign w:val="center"/>
          </w:tcPr>
          <w:p w14:paraId="4F59F017">
            <w:pPr>
              <w:keepNext w:val="0"/>
              <w:keepLines w:val="0"/>
              <w:widowControl/>
              <w:suppressLineNumbers w:val="0"/>
              <w:jc w:val="center"/>
              <w:textAlignment w:val="center"/>
              <w:rPr>
                <w:rFonts w:hint="eastAsia" w:ascii="宋体" w:hAnsi="宋体" w:cs="宋体"/>
                <w:i w:val="0"/>
                <w:iCs w:val="0"/>
                <w:color w:val="auto"/>
                <w:sz w:val="21"/>
                <w:szCs w:val="21"/>
                <w:highlight w:val="none"/>
                <w:u w:val="none"/>
                <w:lang w:val="en-US" w:eastAsia="zh-CN"/>
              </w:rPr>
            </w:pPr>
          </w:p>
        </w:tc>
        <w:tc>
          <w:tcPr>
            <w:tcW w:w="2314" w:type="dxa"/>
            <w:tcBorders>
              <w:top w:val="single" w:color="000000" w:sz="4" w:space="0"/>
              <w:left w:val="single" w:color="auto" w:sz="4" w:space="0"/>
              <w:bottom w:val="single" w:color="000000" w:sz="4" w:space="0"/>
              <w:right w:val="single" w:color="000000" w:sz="4" w:space="0"/>
            </w:tcBorders>
            <w:shd w:val="clear" w:color="auto" w:fill="auto"/>
            <w:vAlign w:val="center"/>
          </w:tcPr>
          <w:p w14:paraId="2D4B974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主管</w:t>
            </w:r>
            <w:r>
              <w:rPr>
                <w:rFonts w:hint="eastAsia" w:ascii="宋体" w:hAnsi="宋体" w:eastAsia="宋体" w:cs="宋体"/>
                <w:i w:val="0"/>
                <w:iCs w:val="0"/>
                <w:color w:val="auto"/>
                <w:kern w:val="0"/>
                <w:sz w:val="21"/>
                <w:szCs w:val="21"/>
                <w:highlight w:val="none"/>
                <w:u w:val="none"/>
                <w:lang w:val="en-US" w:eastAsia="zh-CN" w:bidi="ar"/>
              </w:rPr>
              <w:t>人员工资</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3053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8188E">
            <w:pPr>
              <w:jc w:val="center"/>
              <w:rPr>
                <w:rFonts w:hint="eastAsia"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457E1">
            <w:pPr>
              <w:jc w:val="center"/>
              <w:rPr>
                <w:rFonts w:hint="eastAsia" w:ascii="宋体" w:hAnsi="宋体" w:eastAsia="宋体" w:cs="宋体"/>
                <w:b/>
                <w:bCs/>
                <w:i w:val="0"/>
                <w:iCs w:val="0"/>
                <w:color w:val="auto"/>
                <w:sz w:val="21"/>
                <w:szCs w:val="21"/>
                <w:highlight w:val="none"/>
                <w:u w:val="none"/>
              </w:rPr>
            </w:pPr>
          </w:p>
        </w:tc>
        <w:tc>
          <w:tcPr>
            <w:tcW w:w="1628" w:type="dxa"/>
            <w:vMerge w:val="continue"/>
            <w:tcBorders>
              <w:left w:val="single" w:color="000000" w:sz="4" w:space="0"/>
              <w:right w:val="single" w:color="000000" w:sz="4" w:space="0"/>
            </w:tcBorders>
            <w:shd w:val="clear" w:color="auto" w:fill="auto"/>
            <w:noWrap/>
            <w:vAlign w:val="center"/>
          </w:tcPr>
          <w:p w14:paraId="2D5629D6">
            <w:pPr>
              <w:jc w:val="center"/>
              <w:rPr>
                <w:rFonts w:hint="eastAsia" w:ascii="宋体" w:hAnsi="宋体" w:eastAsia="宋体" w:cs="宋体"/>
                <w:color w:val="auto"/>
                <w:sz w:val="21"/>
                <w:szCs w:val="21"/>
                <w:highlight w:val="none"/>
                <w:lang w:val="en-US" w:eastAsia="zh-CN"/>
              </w:rPr>
            </w:pPr>
          </w:p>
        </w:tc>
      </w:tr>
      <w:tr w14:paraId="5DAC4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718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w:t>
            </w:r>
          </w:p>
        </w:tc>
        <w:tc>
          <w:tcPr>
            <w:tcW w:w="645" w:type="dxa"/>
            <w:vMerge w:val="continue"/>
            <w:tcBorders>
              <w:left w:val="single" w:color="000000" w:sz="4" w:space="0"/>
              <w:right w:val="single" w:color="auto" w:sz="4" w:space="0"/>
            </w:tcBorders>
            <w:shd w:val="clear" w:color="auto" w:fill="auto"/>
            <w:vAlign w:val="center"/>
          </w:tcPr>
          <w:p w14:paraId="208C1E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2314" w:type="dxa"/>
            <w:tcBorders>
              <w:top w:val="single" w:color="000000" w:sz="4" w:space="0"/>
              <w:left w:val="single" w:color="auto" w:sz="4" w:space="0"/>
              <w:bottom w:val="single" w:color="000000" w:sz="4" w:space="0"/>
              <w:right w:val="single" w:color="000000" w:sz="4" w:space="0"/>
            </w:tcBorders>
            <w:shd w:val="clear" w:color="auto" w:fill="auto"/>
            <w:vAlign w:val="center"/>
          </w:tcPr>
          <w:p w14:paraId="6EF350F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水电主管工资</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7AC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cs="宋体"/>
                <w:i w:val="0"/>
                <w:iCs w:val="0"/>
                <w:color w:val="auto"/>
                <w:kern w:val="0"/>
                <w:sz w:val="21"/>
                <w:szCs w:val="21"/>
                <w:highlight w:val="none"/>
                <w:u w:val="none"/>
                <w:lang w:val="en-US" w:eastAsia="zh-CN" w:bidi="ar"/>
              </w:rPr>
              <w:t>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8F35A">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5125F">
            <w:pPr>
              <w:jc w:val="center"/>
              <w:rPr>
                <w:rFonts w:hint="eastAsia" w:ascii="宋体" w:hAnsi="宋体" w:eastAsia="宋体" w:cs="宋体"/>
                <w:b/>
                <w:bCs/>
                <w:i w:val="0"/>
                <w:iCs w:val="0"/>
                <w:color w:val="auto"/>
                <w:sz w:val="21"/>
                <w:szCs w:val="21"/>
                <w:highlight w:val="none"/>
                <w:u w:val="none"/>
              </w:rPr>
            </w:pPr>
          </w:p>
        </w:tc>
        <w:tc>
          <w:tcPr>
            <w:tcW w:w="1628" w:type="dxa"/>
            <w:vMerge w:val="continue"/>
            <w:tcBorders>
              <w:left w:val="single" w:color="000000" w:sz="4" w:space="0"/>
              <w:right w:val="single" w:color="000000" w:sz="4" w:space="0"/>
            </w:tcBorders>
            <w:shd w:val="clear" w:color="auto" w:fill="auto"/>
            <w:noWrap/>
            <w:vAlign w:val="center"/>
          </w:tcPr>
          <w:p w14:paraId="01A186D8">
            <w:pPr>
              <w:jc w:val="center"/>
              <w:rPr>
                <w:rFonts w:hint="eastAsia" w:ascii="宋体" w:hAnsi="宋体" w:eastAsia="宋体" w:cs="宋体"/>
                <w:b w:val="0"/>
                <w:bCs w:val="0"/>
                <w:i w:val="0"/>
                <w:iCs w:val="0"/>
                <w:color w:val="auto"/>
                <w:sz w:val="21"/>
                <w:szCs w:val="21"/>
                <w:highlight w:val="none"/>
                <w:u w:val="none"/>
              </w:rPr>
            </w:pPr>
          </w:p>
        </w:tc>
      </w:tr>
      <w:tr w14:paraId="41DD2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707E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w:t>
            </w:r>
          </w:p>
        </w:tc>
        <w:tc>
          <w:tcPr>
            <w:tcW w:w="645" w:type="dxa"/>
            <w:vMerge w:val="continue"/>
            <w:tcBorders>
              <w:left w:val="single" w:color="000000" w:sz="4" w:space="0"/>
              <w:right w:val="single" w:color="auto" w:sz="4" w:space="0"/>
            </w:tcBorders>
            <w:shd w:val="clear" w:color="auto" w:fill="auto"/>
            <w:vAlign w:val="center"/>
          </w:tcPr>
          <w:p w14:paraId="1819ED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2314" w:type="dxa"/>
            <w:tcBorders>
              <w:top w:val="single" w:color="000000" w:sz="4" w:space="0"/>
              <w:left w:val="single" w:color="auto" w:sz="4" w:space="0"/>
              <w:bottom w:val="single" w:color="000000" w:sz="4" w:space="0"/>
              <w:right w:val="single" w:color="000000" w:sz="4" w:space="0"/>
            </w:tcBorders>
            <w:shd w:val="clear" w:color="auto" w:fill="auto"/>
            <w:vAlign w:val="center"/>
          </w:tcPr>
          <w:p w14:paraId="2CC9A3E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水电工工资</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BC0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6人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CCFFD">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3D63E">
            <w:pPr>
              <w:jc w:val="center"/>
              <w:rPr>
                <w:rFonts w:hint="eastAsia" w:ascii="宋体" w:hAnsi="宋体" w:eastAsia="宋体" w:cs="宋体"/>
                <w:b/>
                <w:bCs/>
                <w:i w:val="0"/>
                <w:iCs w:val="0"/>
                <w:color w:val="auto"/>
                <w:sz w:val="21"/>
                <w:szCs w:val="21"/>
                <w:highlight w:val="none"/>
                <w:u w:val="none"/>
              </w:rPr>
            </w:pPr>
          </w:p>
        </w:tc>
        <w:tc>
          <w:tcPr>
            <w:tcW w:w="1628" w:type="dxa"/>
            <w:vMerge w:val="continue"/>
            <w:tcBorders>
              <w:left w:val="single" w:color="000000" w:sz="4" w:space="0"/>
              <w:right w:val="single" w:color="000000" w:sz="4" w:space="0"/>
            </w:tcBorders>
            <w:shd w:val="clear" w:color="auto" w:fill="auto"/>
            <w:noWrap/>
            <w:vAlign w:val="center"/>
          </w:tcPr>
          <w:p w14:paraId="7870E42B">
            <w:pPr>
              <w:jc w:val="center"/>
              <w:rPr>
                <w:rFonts w:hint="eastAsia" w:ascii="宋体" w:hAnsi="宋体" w:eastAsia="宋体" w:cs="宋体"/>
                <w:b w:val="0"/>
                <w:bCs w:val="0"/>
                <w:i w:val="0"/>
                <w:iCs w:val="0"/>
                <w:color w:val="auto"/>
                <w:sz w:val="21"/>
                <w:szCs w:val="21"/>
                <w:highlight w:val="none"/>
                <w:u w:val="none"/>
              </w:rPr>
            </w:pPr>
          </w:p>
        </w:tc>
      </w:tr>
      <w:tr w14:paraId="32E37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6EB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5</w:t>
            </w:r>
          </w:p>
        </w:tc>
        <w:tc>
          <w:tcPr>
            <w:tcW w:w="645" w:type="dxa"/>
            <w:vMerge w:val="continue"/>
            <w:tcBorders>
              <w:left w:val="single" w:color="000000" w:sz="4" w:space="0"/>
              <w:right w:val="single" w:color="auto" w:sz="4" w:space="0"/>
            </w:tcBorders>
            <w:shd w:val="clear" w:color="auto" w:fill="auto"/>
            <w:vAlign w:val="center"/>
          </w:tcPr>
          <w:p w14:paraId="0C7C32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2314" w:type="dxa"/>
            <w:tcBorders>
              <w:top w:val="single" w:color="000000" w:sz="4" w:space="0"/>
              <w:left w:val="single" w:color="auto" w:sz="4" w:space="0"/>
              <w:bottom w:val="single" w:color="000000" w:sz="4" w:space="0"/>
              <w:right w:val="single" w:color="000000" w:sz="4" w:space="0"/>
            </w:tcBorders>
            <w:shd w:val="clear" w:color="auto" w:fill="auto"/>
            <w:vAlign w:val="center"/>
          </w:tcPr>
          <w:p w14:paraId="36AE76BD">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辅医人员工资</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4B61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r>
              <w:rPr>
                <w:rFonts w:hint="eastAsia" w:ascii="宋体" w:hAnsi="宋体" w:cs="宋体"/>
                <w:i w:val="0"/>
                <w:iCs w:val="0"/>
                <w:color w:val="auto"/>
                <w:kern w:val="0"/>
                <w:sz w:val="21"/>
                <w:szCs w:val="21"/>
                <w:highlight w:val="none"/>
                <w:u w:val="none"/>
                <w:lang w:val="en-US" w:eastAsia="zh-CN" w:bidi="ar"/>
              </w:rPr>
              <w:t>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9FF38">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0E792">
            <w:pPr>
              <w:jc w:val="center"/>
              <w:rPr>
                <w:rFonts w:hint="eastAsia" w:ascii="宋体" w:hAnsi="宋体" w:eastAsia="宋体" w:cs="宋体"/>
                <w:b/>
                <w:bCs/>
                <w:i w:val="0"/>
                <w:iCs w:val="0"/>
                <w:color w:val="auto"/>
                <w:sz w:val="21"/>
                <w:szCs w:val="21"/>
                <w:highlight w:val="none"/>
                <w:u w:val="none"/>
              </w:rPr>
            </w:pPr>
          </w:p>
        </w:tc>
        <w:tc>
          <w:tcPr>
            <w:tcW w:w="1628" w:type="dxa"/>
            <w:vMerge w:val="continue"/>
            <w:tcBorders>
              <w:left w:val="single" w:color="000000" w:sz="4" w:space="0"/>
              <w:right w:val="single" w:color="000000" w:sz="4" w:space="0"/>
            </w:tcBorders>
            <w:shd w:val="clear" w:color="auto" w:fill="auto"/>
            <w:noWrap/>
            <w:vAlign w:val="center"/>
          </w:tcPr>
          <w:p w14:paraId="76F389B0">
            <w:pPr>
              <w:jc w:val="center"/>
              <w:rPr>
                <w:rFonts w:hint="eastAsia" w:ascii="宋体" w:hAnsi="宋体" w:eastAsia="宋体" w:cs="宋体"/>
                <w:b w:val="0"/>
                <w:bCs w:val="0"/>
                <w:i w:val="0"/>
                <w:iCs w:val="0"/>
                <w:color w:val="auto"/>
                <w:sz w:val="21"/>
                <w:szCs w:val="21"/>
                <w:highlight w:val="none"/>
                <w:u w:val="none"/>
              </w:rPr>
            </w:pPr>
          </w:p>
        </w:tc>
      </w:tr>
      <w:tr w14:paraId="38D68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8D5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6</w:t>
            </w:r>
          </w:p>
        </w:tc>
        <w:tc>
          <w:tcPr>
            <w:tcW w:w="645" w:type="dxa"/>
            <w:vMerge w:val="continue"/>
            <w:tcBorders>
              <w:left w:val="single" w:color="000000" w:sz="4" w:space="0"/>
              <w:right w:val="single" w:color="auto" w:sz="4" w:space="0"/>
            </w:tcBorders>
            <w:shd w:val="clear" w:color="auto" w:fill="auto"/>
            <w:vAlign w:val="center"/>
          </w:tcPr>
          <w:p w14:paraId="2771F3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2314" w:type="dxa"/>
            <w:tcBorders>
              <w:top w:val="single" w:color="000000" w:sz="4" w:space="0"/>
              <w:left w:val="single" w:color="auto" w:sz="4" w:space="0"/>
              <w:bottom w:val="single" w:color="000000" w:sz="4" w:space="0"/>
              <w:right w:val="single" w:color="000000" w:sz="4" w:space="0"/>
            </w:tcBorders>
            <w:shd w:val="clear" w:color="auto" w:fill="auto"/>
            <w:vAlign w:val="center"/>
          </w:tcPr>
          <w:p w14:paraId="5922F77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普通运送人员工资</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294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49人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813AC">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982EF">
            <w:pPr>
              <w:jc w:val="center"/>
              <w:rPr>
                <w:rFonts w:hint="eastAsia" w:ascii="宋体" w:hAnsi="宋体" w:eastAsia="宋体" w:cs="宋体"/>
                <w:b/>
                <w:bCs/>
                <w:i w:val="0"/>
                <w:iCs w:val="0"/>
                <w:color w:val="auto"/>
                <w:sz w:val="21"/>
                <w:szCs w:val="21"/>
                <w:highlight w:val="none"/>
                <w:u w:val="none"/>
              </w:rPr>
            </w:pPr>
          </w:p>
        </w:tc>
        <w:tc>
          <w:tcPr>
            <w:tcW w:w="1628" w:type="dxa"/>
            <w:vMerge w:val="continue"/>
            <w:tcBorders>
              <w:left w:val="single" w:color="000000" w:sz="4" w:space="0"/>
              <w:right w:val="single" w:color="000000" w:sz="4" w:space="0"/>
            </w:tcBorders>
            <w:shd w:val="clear" w:color="auto" w:fill="auto"/>
            <w:noWrap/>
            <w:vAlign w:val="center"/>
          </w:tcPr>
          <w:p w14:paraId="1847DF94">
            <w:pPr>
              <w:jc w:val="center"/>
              <w:rPr>
                <w:rFonts w:hint="eastAsia" w:ascii="宋体" w:hAnsi="宋体" w:eastAsia="宋体" w:cs="宋体"/>
                <w:b w:val="0"/>
                <w:bCs w:val="0"/>
                <w:i w:val="0"/>
                <w:iCs w:val="0"/>
                <w:color w:val="auto"/>
                <w:sz w:val="21"/>
                <w:szCs w:val="21"/>
                <w:highlight w:val="none"/>
                <w:u w:val="none"/>
              </w:rPr>
            </w:pPr>
          </w:p>
        </w:tc>
      </w:tr>
      <w:tr w14:paraId="16DBD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4D3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7</w:t>
            </w:r>
          </w:p>
        </w:tc>
        <w:tc>
          <w:tcPr>
            <w:tcW w:w="645" w:type="dxa"/>
            <w:vMerge w:val="continue"/>
            <w:tcBorders>
              <w:left w:val="single" w:color="000000" w:sz="4" w:space="0"/>
              <w:right w:val="single" w:color="auto" w:sz="4" w:space="0"/>
            </w:tcBorders>
            <w:shd w:val="clear" w:color="auto" w:fill="auto"/>
            <w:vAlign w:val="center"/>
          </w:tcPr>
          <w:p w14:paraId="1DFD81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2314" w:type="dxa"/>
            <w:tcBorders>
              <w:top w:val="single" w:color="000000" w:sz="4" w:space="0"/>
              <w:left w:val="single" w:color="auto" w:sz="4" w:space="0"/>
              <w:bottom w:val="single" w:color="000000" w:sz="4" w:space="0"/>
              <w:right w:val="single" w:color="000000" w:sz="4" w:space="0"/>
            </w:tcBorders>
            <w:shd w:val="clear" w:color="auto" w:fill="auto"/>
            <w:vAlign w:val="center"/>
          </w:tcPr>
          <w:p w14:paraId="72291663">
            <w:pPr>
              <w:keepNext w:val="0"/>
              <w:keepLines w:val="0"/>
              <w:widowControl/>
              <w:suppressLineNumbers w:val="0"/>
              <w:jc w:val="center"/>
              <w:textAlignment w:val="center"/>
              <w:rPr>
                <w:rStyle w:val="362"/>
                <w:rFonts w:hint="eastAsia" w:ascii="宋体" w:hAnsi="宋体" w:eastAsia="宋体" w:cs="宋体"/>
                <w:color w:val="auto"/>
                <w:sz w:val="21"/>
                <w:szCs w:val="21"/>
                <w:highlight w:val="none"/>
                <w:lang w:val="en-US" w:eastAsia="zh-CN" w:bidi="ar"/>
              </w:rPr>
            </w:pPr>
            <w:r>
              <w:rPr>
                <w:rStyle w:val="362"/>
                <w:rFonts w:hint="eastAsia" w:ascii="宋体" w:hAnsi="宋体" w:eastAsia="宋体" w:cs="宋体"/>
                <w:color w:val="auto"/>
                <w:sz w:val="21"/>
                <w:szCs w:val="21"/>
                <w:highlight w:val="none"/>
                <w:lang w:val="en-US" w:eastAsia="zh-CN" w:bidi="ar"/>
              </w:rPr>
              <w:t>封闭科室运送人员工资</w:t>
            </w:r>
            <w:r>
              <w:rPr>
                <w:rStyle w:val="362"/>
                <w:rFonts w:hint="eastAsia" w:ascii="宋体" w:hAnsi="宋体" w:eastAsia="宋体" w:cs="宋体"/>
                <w:color w:val="auto"/>
                <w:sz w:val="21"/>
                <w:szCs w:val="21"/>
                <w:highlight w:val="none"/>
                <w:lang w:val="en-US" w:eastAsia="zh-CN" w:bidi="ar"/>
              </w:rPr>
              <w:br w:type="textWrapping"/>
            </w:r>
            <w:r>
              <w:rPr>
                <w:rStyle w:val="363"/>
                <w:rFonts w:hint="eastAsia" w:ascii="宋体" w:hAnsi="宋体" w:eastAsia="宋体" w:cs="宋体"/>
                <w:color w:val="auto"/>
                <w:sz w:val="21"/>
                <w:szCs w:val="21"/>
                <w:highlight w:val="none"/>
                <w:lang w:val="en-US" w:eastAsia="zh-CN" w:bidi="ar"/>
              </w:rPr>
              <w:t>（手术室8人，消毒供应室8人，产房</w:t>
            </w:r>
            <w:r>
              <w:rPr>
                <w:rStyle w:val="363"/>
                <w:rFonts w:hint="eastAsia" w:ascii="宋体" w:hAnsi="宋体" w:cs="宋体"/>
                <w:color w:val="auto"/>
                <w:sz w:val="21"/>
                <w:szCs w:val="21"/>
                <w:highlight w:val="none"/>
                <w:lang w:val="en-US" w:eastAsia="zh-CN" w:bidi="ar"/>
              </w:rPr>
              <w:t>8</w:t>
            </w:r>
            <w:r>
              <w:rPr>
                <w:rStyle w:val="363"/>
                <w:rFonts w:hint="eastAsia" w:ascii="宋体" w:hAnsi="宋体" w:eastAsia="宋体" w:cs="宋体"/>
                <w:color w:val="auto"/>
                <w:sz w:val="21"/>
                <w:szCs w:val="21"/>
                <w:highlight w:val="none"/>
                <w:lang w:val="en-US" w:eastAsia="zh-CN" w:bidi="ar"/>
              </w:rPr>
              <w:t>人，新生儿4人）</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52D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cs="宋体"/>
                <w:i w:val="0"/>
                <w:iCs w:val="0"/>
                <w:color w:val="auto"/>
                <w:kern w:val="0"/>
                <w:sz w:val="21"/>
                <w:szCs w:val="21"/>
                <w:highlight w:val="none"/>
                <w:u w:val="none"/>
                <w:lang w:val="en-US" w:eastAsia="zh-CN" w:bidi="ar"/>
              </w:rPr>
              <w:t>8人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FAA55">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07413">
            <w:pPr>
              <w:jc w:val="center"/>
              <w:rPr>
                <w:rFonts w:hint="eastAsia" w:ascii="宋体" w:hAnsi="宋体" w:eastAsia="宋体" w:cs="宋体"/>
                <w:b/>
                <w:bCs/>
                <w:i w:val="0"/>
                <w:iCs w:val="0"/>
                <w:color w:val="auto"/>
                <w:sz w:val="21"/>
                <w:szCs w:val="21"/>
                <w:highlight w:val="none"/>
                <w:u w:val="none"/>
              </w:rPr>
            </w:pPr>
          </w:p>
        </w:tc>
        <w:tc>
          <w:tcPr>
            <w:tcW w:w="1628" w:type="dxa"/>
            <w:vMerge w:val="continue"/>
            <w:tcBorders>
              <w:left w:val="single" w:color="000000" w:sz="4" w:space="0"/>
              <w:right w:val="single" w:color="000000" w:sz="4" w:space="0"/>
            </w:tcBorders>
            <w:shd w:val="clear" w:color="auto" w:fill="auto"/>
            <w:noWrap/>
            <w:vAlign w:val="center"/>
          </w:tcPr>
          <w:p w14:paraId="230D91C8">
            <w:pPr>
              <w:jc w:val="center"/>
              <w:rPr>
                <w:rFonts w:hint="eastAsia" w:ascii="宋体" w:hAnsi="宋体" w:eastAsia="宋体" w:cs="宋体"/>
                <w:b w:val="0"/>
                <w:bCs w:val="0"/>
                <w:i w:val="0"/>
                <w:iCs w:val="0"/>
                <w:color w:val="auto"/>
                <w:sz w:val="21"/>
                <w:szCs w:val="21"/>
                <w:highlight w:val="none"/>
                <w:u w:val="none"/>
              </w:rPr>
            </w:pPr>
          </w:p>
        </w:tc>
      </w:tr>
      <w:tr w14:paraId="1410B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8E3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8</w:t>
            </w:r>
          </w:p>
        </w:tc>
        <w:tc>
          <w:tcPr>
            <w:tcW w:w="645" w:type="dxa"/>
            <w:vMerge w:val="continue"/>
            <w:tcBorders>
              <w:left w:val="single" w:color="000000" w:sz="4" w:space="0"/>
              <w:right w:val="single" w:color="auto" w:sz="4" w:space="0"/>
            </w:tcBorders>
            <w:shd w:val="clear" w:color="auto" w:fill="auto"/>
            <w:vAlign w:val="center"/>
          </w:tcPr>
          <w:p w14:paraId="1CD2FF0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2314" w:type="dxa"/>
            <w:tcBorders>
              <w:top w:val="single" w:color="000000" w:sz="4" w:space="0"/>
              <w:left w:val="single" w:color="auto" w:sz="4" w:space="0"/>
              <w:bottom w:val="single" w:color="000000" w:sz="4" w:space="0"/>
              <w:right w:val="single" w:color="000000" w:sz="4" w:space="0"/>
            </w:tcBorders>
            <w:shd w:val="clear" w:color="auto" w:fill="auto"/>
            <w:vAlign w:val="center"/>
          </w:tcPr>
          <w:p w14:paraId="6C6E024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产房待产室夜班人员工资</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5B7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cs="宋体"/>
                <w:i w:val="0"/>
                <w:iCs w:val="0"/>
                <w:color w:val="auto"/>
                <w:kern w:val="0"/>
                <w:sz w:val="21"/>
                <w:szCs w:val="21"/>
                <w:highlight w:val="none"/>
                <w:u w:val="none"/>
                <w:lang w:val="en-US" w:eastAsia="zh-CN" w:bidi="ar"/>
              </w:rPr>
              <w:t>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E7650">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EF7A5">
            <w:pPr>
              <w:jc w:val="center"/>
              <w:rPr>
                <w:rFonts w:hint="eastAsia" w:ascii="宋体" w:hAnsi="宋体" w:eastAsia="宋体" w:cs="宋体"/>
                <w:b/>
                <w:bCs/>
                <w:i w:val="0"/>
                <w:iCs w:val="0"/>
                <w:color w:val="auto"/>
                <w:sz w:val="21"/>
                <w:szCs w:val="21"/>
                <w:highlight w:val="none"/>
                <w:u w:val="none"/>
              </w:rPr>
            </w:pPr>
          </w:p>
        </w:tc>
        <w:tc>
          <w:tcPr>
            <w:tcW w:w="1628" w:type="dxa"/>
            <w:vMerge w:val="continue"/>
            <w:tcBorders>
              <w:left w:val="single" w:color="000000" w:sz="4" w:space="0"/>
              <w:right w:val="single" w:color="000000" w:sz="4" w:space="0"/>
            </w:tcBorders>
            <w:shd w:val="clear" w:color="auto" w:fill="auto"/>
            <w:noWrap/>
            <w:vAlign w:val="center"/>
          </w:tcPr>
          <w:p w14:paraId="4E139C25">
            <w:pPr>
              <w:jc w:val="center"/>
              <w:rPr>
                <w:rFonts w:hint="eastAsia" w:ascii="宋体" w:hAnsi="宋体" w:eastAsia="宋体" w:cs="宋体"/>
                <w:b w:val="0"/>
                <w:bCs w:val="0"/>
                <w:i w:val="0"/>
                <w:iCs w:val="0"/>
                <w:color w:val="auto"/>
                <w:sz w:val="21"/>
                <w:szCs w:val="21"/>
                <w:highlight w:val="none"/>
                <w:u w:val="none"/>
              </w:rPr>
            </w:pPr>
          </w:p>
        </w:tc>
      </w:tr>
      <w:tr w14:paraId="17CE5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12E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9</w:t>
            </w:r>
          </w:p>
        </w:tc>
        <w:tc>
          <w:tcPr>
            <w:tcW w:w="645" w:type="dxa"/>
            <w:vMerge w:val="continue"/>
            <w:tcBorders>
              <w:left w:val="single" w:color="000000" w:sz="4" w:space="0"/>
              <w:bottom w:val="single" w:color="000000" w:sz="4" w:space="0"/>
              <w:right w:val="single" w:color="auto" w:sz="4" w:space="0"/>
            </w:tcBorders>
            <w:shd w:val="clear" w:color="auto" w:fill="auto"/>
            <w:vAlign w:val="center"/>
          </w:tcPr>
          <w:p w14:paraId="2CFC72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p>
        </w:tc>
        <w:tc>
          <w:tcPr>
            <w:tcW w:w="2314" w:type="dxa"/>
            <w:tcBorders>
              <w:top w:val="single" w:color="000000" w:sz="4" w:space="0"/>
              <w:left w:val="single" w:color="auto" w:sz="4" w:space="0"/>
              <w:bottom w:val="single" w:color="000000" w:sz="4" w:space="0"/>
              <w:right w:val="single" w:color="000000" w:sz="4" w:space="0"/>
            </w:tcBorders>
            <w:shd w:val="clear" w:color="auto" w:fill="auto"/>
            <w:vAlign w:val="center"/>
          </w:tcPr>
          <w:p w14:paraId="6AAC2280">
            <w:pPr>
              <w:keepNext w:val="0"/>
              <w:keepLines w:val="0"/>
              <w:widowControl/>
              <w:suppressLineNumbers w:val="0"/>
              <w:jc w:val="center"/>
              <w:textAlignment w:val="center"/>
              <w:rPr>
                <w:rStyle w:val="362"/>
                <w:rFonts w:hint="eastAsia" w:ascii="宋体" w:hAnsi="宋体" w:eastAsia="宋体" w:cs="宋体"/>
                <w:color w:val="auto"/>
                <w:sz w:val="21"/>
                <w:szCs w:val="21"/>
                <w:highlight w:val="none"/>
                <w:lang w:val="en-US" w:eastAsia="zh-CN" w:bidi="ar"/>
              </w:rPr>
            </w:pPr>
            <w:r>
              <w:rPr>
                <w:rStyle w:val="362"/>
                <w:rFonts w:hint="eastAsia" w:ascii="宋体" w:hAnsi="宋体" w:eastAsia="宋体" w:cs="宋体"/>
                <w:color w:val="auto"/>
                <w:sz w:val="21"/>
                <w:szCs w:val="21"/>
                <w:highlight w:val="none"/>
                <w:lang w:val="en-US" w:eastAsia="zh-CN" w:bidi="ar"/>
              </w:rPr>
              <w:t>消毒员</w:t>
            </w:r>
            <w:r>
              <w:rPr>
                <w:rStyle w:val="363"/>
                <w:rFonts w:hint="eastAsia" w:ascii="宋体" w:hAnsi="宋体" w:eastAsia="宋体" w:cs="宋体"/>
                <w:color w:val="auto"/>
                <w:sz w:val="21"/>
                <w:szCs w:val="21"/>
                <w:highlight w:val="none"/>
                <w:lang w:val="en-US" w:eastAsia="zh-CN" w:bidi="ar"/>
              </w:rPr>
              <w:t>（需交社保）</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067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cs="宋体"/>
                <w:i w:val="0"/>
                <w:iCs w:val="0"/>
                <w:color w:val="auto"/>
                <w:kern w:val="0"/>
                <w:sz w:val="21"/>
                <w:szCs w:val="21"/>
                <w:highlight w:val="none"/>
                <w:u w:val="none"/>
                <w:lang w:val="en-US" w:eastAsia="zh-CN" w:bidi="ar"/>
              </w:rPr>
              <w:t>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27121">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F9FDE">
            <w:pPr>
              <w:jc w:val="center"/>
              <w:rPr>
                <w:rFonts w:hint="eastAsia" w:ascii="宋体" w:hAnsi="宋体" w:eastAsia="宋体" w:cs="宋体"/>
                <w:b/>
                <w:bCs/>
                <w:i w:val="0"/>
                <w:iCs w:val="0"/>
                <w:color w:val="auto"/>
                <w:sz w:val="21"/>
                <w:szCs w:val="21"/>
                <w:highlight w:val="none"/>
                <w:u w:val="none"/>
              </w:rPr>
            </w:pPr>
          </w:p>
        </w:tc>
        <w:tc>
          <w:tcPr>
            <w:tcW w:w="1628" w:type="dxa"/>
            <w:vMerge w:val="continue"/>
            <w:tcBorders>
              <w:left w:val="single" w:color="000000" w:sz="4" w:space="0"/>
              <w:bottom w:val="single" w:color="000000" w:sz="4" w:space="0"/>
              <w:right w:val="single" w:color="000000" w:sz="4" w:space="0"/>
            </w:tcBorders>
            <w:shd w:val="clear" w:color="auto" w:fill="auto"/>
            <w:noWrap/>
            <w:vAlign w:val="center"/>
          </w:tcPr>
          <w:p w14:paraId="3A37DC8D">
            <w:pPr>
              <w:jc w:val="center"/>
              <w:rPr>
                <w:rFonts w:hint="eastAsia" w:ascii="宋体" w:hAnsi="宋体" w:eastAsia="宋体" w:cs="宋体"/>
                <w:b w:val="0"/>
                <w:bCs w:val="0"/>
                <w:i w:val="0"/>
                <w:iCs w:val="0"/>
                <w:color w:val="auto"/>
                <w:sz w:val="21"/>
                <w:szCs w:val="21"/>
                <w:highlight w:val="none"/>
                <w:u w:val="none"/>
              </w:rPr>
            </w:pPr>
          </w:p>
        </w:tc>
      </w:tr>
      <w:tr w14:paraId="11CF9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454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10</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A8B193">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Style w:val="362"/>
                <w:rFonts w:hint="eastAsia" w:ascii="宋体" w:hAnsi="宋体" w:eastAsia="宋体" w:cs="宋体"/>
                <w:color w:val="auto"/>
                <w:sz w:val="21"/>
                <w:szCs w:val="21"/>
                <w:highlight w:val="none"/>
                <w:lang w:val="en-US" w:eastAsia="zh-CN" w:bidi="ar"/>
              </w:rPr>
              <w:t>法定的社会保险</w:t>
            </w:r>
            <w:r>
              <w:rPr>
                <w:rStyle w:val="363"/>
                <w:rFonts w:hint="eastAsia" w:ascii="宋体" w:hAnsi="宋体" w:eastAsia="宋体" w:cs="宋体"/>
                <w:color w:val="auto"/>
                <w:sz w:val="21"/>
                <w:szCs w:val="21"/>
                <w:highlight w:val="none"/>
                <w:lang w:val="en-US" w:eastAsia="zh-CN" w:bidi="ar"/>
              </w:rPr>
              <w:t>（养老、工伤、失业）</w:t>
            </w:r>
            <w:r>
              <w:rPr>
                <w:rStyle w:val="363"/>
                <w:rFonts w:hint="eastAsia" w:ascii="宋体" w:hAnsi="宋体" w:cs="宋体"/>
                <w:color w:val="auto"/>
                <w:sz w:val="21"/>
                <w:szCs w:val="21"/>
                <w:highlight w:val="none"/>
                <w:lang w:val="en-US" w:eastAsia="zh-CN" w:bidi="ar"/>
              </w:rPr>
              <w:t>，77人为最低数量要求，投标人可增加人数</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0973F">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77</w:t>
            </w:r>
            <w:r>
              <w:rPr>
                <w:rFonts w:hint="eastAsia" w:ascii="宋体" w:hAnsi="宋体" w:cs="宋体"/>
                <w:i w:val="0"/>
                <w:iCs w:val="0"/>
                <w:color w:val="auto"/>
                <w:kern w:val="0"/>
                <w:sz w:val="21"/>
                <w:szCs w:val="21"/>
                <w:highlight w:val="none"/>
                <w:u w:val="none"/>
                <w:lang w:val="en-US" w:eastAsia="zh-CN" w:bidi="ar"/>
              </w:rPr>
              <w:t>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46A12">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27650">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486E6">
            <w:pPr>
              <w:jc w:val="center"/>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w:t>按扬州市最新政策执行</w:t>
            </w:r>
            <w:r>
              <w:rPr>
                <w:rFonts w:hint="eastAsia" w:ascii="宋体" w:hAnsi="宋体" w:cs="宋体"/>
                <w:b w:val="0"/>
                <w:bCs w:val="0"/>
                <w:i w:val="0"/>
                <w:iCs w:val="0"/>
                <w:color w:val="auto"/>
                <w:sz w:val="21"/>
                <w:szCs w:val="21"/>
                <w:highlight w:val="none"/>
                <w:u w:val="none"/>
                <w:lang w:eastAsia="zh-CN"/>
              </w:rPr>
              <w:t>，列出单价的计算明细</w:t>
            </w:r>
          </w:p>
        </w:tc>
      </w:tr>
      <w:tr w14:paraId="16822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855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11</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6E7F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62"/>
                <w:rFonts w:hint="eastAsia" w:ascii="宋体" w:hAnsi="宋体" w:eastAsia="宋体" w:cs="宋体"/>
                <w:color w:val="auto"/>
                <w:sz w:val="21"/>
                <w:szCs w:val="21"/>
                <w:highlight w:val="none"/>
                <w:lang w:val="en-US" w:eastAsia="zh-CN" w:bidi="ar"/>
              </w:rPr>
              <w:t>法定的医疗保险</w:t>
            </w:r>
            <w:r>
              <w:rPr>
                <w:rStyle w:val="363"/>
                <w:rFonts w:hint="eastAsia" w:ascii="宋体" w:hAnsi="宋体" w:eastAsia="宋体" w:cs="宋体"/>
                <w:color w:val="auto"/>
                <w:sz w:val="21"/>
                <w:szCs w:val="21"/>
                <w:highlight w:val="none"/>
                <w:lang w:val="en-US" w:eastAsia="zh-CN" w:bidi="ar"/>
              </w:rPr>
              <w:t>（医疗、大病救助）</w:t>
            </w:r>
            <w:r>
              <w:rPr>
                <w:rStyle w:val="363"/>
                <w:rFonts w:hint="eastAsia" w:ascii="宋体" w:hAnsi="宋体" w:cs="宋体"/>
                <w:color w:val="auto"/>
                <w:sz w:val="21"/>
                <w:szCs w:val="21"/>
                <w:highlight w:val="none"/>
                <w:lang w:val="en-US" w:eastAsia="zh-CN" w:bidi="ar"/>
              </w:rPr>
              <w:t>，77人为最低数量要求，投标人可增加人数</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3C7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77</w:t>
            </w:r>
            <w:r>
              <w:rPr>
                <w:rFonts w:hint="eastAsia" w:ascii="宋体" w:hAnsi="宋体" w:cs="宋体"/>
                <w:i w:val="0"/>
                <w:iCs w:val="0"/>
                <w:color w:val="auto"/>
                <w:kern w:val="0"/>
                <w:sz w:val="21"/>
                <w:szCs w:val="21"/>
                <w:highlight w:val="none"/>
                <w:u w:val="none"/>
                <w:lang w:val="en-US" w:eastAsia="zh-CN" w:bidi="ar"/>
              </w:rPr>
              <w:t>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D1A7F">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16A82">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C5E05">
            <w:pPr>
              <w:jc w:val="center"/>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w:t>按扬州市最新政策执行</w:t>
            </w:r>
            <w:r>
              <w:rPr>
                <w:rFonts w:hint="eastAsia" w:ascii="宋体" w:hAnsi="宋体" w:cs="宋体"/>
                <w:b w:val="0"/>
                <w:bCs w:val="0"/>
                <w:i w:val="0"/>
                <w:iCs w:val="0"/>
                <w:color w:val="auto"/>
                <w:sz w:val="21"/>
                <w:szCs w:val="21"/>
                <w:highlight w:val="none"/>
                <w:u w:val="none"/>
                <w:lang w:eastAsia="zh-CN"/>
              </w:rPr>
              <w:t>，列出单价的计算明细</w:t>
            </w:r>
          </w:p>
        </w:tc>
      </w:tr>
      <w:tr w14:paraId="40CD6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B67E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12</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9FB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住房公积金</w:t>
            </w:r>
            <w:r>
              <w:rPr>
                <w:rStyle w:val="363"/>
                <w:rFonts w:hint="eastAsia" w:ascii="宋体" w:hAnsi="宋体" w:cs="宋体"/>
                <w:color w:val="auto"/>
                <w:sz w:val="21"/>
                <w:szCs w:val="21"/>
                <w:highlight w:val="none"/>
                <w:lang w:val="en-US" w:eastAsia="zh-CN" w:bidi="ar"/>
              </w:rPr>
              <w:t>，77人为最低数量要求，投标人可增加人数</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C27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77</w:t>
            </w:r>
            <w:r>
              <w:rPr>
                <w:rFonts w:hint="eastAsia" w:ascii="宋体" w:hAnsi="宋体" w:cs="宋体"/>
                <w:i w:val="0"/>
                <w:iCs w:val="0"/>
                <w:color w:val="auto"/>
                <w:kern w:val="0"/>
                <w:sz w:val="21"/>
                <w:szCs w:val="21"/>
                <w:highlight w:val="none"/>
                <w:u w:val="none"/>
                <w:lang w:val="en-US" w:eastAsia="zh-CN" w:bidi="ar"/>
              </w:rPr>
              <w:t>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B0B8A">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6D519">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21721">
            <w:pPr>
              <w:jc w:val="center"/>
              <w:rPr>
                <w:rFonts w:hint="eastAsia" w:ascii="宋体" w:hAnsi="宋体" w:eastAsia="宋体" w:cs="宋体"/>
                <w:b w:val="0"/>
                <w:bCs w:val="0"/>
                <w:i w:val="0"/>
                <w:iCs w:val="0"/>
                <w:color w:val="auto"/>
                <w:sz w:val="21"/>
                <w:szCs w:val="21"/>
                <w:highlight w:val="none"/>
                <w:u w:val="none"/>
                <w:lang w:eastAsia="zh-CN"/>
              </w:rPr>
            </w:pPr>
            <w:r>
              <w:rPr>
                <w:rFonts w:ascii="宋体" w:hAnsi="宋体" w:eastAsia="宋体" w:cs="宋体"/>
                <w:b w:val="0"/>
                <w:bCs w:val="0"/>
                <w:color w:val="auto"/>
                <w:sz w:val="21"/>
                <w:szCs w:val="21"/>
                <w:highlight w:val="none"/>
              </w:rPr>
              <w:t>按人社局要求，当项目人员工资报价-项目人员按下限自行缴存的住房公积金≤</w:t>
            </w:r>
            <w:r>
              <w:rPr>
                <w:rFonts w:hint="eastAsia" w:ascii="宋体" w:hAnsi="宋体" w:cs="宋体"/>
                <w:b w:val="0"/>
                <w:bCs w:val="0"/>
                <w:color w:val="auto"/>
                <w:sz w:val="21"/>
                <w:szCs w:val="21"/>
                <w:highlight w:val="none"/>
                <w:lang w:val="en-US" w:eastAsia="zh-CN"/>
              </w:rPr>
              <w:t>扬州</w:t>
            </w:r>
            <w:r>
              <w:rPr>
                <w:rFonts w:ascii="宋体" w:hAnsi="宋体" w:eastAsia="宋体" w:cs="宋体"/>
                <w:b w:val="0"/>
                <w:bCs w:val="0"/>
                <w:color w:val="auto"/>
                <w:sz w:val="21"/>
                <w:szCs w:val="21"/>
                <w:highlight w:val="none"/>
              </w:rPr>
              <w:t>市最低工资标准，测算的住房公积金应为企业缴纳和个人缴纳之和</w:t>
            </w:r>
          </w:p>
        </w:tc>
      </w:tr>
      <w:tr w14:paraId="374D7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1B1A2">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cs="宋体"/>
                <w:i w:val="0"/>
                <w:iCs w:val="0"/>
                <w:color w:val="auto"/>
                <w:kern w:val="0"/>
                <w:sz w:val="21"/>
                <w:szCs w:val="21"/>
                <w:highlight w:val="none"/>
                <w:u w:val="none"/>
                <w:lang w:val="en-US" w:eastAsia="zh-CN" w:bidi="ar"/>
              </w:rPr>
              <w:t>3</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1F9D2">
            <w:pPr>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退休人员工伤保险</w:t>
            </w:r>
            <w:r>
              <w:rPr>
                <w:rFonts w:hint="eastAsia" w:ascii="宋体" w:hAnsi="宋体" w:cs="宋体"/>
                <w:i w:val="0"/>
                <w:iCs w:val="0"/>
                <w:color w:val="auto"/>
                <w:kern w:val="0"/>
                <w:sz w:val="21"/>
                <w:szCs w:val="21"/>
                <w:highlight w:val="none"/>
                <w:u w:val="none"/>
                <w:lang w:val="en-US" w:eastAsia="zh-CN" w:bidi="ar"/>
              </w:rPr>
              <w:t>（人员数量=111人-</w:t>
            </w:r>
            <w:r>
              <w:rPr>
                <w:rFonts w:hint="eastAsia" w:ascii="宋体" w:hAnsi="宋体" w:cs="宋体"/>
                <w:color w:val="auto"/>
                <w:sz w:val="21"/>
                <w:szCs w:val="21"/>
                <w:highlight w:val="none"/>
                <w:lang w:val="en-US" w:eastAsia="zh-CN"/>
              </w:rPr>
              <w:t>缴纳社保、医保、公积金的人员数量</w:t>
            </w:r>
            <w:r>
              <w:rPr>
                <w:rFonts w:hint="eastAsia" w:ascii="宋体" w:hAnsi="宋体" w:cs="宋体"/>
                <w:i w:val="0"/>
                <w:iCs w:val="0"/>
                <w:color w:val="auto"/>
                <w:kern w:val="0"/>
                <w:sz w:val="21"/>
                <w:szCs w:val="21"/>
                <w:highlight w:val="none"/>
                <w:u w:val="none"/>
                <w:lang w:val="en-US" w:eastAsia="zh-CN" w:bidi="ar"/>
              </w:rPr>
              <w:t>）</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9D4C0">
            <w:pPr>
              <w:pageBreakBefore w:val="0"/>
              <w:spacing w:line="360" w:lineRule="auto"/>
              <w:jc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01EC8">
            <w:pPr>
              <w:pageBreakBefore w:val="0"/>
              <w:spacing w:line="360" w:lineRule="auto"/>
              <w:jc w:val="center"/>
              <w:rPr>
                <w:rFonts w:hint="eastAsia"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DB2F5">
            <w:pPr>
              <w:pageBreakBefore w:val="0"/>
              <w:spacing w:line="360" w:lineRule="auto"/>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B1336">
            <w:pPr>
              <w:pBdr>
                <w:top w:val="none" w:color="000000" w:sz="0" w:space="0"/>
                <w:left w:val="none" w:color="000000" w:sz="0" w:space="0"/>
                <w:bottom w:val="none" w:color="000000" w:sz="0" w:space="0"/>
                <w:right w:val="none" w:color="000000" w:sz="0" w:space="0"/>
              </w:pBdr>
              <w:spacing w:before="0" w:after="0" w:line="85" w:lineRule="atLeast"/>
              <w:ind w:left="0" w:leftChars="0" w:right="0" w:rightChars="0" w:firstLine="0"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扬州市现行社保缴费基</w:t>
            </w:r>
            <w:r>
              <w:rPr>
                <w:rFonts w:hint="eastAsia" w:ascii="宋体" w:hAnsi="宋体" w:cs="宋体"/>
                <w:b w:val="0"/>
                <w:bCs w:val="0"/>
                <w:color w:val="auto"/>
                <w:sz w:val="21"/>
                <w:szCs w:val="21"/>
                <w:highlight w:val="none"/>
                <w:lang w:val="en-US" w:eastAsia="zh-CN"/>
              </w:rPr>
              <w:t>数</w:t>
            </w:r>
            <w:r>
              <w:rPr>
                <w:rFonts w:hint="eastAsia" w:ascii="宋体" w:hAnsi="宋体" w:eastAsia="宋体" w:cs="宋体"/>
                <w:b w:val="0"/>
                <w:bCs w:val="0"/>
                <w:color w:val="auto"/>
                <w:sz w:val="21"/>
                <w:szCs w:val="21"/>
                <w:highlight w:val="none"/>
                <w:lang w:val="en-US" w:eastAsia="zh-CN"/>
              </w:rPr>
              <w:t>*0.4%。</w:t>
            </w:r>
          </w:p>
          <w:p w14:paraId="5E317962">
            <w:pPr>
              <w:pBdr>
                <w:top w:val="none" w:color="000000" w:sz="0" w:space="0"/>
                <w:left w:val="none" w:color="000000" w:sz="0" w:space="0"/>
                <w:bottom w:val="none" w:color="000000" w:sz="0" w:space="0"/>
                <w:right w:val="none" w:color="000000" w:sz="0" w:space="0"/>
              </w:pBdr>
              <w:spacing w:before="0" w:after="0" w:line="85" w:lineRule="atLeast"/>
              <w:ind w:left="0" w:leftChars="0" w:right="0" w:rightChars="0" w:firstLine="0" w:firstLineChars="0"/>
              <w:jc w:val="both"/>
              <w:rPr>
                <w:rFonts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退休人员工伤保险若在履约期间无法缴纳，该费用自动转为意外伤害险，具体保额和缴纳费用与采购人商定后按实结算。</w:t>
            </w:r>
          </w:p>
        </w:tc>
      </w:tr>
      <w:tr w14:paraId="25971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0F9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cs="宋体"/>
                <w:i w:val="0"/>
                <w:iCs w:val="0"/>
                <w:color w:val="auto"/>
                <w:kern w:val="0"/>
                <w:sz w:val="21"/>
                <w:szCs w:val="21"/>
                <w:highlight w:val="none"/>
                <w:u w:val="none"/>
                <w:lang w:val="en-US" w:eastAsia="zh-CN" w:bidi="ar"/>
              </w:rPr>
              <w:t>4</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A643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62"/>
                <w:rFonts w:hint="eastAsia" w:ascii="宋体" w:hAnsi="宋体" w:eastAsia="宋体" w:cs="宋体"/>
                <w:color w:val="auto"/>
                <w:sz w:val="21"/>
                <w:szCs w:val="21"/>
                <w:highlight w:val="none"/>
                <w:lang w:val="en-US" w:eastAsia="zh-CN" w:bidi="ar"/>
              </w:rPr>
              <w:t>法定节假日加班费</w:t>
            </w:r>
            <w:r>
              <w:rPr>
                <w:rStyle w:val="362"/>
                <w:rFonts w:hint="eastAsia" w:ascii="宋体" w:hAnsi="宋体" w:eastAsia="宋体" w:cs="宋体"/>
                <w:color w:val="auto"/>
                <w:sz w:val="21"/>
                <w:szCs w:val="21"/>
                <w:highlight w:val="none"/>
                <w:lang w:val="en-US" w:eastAsia="zh-CN" w:bidi="ar"/>
              </w:rPr>
              <w:br w:type="textWrapping"/>
            </w:r>
            <w:r>
              <w:rPr>
                <w:rStyle w:val="363"/>
                <w:rFonts w:hint="eastAsia" w:ascii="宋体" w:hAnsi="宋体" w:eastAsia="宋体" w:cs="宋体"/>
                <w:color w:val="auto"/>
                <w:sz w:val="21"/>
                <w:szCs w:val="21"/>
                <w:highlight w:val="none"/>
                <w:lang w:val="en-US" w:eastAsia="zh-CN" w:bidi="ar"/>
              </w:rPr>
              <w:t>（节假日工资按照基本工资的3倍发放）</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E620D">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83</w:t>
            </w:r>
            <w:r>
              <w:rPr>
                <w:rFonts w:hint="eastAsia" w:ascii="宋体" w:hAnsi="宋体" w:cs="宋体"/>
                <w:i w:val="0"/>
                <w:iCs w:val="0"/>
                <w:color w:val="auto"/>
                <w:kern w:val="0"/>
                <w:sz w:val="21"/>
                <w:szCs w:val="21"/>
                <w:highlight w:val="none"/>
                <w:u w:val="none"/>
                <w:lang w:val="en-US" w:eastAsia="zh-CN" w:bidi="ar"/>
              </w:rPr>
              <w:t>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C53DB">
            <w:pPr>
              <w:jc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元/人/天</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D6933">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F54AB">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单价=</w:t>
            </w:r>
            <w:r>
              <w:rPr>
                <w:rFonts w:ascii="宋体" w:hAnsi="宋体" w:eastAsia="宋体" w:cs="宋体"/>
                <w:color w:val="auto"/>
                <w:sz w:val="21"/>
                <w:szCs w:val="21"/>
                <w:highlight w:val="none"/>
              </w:rPr>
              <w:t>基本工资/21.75*</w:t>
            </w:r>
            <w:r>
              <w:rPr>
                <w:rFonts w:ascii="宋体" w:hAnsi="宋体" w:eastAsia="宋体" w:cs="宋体"/>
                <w:i/>
                <w:iCs/>
                <w:color w:val="auto"/>
                <w:sz w:val="21"/>
                <w:szCs w:val="21"/>
                <w:highlight w:val="none"/>
                <w:u w:val="single"/>
              </w:rPr>
              <w:t>3倍</w:t>
            </w:r>
            <w:r>
              <w:rPr>
                <w:rFonts w:hint="eastAsia" w:ascii="宋体" w:hAnsi="宋体" w:eastAsia="宋体" w:cs="宋体"/>
                <w:color w:val="auto"/>
                <w:sz w:val="21"/>
                <w:szCs w:val="21"/>
                <w:highlight w:val="none"/>
                <w:lang w:eastAsia="zh-CN"/>
              </w:rPr>
              <w:t>；</w:t>
            </w:r>
          </w:p>
          <w:p w14:paraId="0F691682">
            <w:pPr>
              <w:jc w:val="center"/>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总价=单价*83人*</w:t>
            </w:r>
            <w:r>
              <w:rPr>
                <w:rFonts w:ascii="宋体" w:hAnsi="宋体" w:eastAsia="宋体" w:cs="宋体"/>
                <w:color w:val="auto"/>
                <w:sz w:val="21"/>
                <w:szCs w:val="21"/>
                <w:highlight w:val="none"/>
              </w:rPr>
              <w:t>13天</w:t>
            </w:r>
          </w:p>
        </w:tc>
      </w:tr>
      <w:tr w14:paraId="69332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4A9D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cs="宋体"/>
                <w:i w:val="0"/>
                <w:iCs w:val="0"/>
                <w:color w:val="auto"/>
                <w:kern w:val="0"/>
                <w:sz w:val="21"/>
                <w:szCs w:val="21"/>
                <w:highlight w:val="none"/>
                <w:u w:val="none"/>
                <w:lang w:val="en-US" w:eastAsia="zh-CN" w:bidi="ar"/>
              </w:rPr>
              <w:t>5</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798F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62"/>
                <w:rFonts w:hint="eastAsia" w:ascii="宋体" w:hAnsi="宋体" w:eastAsia="宋体" w:cs="宋体"/>
                <w:color w:val="auto"/>
                <w:sz w:val="21"/>
                <w:szCs w:val="21"/>
                <w:highlight w:val="none"/>
                <w:lang w:val="en-US" w:eastAsia="zh-CN" w:bidi="ar"/>
              </w:rPr>
              <w:t>非法定工作时间加班费</w:t>
            </w:r>
            <w:r>
              <w:rPr>
                <w:rStyle w:val="362"/>
                <w:rFonts w:hint="eastAsia" w:ascii="宋体" w:hAnsi="宋体" w:eastAsia="宋体" w:cs="宋体"/>
                <w:color w:val="auto"/>
                <w:sz w:val="21"/>
                <w:szCs w:val="21"/>
                <w:highlight w:val="none"/>
                <w:lang w:val="en-US" w:eastAsia="zh-CN" w:bidi="ar"/>
              </w:rPr>
              <w:br w:type="textWrapping"/>
            </w:r>
            <w:r>
              <w:rPr>
                <w:rStyle w:val="363"/>
                <w:rFonts w:hint="eastAsia" w:ascii="宋体" w:hAnsi="宋体" w:eastAsia="宋体" w:cs="宋体"/>
                <w:color w:val="auto"/>
                <w:sz w:val="21"/>
                <w:szCs w:val="21"/>
                <w:highlight w:val="none"/>
                <w:lang w:val="en-US" w:eastAsia="zh-CN" w:bidi="ar"/>
              </w:rPr>
              <w:t>（手术室、消毒供应室、产房会产生加班，三个科室预计24人）</w:t>
            </w:r>
            <w:r>
              <w:rPr>
                <w:rStyle w:val="363"/>
                <w:rFonts w:hint="eastAsia" w:ascii="宋体" w:hAnsi="宋体" w:eastAsia="宋体" w:cs="宋体"/>
                <w:color w:val="auto"/>
                <w:sz w:val="21"/>
                <w:szCs w:val="21"/>
                <w:highlight w:val="none"/>
                <w:lang w:val="en-US" w:eastAsia="zh-CN" w:bidi="ar"/>
              </w:rPr>
              <w:br w:type="textWrapping"/>
            </w:r>
            <w:r>
              <w:rPr>
                <w:rFonts w:hint="eastAsia"/>
                <w:color w:val="auto"/>
                <w:highlight w:val="none"/>
              </w:rPr>
              <w:t>此项按</w:t>
            </w:r>
            <w:r>
              <w:rPr>
                <w:rFonts w:hint="eastAsia"/>
                <w:color w:val="auto"/>
                <w:highlight w:val="none"/>
                <w:lang w:val="en-US" w:eastAsia="zh-CN"/>
              </w:rPr>
              <w:t>月</w:t>
            </w:r>
            <w:r>
              <w:rPr>
                <w:rFonts w:hint="eastAsia"/>
                <w:color w:val="auto"/>
                <w:highlight w:val="none"/>
              </w:rPr>
              <w:t>报价（元/</w:t>
            </w:r>
            <w:r>
              <w:rPr>
                <w:rFonts w:hint="eastAsia"/>
                <w:color w:val="auto"/>
                <w:highlight w:val="none"/>
                <w:lang w:val="en-US" w:eastAsia="zh-CN"/>
              </w:rPr>
              <w:t>月</w:t>
            </w:r>
            <w:r>
              <w:rPr>
                <w:rFonts w:hint="eastAsia"/>
                <w:color w:val="auto"/>
                <w:highlight w:val="none"/>
              </w:rPr>
              <w:t>），优先考虑补休，据实结算</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4E6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color w:val="auto"/>
                <w:highlight w:val="none"/>
                <w:u w:val="single"/>
                <w:lang w:val="en-US" w:eastAsia="zh-CN"/>
              </w:rPr>
              <w:t xml:space="preserve">暂定300  </w:t>
            </w:r>
            <w:r>
              <w:rPr>
                <w:rFonts w:hint="eastAsia"/>
                <w:color w:val="auto"/>
                <w:highlight w:val="none"/>
                <w:lang w:val="en-US" w:eastAsia="zh-CN"/>
              </w:rPr>
              <w:t>小时/月</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42DD3">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cs="宋体"/>
                <w:i w:val="0"/>
                <w:iCs w:val="0"/>
                <w:color w:val="auto"/>
                <w:sz w:val="21"/>
                <w:szCs w:val="21"/>
                <w:highlight w:val="none"/>
                <w:u w:val="none"/>
                <w:lang w:val="en-US" w:eastAsia="zh-CN"/>
              </w:rPr>
              <w:t>元/月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81647">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7A7DF">
            <w:pPr>
              <w:jc w:val="center"/>
              <w:rPr>
                <w:rFonts w:hint="default"/>
                <w:color w:val="auto"/>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rPr>
              <w:t>自行测算</w:t>
            </w:r>
            <w:r>
              <w:rPr>
                <w:rFonts w:hint="eastAsia" w:ascii="宋体" w:hAnsi="宋体" w:cs="宋体"/>
                <w:b w:val="0"/>
                <w:bCs w:val="0"/>
                <w:i w:val="0"/>
                <w:iCs w:val="0"/>
                <w:color w:val="auto"/>
                <w:sz w:val="21"/>
                <w:szCs w:val="21"/>
                <w:highlight w:val="none"/>
                <w:u w:val="none"/>
                <w:lang w:val="en-US" w:eastAsia="zh-CN"/>
              </w:rPr>
              <w:t>，</w:t>
            </w:r>
            <w:r>
              <w:rPr>
                <w:rFonts w:hint="default"/>
                <w:color w:val="auto"/>
                <w:highlight w:val="none"/>
                <w:lang w:val="en-US" w:eastAsia="zh-CN"/>
              </w:rPr>
              <w:t>用人单位优先安排补休。</w:t>
            </w:r>
          </w:p>
        </w:tc>
      </w:tr>
      <w:tr w14:paraId="76243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889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cs="宋体"/>
                <w:i w:val="0"/>
                <w:iCs w:val="0"/>
                <w:color w:val="auto"/>
                <w:kern w:val="0"/>
                <w:sz w:val="21"/>
                <w:szCs w:val="21"/>
                <w:highlight w:val="none"/>
                <w:u w:val="none"/>
                <w:lang w:val="en-US" w:eastAsia="zh-CN" w:bidi="ar"/>
              </w:rPr>
              <w:t>6</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FA63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62"/>
                <w:rFonts w:hint="eastAsia" w:ascii="宋体" w:hAnsi="宋体" w:eastAsia="宋体" w:cs="宋体"/>
                <w:color w:val="auto"/>
                <w:sz w:val="21"/>
                <w:szCs w:val="21"/>
                <w:highlight w:val="none"/>
                <w:lang w:val="en-US" w:eastAsia="zh-CN" w:bidi="ar"/>
              </w:rPr>
              <w:t>高温补贴</w:t>
            </w:r>
            <w:r>
              <w:rPr>
                <w:rStyle w:val="362"/>
                <w:rFonts w:hint="eastAsia" w:ascii="宋体" w:hAnsi="宋体" w:eastAsia="宋体" w:cs="宋体"/>
                <w:color w:val="auto"/>
                <w:sz w:val="21"/>
                <w:szCs w:val="21"/>
                <w:highlight w:val="none"/>
                <w:lang w:val="en-US" w:eastAsia="zh-CN" w:bidi="ar"/>
              </w:rPr>
              <w:br w:type="textWrapping"/>
            </w:r>
            <w:r>
              <w:rPr>
                <w:rStyle w:val="363"/>
                <w:rFonts w:hint="eastAsia" w:ascii="宋体" w:hAnsi="宋体" w:eastAsia="宋体" w:cs="宋体"/>
                <w:color w:val="auto"/>
                <w:sz w:val="21"/>
                <w:szCs w:val="21"/>
                <w:highlight w:val="none"/>
                <w:lang w:val="en-US" w:eastAsia="zh-CN" w:bidi="ar"/>
              </w:rPr>
              <w:t>（水电工6人，搬运4人，供应室清洗员7人，检验科2人，跑外勤6人，共计25人预估）</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AC4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08BDB">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9BC82">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DE68B">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val="0"/>
                <w:bCs w:val="0"/>
                <w:i/>
                <w:iCs/>
                <w:color w:val="auto"/>
                <w:sz w:val="21"/>
                <w:szCs w:val="21"/>
                <w:highlight w:val="none"/>
                <w:u w:val="single"/>
              </w:rPr>
              <w:t>高温补贴</w:t>
            </w:r>
            <w:r>
              <w:rPr>
                <w:rFonts w:hint="eastAsia" w:ascii="宋体" w:hAnsi="宋体" w:eastAsia="宋体" w:cs="宋体"/>
                <w:b w:val="0"/>
                <w:bCs w:val="0"/>
                <w:i/>
                <w:iCs/>
                <w:color w:val="auto"/>
                <w:sz w:val="21"/>
                <w:szCs w:val="21"/>
                <w:highlight w:val="none"/>
                <w:u w:val="single"/>
                <w:lang w:val="en-US" w:eastAsia="zh-CN"/>
              </w:rPr>
              <w:t>单价</w:t>
            </w:r>
            <w:r>
              <w:rPr>
                <w:rFonts w:hint="eastAsia" w:ascii="宋体" w:hAnsi="宋体" w:eastAsia="宋体" w:cs="宋体"/>
                <w:b w:val="0"/>
                <w:bCs w:val="0"/>
                <w:i/>
                <w:iCs/>
                <w:color w:val="auto"/>
                <w:sz w:val="21"/>
                <w:szCs w:val="21"/>
                <w:highlight w:val="none"/>
                <w:u w:val="single"/>
              </w:rPr>
              <w:t>不低于国家相关规定标准300元/月</w:t>
            </w:r>
            <w:r>
              <w:rPr>
                <w:rFonts w:hint="eastAsia" w:ascii="宋体" w:hAnsi="宋体" w:eastAsia="宋体" w:cs="宋体"/>
                <w:b w:val="0"/>
                <w:bCs w:val="0"/>
                <w:i w:val="0"/>
                <w:iCs w:val="0"/>
                <w:color w:val="auto"/>
                <w:sz w:val="21"/>
                <w:szCs w:val="21"/>
                <w:highlight w:val="none"/>
                <w:u w:val="none"/>
                <w:lang w:eastAsia="zh-CN"/>
              </w:rPr>
              <w:t>；</w:t>
            </w:r>
            <w:r>
              <w:rPr>
                <w:rFonts w:hint="eastAsia" w:ascii="宋体" w:hAnsi="宋体" w:eastAsia="宋体" w:cs="宋体"/>
                <w:color w:val="auto"/>
                <w:sz w:val="21"/>
                <w:szCs w:val="21"/>
                <w:highlight w:val="none"/>
                <w:lang w:val="en-US" w:eastAsia="zh-CN"/>
              </w:rPr>
              <w:t>总价=单价*25人*4个月</w:t>
            </w:r>
            <w:r>
              <w:rPr>
                <w:rFonts w:hint="eastAsia" w:ascii="宋体" w:hAnsi="宋体" w:eastAsia="宋体" w:cs="宋体"/>
                <w:b w:val="0"/>
                <w:bCs w:val="0"/>
                <w:i w:val="0"/>
                <w:iCs w:val="0"/>
                <w:color w:val="auto"/>
                <w:sz w:val="21"/>
                <w:szCs w:val="21"/>
                <w:highlight w:val="none"/>
                <w:u w:val="none"/>
              </w:rPr>
              <w:t>。</w:t>
            </w:r>
          </w:p>
        </w:tc>
      </w:tr>
      <w:tr w14:paraId="7ABFF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6EF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cs="宋体"/>
                <w:i w:val="0"/>
                <w:iCs w:val="0"/>
                <w:color w:val="auto"/>
                <w:kern w:val="0"/>
                <w:sz w:val="21"/>
                <w:szCs w:val="21"/>
                <w:highlight w:val="none"/>
                <w:u w:val="none"/>
                <w:lang w:val="en-US" w:eastAsia="zh-CN" w:bidi="ar"/>
              </w:rPr>
              <w:t>7</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E13A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62"/>
                <w:rFonts w:hint="eastAsia" w:ascii="宋体" w:hAnsi="宋体" w:eastAsia="宋体" w:cs="宋体"/>
                <w:color w:val="auto"/>
                <w:sz w:val="21"/>
                <w:szCs w:val="21"/>
                <w:highlight w:val="none"/>
                <w:lang w:val="en-US" w:eastAsia="zh-CN" w:bidi="ar"/>
              </w:rPr>
              <w:t>节日福利</w:t>
            </w:r>
            <w:r>
              <w:rPr>
                <w:rStyle w:val="362"/>
                <w:rFonts w:hint="eastAsia" w:ascii="宋体" w:hAnsi="宋体" w:eastAsia="宋体" w:cs="宋体"/>
                <w:color w:val="auto"/>
                <w:sz w:val="21"/>
                <w:szCs w:val="21"/>
                <w:highlight w:val="none"/>
                <w:lang w:val="en-US" w:eastAsia="zh-CN" w:bidi="ar"/>
              </w:rPr>
              <w:br w:type="textWrapping"/>
            </w:r>
            <w:r>
              <w:rPr>
                <w:rStyle w:val="363"/>
                <w:rFonts w:hint="eastAsia" w:ascii="宋体" w:hAnsi="宋体" w:eastAsia="宋体" w:cs="宋体"/>
                <w:color w:val="auto"/>
                <w:sz w:val="21"/>
                <w:szCs w:val="21"/>
                <w:highlight w:val="none"/>
                <w:lang w:val="en-US" w:eastAsia="zh-CN" w:bidi="ar"/>
              </w:rPr>
              <w:t>（每年端午/中秋/春节发放福利）</w:t>
            </w:r>
            <w:r>
              <w:rPr>
                <w:rStyle w:val="363"/>
                <w:rFonts w:hint="eastAsia" w:ascii="宋体" w:hAnsi="宋体" w:eastAsia="宋体" w:cs="宋体"/>
                <w:color w:val="auto"/>
                <w:sz w:val="21"/>
                <w:szCs w:val="21"/>
                <w:highlight w:val="none"/>
                <w:lang w:val="en-US" w:eastAsia="zh-CN" w:bidi="ar"/>
              </w:rPr>
              <w:br w:type="textWrapping"/>
            </w:r>
            <w:r>
              <w:rPr>
                <w:rStyle w:val="363"/>
                <w:rFonts w:hint="eastAsia" w:ascii="宋体" w:hAnsi="宋体" w:eastAsia="宋体" w:cs="宋体"/>
                <w:color w:val="auto"/>
                <w:sz w:val="21"/>
                <w:szCs w:val="21"/>
                <w:highlight w:val="none"/>
                <w:lang w:val="en-US" w:eastAsia="zh-CN" w:bidi="ar"/>
              </w:rPr>
              <w:t xml:space="preserve"> 此项按年报价（元/人/年）</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CB1CE">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11</w:t>
            </w:r>
            <w:r>
              <w:rPr>
                <w:rFonts w:hint="eastAsia" w:ascii="宋体" w:hAnsi="宋体" w:cs="宋体"/>
                <w:i w:val="0"/>
                <w:iCs w:val="0"/>
                <w:color w:val="auto"/>
                <w:kern w:val="0"/>
                <w:sz w:val="21"/>
                <w:szCs w:val="21"/>
                <w:highlight w:val="none"/>
                <w:u w:val="none"/>
                <w:lang w:val="en-US" w:eastAsia="zh-CN" w:bidi="ar"/>
              </w:rPr>
              <w:t>1人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9CE6C">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元/人/年</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77F6A">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B3F03">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i/>
                <w:iCs/>
                <w:color w:val="auto"/>
                <w:sz w:val="21"/>
                <w:szCs w:val="21"/>
                <w:highlight w:val="none"/>
                <w:u w:val="single"/>
              </w:rPr>
              <w:t>所有人员</w:t>
            </w:r>
            <w:r>
              <w:rPr>
                <w:rFonts w:hint="eastAsia" w:ascii="宋体" w:hAnsi="宋体" w:eastAsia="宋体" w:cs="宋体"/>
                <w:i/>
                <w:iCs/>
                <w:color w:val="auto"/>
                <w:sz w:val="21"/>
                <w:szCs w:val="21"/>
                <w:highlight w:val="none"/>
                <w:u w:val="single"/>
                <w:lang w:val="en-US" w:eastAsia="zh-CN"/>
              </w:rPr>
              <w:t>单价</w:t>
            </w:r>
            <w:r>
              <w:rPr>
                <w:rFonts w:hint="eastAsia" w:ascii="宋体" w:hAnsi="宋体" w:eastAsia="宋体" w:cs="宋体"/>
                <w:i/>
                <w:iCs/>
                <w:color w:val="auto"/>
                <w:sz w:val="21"/>
                <w:szCs w:val="21"/>
                <w:highlight w:val="none"/>
                <w:u w:val="single"/>
              </w:rPr>
              <w:t>按不低于600元/人/年标准配置（实物或现金方式）</w:t>
            </w:r>
            <w:r>
              <w:rPr>
                <w:rFonts w:hint="eastAsia" w:ascii="宋体" w:hAnsi="宋体" w:eastAsia="宋体" w:cs="宋体"/>
                <w:color w:val="auto"/>
                <w:sz w:val="21"/>
                <w:szCs w:val="21"/>
                <w:highlight w:val="none"/>
              </w:rPr>
              <w:t>。</w:t>
            </w:r>
          </w:p>
        </w:tc>
      </w:tr>
      <w:tr w14:paraId="44B47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636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cs="宋体"/>
                <w:i w:val="0"/>
                <w:iCs w:val="0"/>
                <w:color w:val="auto"/>
                <w:kern w:val="0"/>
                <w:sz w:val="21"/>
                <w:szCs w:val="21"/>
                <w:highlight w:val="none"/>
                <w:u w:val="none"/>
                <w:lang w:val="en-US" w:eastAsia="zh-CN" w:bidi="ar"/>
              </w:rPr>
              <w:t>8</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5DA1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62"/>
                <w:rFonts w:hint="eastAsia" w:ascii="宋体" w:hAnsi="宋体" w:eastAsia="宋体" w:cs="宋体"/>
                <w:color w:val="auto"/>
                <w:sz w:val="21"/>
                <w:szCs w:val="21"/>
                <w:highlight w:val="none"/>
                <w:lang w:val="en-US" w:eastAsia="zh-CN" w:bidi="ar"/>
              </w:rPr>
              <w:t>物流运输工具设备</w:t>
            </w:r>
            <w:r>
              <w:rPr>
                <w:rStyle w:val="362"/>
                <w:rFonts w:hint="eastAsia" w:ascii="宋体" w:hAnsi="宋体" w:eastAsia="宋体" w:cs="宋体"/>
                <w:color w:val="auto"/>
                <w:sz w:val="21"/>
                <w:szCs w:val="21"/>
                <w:highlight w:val="none"/>
                <w:lang w:val="en-US" w:eastAsia="zh-CN" w:bidi="ar"/>
              </w:rPr>
              <w:br w:type="textWrapping"/>
            </w:r>
            <w:r>
              <w:rPr>
                <w:rStyle w:val="363"/>
                <w:rFonts w:hint="eastAsia" w:ascii="宋体" w:hAnsi="宋体" w:eastAsia="宋体" w:cs="宋体"/>
                <w:color w:val="auto"/>
                <w:sz w:val="21"/>
                <w:szCs w:val="21"/>
                <w:highlight w:val="none"/>
                <w:lang w:val="en-US" w:eastAsia="zh-CN" w:bidi="ar"/>
              </w:rPr>
              <w:t>（运送中心信息化全套系统、系统维护费用、运送标本箱、对讲机、收发器械平车、搬运推车等）</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B7C84">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79人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C7AFD">
            <w:pPr>
              <w:jc w:val="center"/>
              <w:rPr>
                <w:rFonts w:hint="eastAsia" w:ascii="宋体" w:hAnsi="宋体" w:eastAsia="宋体" w:cs="宋体"/>
                <w:i w:val="0"/>
                <w:iCs w:val="0"/>
                <w:color w:val="auto"/>
                <w:sz w:val="21"/>
                <w:szCs w:val="21"/>
                <w:highlight w:val="none"/>
                <w:u w:val="none"/>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B12BF">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28404">
            <w:pPr>
              <w:jc w:val="center"/>
              <w:rPr>
                <w:rFonts w:hint="eastAsia" w:ascii="宋体" w:hAnsi="宋体" w:eastAsia="宋体" w:cs="宋体"/>
                <w:b/>
                <w:bCs/>
                <w:i w:val="0"/>
                <w:iCs w:val="0"/>
                <w:color w:val="auto"/>
                <w:sz w:val="21"/>
                <w:szCs w:val="21"/>
                <w:highlight w:val="none"/>
                <w:u w:val="none"/>
              </w:rPr>
            </w:pPr>
          </w:p>
        </w:tc>
      </w:tr>
      <w:tr w14:paraId="37F66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E27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r>
              <w:rPr>
                <w:rFonts w:hint="eastAsia" w:ascii="宋体" w:hAnsi="宋体" w:cs="宋体"/>
                <w:i w:val="0"/>
                <w:iCs w:val="0"/>
                <w:color w:val="auto"/>
                <w:kern w:val="0"/>
                <w:sz w:val="21"/>
                <w:szCs w:val="21"/>
                <w:highlight w:val="none"/>
                <w:u w:val="none"/>
                <w:lang w:val="en-US" w:eastAsia="zh-CN" w:bidi="ar"/>
              </w:rPr>
              <w:t>9</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D6BA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62"/>
                <w:rFonts w:hint="eastAsia" w:ascii="宋体" w:hAnsi="宋体" w:eastAsia="宋体" w:cs="宋体"/>
                <w:color w:val="auto"/>
                <w:sz w:val="21"/>
                <w:szCs w:val="21"/>
                <w:highlight w:val="none"/>
                <w:lang w:val="en-US" w:eastAsia="zh-CN" w:bidi="ar"/>
              </w:rPr>
              <w:t>水电工维修器械工具</w:t>
            </w:r>
            <w:r>
              <w:rPr>
                <w:rStyle w:val="362"/>
                <w:rFonts w:hint="eastAsia" w:ascii="宋体" w:hAnsi="宋体" w:eastAsia="宋体" w:cs="宋体"/>
                <w:color w:val="auto"/>
                <w:sz w:val="21"/>
                <w:szCs w:val="21"/>
                <w:highlight w:val="none"/>
                <w:lang w:val="en-US" w:eastAsia="zh-CN" w:bidi="ar"/>
              </w:rPr>
              <w:br w:type="textWrapping"/>
            </w:r>
            <w:r>
              <w:rPr>
                <w:rStyle w:val="363"/>
                <w:rFonts w:hint="eastAsia" w:ascii="宋体" w:hAnsi="宋体" w:eastAsia="宋体" w:cs="宋体"/>
                <w:color w:val="auto"/>
                <w:sz w:val="21"/>
                <w:szCs w:val="21"/>
                <w:highlight w:val="none"/>
                <w:lang w:val="en-US" w:eastAsia="zh-CN" w:bidi="ar"/>
              </w:rPr>
              <w:t>（管道用打压泵，扩管器，液压钳。试电笔、万用表、水平尺、冲击钻、电锤、切割机、角磨机、开槽机、螺丝刀类、扳手类、钳类等）</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779FE">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6</w:t>
            </w:r>
            <w:r>
              <w:rPr>
                <w:rFonts w:hint="eastAsia" w:ascii="宋体" w:hAnsi="宋体" w:cs="宋体"/>
                <w:i w:val="0"/>
                <w:iCs w:val="0"/>
                <w:color w:val="auto"/>
                <w:kern w:val="0"/>
                <w:sz w:val="21"/>
                <w:szCs w:val="21"/>
                <w:highlight w:val="none"/>
                <w:u w:val="none"/>
                <w:lang w:val="en-US" w:eastAsia="zh-CN" w:bidi="ar"/>
              </w:rPr>
              <w:t>套</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41136">
            <w:pPr>
              <w:jc w:val="center"/>
              <w:rPr>
                <w:rFonts w:hint="eastAsia" w:ascii="宋体" w:hAnsi="宋体" w:eastAsia="宋体" w:cs="宋体"/>
                <w:i w:val="0"/>
                <w:iCs w:val="0"/>
                <w:color w:val="auto"/>
                <w:sz w:val="21"/>
                <w:szCs w:val="21"/>
                <w:highlight w:val="none"/>
                <w:u w:val="none"/>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A99FB">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0BF04">
            <w:pPr>
              <w:jc w:val="center"/>
              <w:rPr>
                <w:rFonts w:hint="eastAsia" w:ascii="宋体" w:hAnsi="宋体" w:eastAsia="宋体" w:cs="宋体"/>
                <w:b/>
                <w:bCs/>
                <w:i w:val="0"/>
                <w:iCs w:val="0"/>
                <w:color w:val="auto"/>
                <w:sz w:val="21"/>
                <w:szCs w:val="21"/>
                <w:highlight w:val="none"/>
                <w:u w:val="none"/>
              </w:rPr>
            </w:pPr>
          </w:p>
        </w:tc>
      </w:tr>
      <w:tr w14:paraId="403EE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40F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cs="宋体"/>
                <w:i w:val="0"/>
                <w:iCs w:val="0"/>
                <w:color w:val="auto"/>
                <w:kern w:val="0"/>
                <w:sz w:val="21"/>
                <w:szCs w:val="21"/>
                <w:highlight w:val="none"/>
                <w:u w:val="none"/>
                <w:lang w:val="en-US" w:eastAsia="zh-CN" w:bidi="ar"/>
              </w:rPr>
              <w:t>20</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F096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62"/>
                <w:rFonts w:hint="eastAsia" w:ascii="宋体" w:hAnsi="宋体" w:eastAsia="宋体" w:cs="宋体"/>
                <w:color w:val="auto"/>
                <w:sz w:val="21"/>
                <w:szCs w:val="21"/>
                <w:highlight w:val="none"/>
                <w:lang w:val="en-US" w:eastAsia="zh-CN" w:bidi="ar"/>
              </w:rPr>
              <w:t>保洁耗材</w:t>
            </w:r>
            <w:r>
              <w:rPr>
                <w:rStyle w:val="362"/>
                <w:rFonts w:hint="eastAsia" w:ascii="宋体" w:hAnsi="宋体" w:eastAsia="宋体" w:cs="宋体"/>
                <w:color w:val="auto"/>
                <w:sz w:val="21"/>
                <w:szCs w:val="21"/>
                <w:highlight w:val="none"/>
                <w:lang w:val="en-US" w:eastAsia="zh-CN" w:bidi="ar"/>
              </w:rPr>
              <w:br w:type="textWrapping"/>
            </w:r>
            <w:r>
              <w:rPr>
                <w:rStyle w:val="362"/>
                <w:rFonts w:hint="eastAsia" w:ascii="宋体" w:hAnsi="宋体" w:eastAsia="宋体" w:cs="宋体"/>
                <w:color w:val="auto"/>
                <w:sz w:val="21"/>
                <w:szCs w:val="21"/>
                <w:highlight w:val="none"/>
                <w:lang w:val="en-US" w:eastAsia="zh-CN" w:bidi="ar"/>
              </w:rPr>
              <w:t>手术室/消毒供应室/分娩室/新生儿科的卫生耗材</w:t>
            </w:r>
            <w:r>
              <w:rPr>
                <w:rStyle w:val="363"/>
                <w:rFonts w:hint="eastAsia" w:ascii="宋体" w:hAnsi="宋体" w:eastAsia="宋体" w:cs="宋体"/>
                <w:color w:val="auto"/>
                <w:sz w:val="21"/>
                <w:szCs w:val="21"/>
                <w:highlight w:val="none"/>
                <w:lang w:val="en-US" w:eastAsia="zh-CN" w:bidi="ar"/>
              </w:rPr>
              <w:t>（含洁厕所灵，全能清洁剂，洗衣粉，垃圾袋、蜡水、拖把拖布玻璃刷、口罩一次性手套、保洁车等）</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4DC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12个月</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3D2F0">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9F99D">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8E413">
            <w:pPr>
              <w:jc w:val="center"/>
              <w:rPr>
                <w:rFonts w:hint="default" w:ascii="宋体" w:hAnsi="宋体" w:eastAsia="宋体" w:cs="宋体"/>
                <w:b/>
                <w:bCs/>
                <w:i w:val="0"/>
                <w:iCs w:val="0"/>
                <w:color w:val="auto"/>
                <w:sz w:val="21"/>
                <w:szCs w:val="21"/>
                <w:highlight w:val="none"/>
                <w:u w:val="none"/>
                <w:lang w:val="en-US" w:eastAsia="zh-CN"/>
              </w:rPr>
            </w:pPr>
            <w:r>
              <w:rPr>
                <w:rFonts w:hint="eastAsia" w:ascii="宋体" w:hAnsi="宋体" w:cs="宋体"/>
                <w:b w:val="0"/>
                <w:bCs w:val="0"/>
                <w:i/>
                <w:iCs/>
                <w:color w:val="auto"/>
                <w:sz w:val="21"/>
                <w:szCs w:val="21"/>
                <w:highlight w:val="none"/>
                <w:u w:val="single"/>
                <w:lang w:val="en-US" w:eastAsia="zh-CN"/>
              </w:rPr>
              <w:t>满足日常所需</w:t>
            </w:r>
          </w:p>
        </w:tc>
      </w:tr>
      <w:tr w14:paraId="49B23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1ADFB">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cs="宋体"/>
                <w:i w:val="0"/>
                <w:iCs w:val="0"/>
                <w:color w:val="auto"/>
                <w:kern w:val="0"/>
                <w:sz w:val="21"/>
                <w:szCs w:val="21"/>
                <w:highlight w:val="none"/>
                <w:u w:val="none"/>
                <w:lang w:val="en-US" w:eastAsia="zh-CN" w:bidi="ar"/>
              </w:rPr>
              <w:t>1</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249A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62"/>
                <w:rFonts w:hint="eastAsia" w:ascii="宋体" w:hAnsi="宋体" w:eastAsia="宋体" w:cs="宋体"/>
                <w:color w:val="auto"/>
                <w:sz w:val="21"/>
                <w:szCs w:val="21"/>
                <w:highlight w:val="none"/>
                <w:lang w:val="en-US" w:eastAsia="zh-CN" w:bidi="ar"/>
              </w:rPr>
              <w:t>劳保与防护用品</w:t>
            </w:r>
            <w:r>
              <w:rPr>
                <w:rStyle w:val="362"/>
                <w:rFonts w:hint="eastAsia" w:ascii="宋体" w:hAnsi="宋体" w:eastAsia="宋体" w:cs="宋体"/>
                <w:color w:val="auto"/>
                <w:sz w:val="21"/>
                <w:szCs w:val="21"/>
                <w:highlight w:val="none"/>
                <w:lang w:val="en-US" w:eastAsia="zh-CN" w:bidi="ar"/>
              </w:rPr>
              <w:br w:type="textWrapping"/>
            </w:r>
            <w:r>
              <w:rPr>
                <w:rStyle w:val="363"/>
                <w:rFonts w:hint="eastAsia" w:ascii="宋体" w:hAnsi="宋体" w:eastAsia="宋体" w:cs="宋体"/>
                <w:color w:val="auto"/>
                <w:sz w:val="21"/>
                <w:szCs w:val="21"/>
                <w:highlight w:val="none"/>
                <w:lang w:val="en-US" w:eastAsia="zh-CN" w:bidi="ar"/>
              </w:rPr>
              <w:t>（工作服夏季春季每人四套，口罩手套，洗手液等）</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68E4F">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11</w:t>
            </w:r>
            <w:r>
              <w:rPr>
                <w:rFonts w:hint="eastAsia" w:ascii="宋体" w:hAnsi="宋体" w:cs="宋体"/>
                <w:i w:val="0"/>
                <w:iCs w:val="0"/>
                <w:color w:val="auto"/>
                <w:kern w:val="0"/>
                <w:sz w:val="21"/>
                <w:szCs w:val="21"/>
                <w:highlight w:val="none"/>
                <w:u w:val="none"/>
                <w:lang w:val="en-US" w:eastAsia="zh-CN" w:bidi="ar"/>
              </w:rPr>
              <w:t>1人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15183">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A8408">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80FC8">
            <w:pPr>
              <w:jc w:val="center"/>
              <w:rPr>
                <w:rFonts w:hint="eastAsia" w:ascii="宋体" w:hAnsi="宋体" w:eastAsia="宋体" w:cs="宋体"/>
                <w:b/>
                <w:bCs/>
                <w:i w:val="0"/>
                <w:iCs w:val="0"/>
                <w:color w:val="auto"/>
                <w:sz w:val="21"/>
                <w:szCs w:val="21"/>
                <w:highlight w:val="none"/>
                <w:u w:val="none"/>
              </w:rPr>
            </w:pPr>
          </w:p>
        </w:tc>
      </w:tr>
      <w:tr w14:paraId="647B0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ED3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cs="宋体"/>
                <w:i w:val="0"/>
                <w:iCs w:val="0"/>
                <w:color w:val="auto"/>
                <w:kern w:val="0"/>
                <w:sz w:val="21"/>
                <w:szCs w:val="21"/>
                <w:highlight w:val="none"/>
                <w:u w:val="none"/>
                <w:lang w:val="en-US" w:eastAsia="zh-CN" w:bidi="ar"/>
              </w:rPr>
              <w:t>2</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43DCF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62"/>
                <w:rFonts w:hint="eastAsia" w:ascii="宋体" w:hAnsi="宋体" w:eastAsia="宋体" w:cs="宋体"/>
                <w:color w:val="auto"/>
                <w:sz w:val="21"/>
                <w:szCs w:val="21"/>
                <w:highlight w:val="none"/>
                <w:lang w:val="en-US" w:eastAsia="zh-CN" w:bidi="ar"/>
              </w:rPr>
              <w:t>办公用品费用</w:t>
            </w:r>
            <w:r>
              <w:rPr>
                <w:rStyle w:val="362"/>
                <w:rFonts w:hint="eastAsia" w:ascii="宋体" w:hAnsi="宋体" w:eastAsia="宋体" w:cs="宋体"/>
                <w:color w:val="auto"/>
                <w:sz w:val="21"/>
                <w:szCs w:val="21"/>
                <w:highlight w:val="none"/>
                <w:lang w:val="en-US" w:eastAsia="zh-CN" w:bidi="ar"/>
              </w:rPr>
              <w:br w:type="textWrapping"/>
            </w:r>
            <w:r>
              <w:rPr>
                <w:rStyle w:val="363"/>
                <w:rFonts w:hint="eastAsia" w:ascii="宋体" w:hAnsi="宋体" w:eastAsia="宋体" w:cs="宋体"/>
                <w:color w:val="auto"/>
                <w:sz w:val="21"/>
                <w:szCs w:val="21"/>
                <w:highlight w:val="none"/>
                <w:lang w:val="en-US" w:eastAsia="zh-CN" w:bidi="ar"/>
              </w:rPr>
              <w:t>（办公电脑、信息化展示屏、值班手机、冰箱、微波炉、电动车、打印机、笔、纸等）</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8D1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r>
              <w:rPr>
                <w:rFonts w:hint="eastAsia" w:ascii="宋体" w:hAnsi="宋体" w:cs="宋体"/>
                <w:i w:val="0"/>
                <w:iCs w:val="0"/>
                <w:color w:val="auto"/>
                <w:kern w:val="0"/>
                <w:sz w:val="21"/>
                <w:szCs w:val="21"/>
                <w:highlight w:val="none"/>
                <w:u w:val="none"/>
                <w:lang w:val="en-US" w:eastAsia="zh-CN" w:bidi="ar"/>
              </w:rPr>
              <w:t>1人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A070B">
            <w:pPr>
              <w:jc w:val="center"/>
              <w:rPr>
                <w:rFonts w:hint="eastAsia" w:ascii="宋体" w:hAnsi="宋体" w:eastAsia="宋体" w:cs="宋体"/>
                <w:i w:val="0"/>
                <w:iCs w:val="0"/>
                <w:color w:val="auto"/>
                <w:sz w:val="21"/>
                <w:szCs w:val="21"/>
                <w:highlight w:val="none"/>
                <w:u w:val="none"/>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33CEC">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BF4EB">
            <w:pPr>
              <w:jc w:val="center"/>
              <w:rPr>
                <w:rFonts w:hint="eastAsia" w:ascii="宋体" w:hAnsi="宋体" w:eastAsia="宋体" w:cs="宋体"/>
                <w:b/>
                <w:bCs/>
                <w:i w:val="0"/>
                <w:iCs w:val="0"/>
                <w:color w:val="auto"/>
                <w:sz w:val="21"/>
                <w:szCs w:val="21"/>
                <w:highlight w:val="none"/>
                <w:u w:val="none"/>
              </w:rPr>
            </w:pPr>
          </w:p>
        </w:tc>
      </w:tr>
      <w:tr w14:paraId="1220E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DF1F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cs="宋体"/>
                <w:i w:val="0"/>
                <w:iCs w:val="0"/>
                <w:color w:val="auto"/>
                <w:kern w:val="0"/>
                <w:sz w:val="21"/>
                <w:szCs w:val="21"/>
                <w:highlight w:val="none"/>
                <w:u w:val="none"/>
                <w:lang w:val="en-US" w:eastAsia="zh-CN" w:bidi="ar"/>
              </w:rPr>
              <w:t>3</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3F2E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管理费</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（1-1</w:t>
            </w:r>
            <w:r>
              <w:rPr>
                <w:rFonts w:hint="eastAsia" w:ascii="宋体" w:hAnsi="宋体" w:cs="宋体"/>
                <w:i w:val="0"/>
                <w:iCs w:val="0"/>
                <w:color w:val="auto"/>
                <w:kern w:val="0"/>
                <w:sz w:val="21"/>
                <w:szCs w:val="21"/>
                <w:highlight w:val="none"/>
                <w:u w:val="none"/>
                <w:lang w:val="en-US" w:eastAsia="zh-CN" w:bidi="ar"/>
              </w:rPr>
              <w:t>7项</w:t>
            </w:r>
            <w:r>
              <w:rPr>
                <w:rFonts w:hint="eastAsia" w:ascii="宋体" w:hAnsi="宋体" w:eastAsia="宋体" w:cs="宋体"/>
                <w:i w:val="0"/>
                <w:iCs w:val="0"/>
                <w:color w:val="auto"/>
                <w:kern w:val="0"/>
                <w:sz w:val="21"/>
                <w:szCs w:val="21"/>
                <w:highlight w:val="none"/>
                <w:u w:val="none"/>
                <w:lang w:val="en-US" w:eastAsia="zh-CN" w:bidi="ar"/>
              </w:rPr>
              <w:t>合计的百分比）</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75A8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single"/>
                <w:lang w:val="en-US" w:eastAsia="zh-CN" w:bidi="ar"/>
              </w:rPr>
              <w:t xml:space="preserve">请在单价栏自报费率  </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60F90">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%（费率）</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F591F">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55EA1">
            <w:pPr>
              <w:jc w:val="center"/>
              <w:rPr>
                <w:rFonts w:hint="default" w:ascii="宋体" w:hAnsi="宋体" w:eastAsia="宋体" w:cs="宋体"/>
                <w:b/>
                <w:bCs/>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总价=第1-15项合计总价*费率</w:t>
            </w:r>
          </w:p>
        </w:tc>
      </w:tr>
      <w:tr w14:paraId="7148B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DE8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cs="宋体"/>
                <w:i w:val="0"/>
                <w:iCs w:val="0"/>
                <w:color w:val="auto"/>
                <w:kern w:val="0"/>
                <w:sz w:val="21"/>
                <w:szCs w:val="21"/>
                <w:highlight w:val="none"/>
                <w:u w:val="none"/>
                <w:lang w:val="en-US" w:eastAsia="zh-CN" w:bidi="ar"/>
              </w:rPr>
              <w:t>4</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337C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362"/>
                <w:rFonts w:hint="eastAsia" w:ascii="宋体" w:hAnsi="宋体" w:eastAsia="宋体" w:cs="宋体"/>
                <w:color w:val="auto"/>
                <w:sz w:val="21"/>
                <w:szCs w:val="21"/>
                <w:highlight w:val="none"/>
                <w:lang w:val="en-US" w:eastAsia="zh-CN" w:bidi="ar"/>
              </w:rPr>
              <w:t>投标人自行考虑的其他费用</w:t>
            </w:r>
            <w:r>
              <w:rPr>
                <w:rStyle w:val="362"/>
                <w:rFonts w:hint="eastAsia" w:ascii="宋体" w:hAnsi="宋体" w:eastAsia="宋体" w:cs="宋体"/>
                <w:color w:val="auto"/>
                <w:sz w:val="21"/>
                <w:szCs w:val="21"/>
                <w:highlight w:val="none"/>
                <w:lang w:val="en-US" w:eastAsia="zh-CN" w:bidi="ar"/>
              </w:rPr>
              <w:br w:type="textWrapping"/>
            </w:r>
            <w:r>
              <w:rPr>
                <w:rStyle w:val="363"/>
                <w:rFonts w:hint="eastAsia" w:ascii="宋体" w:hAnsi="宋体" w:eastAsia="宋体" w:cs="宋体"/>
                <w:color w:val="auto"/>
                <w:sz w:val="21"/>
                <w:szCs w:val="21"/>
                <w:highlight w:val="none"/>
                <w:lang w:val="en-US" w:eastAsia="zh-CN" w:bidi="ar"/>
              </w:rPr>
              <w:t>（包含但不限通讯费、体检费、培训费、政策要求的其他费用以及完成招标文件规定的服务工作所涉及到的一切其他相关费用）</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E1C37">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11</w:t>
            </w:r>
            <w:r>
              <w:rPr>
                <w:rFonts w:hint="eastAsia" w:ascii="宋体" w:hAnsi="宋体" w:cs="宋体"/>
                <w:i w:val="0"/>
                <w:iCs w:val="0"/>
                <w:color w:val="auto"/>
                <w:kern w:val="0"/>
                <w:sz w:val="21"/>
                <w:szCs w:val="21"/>
                <w:highlight w:val="none"/>
                <w:u w:val="none"/>
                <w:lang w:val="en-US" w:eastAsia="zh-CN" w:bidi="ar"/>
              </w:rPr>
              <w:t>1人</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D3C3F">
            <w:pPr>
              <w:jc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single"/>
                <w:lang w:val="en-US" w:eastAsia="zh-CN" w:bidi="ar"/>
              </w:rPr>
              <w:t xml:space="preserve">  </w:t>
            </w:r>
            <w:r>
              <w:rPr>
                <w:rFonts w:hint="eastAsia" w:ascii="宋体" w:hAnsi="宋体" w:eastAsia="宋体" w:cs="宋体"/>
                <w:i w:val="0"/>
                <w:iCs w:val="0"/>
                <w:color w:val="auto"/>
                <w:kern w:val="0"/>
                <w:sz w:val="21"/>
                <w:szCs w:val="21"/>
                <w:highlight w:val="none"/>
                <w:u w:val="none"/>
                <w:lang w:val="en-US" w:eastAsia="zh-CN" w:bidi="ar"/>
              </w:rPr>
              <w:t>元/人/月</w:t>
            </w: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E763D">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41A7D">
            <w:pPr>
              <w:jc w:val="center"/>
              <w:rPr>
                <w:rFonts w:hint="eastAsia" w:ascii="宋体" w:hAnsi="宋体" w:eastAsia="宋体" w:cs="宋体"/>
                <w:b/>
                <w:bCs/>
                <w:i w:val="0"/>
                <w:iCs w:val="0"/>
                <w:color w:val="auto"/>
                <w:sz w:val="21"/>
                <w:szCs w:val="21"/>
                <w:highlight w:val="none"/>
                <w:u w:val="none"/>
              </w:rPr>
            </w:pPr>
          </w:p>
        </w:tc>
      </w:tr>
      <w:tr w14:paraId="0C2A1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jc w:val="center"/>
        </w:trPr>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2FE99">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25</w:t>
            </w:r>
          </w:p>
        </w:tc>
        <w:tc>
          <w:tcPr>
            <w:tcW w:w="295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95EBF">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税</w:t>
            </w:r>
            <w:r>
              <w:rPr>
                <w:rFonts w:hint="eastAsia" w:ascii="宋体" w:hAnsi="宋体" w:cs="宋体"/>
                <w:i w:val="0"/>
                <w:iCs w:val="0"/>
                <w:color w:val="auto"/>
                <w:kern w:val="0"/>
                <w:sz w:val="21"/>
                <w:szCs w:val="21"/>
                <w:highlight w:val="none"/>
                <w:u w:val="none"/>
                <w:lang w:val="en-US" w:eastAsia="zh-CN" w:bidi="ar"/>
              </w:rPr>
              <w:t>费</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CD5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kern w:val="0"/>
                <w:sz w:val="21"/>
                <w:szCs w:val="21"/>
                <w:highlight w:val="none"/>
                <w:u w:val="single"/>
                <w:lang w:val="en-US" w:eastAsia="zh-CN" w:bidi="ar"/>
              </w:rPr>
              <w:t xml:space="preserve">    %</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FF178">
            <w:pPr>
              <w:jc w:val="center"/>
              <w:rPr>
                <w:rFonts w:hint="eastAsia" w:ascii="宋体" w:hAnsi="宋体" w:eastAsia="宋体" w:cs="宋体"/>
                <w:i w:val="0"/>
                <w:iCs w:val="0"/>
                <w:color w:val="auto"/>
                <w:sz w:val="21"/>
                <w:szCs w:val="21"/>
                <w:highlight w:val="none"/>
                <w:u w:val="none"/>
              </w:rPr>
            </w:pPr>
          </w:p>
        </w:tc>
        <w:tc>
          <w:tcPr>
            <w:tcW w:w="9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F3F62">
            <w:pPr>
              <w:jc w:val="center"/>
              <w:rPr>
                <w:rFonts w:hint="eastAsia" w:ascii="宋体" w:hAnsi="宋体" w:eastAsia="宋体" w:cs="宋体"/>
                <w:b/>
                <w:bCs/>
                <w:i w:val="0"/>
                <w:iCs w:val="0"/>
                <w:color w:val="auto"/>
                <w:sz w:val="21"/>
                <w:szCs w:val="21"/>
                <w:highlight w:val="none"/>
                <w:u w:val="none"/>
              </w:rPr>
            </w:pPr>
          </w:p>
        </w:tc>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5D567">
            <w:pPr>
              <w:jc w:val="center"/>
              <w:rPr>
                <w:rFonts w:hint="eastAsia" w:ascii="宋体" w:hAnsi="宋体" w:eastAsia="宋体" w:cs="宋体"/>
                <w:b/>
                <w:bCs/>
                <w:i w:val="0"/>
                <w:iCs w:val="0"/>
                <w:color w:val="auto"/>
                <w:sz w:val="21"/>
                <w:szCs w:val="21"/>
                <w:highlight w:val="none"/>
                <w:u w:val="none"/>
              </w:rPr>
            </w:pPr>
          </w:p>
        </w:tc>
      </w:tr>
      <w:tr w14:paraId="4C3A1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4474"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03E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一年总价（元）</w:t>
            </w:r>
          </w:p>
        </w:tc>
        <w:tc>
          <w:tcPr>
            <w:tcW w:w="403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3C47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r w14:paraId="08F1B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4474"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6727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三年总价（元）</w:t>
            </w:r>
          </w:p>
        </w:tc>
        <w:tc>
          <w:tcPr>
            <w:tcW w:w="403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EFF9E">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p>
        </w:tc>
      </w:tr>
    </w:tbl>
    <w:p w14:paraId="7E8C2BFD">
      <w:pPr>
        <w:spacing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34C79EB0">
      <w:pPr>
        <w:widowControl/>
        <w:numPr>
          <w:ilvl w:val="0"/>
          <w:numId w:val="11"/>
        </w:numPr>
        <w:spacing w:line="360" w:lineRule="auto"/>
        <w:ind w:firstLine="422"/>
        <w:jc w:val="left"/>
        <w:rPr>
          <w:rFonts w:hint="eastAsia" w:ascii="宋体" w:hAnsi="宋体" w:eastAsia="宋体" w:cs="宋体"/>
          <w:b/>
          <w:bCs/>
          <w:i/>
          <w:color w:val="auto"/>
          <w:sz w:val="24"/>
          <w:szCs w:val="24"/>
          <w:highlight w:val="none"/>
          <w:u w:val="single"/>
        </w:rPr>
      </w:pPr>
      <w:r>
        <w:rPr>
          <w:rFonts w:hint="eastAsia" w:ascii="宋体" w:hAnsi="宋体" w:eastAsia="宋体" w:cs="宋体"/>
          <w:b/>
          <w:bCs/>
          <w:i/>
          <w:color w:val="auto"/>
          <w:sz w:val="24"/>
          <w:szCs w:val="24"/>
          <w:highlight w:val="none"/>
          <w:u w:val="single"/>
        </w:rPr>
        <w:t>分项报价表中（除其他费用可自行添加外）列明的项目不可修改。</w:t>
      </w:r>
    </w:p>
    <w:p w14:paraId="23EAF7C8">
      <w:pPr>
        <w:widowControl/>
        <w:numPr>
          <w:ilvl w:val="0"/>
          <w:numId w:val="11"/>
        </w:numPr>
        <w:spacing w:line="360" w:lineRule="auto"/>
        <w:ind w:firstLine="422"/>
        <w:jc w:val="left"/>
        <w:rPr>
          <w:rFonts w:hint="eastAsia" w:ascii="宋体" w:hAnsi="宋体" w:eastAsia="宋体" w:cs="宋体"/>
          <w:i/>
          <w:color w:val="auto"/>
          <w:sz w:val="24"/>
          <w:szCs w:val="24"/>
          <w:highlight w:val="none"/>
        </w:rPr>
      </w:pPr>
      <w:r>
        <w:rPr>
          <w:rFonts w:hint="eastAsia" w:ascii="宋体" w:hAnsi="宋体" w:eastAsia="宋体" w:cs="宋体"/>
          <w:b/>
          <w:bCs/>
          <w:i/>
          <w:color w:val="auto"/>
          <w:sz w:val="24"/>
          <w:szCs w:val="24"/>
          <w:highlight w:val="none"/>
          <w:u w:val="single"/>
        </w:rPr>
        <w:t>分项报价表中已注明的“数量”这一列的具体数字只可适当增加但不可减少。</w:t>
      </w:r>
    </w:p>
    <w:p w14:paraId="6AC42BA0">
      <w:pPr>
        <w:widowControl/>
        <w:numPr>
          <w:ilvl w:val="0"/>
          <w:numId w:val="11"/>
        </w:numPr>
        <w:spacing w:line="360" w:lineRule="auto"/>
        <w:ind w:firstLine="422"/>
        <w:jc w:val="left"/>
        <w:rPr>
          <w:rFonts w:hint="eastAsia" w:ascii="宋体" w:hAnsi="宋体" w:eastAsia="宋体" w:cs="宋体"/>
          <w:b/>
          <w:bCs/>
          <w:i/>
          <w:color w:val="auto"/>
          <w:sz w:val="24"/>
          <w:szCs w:val="24"/>
          <w:highlight w:val="none"/>
          <w:u w:val="single"/>
        </w:rPr>
      </w:pPr>
      <w:r>
        <w:rPr>
          <w:rFonts w:hint="eastAsia" w:ascii="宋体" w:hAnsi="宋体" w:eastAsia="宋体" w:cs="宋体"/>
          <w:b/>
          <w:bCs/>
          <w:i/>
          <w:color w:val="auto"/>
          <w:sz w:val="24"/>
          <w:szCs w:val="24"/>
          <w:highlight w:val="none"/>
          <w:u w:val="single"/>
        </w:rPr>
        <w:t>分项报价表严禁总价让利。</w:t>
      </w:r>
    </w:p>
    <w:p w14:paraId="3EDD2D83">
      <w:pPr>
        <w:widowControl/>
        <w:numPr>
          <w:ilvl w:val="0"/>
          <w:numId w:val="11"/>
        </w:numPr>
        <w:spacing w:line="360" w:lineRule="auto"/>
        <w:ind w:firstLine="422"/>
        <w:jc w:val="left"/>
        <w:rPr>
          <w:rFonts w:hint="eastAsia" w:ascii="宋体" w:hAnsi="宋体" w:eastAsia="宋体" w:cs="宋体"/>
          <w:b/>
          <w:bCs/>
          <w:i/>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费用</w:t>
      </w:r>
      <w:r>
        <w:rPr>
          <w:rFonts w:hint="eastAsia" w:ascii="宋体" w:hAnsi="宋体" w:eastAsia="宋体" w:cs="宋体"/>
          <w:b/>
          <w:bCs/>
          <w:i/>
          <w:color w:val="auto"/>
          <w:sz w:val="24"/>
          <w:szCs w:val="24"/>
          <w:highlight w:val="none"/>
          <w:u w:val="single"/>
        </w:rPr>
        <w:t>报价合理合规</w:t>
      </w:r>
      <w:r>
        <w:rPr>
          <w:rFonts w:hint="eastAsia" w:ascii="宋体" w:hAnsi="宋体" w:eastAsia="宋体" w:cs="宋体"/>
          <w:b/>
          <w:bCs/>
          <w:i/>
          <w:color w:val="auto"/>
          <w:sz w:val="24"/>
          <w:szCs w:val="24"/>
          <w:highlight w:val="none"/>
          <w:u w:val="single"/>
          <w:lang w:eastAsia="zh-CN"/>
        </w:rPr>
        <w:t>，</w:t>
      </w:r>
      <w:r>
        <w:rPr>
          <w:rFonts w:hint="eastAsia" w:ascii="宋体" w:hAnsi="宋体" w:eastAsia="宋体" w:cs="宋体"/>
          <w:b/>
          <w:bCs/>
          <w:i/>
          <w:color w:val="auto"/>
          <w:sz w:val="24"/>
          <w:szCs w:val="24"/>
          <w:highlight w:val="none"/>
          <w:u w:val="single"/>
        </w:rPr>
        <w:t>分项报价表中所列明的项目不接受赠送</w:t>
      </w:r>
      <w:r>
        <w:rPr>
          <w:rFonts w:hint="eastAsia" w:ascii="宋体" w:hAnsi="宋体" w:eastAsia="宋体" w:cs="宋体"/>
          <w:b/>
          <w:bCs/>
          <w:i/>
          <w:color w:val="auto"/>
          <w:sz w:val="24"/>
          <w:szCs w:val="24"/>
          <w:highlight w:val="none"/>
          <w:u w:val="single"/>
          <w:lang w:val="en-US" w:eastAsia="zh-CN"/>
        </w:rPr>
        <w:t>情形</w:t>
      </w:r>
      <w:r>
        <w:rPr>
          <w:rFonts w:hint="eastAsia" w:ascii="宋体" w:hAnsi="宋体" w:eastAsia="宋体" w:cs="宋体"/>
          <w:b/>
          <w:bCs/>
          <w:i/>
          <w:color w:val="auto"/>
          <w:sz w:val="24"/>
          <w:szCs w:val="24"/>
          <w:highlight w:val="none"/>
          <w:u w:val="single"/>
        </w:rPr>
        <w:t>。</w:t>
      </w:r>
    </w:p>
    <w:p w14:paraId="71600DEC">
      <w:pPr>
        <w:spacing w:line="460" w:lineRule="exact"/>
        <w:ind w:firstLine="482"/>
        <w:jc w:val="left"/>
        <w:rPr>
          <w:rFonts w:hint="eastAsia" w:ascii="宋体" w:hAnsi="宋体"/>
          <w:b/>
          <w:bCs/>
          <w:i/>
          <w:iCs/>
          <w:color w:val="auto"/>
          <w:sz w:val="24"/>
          <w:szCs w:val="24"/>
          <w:highlight w:val="none"/>
          <w:u w:val="single"/>
        </w:rPr>
      </w:pPr>
      <w:r>
        <w:rPr>
          <w:rFonts w:hint="eastAsia" w:ascii="宋体" w:hAnsi="宋体" w:cs="宋体"/>
          <w:b/>
          <w:bCs/>
          <w:i/>
          <w:iCs w:val="0"/>
          <w:color w:val="auto"/>
          <w:sz w:val="24"/>
          <w:szCs w:val="24"/>
          <w:highlight w:val="none"/>
          <w:u w:val="single"/>
          <w:lang w:val="en-US" w:eastAsia="zh-CN"/>
        </w:rPr>
        <w:t>5、</w:t>
      </w:r>
      <w:r>
        <w:rPr>
          <w:rFonts w:hint="eastAsia" w:ascii="宋体" w:hAnsi="宋体" w:eastAsia="宋体" w:cs="宋体"/>
          <w:b/>
          <w:bCs/>
          <w:i/>
          <w:iCs/>
          <w:color w:val="auto"/>
          <w:sz w:val="24"/>
          <w:szCs w:val="24"/>
          <w:highlight w:val="none"/>
          <w:u w:val="single"/>
        </w:rPr>
        <w:t>采购人要求依法缴纳社保、医保、住房公积金，如投标人享受税收、社保、医保、住房公积金优惠政策或符合相关政策法规，请提供相应证明材料，并承诺材料真实有效，以便采购人、监管部门履约期间核查。若发现投标人在多个项目重复享受优惠政策的，将自行承担相应责任</w:t>
      </w:r>
      <w:r>
        <w:rPr>
          <w:rFonts w:hint="eastAsia" w:ascii="宋体" w:hAnsi="宋体"/>
          <w:b/>
          <w:bCs/>
          <w:i/>
          <w:iCs/>
          <w:color w:val="auto"/>
          <w:sz w:val="24"/>
          <w:szCs w:val="24"/>
          <w:highlight w:val="none"/>
          <w:u w:val="single"/>
        </w:rPr>
        <w:t>。</w:t>
      </w:r>
    </w:p>
    <w:p w14:paraId="0DED0E55">
      <w:pPr>
        <w:spacing w:line="460" w:lineRule="exact"/>
        <w:ind w:firstLine="482"/>
        <w:jc w:val="left"/>
        <w:rPr>
          <w:rFonts w:hint="eastAsia" w:ascii="宋体" w:hAnsi="宋体" w:cs="Arial"/>
          <w:b/>
          <w:bCs/>
          <w:color w:val="auto"/>
          <w:sz w:val="32"/>
          <w:szCs w:val="44"/>
          <w:highlight w:val="none"/>
        </w:rPr>
      </w:pPr>
      <w:r>
        <w:rPr>
          <w:rFonts w:hint="eastAsia" w:ascii="宋体" w:hAnsi="宋体" w:cs="宋体"/>
          <w:b/>
          <w:bCs/>
          <w:i/>
          <w:color w:val="auto"/>
          <w:sz w:val="24"/>
          <w:szCs w:val="24"/>
          <w:highlight w:val="none"/>
          <w:u w:val="single"/>
          <w:lang w:val="en-US" w:eastAsia="zh-CN"/>
        </w:rPr>
        <w:t>6、</w:t>
      </w:r>
      <w:r>
        <w:rPr>
          <w:rFonts w:hint="eastAsia" w:ascii="宋体" w:hAnsi="宋体" w:eastAsia="宋体" w:cs="宋体"/>
          <w:b/>
          <w:bCs/>
          <w:i/>
          <w:color w:val="auto"/>
          <w:sz w:val="24"/>
          <w:szCs w:val="24"/>
          <w:highlight w:val="none"/>
          <w:u w:val="single"/>
        </w:rPr>
        <w:t>分项报价表中“三年总价”即为“一年总价”*3。</w:t>
      </w:r>
      <w:r>
        <w:rPr>
          <w:rFonts w:hint="eastAsia" w:ascii="宋体" w:hAnsi="宋体" w:cs="Arial"/>
          <w:b/>
          <w:bCs/>
          <w:color w:val="auto"/>
          <w:sz w:val="32"/>
          <w:szCs w:val="44"/>
          <w:highlight w:val="none"/>
        </w:rPr>
        <w:br w:type="page"/>
      </w:r>
    </w:p>
    <w:p w14:paraId="504283FB">
      <w:pPr>
        <w:pStyle w:val="242"/>
        <w:spacing w:line="360" w:lineRule="auto"/>
        <w:outlineLvl w:val="1"/>
        <w:rPr>
          <w:rFonts w:hint="eastAsia" w:ascii="宋体" w:hAnsi="宋体" w:eastAsia="宋体"/>
          <w:color w:val="auto"/>
          <w:sz w:val="32"/>
          <w:szCs w:val="32"/>
          <w:highlight w:val="none"/>
        </w:rPr>
      </w:pPr>
      <w:bookmarkStart w:id="88" w:name="_Toc6082"/>
      <w:r>
        <w:rPr>
          <w:rFonts w:hint="eastAsia" w:ascii="宋体" w:hAnsi="宋体" w:eastAsia="宋体"/>
          <w:color w:val="auto"/>
          <w:sz w:val="32"/>
          <w:highlight w:val="none"/>
        </w:rPr>
        <w:t>六、技术参数响应及偏离表</w:t>
      </w:r>
      <w:bookmarkEnd w:id="88"/>
    </w:p>
    <w:tbl>
      <w:tblPr>
        <w:tblStyle w:val="38"/>
        <w:tblW w:w="8591"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614"/>
      </w:tblGrid>
      <w:tr w14:paraId="4220C42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3BD89C9B">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项目</w:t>
            </w: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6EE72F5C">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lang w:val="en-US" w:eastAsia="zh-CN"/>
              </w:rPr>
              <w:t>招标</w:t>
            </w:r>
            <w:r>
              <w:rPr>
                <w:rFonts w:hint="eastAsia" w:ascii="仿宋_GB2312" w:hAnsi="宋体"/>
                <w:color w:val="auto"/>
                <w:szCs w:val="21"/>
                <w:highlight w:val="none"/>
              </w:rPr>
              <w:t>文件要求</w:t>
            </w: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73FF0FE6">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投标人的承诺或说明</w:t>
            </w: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54690FD9">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是否响应</w:t>
            </w:r>
          </w:p>
        </w:tc>
      </w:tr>
      <w:tr w14:paraId="10B0C84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31D48674">
            <w:pPr>
              <w:spacing w:before="156" w:line="360" w:lineRule="auto"/>
              <w:jc w:val="center"/>
              <w:rPr>
                <w:rFonts w:ascii="仿宋_GB2312" w:hAnsi="宋体" w:eastAsia="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61A0200A">
            <w:pPr>
              <w:spacing w:before="156" w:line="360" w:lineRule="auto"/>
              <w:jc w:val="center"/>
              <w:rPr>
                <w:rFonts w:ascii="仿宋_GB2312" w:hAnsi="宋体" w:eastAsia="仿宋_GB2312"/>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1D7BA6CB">
            <w:pPr>
              <w:spacing w:before="156" w:line="360" w:lineRule="auto"/>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11D0878">
            <w:pPr>
              <w:spacing w:before="156" w:line="360" w:lineRule="auto"/>
              <w:jc w:val="center"/>
              <w:rPr>
                <w:rFonts w:ascii="仿宋_GB2312" w:hAnsi="宋体" w:eastAsia="仿宋_GB2312"/>
                <w:color w:val="auto"/>
                <w:szCs w:val="21"/>
                <w:highlight w:val="none"/>
              </w:rPr>
            </w:pPr>
          </w:p>
        </w:tc>
      </w:tr>
      <w:tr w14:paraId="12CD366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18069B53">
            <w:pPr>
              <w:spacing w:before="156" w:line="360" w:lineRule="auto"/>
              <w:jc w:val="center"/>
              <w:rPr>
                <w:rFonts w:ascii="仿宋_GB2312" w:hAnsi="宋体" w:eastAsia="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449CCE16">
            <w:pPr>
              <w:spacing w:before="156" w:line="360" w:lineRule="auto"/>
              <w:jc w:val="center"/>
              <w:rPr>
                <w:rFonts w:ascii="仿宋_GB2312" w:hAnsi="宋体" w:eastAsia="仿宋_GB2312"/>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59EA8CAB">
            <w:pPr>
              <w:spacing w:before="156" w:line="360" w:lineRule="auto"/>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7521082E">
            <w:pPr>
              <w:spacing w:before="156" w:line="360" w:lineRule="auto"/>
              <w:jc w:val="center"/>
              <w:rPr>
                <w:rFonts w:ascii="仿宋_GB2312" w:hAnsi="宋体" w:eastAsia="仿宋_GB2312"/>
                <w:color w:val="auto"/>
                <w:szCs w:val="21"/>
                <w:highlight w:val="none"/>
              </w:rPr>
            </w:pPr>
          </w:p>
        </w:tc>
      </w:tr>
      <w:tr w14:paraId="3C85740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1C83C790">
            <w:pPr>
              <w:spacing w:before="156" w:line="360" w:lineRule="auto"/>
              <w:jc w:val="center"/>
              <w:rPr>
                <w:rFonts w:ascii="仿宋_GB2312" w:hAnsi="宋体" w:eastAsia="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641AAAE4">
            <w:pPr>
              <w:spacing w:before="156" w:line="360" w:lineRule="auto"/>
              <w:jc w:val="center"/>
              <w:rPr>
                <w:rFonts w:ascii="仿宋_GB2312" w:hAnsi="宋体" w:eastAsia="仿宋_GB2312"/>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447DD206">
            <w:pPr>
              <w:spacing w:before="156" w:line="360" w:lineRule="auto"/>
              <w:ind w:left="43"/>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CAC33A3">
            <w:pPr>
              <w:spacing w:before="156" w:line="360" w:lineRule="auto"/>
              <w:ind w:left="43"/>
              <w:jc w:val="center"/>
              <w:rPr>
                <w:rFonts w:ascii="仿宋_GB2312" w:hAnsi="宋体" w:eastAsia="仿宋_GB2312"/>
                <w:color w:val="auto"/>
                <w:szCs w:val="21"/>
                <w:highlight w:val="none"/>
              </w:rPr>
            </w:pPr>
          </w:p>
        </w:tc>
      </w:tr>
      <w:tr w14:paraId="6B3BF4E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6EC5F540">
            <w:pPr>
              <w:spacing w:before="156" w:line="360" w:lineRule="auto"/>
              <w:jc w:val="center"/>
              <w:rPr>
                <w:rFonts w:ascii="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70951E1E">
            <w:pPr>
              <w:spacing w:before="156" w:line="360" w:lineRule="auto"/>
              <w:rPr>
                <w:rFonts w:ascii="仿宋_GB2312" w:hAnsi="宋体"/>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339669CA">
            <w:pPr>
              <w:spacing w:before="156" w:line="360" w:lineRule="auto"/>
              <w:ind w:left="43"/>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122A6A9F">
            <w:pPr>
              <w:spacing w:before="156" w:line="360" w:lineRule="auto"/>
              <w:ind w:left="43"/>
              <w:jc w:val="center"/>
              <w:rPr>
                <w:rFonts w:ascii="仿宋_GB2312" w:hAnsi="宋体" w:eastAsia="仿宋_GB2312"/>
                <w:color w:val="auto"/>
                <w:szCs w:val="21"/>
                <w:highlight w:val="none"/>
              </w:rPr>
            </w:pPr>
          </w:p>
        </w:tc>
      </w:tr>
      <w:tr w14:paraId="636BCE2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0F22D508">
            <w:pPr>
              <w:spacing w:before="156" w:line="360" w:lineRule="auto"/>
              <w:jc w:val="center"/>
              <w:rPr>
                <w:rFonts w:ascii="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2C752C33">
            <w:pPr>
              <w:spacing w:before="156" w:line="360" w:lineRule="auto"/>
              <w:rPr>
                <w:rFonts w:ascii="仿宋_GB2312" w:hAnsi="宋体"/>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7EEF0ABD">
            <w:pPr>
              <w:spacing w:before="156" w:line="360" w:lineRule="auto"/>
              <w:ind w:left="43"/>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10220E68">
            <w:pPr>
              <w:spacing w:before="156" w:line="360" w:lineRule="auto"/>
              <w:ind w:left="43"/>
              <w:jc w:val="center"/>
              <w:rPr>
                <w:rFonts w:ascii="仿宋_GB2312" w:hAnsi="宋体" w:eastAsia="仿宋_GB2312"/>
                <w:color w:val="auto"/>
                <w:szCs w:val="21"/>
                <w:highlight w:val="none"/>
              </w:rPr>
            </w:pPr>
          </w:p>
        </w:tc>
      </w:tr>
      <w:tr w14:paraId="23F31AB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3F8346E2">
            <w:pPr>
              <w:spacing w:before="156" w:line="360" w:lineRule="auto"/>
              <w:jc w:val="center"/>
              <w:rPr>
                <w:rFonts w:ascii="仿宋_GB2312" w:hAnsi="宋体" w:eastAsia="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456809A1">
            <w:pPr>
              <w:spacing w:before="156" w:line="360" w:lineRule="auto"/>
              <w:rPr>
                <w:rFonts w:ascii="仿宋_GB2312" w:hAnsi="宋体" w:eastAsia="仿宋_GB2312"/>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399FA62A">
            <w:pPr>
              <w:spacing w:before="156" w:line="360" w:lineRule="auto"/>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79CF7BF3">
            <w:pPr>
              <w:spacing w:before="156" w:line="360" w:lineRule="auto"/>
              <w:jc w:val="center"/>
              <w:rPr>
                <w:rFonts w:ascii="仿宋_GB2312" w:hAnsi="宋体" w:eastAsia="仿宋_GB2312"/>
                <w:color w:val="auto"/>
                <w:szCs w:val="21"/>
                <w:highlight w:val="none"/>
              </w:rPr>
            </w:pPr>
          </w:p>
        </w:tc>
      </w:tr>
    </w:tbl>
    <w:p w14:paraId="472C74C8">
      <w:pPr>
        <w:pStyle w:val="35"/>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b/>
          <w:bCs/>
          <w:color w:val="auto"/>
          <w:highlight w:val="none"/>
        </w:rPr>
      </w:pPr>
    </w:p>
    <w:p w14:paraId="5C83ABAA">
      <w:pPr>
        <w:spacing w:line="360" w:lineRule="auto"/>
        <w:ind w:firstLine="480"/>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注：</w:t>
      </w:r>
    </w:p>
    <w:p w14:paraId="508B41DC">
      <w:pPr>
        <w:spacing w:line="360" w:lineRule="auto"/>
        <w:ind w:firstLine="480"/>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1. 供应商须根据招标文件第四章要求填写此表，作为投标文件的组成部分。</w:t>
      </w:r>
    </w:p>
    <w:p w14:paraId="66D83FA2">
      <w:pPr>
        <w:spacing w:line="360" w:lineRule="auto"/>
        <w:ind w:firstLine="480"/>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2. 所有偏离必须在本表中列出，未在本偏离表中列出偏离，将视为供应商已完全接受招标文件要求。如完全无偏离，也无其他说明，可在本表第一行填写“全部无偏离”。</w:t>
      </w:r>
    </w:p>
    <w:p w14:paraId="7FA5AFE4">
      <w:pPr>
        <w:spacing w:line="360" w:lineRule="auto"/>
        <w:ind w:firstLine="480"/>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3. 偏离包括正、负偏离，正偏离指供应商的响应高于招标文件要求，负偏离指供应商的响应低于招标文件要求。</w:t>
      </w:r>
    </w:p>
    <w:p w14:paraId="52090DED">
      <w:pPr>
        <w:spacing w:line="360" w:lineRule="auto"/>
        <w:ind w:firstLine="480"/>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4. 如供应商将此表空白，视为供应商无任何偏离。</w:t>
      </w:r>
    </w:p>
    <w:p w14:paraId="28DAE96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b/>
          <w:bCs/>
          <w:i w:val="0"/>
          <w:iCs w:val="0"/>
          <w:color w:val="auto"/>
          <w:sz w:val="21"/>
          <w:szCs w:val="21"/>
          <w:highlight w:val="none"/>
          <w:u w:val="none"/>
        </w:rPr>
      </w:pPr>
    </w:p>
    <w:p w14:paraId="1515781D">
      <w:pPr>
        <w:spacing w:line="360" w:lineRule="auto"/>
        <w:jc w:val="center"/>
        <w:rPr>
          <w:rFonts w:ascii="黑体" w:hAnsi="Arial" w:eastAsia="黑体"/>
          <w:b/>
          <w:color w:val="auto"/>
          <w:sz w:val="36"/>
          <w:highlight w:val="none"/>
        </w:rPr>
      </w:pPr>
    </w:p>
    <w:p w14:paraId="214C1411">
      <w:pPr>
        <w:spacing w:line="360" w:lineRule="auto"/>
        <w:jc w:val="center"/>
        <w:rPr>
          <w:rFonts w:ascii="黑体" w:hAnsi="Arial" w:eastAsia="黑体"/>
          <w:b/>
          <w:color w:val="auto"/>
          <w:sz w:val="36"/>
          <w:highlight w:val="none"/>
        </w:rPr>
      </w:pPr>
    </w:p>
    <w:p w14:paraId="0956651F">
      <w:pPr>
        <w:spacing w:line="360" w:lineRule="auto"/>
        <w:rPr>
          <w:rFonts w:ascii="黑体" w:hAnsi="Arial" w:eastAsia="黑体"/>
          <w:color w:val="auto"/>
          <w:sz w:val="32"/>
          <w:highlight w:val="none"/>
        </w:rPr>
      </w:pPr>
    </w:p>
    <w:p w14:paraId="19871DF8">
      <w:pPr>
        <w:rPr>
          <w:rFonts w:ascii="宋体" w:hAnsi="宋体" w:eastAsia="宋体"/>
          <w:color w:val="auto"/>
          <w:sz w:val="32"/>
          <w:szCs w:val="32"/>
          <w:highlight w:val="none"/>
        </w:rPr>
      </w:pPr>
      <w:r>
        <w:rPr>
          <w:rFonts w:hint="eastAsia" w:ascii="宋体" w:hAnsi="宋体" w:eastAsia="宋体"/>
          <w:color w:val="auto"/>
          <w:sz w:val="32"/>
          <w:highlight w:val="none"/>
        </w:rPr>
        <w:br w:type="page"/>
      </w:r>
    </w:p>
    <w:p w14:paraId="49C102EA">
      <w:pPr>
        <w:pStyle w:val="242"/>
        <w:spacing w:line="360" w:lineRule="auto"/>
        <w:rPr>
          <w:rFonts w:hint="eastAsia" w:ascii="宋体" w:hAnsi="宋体" w:eastAsia="宋体"/>
          <w:color w:val="auto"/>
          <w:sz w:val="32"/>
          <w:szCs w:val="32"/>
          <w:highlight w:val="none"/>
        </w:rPr>
      </w:pPr>
      <w:bookmarkStart w:id="89" w:name="_Toc10088"/>
      <w:r>
        <w:rPr>
          <w:rFonts w:hint="eastAsia" w:ascii="宋体" w:hAnsi="宋体" w:eastAsia="宋体"/>
          <w:color w:val="auto"/>
          <w:sz w:val="32"/>
          <w:highlight w:val="none"/>
        </w:rPr>
        <w:t>七、商务条款响应及偏离表</w:t>
      </w:r>
      <w:bookmarkEnd w:id="89"/>
    </w:p>
    <w:tbl>
      <w:tblPr>
        <w:tblStyle w:val="38"/>
        <w:tblW w:w="8591"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614"/>
      </w:tblGrid>
      <w:tr w14:paraId="6E9746A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692F1C3F">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项目</w:t>
            </w: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59EEE2D5">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lang w:val="en-US" w:eastAsia="zh-CN"/>
              </w:rPr>
              <w:t>招标</w:t>
            </w:r>
            <w:r>
              <w:rPr>
                <w:rFonts w:hint="eastAsia" w:ascii="仿宋_GB2312" w:hAnsi="宋体"/>
                <w:color w:val="auto"/>
                <w:szCs w:val="21"/>
                <w:highlight w:val="none"/>
              </w:rPr>
              <w:t>文件要求</w:t>
            </w: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0AA9EC4B">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投标人的承诺或说明</w:t>
            </w: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AEAEEC5">
            <w:pPr>
              <w:spacing w:before="156" w:line="360" w:lineRule="auto"/>
              <w:jc w:val="center"/>
              <w:rPr>
                <w:rFonts w:ascii="仿宋_GB2312" w:hAnsi="宋体" w:eastAsia="仿宋_GB2312"/>
                <w:color w:val="auto"/>
                <w:szCs w:val="21"/>
                <w:highlight w:val="none"/>
              </w:rPr>
            </w:pPr>
            <w:r>
              <w:rPr>
                <w:rFonts w:hint="eastAsia" w:ascii="仿宋_GB2312" w:hAnsi="宋体"/>
                <w:color w:val="auto"/>
                <w:szCs w:val="21"/>
                <w:highlight w:val="none"/>
              </w:rPr>
              <w:t>是否响应</w:t>
            </w:r>
          </w:p>
        </w:tc>
      </w:tr>
      <w:tr w14:paraId="4370FAC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12A57387">
            <w:pPr>
              <w:spacing w:before="156" w:line="360" w:lineRule="auto"/>
              <w:jc w:val="center"/>
              <w:rPr>
                <w:rFonts w:ascii="仿宋_GB2312" w:hAnsi="宋体" w:eastAsia="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0649D9FE">
            <w:pPr>
              <w:spacing w:before="156" w:line="360" w:lineRule="auto"/>
              <w:jc w:val="center"/>
              <w:rPr>
                <w:rFonts w:ascii="仿宋_GB2312" w:hAnsi="宋体" w:eastAsia="仿宋_GB2312"/>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673ED3E9">
            <w:pPr>
              <w:spacing w:before="156" w:line="360" w:lineRule="auto"/>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1083652">
            <w:pPr>
              <w:spacing w:before="156" w:line="360" w:lineRule="auto"/>
              <w:jc w:val="center"/>
              <w:rPr>
                <w:rFonts w:ascii="仿宋_GB2312" w:hAnsi="宋体" w:eastAsia="仿宋_GB2312"/>
                <w:color w:val="auto"/>
                <w:szCs w:val="21"/>
                <w:highlight w:val="none"/>
              </w:rPr>
            </w:pPr>
          </w:p>
        </w:tc>
      </w:tr>
      <w:tr w14:paraId="3CED49E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52176254">
            <w:pPr>
              <w:spacing w:before="156" w:line="360" w:lineRule="auto"/>
              <w:jc w:val="center"/>
              <w:rPr>
                <w:rFonts w:ascii="仿宋_GB2312" w:hAnsi="宋体" w:eastAsia="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6AC68B0E">
            <w:pPr>
              <w:spacing w:before="156" w:line="360" w:lineRule="auto"/>
              <w:jc w:val="center"/>
              <w:rPr>
                <w:rFonts w:ascii="仿宋_GB2312" w:hAnsi="宋体" w:eastAsia="仿宋_GB2312"/>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03A5EFFB">
            <w:pPr>
              <w:spacing w:before="156" w:line="360" w:lineRule="auto"/>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18A271BA">
            <w:pPr>
              <w:spacing w:before="156" w:line="360" w:lineRule="auto"/>
              <w:jc w:val="center"/>
              <w:rPr>
                <w:rFonts w:ascii="仿宋_GB2312" w:hAnsi="宋体" w:eastAsia="仿宋_GB2312"/>
                <w:color w:val="auto"/>
                <w:szCs w:val="21"/>
                <w:highlight w:val="none"/>
              </w:rPr>
            </w:pPr>
          </w:p>
        </w:tc>
      </w:tr>
      <w:tr w14:paraId="42716FA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62F0A394">
            <w:pPr>
              <w:spacing w:before="156" w:line="360" w:lineRule="auto"/>
              <w:jc w:val="center"/>
              <w:rPr>
                <w:rFonts w:ascii="仿宋_GB2312" w:hAnsi="宋体" w:eastAsia="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10438FAC">
            <w:pPr>
              <w:spacing w:before="156" w:line="360" w:lineRule="auto"/>
              <w:jc w:val="center"/>
              <w:rPr>
                <w:rFonts w:ascii="仿宋_GB2312" w:hAnsi="宋体" w:eastAsia="仿宋_GB2312"/>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6A3036F3">
            <w:pPr>
              <w:spacing w:before="156" w:line="360" w:lineRule="auto"/>
              <w:ind w:left="43"/>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5322A5CA">
            <w:pPr>
              <w:spacing w:before="156" w:line="360" w:lineRule="auto"/>
              <w:ind w:left="43"/>
              <w:jc w:val="center"/>
              <w:rPr>
                <w:rFonts w:ascii="仿宋_GB2312" w:hAnsi="宋体" w:eastAsia="仿宋_GB2312"/>
                <w:color w:val="auto"/>
                <w:szCs w:val="21"/>
                <w:highlight w:val="none"/>
              </w:rPr>
            </w:pPr>
          </w:p>
        </w:tc>
      </w:tr>
      <w:tr w14:paraId="0BECE75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09A73B58">
            <w:pPr>
              <w:spacing w:before="156" w:line="360" w:lineRule="auto"/>
              <w:jc w:val="center"/>
              <w:rPr>
                <w:rFonts w:ascii="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048F785A">
            <w:pPr>
              <w:spacing w:before="156" w:line="360" w:lineRule="auto"/>
              <w:rPr>
                <w:rFonts w:ascii="仿宋_GB2312" w:hAnsi="宋体"/>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42E50232">
            <w:pPr>
              <w:spacing w:before="156" w:line="360" w:lineRule="auto"/>
              <w:ind w:left="43"/>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49E590DB">
            <w:pPr>
              <w:spacing w:before="156" w:line="360" w:lineRule="auto"/>
              <w:ind w:left="43"/>
              <w:jc w:val="center"/>
              <w:rPr>
                <w:rFonts w:ascii="仿宋_GB2312" w:hAnsi="宋体" w:eastAsia="仿宋_GB2312"/>
                <w:color w:val="auto"/>
                <w:szCs w:val="21"/>
                <w:highlight w:val="none"/>
              </w:rPr>
            </w:pPr>
          </w:p>
        </w:tc>
      </w:tr>
      <w:tr w14:paraId="0AD4696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6F1EF0DD">
            <w:pPr>
              <w:spacing w:before="156" w:line="360" w:lineRule="auto"/>
              <w:jc w:val="center"/>
              <w:rPr>
                <w:rFonts w:ascii="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3AC50181">
            <w:pPr>
              <w:spacing w:before="156" w:line="360" w:lineRule="auto"/>
              <w:rPr>
                <w:rFonts w:ascii="仿宋_GB2312" w:hAnsi="宋体"/>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3D4D4FB2">
            <w:pPr>
              <w:spacing w:before="156" w:line="360" w:lineRule="auto"/>
              <w:ind w:left="43"/>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268CE4B1">
            <w:pPr>
              <w:spacing w:before="156" w:line="360" w:lineRule="auto"/>
              <w:ind w:left="43"/>
              <w:jc w:val="center"/>
              <w:rPr>
                <w:rFonts w:ascii="仿宋_GB2312" w:hAnsi="宋体" w:eastAsia="仿宋_GB2312"/>
                <w:color w:val="auto"/>
                <w:szCs w:val="21"/>
                <w:highlight w:val="none"/>
              </w:rPr>
            </w:pPr>
          </w:p>
        </w:tc>
      </w:tr>
      <w:tr w14:paraId="5D55992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2BFB62F3">
            <w:pPr>
              <w:spacing w:before="156" w:line="360" w:lineRule="auto"/>
              <w:jc w:val="center"/>
              <w:rPr>
                <w:rFonts w:ascii="仿宋_GB2312" w:hAnsi="宋体" w:eastAsia="仿宋_GB2312"/>
                <w:color w:val="auto"/>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326CC371">
            <w:pPr>
              <w:spacing w:before="156" w:line="360" w:lineRule="auto"/>
              <w:rPr>
                <w:rFonts w:ascii="仿宋_GB2312" w:hAnsi="宋体" w:eastAsia="仿宋_GB2312"/>
                <w:color w:val="auto"/>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3A1E9283">
            <w:pPr>
              <w:spacing w:before="156" w:line="360" w:lineRule="auto"/>
              <w:jc w:val="center"/>
              <w:rPr>
                <w:rFonts w:ascii="仿宋_GB2312" w:hAnsi="宋体" w:eastAsia="仿宋_GB2312"/>
                <w:color w:val="auto"/>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2E0E9DB">
            <w:pPr>
              <w:spacing w:before="156" w:line="360" w:lineRule="auto"/>
              <w:jc w:val="center"/>
              <w:rPr>
                <w:rFonts w:ascii="仿宋_GB2312" w:hAnsi="宋体" w:eastAsia="仿宋_GB2312"/>
                <w:color w:val="auto"/>
                <w:szCs w:val="21"/>
                <w:highlight w:val="none"/>
              </w:rPr>
            </w:pPr>
          </w:p>
        </w:tc>
      </w:tr>
    </w:tbl>
    <w:p w14:paraId="05406012">
      <w:pPr>
        <w:spacing w:line="360" w:lineRule="auto"/>
        <w:ind w:firstLine="480"/>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注：</w:t>
      </w:r>
    </w:p>
    <w:p w14:paraId="5637B81B">
      <w:pPr>
        <w:spacing w:line="360" w:lineRule="auto"/>
        <w:ind w:firstLine="480"/>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1. 供应商须根据招标文件第一章、第二章、第三章、第四章</w:t>
      </w:r>
      <w:r>
        <w:rPr>
          <w:rFonts w:hint="eastAsia" w:ascii="宋体" w:hAnsi="宋体"/>
          <w:b w:val="0"/>
          <w:bCs w:val="0"/>
          <w:i w:val="0"/>
          <w:iCs w:val="0"/>
          <w:color w:val="auto"/>
          <w:sz w:val="21"/>
          <w:szCs w:val="21"/>
          <w:highlight w:val="none"/>
          <w:u w:val="none"/>
          <w:lang w:val="en-US" w:eastAsia="zh-CN"/>
        </w:rPr>
        <w:t>商务</w:t>
      </w:r>
      <w:r>
        <w:rPr>
          <w:rFonts w:hint="eastAsia" w:ascii="宋体" w:hAnsi="宋体"/>
          <w:b w:val="0"/>
          <w:bCs w:val="0"/>
          <w:i w:val="0"/>
          <w:iCs w:val="0"/>
          <w:color w:val="auto"/>
          <w:sz w:val="21"/>
          <w:szCs w:val="21"/>
          <w:highlight w:val="none"/>
          <w:u w:val="none"/>
        </w:rPr>
        <w:t>要求填写此表，作为投标文件的组成部分。</w:t>
      </w:r>
    </w:p>
    <w:p w14:paraId="671E6DA4">
      <w:pPr>
        <w:spacing w:line="360" w:lineRule="auto"/>
        <w:ind w:firstLine="480"/>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2. 所有偏离必须在本表中列出，未在本偏离表中列出偏离，将视为供应商已完全接受招标文件要求。如完全无偏离，也无其他说明，可在本表第一行填写“全部无偏离”。</w:t>
      </w:r>
    </w:p>
    <w:p w14:paraId="19B943E2">
      <w:pPr>
        <w:spacing w:line="360" w:lineRule="auto"/>
        <w:ind w:firstLine="480"/>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3. 偏离包括正、负偏离，正偏离指供应商的响应高于招标文件要求，负偏离指供应商的响应低于招标文件要求。</w:t>
      </w:r>
    </w:p>
    <w:p w14:paraId="7AC3EF1D">
      <w:pPr>
        <w:spacing w:line="360" w:lineRule="auto"/>
        <w:ind w:firstLine="480"/>
        <w:rPr>
          <w:rFonts w:hint="eastAsia" w:ascii="宋体" w:hAnsi="宋体"/>
          <w:b w:val="0"/>
          <w:bCs w:val="0"/>
          <w:i w:val="0"/>
          <w:iCs w:val="0"/>
          <w:color w:val="auto"/>
          <w:sz w:val="21"/>
          <w:szCs w:val="21"/>
          <w:highlight w:val="none"/>
          <w:u w:val="none"/>
        </w:rPr>
      </w:pPr>
      <w:r>
        <w:rPr>
          <w:rFonts w:hint="eastAsia" w:ascii="宋体" w:hAnsi="宋体"/>
          <w:b w:val="0"/>
          <w:bCs w:val="0"/>
          <w:i w:val="0"/>
          <w:iCs w:val="0"/>
          <w:color w:val="auto"/>
          <w:sz w:val="21"/>
          <w:szCs w:val="21"/>
          <w:highlight w:val="none"/>
          <w:u w:val="none"/>
        </w:rPr>
        <w:t>4. 如供应商将此表空白，视为供应商无任何偏离。</w:t>
      </w:r>
    </w:p>
    <w:p w14:paraId="193C1678">
      <w:pPr>
        <w:spacing w:line="360" w:lineRule="auto"/>
        <w:rPr>
          <w:rFonts w:ascii="宋体" w:hAnsi="宋体"/>
          <w:color w:val="auto"/>
          <w:sz w:val="24"/>
          <w:highlight w:val="none"/>
        </w:rPr>
      </w:pPr>
    </w:p>
    <w:p w14:paraId="0562AF60">
      <w:pPr>
        <w:spacing w:line="360" w:lineRule="auto"/>
        <w:rPr>
          <w:rFonts w:ascii="仿宋_GB2312" w:hAnsi="Arial"/>
          <w:color w:val="auto"/>
          <w:sz w:val="30"/>
          <w:highlight w:val="none"/>
        </w:rPr>
      </w:pPr>
    </w:p>
    <w:p w14:paraId="2F131EBD">
      <w:pPr>
        <w:pStyle w:val="50"/>
        <w:spacing w:line="360" w:lineRule="auto"/>
        <w:ind w:firstLine="480"/>
        <w:rPr>
          <w:rFonts w:ascii="宋体" w:hAnsi="宋体"/>
          <w:color w:val="auto"/>
          <w:sz w:val="24"/>
          <w:highlight w:val="none"/>
        </w:rPr>
      </w:pPr>
    </w:p>
    <w:p w14:paraId="75775A91">
      <w:pPr>
        <w:pStyle w:val="50"/>
        <w:spacing w:line="360" w:lineRule="auto"/>
        <w:ind w:firstLine="480"/>
        <w:rPr>
          <w:rFonts w:ascii="宋体" w:hAnsi="宋体"/>
          <w:color w:val="auto"/>
          <w:sz w:val="24"/>
          <w:highlight w:val="none"/>
        </w:rPr>
      </w:pPr>
    </w:p>
    <w:p w14:paraId="1ED1AFBC">
      <w:pPr>
        <w:pStyle w:val="50"/>
        <w:spacing w:line="360" w:lineRule="auto"/>
        <w:ind w:firstLine="480"/>
        <w:rPr>
          <w:rFonts w:ascii="宋体" w:hAnsi="宋体"/>
          <w:color w:val="auto"/>
          <w:sz w:val="24"/>
          <w:highlight w:val="none"/>
        </w:rPr>
      </w:pPr>
    </w:p>
    <w:p w14:paraId="575692BB">
      <w:pPr>
        <w:pStyle w:val="50"/>
        <w:spacing w:line="360" w:lineRule="auto"/>
        <w:ind w:firstLine="480"/>
        <w:rPr>
          <w:rFonts w:ascii="宋体" w:hAnsi="宋体"/>
          <w:color w:val="auto"/>
          <w:sz w:val="24"/>
          <w:highlight w:val="none"/>
        </w:rPr>
      </w:pPr>
    </w:p>
    <w:p w14:paraId="1B779A2E">
      <w:pPr>
        <w:pStyle w:val="50"/>
        <w:spacing w:line="360" w:lineRule="auto"/>
        <w:ind w:firstLine="480"/>
        <w:rPr>
          <w:rFonts w:ascii="宋体" w:hAnsi="宋体"/>
          <w:color w:val="auto"/>
          <w:sz w:val="24"/>
          <w:highlight w:val="none"/>
        </w:rPr>
      </w:pPr>
      <w:r>
        <w:rPr>
          <w:rFonts w:hint="eastAsia" w:ascii="宋体" w:hAnsi="宋体"/>
          <w:color w:val="auto"/>
          <w:sz w:val="24"/>
          <w:highlight w:val="none"/>
        </w:rPr>
        <w:t>.</w:t>
      </w:r>
    </w:p>
    <w:p w14:paraId="5D39DF15">
      <w:pPr>
        <w:pStyle w:val="50"/>
        <w:spacing w:line="360" w:lineRule="auto"/>
        <w:ind w:firstLine="480"/>
        <w:rPr>
          <w:rFonts w:ascii="宋体" w:hAnsi="宋体"/>
          <w:color w:val="auto"/>
          <w:sz w:val="24"/>
          <w:highlight w:val="none"/>
        </w:rPr>
      </w:pPr>
    </w:p>
    <w:p w14:paraId="598CFCB6">
      <w:pPr>
        <w:pStyle w:val="50"/>
        <w:spacing w:line="360" w:lineRule="auto"/>
        <w:ind w:firstLine="480"/>
        <w:rPr>
          <w:rFonts w:ascii="宋体" w:hAnsi="宋体"/>
          <w:color w:val="auto"/>
          <w:sz w:val="24"/>
          <w:highlight w:val="none"/>
        </w:rPr>
      </w:pPr>
    </w:p>
    <w:p w14:paraId="7DFA9DF9">
      <w:pPr>
        <w:pStyle w:val="50"/>
        <w:spacing w:line="360" w:lineRule="auto"/>
        <w:ind w:firstLine="480"/>
        <w:rPr>
          <w:rFonts w:ascii="宋体" w:hAnsi="宋体"/>
          <w:color w:val="auto"/>
          <w:sz w:val="24"/>
          <w:highlight w:val="none"/>
        </w:rPr>
      </w:pPr>
    </w:p>
    <w:p w14:paraId="05E54D10">
      <w:pPr>
        <w:pStyle w:val="50"/>
        <w:spacing w:line="360" w:lineRule="auto"/>
        <w:ind w:firstLine="480"/>
        <w:rPr>
          <w:rFonts w:ascii="宋体" w:hAnsi="宋体"/>
          <w:color w:val="auto"/>
          <w:sz w:val="24"/>
          <w:highlight w:val="none"/>
        </w:rPr>
      </w:pPr>
    </w:p>
    <w:p w14:paraId="33B2BA12">
      <w:pPr>
        <w:pStyle w:val="50"/>
        <w:spacing w:line="360" w:lineRule="auto"/>
        <w:ind w:left="0" w:leftChars="0" w:firstLine="0" w:firstLineChars="0"/>
        <w:rPr>
          <w:rFonts w:ascii="宋体" w:hAnsi="宋体"/>
          <w:color w:val="auto"/>
          <w:sz w:val="24"/>
          <w:highlight w:val="none"/>
        </w:rPr>
      </w:pPr>
    </w:p>
    <w:p w14:paraId="35E6C9DB">
      <w:pPr>
        <w:spacing w:before="312" w:line="360" w:lineRule="auto"/>
        <w:jc w:val="center"/>
        <w:rPr>
          <w:rFonts w:ascii="宋体" w:hAnsi="宋体"/>
          <w:b/>
          <w:color w:val="auto"/>
          <w:highlight w:val="none"/>
        </w:rPr>
      </w:pPr>
      <w:r>
        <w:rPr>
          <w:rFonts w:hint="eastAsia" w:ascii="宋体" w:hAnsi="宋体"/>
          <w:b/>
          <w:color w:val="auto"/>
          <w:highlight w:val="none"/>
        </w:rPr>
        <w:t>主要标的信息（中标后将公示）</w:t>
      </w:r>
    </w:p>
    <w:p w14:paraId="3693D164">
      <w:pPr>
        <w:spacing w:after="312" w:line="360" w:lineRule="auto"/>
        <w:rPr>
          <w:rFonts w:ascii="宋体" w:hAnsi="宋体"/>
          <w:b/>
          <w:color w:val="auto"/>
          <w:highlight w:val="none"/>
        </w:rPr>
      </w:pPr>
      <w:r>
        <w:rPr>
          <w:rFonts w:hint="eastAsia" w:ascii="宋体" w:hAnsi="宋体"/>
          <w:color w:val="auto"/>
          <w:highlight w:val="none"/>
        </w:rPr>
        <w:t>投标人全称：</w:t>
      </w:r>
    </w:p>
    <w:tbl>
      <w:tblPr>
        <w:tblStyle w:val="38"/>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722E6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1" w:type="dxa"/>
            <w:noWrap w:val="0"/>
            <w:vAlign w:val="top"/>
          </w:tcPr>
          <w:p w14:paraId="506B0EA6">
            <w:pPr>
              <w:spacing w:line="360" w:lineRule="auto"/>
              <w:jc w:val="center"/>
              <w:rPr>
                <w:rFonts w:ascii="宋体" w:hAnsi="宋体" w:cs="宋体"/>
                <w:color w:val="auto"/>
                <w:highlight w:val="none"/>
              </w:rPr>
            </w:pPr>
            <w:r>
              <w:rPr>
                <w:rFonts w:hint="eastAsia" w:ascii="宋体" w:hAnsi="宋体" w:cs="宋体"/>
                <w:color w:val="auto"/>
                <w:highlight w:val="none"/>
              </w:rPr>
              <w:t>货物类</w:t>
            </w:r>
          </w:p>
        </w:tc>
        <w:tc>
          <w:tcPr>
            <w:tcW w:w="3780" w:type="dxa"/>
            <w:noWrap w:val="0"/>
            <w:vAlign w:val="top"/>
          </w:tcPr>
          <w:p w14:paraId="36189C5A">
            <w:pPr>
              <w:spacing w:line="360" w:lineRule="auto"/>
              <w:jc w:val="center"/>
              <w:rPr>
                <w:rFonts w:ascii="宋体" w:hAnsi="宋体" w:cs="宋体"/>
                <w:color w:val="auto"/>
                <w:highlight w:val="none"/>
              </w:rPr>
            </w:pPr>
            <w:r>
              <w:rPr>
                <w:rFonts w:hint="eastAsia" w:ascii="宋体" w:hAnsi="宋体" w:cs="宋体"/>
                <w:color w:val="auto"/>
                <w:highlight w:val="none"/>
              </w:rPr>
              <w:t>服务类</w:t>
            </w:r>
          </w:p>
        </w:tc>
      </w:tr>
      <w:tr w14:paraId="7ED48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3901" w:type="dxa"/>
            <w:noWrap w:val="0"/>
            <w:vAlign w:val="top"/>
          </w:tcPr>
          <w:p w14:paraId="60B201FC">
            <w:pPr>
              <w:spacing w:line="360" w:lineRule="auto"/>
              <w:rPr>
                <w:rFonts w:ascii="宋体" w:hAnsi="宋体" w:cs="宋体"/>
                <w:color w:val="auto"/>
                <w:highlight w:val="none"/>
              </w:rPr>
            </w:pPr>
            <w:r>
              <w:rPr>
                <w:rFonts w:hint="eastAsia" w:ascii="宋体" w:hAnsi="宋体" w:cs="宋体"/>
                <w:color w:val="auto"/>
                <w:highlight w:val="none"/>
              </w:rPr>
              <w:t>名称：</w:t>
            </w:r>
          </w:p>
          <w:p w14:paraId="388E484A">
            <w:pPr>
              <w:spacing w:line="360" w:lineRule="auto"/>
              <w:rPr>
                <w:rFonts w:ascii="宋体" w:hAnsi="宋体" w:cs="宋体"/>
                <w:color w:val="auto"/>
                <w:highlight w:val="none"/>
              </w:rPr>
            </w:pPr>
            <w:r>
              <w:rPr>
                <w:rFonts w:hint="eastAsia" w:ascii="宋体" w:hAnsi="宋体" w:cs="宋体"/>
                <w:color w:val="auto"/>
                <w:highlight w:val="none"/>
              </w:rPr>
              <w:t>品牌（如有）：</w:t>
            </w:r>
          </w:p>
          <w:p w14:paraId="42EA13AD">
            <w:pPr>
              <w:spacing w:line="360" w:lineRule="auto"/>
              <w:rPr>
                <w:rFonts w:ascii="宋体" w:hAnsi="宋体" w:cs="宋体"/>
                <w:color w:val="auto"/>
                <w:highlight w:val="none"/>
              </w:rPr>
            </w:pPr>
            <w:r>
              <w:rPr>
                <w:rFonts w:hint="eastAsia" w:ascii="宋体" w:hAnsi="宋体" w:cs="宋体"/>
                <w:color w:val="auto"/>
                <w:highlight w:val="none"/>
              </w:rPr>
              <w:t>规格型号：</w:t>
            </w:r>
          </w:p>
          <w:p w14:paraId="0C5EA395">
            <w:pPr>
              <w:spacing w:line="360" w:lineRule="auto"/>
              <w:rPr>
                <w:rFonts w:ascii="宋体" w:hAnsi="宋体" w:cs="宋体"/>
                <w:color w:val="auto"/>
                <w:highlight w:val="none"/>
              </w:rPr>
            </w:pPr>
            <w:r>
              <w:rPr>
                <w:rFonts w:hint="eastAsia" w:ascii="宋体" w:hAnsi="宋体" w:cs="宋体"/>
                <w:color w:val="auto"/>
                <w:highlight w:val="none"/>
              </w:rPr>
              <w:t>数量：</w:t>
            </w:r>
          </w:p>
          <w:p w14:paraId="4DD53956">
            <w:pPr>
              <w:spacing w:line="360" w:lineRule="auto"/>
              <w:rPr>
                <w:rFonts w:ascii="宋体" w:hAnsi="宋体" w:cs="宋体"/>
                <w:color w:val="auto"/>
                <w:highlight w:val="none"/>
              </w:rPr>
            </w:pPr>
            <w:r>
              <w:rPr>
                <w:rFonts w:hint="eastAsia" w:ascii="宋体" w:hAnsi="宋体" w:cs="宋体"/>
                <w:color w:val="auto"/>
                <w:highlight w:val="none"/>
              </w:rPr>
              <w:t>单价：</w:t>
            </w:r>
          </w:p>
        </w:tc>
        <w:tc>
          <w:tcPr>
            <w:tcW w:w="3780" w:type="dxa"/>
            <w:noWrap w:val="0"/>
            <w:vAlign w:val="top"/>
          </w:tcPr>
          <w:p w14:paraId="5DDA68A7">
            <w:pPr>
              <w:spacing w:line="360" w:lineRule="auto"/>
              <w:rPr>
                <w:rFonts w:ascii="宋体" w:hAnsi="宋体" w:cs="宋体"/>
                <w:color w:val="auto"/>
                <w:highlight w:val="none"/>
              </w:rPr>
            </w:pPr>
            <w:r>
              <w:rPr>
                <w:rFonts w:hint="eastAsia" w:ascii="宋体" w:hAnsi="宋体" w:cs="宋体"/>
                <w:color w:val="auto"/>
                <w:highlight w:val="none"/>
              </w:rPr>
              <w:t>名称：</w:t>
            </w:r>
          </w:p>
          <w:p w14:paraId="7C3FFF5C">
            <w:pPr>
              <w:spacing w:line="360" w:lineRule="auto"/>
              <w:rPr>
                <w:rFonts w:ascii="宋体" w:hAnsi="宋体" w:cs="宋体"/>
                <w:color w:val="auto"/>
                <w:highlight w:val="none"/>
              </w:rPr>
            </w:pPr>
            <w:r>
              <w:rPr>
                <w:rFonts w:hint="eastAsia" w:ascii="宋体" w:hAnsi="宋体" w:cs="宋体"/>
                <w:color w:val="auto"/>
                <w:highlight w:val="none"/>
              </w:rPr>
              <w:t>服务范围：</w:t>
            </w:r>
          </w:p>
          <w:p w14:paraId="344AF803">
            <w:pPr>
              <w:spacing w:line="360" w:lineRule="auto"/>
              <w:rPr>
                <w:rFonts w:ascii="宋体" w:hAnsi="宋体" w:cs="宋体"/>
                <w:color w:val="auto"/>
                <w:highlight w:val="none"/>
                <w:u w:val="single"/>
              </w:rPr>
            </w:pPr>
            <w:r>
              <w:rPr>
                <w:rFonts w:hint="eastAsia" w:ascii="宋体" w:hAnsi="宋体" w:cs="宋体"/>
                <w:color w:val="auto"/>
                <w:highlight w:val="none"/>
              </w:rPr>
              <w:t>服务要求：</w:t>
            </w:r>
          </w:p>
          <w:p w14:paraId="5C362945">
            <w:pPr>
              <w:spacing w:line="360" w:lineRule="auto"/>
              <w:rPr>
                <w:rFonts w:ascii="宋体" w:hAnsi="宋体" w:cs="宋体"/>
                <w:color w:val="auto"/>
                <w:highlight w:val="none"/>
                <w:u w:val="single"/>
              </w:rPr>
            </w:pPr>
            <w:r>
              <w:rPr>
                <w:rFonts w:hint="eastAsia" w:ascii="宋体" w:hAnsi="宋体" w:cs="宋体"/>
                <w:color w:val="auto"/>
                <w:highlight w:val="none"/>
              </w:rPr>
              <w:t>服务时间：</w:t>
            </w:r>
          </w:p>
          <w:p w14:paraId="07B9E0A6">
            <w:pPr>
              <w:spacing w:line="360" w:lineRule="auto"/>
              <w:rPr>
                <w:rFonts w:ascii="宋体" w:hAnsi="宋体" w:cs="宋体"/>
                <w:color w:val="auto"/>
                <w:highlight w:val="none"/>
              </w:rPr>
            </w:pPr>
            <w:r>
              <w:rPr>
                <w:rFonts w:hint="eastAsia" w:ascii="宋体" w:hAnsi="宋体" w:cs="宋体"/>
                <w:color w:val="auto"/>
                <w:highlight w:val="none"/>
              </w:rPr>
              <w:t>服务标准：</w:t>
            </w:r>
          </w:p>
        </w:tc>
      </w:tr>
    </w:tbl>
    <w:p w14:paraId="510038C1">
      <w:pPr>
        <w:widowControl/>
        <w:spacing w:line="360" w:lineRule="auto"/>
        <w:jc w:val="center"/>
        <w:rPr>
          <w:rFonts w:ascii="宋体" w:hAnsi="宋体"/>
          <w:b/>
          <w:color w:val="auto"/>
          <w:highlight w:val="none"/>
        </w:rPr>
      </w:pPr>
      <w:r>
        <w:rPr>
          <w:rFonts w:ascii="宋体" w:hAnsi="宋体" w:cs="宋体"/>
          <w:color w:val="auto"/>
          <w:sz w:val="24"/>
          <w:szCs w:val="24"/>
          <w:highlight w:val="none"/>
        </w:rPr>
        <w:br w:type="page"/>
      </w:r>
      <w:r>
        <w:rPr>
          <w:rFonts w:hint="eastAsia" w:ascii="宋体" w:hAnsi="宋体"/>
          <w:b/>
          <w:color w:val="auto"/>
          <w:highlight w:val="none"/>
        </w:rPr>
        <w:t>联合体协议（如有）</w:t>
      </w:r>
    </w:p>
    <w:p w14:paraId="7E4A14AB">
      <w:pPr>
        <w:spacing w:line="360" w:lineRule="auto"/>
        <w:ind w:firstLine="211"/>
        <w:jc w:val="center"/>
        <w:rPr>
          <w:rFonts w:ascii="宋体" w:hAnsi="宋体"/>
          <w:b/>
          <w:color w:val="auto"/>
          <w:highlight w:val="none"/>
        </w:rPr>
      </w:pPr>
    </w:p>
    <w:p w14:paraId="14ABCC32">
      <w:pPr>
        <w:spacing w:line="360" w:lineRule="auto"/>
        <w:rPr>
          <w:rFonts w:ascii="宋体" w:hAnsi="宋体"/>
          <w:color w:val="auto"/>
          <w:highlight w:val="none"/>
        </w:rPr>
      </w:pPr>
      <w:r>
        <w:rPr>
          <w:rFonts w:hint="eastAsia" w:ascii="宋体" w:hAnsi="宋体"/>
          <w:color w:val="auto"/>
          <w:highlight w:val="none"/>
        </w:rPr>
        <w:t>（联合体中各投标人全称）在此达成以下协议：</w:t>
      </w:r>
    </w:p>
    <w:p w14:paraId="3F1115AC">
      <w:pPr>
        <w:spacing w:line="360" w:lineRule="auto"/>
        <w:ind w:firstLine="645"/>
        <w:rPr>
          <w:rFonts w:ascii="宋体" w:hAnsi="宋体"/>
          <w:color w:val="auto"/>
          <w:highlight w:val="none"/>
        </w:rPr>
      </w:pPr>
      <w:r>
        <w:rPr>
          <w:rFonts w:hint="eastAsia" w:ascii="宋体" w:hAnsi="宋体"/>
          <w:color w:val="auto"/>
          <w:highlight w:val="none"/>
        </w:rPr>
        <w:t>1、我们自愿组成联合体，参加代理机构组织的采购编号为（项目编号）（项目全称）的政府采购活动。</w:t>
      </w:r>
    </w:p>
    <w:p w14:paraId="6E1D1DAF">
      <w:pPr>
        <w:spacing w:line="360" w:lineRule="auto"/>
        <w:ind w:firstLine="645"/>
        <w:rPr>
          <w:rFonts w:ascii="宋体" w:hAnsi="宋体"/>
          <w:color w:val="auto"/>
          <w:highlight w:val="none"/>
        </w:rPr>
      </w:pPr>
      <w:r>
        <w:rPr>
          <w:rFonts w:hint="eastAsia" w:ascii="宋体" w:hAnsi="宋体"/>
          <w:color w:val="auto"/>
          <w:highlight w:val="none"/>
        </w:rPr>
        <w:t>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p>
    <w:p w14:paraId="6592297B">
      <w:pPr>
        <w:spacing w:line="360" w:lineRule="auto"/>
        <w:ind w:firstLine="645"/>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p>
    <w:p w14:paraId="4C3EE28F">
      <w:pPr>
        <w:spacing w:line="360" w:lineRule="auto"/>
        <w:ind w:firstLine="4620"/>
        <w:rPr>
          <w:rFonts w:ascii="宋体" w:hAnsi="宋体"/>
          <w:color w:val="auto"/>
          <w:highlight w:val="none"/>
        </w:rPr>
      </w:pPr>
      <w:r>
        <w:rPr>
          <w:rFonts w:hint="eastAsia" w:ascii="宋体" w:hAnsi="宋体"/>
          <w:color w:val="auto"/>
          <w:highlight w:val="none"/>
        </w:rPr>
        <w:t>所有投标人全称：</w:t>
      </w:r>
    </w:p>
    <w:p w14:paraId="3D1AAF41">
      <w:pPr>
        <w:spacing w:line="360" w:lineRule="auto"/>
        <w:ind w:firstLine="645"/>
        <w:rPr>
          <w:rFonts w:ascii="宋体" w:hAnsi="宋体"/>
          <w:color w:val="auto"/>
          <w:highlight w:val="none"/>
        </w:rPr>
      </w:pPr>
      <w:r>
        <w:rPr>
          <w:rFonts w:hint="eastAsia" w:ascii="宋体" w:hAnsi="宋体"/>
          <w:color w:val="auto"/>
          <w:highlight w:val="none"/>
        </w:rPr>
        <w:t xml:space="preserve">                                      法定代表人：  </w:t>
      </w:r>
    </w:p>
    <w:p w14:paraId="1F4A683C">
      <w:pPr>
        <w:spacing w:line="360" w:lineRule="auto"/>
        <w:ind w:firstLine="4620"/>
        <w:rPr>
          <w:rFonts w:ascii="宋体" w:hAnsi="宋体"/>
          <w:color w:val="auto"/>
          <w:highlight w:val="none"/>
        </w:rPr>
      </w:pPr>
      <w:r>
        <w:rPr>
          <w:rFonts w:hint="eastAsia" w:ascii="宋体" w:hAnsi="宋体"/>
          <w:color w:val="auto"/>
          <w:highlight w:val="none"/>
        </w:rPr>
        <w:t>日期：</w:t>
      </w:r>
    </w:p>
    <w:p w14:paraId="093BBD7E">
      <w:pPr>
        <w:spacing w:line="360" w:lineRule="auto"/>
        <w:rPr>
          <w:color w:val="auto"/>
          <w:highlight w:val="none"/>
        </w:rPr>
      </w:pPr>
    </w:p>
    <w:p w14:paraId="698F799A">
      <w:pPr>
        <w:widowControl/>
        <w:spacing w:before="100" w:beforeAutospacing="1" w:after="143" w:line="360" w:lineRule="auto"/>
        <w:jc w:val="left"/>
        <w:rPr>
          <w:rFonts w:ascii="宋体" w:hAnsi="宋体" w:cs="宋体"/>
          <w:color w:val="auto"/>
          <w:sz w:val="24"/>
          <w:szCs w:val="24"/>
          <w:highlight w:val="none"/>
        </w:rPr>
      </w:pPr>
    </w:p>
    <w:p w14:paraId="0EF53B66">
      <w:pPr>
        <w:spacing w:line="360" w:lineRule="auto"/>
        <w:rPr>
          <w:color w:val="auto"/>
          <w:highlight w:val="none"/>
        </w:rPr>
      </w:pPr>
    </w:p>
    <w:p w14:paraId="436D886F">
      <w:pPr>
        <w:spacing w:line="360" w:lineRule="auto"/>
        <w:rPr>
          <w:color w:val="auto"/>
          <w:highlight w:val="none"/>
        </w:rPr>
      </w:pPr>
    </w:p>
    <w:p w14:paraId="464D5140">
      <w:pPr>
        <w:spacing w:line="360" w:lineRule="auto"/>
        <w:rPr>
          <w:color w:val="auto"/>
          <w:highlight w:val="none"/>
        </w:rPr>
      </w:pPr>
    </w:p>
    <w:p w14:paraId="1CEBAAB9">
      <w:pPr>
        <w:spacing w:line="360" w:lineRule="auto"/>
        <w:rPr>
          <w:color w:val="auto"/>
          <w:highlight w:val="none"/>
        </w:rPr>
      </w:pPr>
    </w:p>
    <w:p w14:paraId="6BA4DE17">
      <w:pPr>
        <w:spacing w:line="560" w:lineRule="exact"/>
        <w:ind w:firstLine="645"/>
        <w:rPr>
          <w:rFonts w:ascii="宋体" w:hAnsi="宋体"/>
          <w:color w:val="auto"/>
          <w:sz w:val="24"/>
          <w:highlight w:val="none"/>
        </w:rPr>
      </w:pPr>
    </w:p>
    <w:p w14:paraId="7899510A">
      <w:pPr>
        <w:spacing w:line="460" w:lineRule="exact"/>
        <w:rPr>
          <w:rFonts w:ascii="宋体" w:hAnsi="宋体"/>
          <w:bCs/>
          <w:color w:val="auto"/>
          <w:sz w:val="24"/>
          <w:highlight w:val="none"/>
        </w:rPr>
      </w:pPr>
    </w:p>
    <w:p w14:paraId="4B457ABA">
      <w:pPr>
        <w:spacing w:line="460" w:lineRule="exact"/>
        <w:rPr>
          <w:rFonts w:ascii="宋体" w:hAnsi="宋体"/>
          <w:bCs/>
          <w:color w:val="auto"/>
          <w:sz w:val="24"/>
          <w:highlight w:val="none"/>
        </w:rPr>
      </w:pPr>
    </w:p>
    <w:p w14:paraId="1C97BD43">
      <w:pPr>
        <w:spacing w:line="460" w:lineRule="exact"/>
        <w:rPr>
          <w:rFonts w:ascii="宋体" w:hAnsi="宋体"/>
          <w:bCs/>
          <w:color w:val="auto"/>
          <w:sz w:val="24"/>
          <w:highlight w:val="none"/>
        </w:rPr>
      </w:pPr>
    </w:p>
    <w:p w14:paraId="3C83F9C7">
      <w:pPr>
        <w:rPr>
          <w:rFonts w:ascii="黑体" w:hAnsi="黑体" w:eastAsia="黑体"/>
          <w:b/>
          <w:color w:val="auto"/>
          <w:sz w:val="32"/>
          <w:szCs w:val="32"/>
          <w:highlight w:val="none"/>
        </w:rPr>
      </w:pPr>
    </w:p>
    <w:bookmarkEnd w:id="53"/>
    <w:bookmarkEnd w:id="54"/>
    <w:bookmarkEnd w:id="83"/>
    <w:p w14:paraId="6B4FD326">
      <w:pPr>
        <w:rPr>
          <w:rFonts w:hint="eastAsia" w:ascii="黑体" w:hAnsi="黑体" w:eastAsia="黑体"/>
          <w:b/>
          <w:color w:val="auto"/>
          <w:sz w:val="32"/>
          <w:szCs w:val="32"/>
          <w:highlight w:val="none"/>
        </w:rPr>
      </w:pPr>
    </w:p>
    <w:sectPr>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DDC7E7A-4562-49D6-B374-E225CEBD339C}"/>
  </w:font>
  <w:font w:name="黑体">
    <w:panose1 w:val="02010609060101010101"/>
    <w:charset w:val="86"/>
    <w:family w:val="auto"/>
    <w:pitch w:val="default"/>
    <w:sig w:usb0="800002BF" w:usb1="38CF7CFA" w:usb2="00000016" w:usb3="00000000" w:csb0="00040001" w:csb1="00000000"/>
    <w:embedRegular r:id="rId2" w:fontKey="{D423F3D4-CD29-4F54-953D-F7230658EB43}"/>
  </w:font>
  <w:font w:name="Courier New">
    <w:panose1 w:val="02070309020205020404"/>
    <w:charset w:val="01"/>
    <w:family w:val="modern"/>
    <w:pitch w:val="default"/>
    <w:sig w:usb0="E0002EFF" w:usb1="C0007843" w:usb2="00000009" w:usb3="00000000" w:csb0="400001FF" w:csb1="FFFF0000"/>
    <w:embedRegular r:id="rId3" w:fontKey="{28A12652-08C5-45AF-A97E-7E0228286273}"/>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33B3F6FE-C329-4B86-8EB0-D84D5864D44A}"/>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5" w:fontKey="{8D915D95-03AD-48C7-81CC-B8EC2323236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幼圆">
    <w:panose1 w:val="02010509060101010101"/>
    <w:charset w:val="86"/>
    <w:family w:val="auto"/>
    <w:pitch w:val="default"/>
    <w:sig w:usb0="00000001" w:usb1="080E0000" w:usb2="00000000" w:usb3="00000000" w:csb0="00040000" w:csb1="00000000"/>
    <w:embedRegular r:id="rId6" w:fontKey="{B2DBDBB0-AF60-4750-BB83-8AAB7827D916}"/>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10600010101010101"/>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方正小标宋_GBK">
    <w:panose1 w:val="02000000000000000000"/>
    <w:charset w:val="86"/>
    <w:family w:val="auto"/>
    <w:pitch w:val="default"/>
    <w:sig w:usb0="A00002BF" w:usb1="38CF7CFA" w:usb2="00082016" w:usb3="00000000" w:csb0="00040001" w:csb1="00000000"/>
    <w:embedRegular r:id="rId7" w:fontKey="{AEC009B5-4584-42B4-B01B-0E5531200113}"/>
  </w:font>
  <w:font w:name="Wingdings 2">
    <w:panose1 w:val="05020102010507070707"/>
    <w:charset w:val="00"/>
    <w:family w:val="auto"/>
    <w:pitch w:val="default"/>
    <w:sig w:usb0="00000000" w:usb1="00000000" w:usb2="00000000" w:usb3="00000000" w:csb0="80000000" w:csb1="00000000"/>
  </w:font>
  <w:font w:name="方正中等线简体">
    <w:altName w:val="宋体"/>
    <w:panose1 w:val="02010601030101010101"/>
    <w:charset w:val="86"/>
    <w:family w:val="auto"/>
    <w:pitch w:val="default"/>
    <w:sig w:usb0="00000000" w:usb1="00000000" w:usb2="00000000" w:usb3="00000000" w:csb0="00040000" w:csb1="00000000"/>
    <w:embedRegular r:id="rId8" w:fontKey="{DBF7C6AF-880C-4843-A1A8-8C75359F3E63}"/>
  </w:font>
  <w:font w:name="方正仿宋_GBK">
    <w:panose1 w:val="02000000000000000000"/>
    <w:charset w:val="86"/>
    <w:family w:val="auto"/>
    <w:pitch w:val="default"/>
    <w:sig w:usb0="A00002BF" w:usb1="38CF7CFA" w:usb2="00082016" w:usb3="00000000" w:csb0="00040001" w:csb1="00000000"/>
    <w:embedRegular r:id="rId9" w:fontKey="{3A2CFF21-62D7-454C-8D89-14567A23379B}"/>
  </w:font>
  <w:font w:name="仿宋">
    <w:panose1 w:val="02010609060101010101"/>
    <w:charset w:val="86"/>
    <w:family w:val="modern"/>
    <w:pitch w:val="default"/>
    <w:sig w:usb0="800002BF" w:usb1="38CF7CFA" w:usb2="00000016" w:usb3="00000000" w:csb0="00040001" w:csb1="00000000"/>
    <w:embedRegular r:id="rId10" w:fontKey="{DA94943D-DA43-437A-A1BC-C764970A1355}"/>
  </w:font>
  <w:font w:name="Microsoft New Tai Lue">
    <w:panose1 w:val="020B0502040204020203"/>
    <w:charset w:val="00"/>
    <w:family w:val="swiss"/>
    <w:pitch w:val="default"/>
    <w:sig w:usb0="00000003" w:usb1="00000000" w:usb2="80000000" w:usb3="00000000" w:csb0="00000001" w:csb1="00000000"/>
    <w:embedRegular r:id="rId11" w:fontKey="{EF0DB3F3-AC8C-41F0-8798-2AD8670E454C}"/>
  </w:font>
  <w:font w:name="WPSEMBED4">
    <w:panose1 w:val="02010609030101010101"/>
    <w:charset w:val="86"/>
    <w:family w:val="auto"/>
    <w:pitch w:val="default"/>
    <w:sig w:usb0="00000001" w:usb1="080E0000" w:usb2="00000000" w:usb3="00000000" w:csb0="00040000" w:csb1="00000000"/>
  </w:font>
  <w:font w:name="WPSEMBED5">
    <w:panose1 w:val="02000000000000000000"/>
    <w:charset w:val="86"/>
    <w:family w:val="auto"/>
    <w:pitch w:val="default"/>
    <w:sig w:usb0="A00002BF" w:usb1="38CF7CFA" w:usb2="00082016" w:usb3="00000000" w:csb0="00040001" w:csb1="00000000"/>
  </w:font>
  <w:font w:name="WPSEMBED6">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E77A2">
    <w:pPr>
      <w:jc w:val="center"/>
      <w:rPr>
        <w:rFonts w:ascii="仿宋_GB2312" w:eastAsia="仿宋_GB2312"/>
        <w:b/>
        <w:sz w:val="24"/>
        <w:szCs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DE1C68">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- 19 -</w:t>
                          </w:r>
                          <w:r>
                            <w:rPr>
                              <w:rFonts w:ascii="仿宋_GB2312" w:eastAsia="仿宋_GB2312"/>
                              <w:bCs/>
                              <w:sz w:val="18"/>
                              <w:szCs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0mU5cw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cur1Tqjv72GGmkPGnqMMISw+TQ+2Wu066lBXns56qH/2v7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XSZTlzAEAAKcDAAAOAAAAAAAAAAEAIAAAAB4BAABkcnMvZTJv&#10;RG9jLnhtbFBLBQYAAAAABgAGAFkBAABcBQAAAAA=&#10;">
              <v:fill on="f" focussize="0,0"/>
              <v:stroke on="f"/>
              <v:imagedata o:title=""/>
              <o:lock v:ext="edit" aspectratio="f"/>
              <v:textbox inset="0mm,0mm,0mm,0mm" style="mso-fit-shape-to-text:t;">
                <w:txbxContent>
                  <w:p w14:paraId="3EDE1C68">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- 19 -</w:t>
                    </w:r>
                    <w:r>
                      <w:rPr>
                        <w:rFonts w:ascii="仿宋_GB2312" w:eastAsia="仿宋_GB2312"/>
                        <w:bCs/>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5F7D9">
    <w:pPr>
      <w:pStyle w:val="25"/>
      <w:tabs>
        <w:tab w:val="center" w:pos="4153"/>
        <w:tab w:val="right" w:pos="8306"/>
        <w:tab w:val="clear" w:pos="7143"/>
        <w:tab w:val="clear" w:pos="14287"/>
      </w:tabs>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5AF722">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05AF722">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CD1F6">
    <w:pPr>
      <w:pStyle w:val="281"/>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5DE854">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F5DE854">
                    <w:pPr>
                      <w:pStyle w:val="25"/>
                    </w:pPr>
                    <w:r>
                      <w:fldChar w:fldCharType="begin"/>
                    </w:r>
                    <w:r>
                      <w:instrText xml:space="preserve"> PAGE  \* MERGEFORMAT </w:instrText>
                    </w:r>
                    <w:r>
                      <w:fldChar w:fldCharType="separate"/>
                    </w:r>
                    <w:r>
                      <w:t>1</w:t>
                    </w:r>
                    <w:r>
                      <w:fldChar w:fldCharType="end"/>
                    </w:r>
                  </w:p>
                </w:txbxContent>
              </v:textbox>
            </v:shape>
          </w:pict>
        </mc:Fallback>
      </mc:AlternateContent>
    </w:r>
  </w:p>
  <w:p w14:paraId="4D91ABF0">
    <w:pPr>
      <w:pStyle w:val="28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8D9C2">
    <w:pPr>
      <w:pStyle w:val="26"/>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pStyle w:val="33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45"/>
      <w:suff w:val="nothing"/>
      <w:lvlText w:val=""/>
      <w:lvlJc w:val="left"/>
      <w:pPr>
        <w:ind w:left="0" w:firstLine="0"/>
      </w:pPr>
      <w:rPr>
        <w:rFonts w:hint="eastAsia"/>
      </w:rPr>
    </w:lvl>
    <w:lvl w:ilvl="6" w:tentative="0">
      <w:start w:val="1"/>
      <w:numFmt w:val="decimal"/>
      <w:pStyle w:val="246"/>
      <w:suff w:val="nothing"/>
      <w:lvlText w:val=""/>
      <w:lvlJc w:val="left"/>
      <w:pPr>
        <w:ind w:left="0" w:firstLine="0"/>
      </w:pPr>
      <w:rPr>
        <w:rFonts w:hint="eastAsia"/>
      </w:rPr>
    </w:lvl>
    <w:lvl w:ilvl="7" w:tentative="0">
      <w:start w:val="1"/>
      <w:numFmt w:val="decimal"/>
      <w:pStyle w:val="247"/>
      <w:suff w:val="nothing"/>
      <w:lvlText w:val=""/>
      <w:lvlJc w:val="left"/>
      <w:pPr>
        <w:ind w:left="0" w:firstLine="0"/>
      </w:pPr>
      <w:rPr>
        <w:rFonts w:hint="eastAsia"/>
      </w:rPr>
    </w:lvl>
    <w:lvl w:ilvl="8" w:tentative="0">
      <w:start w:val="1"/>
      <w:numFmt w:val="decimal"/>
      <w:pStyle w:val="248"/>
      <w:suff w:val="nothing"/>
      <w:lvlText w:val=""/>
      <w:lvlJc w:val="left"/>
      <w:pPr>
        <w:ind w:left="0" w:firstLine="0"/>
      </w:pPr>
      <w:rPr>
        <w:rFonts w:hint="eastAsia"/>
      </w:rPr>
    </w:lvl>
  </w:abstractNum>
  <w:abstractNum w:abstractNumId="2">
    <w:nsid w:val="D34AB30E"/>
    <w:multiLevelType w:val="singleLevel"/>
    <w:tmpl w:val="D34AB30E"/>
    <w:lvl w:ilvl="0" w:tentative="0">
      <w:start w:val="1"/>
      <w:numFmt w:val="decimal"/>
      <w:suff w:val="nothing"/>
      <w:lvlText w:val="%1、"/>
      <w:lvlJc w:val="left"/>
      <w:pPr>
        <w:ind w:left="-20"/>
      </w:pPr>
      <w:rPr>
        <w:rFonts w:hint="default"/>
        <w:b w:val="0"/>
        <w:bCs w:val="0"/>
        <w:color w:val="auto"/>
      </w:rPr>
    </w:lvl>
  </w:abstractNum>
  <w:abstractNum w:abstractNumId="3">
    <w:nsid w:val="D7F9FE59"/>
    <w:multiLevelType w:val="multilevel"/>
    <w:tmpl w:val="D7F9FE59"/>
    <w:lvl w:ilvl="0" w:tentative="0">
      <w:start w:val="1"/>
      <w:numFmt w:val="decimal"/>
      <w:suff w:val="nothing"/>
      <w:lvlText w:val="（%1）"/>
      <w:lvlJc w:val="left"/>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bullet"/>
      <w:pStyle w:val="18"/>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decimal"/>
      <w:suff w:val="nothing"/>
      <w:lvlText w:val="%1、"/>
      <w:lvlJc w:val="left"/>
      <w:rPr>
        <w:rFonts w:hint="default"/>
        <w:b/>
        <w:bC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13B1D73E"/>
    <w:multiLevelType w:val="singleLevel"/>
    <w:tmpl w:val="13B1D73E"/>
    <w:lvl w:ilvl="0" w:tentative="0">
      <w:start w:val="3"/>
      <w:numFmt w:val="decimal"/>
      <w:suff w:val="nothing"/>
      <w:lvlText w:val="%1、"/>
      <w:lvlJc w:val="left"/>
    </w:lvl>
  </w:abstractNum>
  <w:abstractNum w:abstractNumId="7">
    <w:nsid w:val="2DFF37F0"/>
    <w:multiLevelType w:val="singleLevel"/>
    <w:tmpl w:val="2DFF37F0"/>
    <w:lvl w:ilvl="0" w:tentative="0">
      <w:start w:val="1"/>
      <w:numFmt w:val="decimal"/>
      <w:suff w:val="nothing"/>
      <w:lvlText w:val="（%1）"/>
      <w:lvlJc w:val="left"/>
    </w:lvl>
  </w:abstractNum>
  <w:abstractNum w:abstractNumId="8">
    <w:nsid w:val="4D4DC07F"/>
    <w:multiLevelType w:val="multilevel"/>
    <w:tmpl w:val="4D4DC07F"/>
    <w:lvl w:ilvl="0" w:tentative="0">
      <w:start w:val="1"/>
      <w:numFmt w:val="bullet"/>
      <w:pStyle w:val="45"/>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59ADCABA"/>
    <w:multiLevelType w:val="multilevel"/>
    <w:tmpl w:val="59ADCABA"/>
    <w:lvl w:ilvl="0" w:tentative="0">
      <w:start w:val="1"/>
      <w:numFmt w:val="upperLetter"/>
      <w:pStyle w:val="32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3150079"/>
    <w:multiLevelType w:val="singleLevel"/>
    <w:tmpl w:val="73150079"/>
    <w:lvl w:ilvl="0" w:tentative="0">
      <w:start w:val="8"/>
      <w:numFmt w:val="chineseCounting"/>
      <w:suff w:val="nothing"/>
      <w:lvlText w:val="（%1）"/>
      <w:lvlJc w:val="left"/>
      <w:rPr>
        <w:rFonts w:hint="eastAsia"/>
      </w:rPr>
    </w:lvl>
  </w:abstractNum>
  <w:num w:numId="1">
    <w:abstractNumId w:val="4"/>
  </w:num>
  <w:num w:numId="2">
    <w:abstractNumId w:val="8"/>
  </w:num>
  <w:num w:numId="3">
    <w:abstractNumId w:val="1"/>
  </w:num>
  <w:num w:numId="4">
    <w:abstractNumId w:val="9"/>
  </w:num>
  <w:num w:numId="5">
    <w:abstractNumId w:val="0"/>
  </w:num>
  <w:num w:numId="6">
    <w:abstractNumId w:val="10"/>
  </w:num>
  <w:num w:numId="7">
    <w:abstractNumId w:val="2"/>
  </w:num>
  <w:num w:numId="8">
    <w:abstractNumId w:val="3"/>
  </w:num>
  <w:num w:numId="9">
    <w:abstractNumId w:val="7"/>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0MTFmYzZmZDM2ZGViNDAyYTRhODI2YzUyYjg2ZjMifQ=="/>
  </w:docVars>
  <w:rsids>
    <w:rsidRoot w:val="00000000"/>
    <w:rsid w:val="00227180"/>
    <w:rsid w:val="002A180E"/>
    <w:rsid w:val="00384421"/>
    <w:rsid w:val="00973FB8"/>
    <w:rsid w:val="00CD3EF7"/>
    <w:rsid w:val="00D050DC"/>
    <w:rsid w:val="00FE004B"/>
    <w:rsid w:val="01657B6E"/>
    <w:rsid w:val="024F6455"/>
    <w:rsid w:val="0250441F"/>
    <w:rsid w:val="033C7E57"/>
    <w:rsid w:val="03436045"/>
    <w:rsid w:val="034D2673"/>
    <w:rsid w:val="03AD764F"/>
    <w:rsid w:val="03BC0A98"/>
    <w:rsid w:val="03E72B61"/>
    <w:rsid w:val="04365896"/>
    <w:rsid w:val="0449381C"/>
    <w:rsid w:val="04A930C3"/>
    <w:rsid w:val="04DA4474"/>
    <w:rsid w:val="05145BD8"/>
    <w:rsid w:val="05C84C14"/>
    <w:rsid w:val="06182F0F"/>
    <w:rsid w:val="062736E9"/>
    <w:rsid w:val="062956B3"/>
    <w:rsid w:val="066C3CF1"/>
    <w:rsid w:val="07DD6ABC"/>
    <w:rsid w:val="082C3238"/>
    <w:rsid w:val="085950ED"/>
    <w:rsid w:val="08D37B58"/>
    <w:rsid w:val="0949462F"/>
    <w:rsid w:val="09681ABB"/>
    <w:rsid w:val="09972B20"/>
    <w:rsid w:val="0A1A3D63"/>
    <w:rsid w:val="0AB6328D"/>
    <w:rsid w:val="0B2F77D2"/>
    <w:rsid w:val="0B9C2483"/>
    <w:rsid w:val="0BB90B2E"/>
    <w:rsid w:val="0BFD17E6"/>
    <w:rsid w:val="0C087B18"/>
    <w:rsid w:val="0C1734E6"/>
    <w:rsid w:val="0C1E733C"/>
    <w:rsid w:val="0C3A6197"/>
    <w:rsid w:val="0D692839"/>
    <w:rsid w:val="0DBA148A"/>
    <w:rsid w:val="0DF66B8C"/>
    <w:rsid w:val="0DF838A5"/>
    <w:rsid w:val="0E31274F"/>
    <w:rsid w:val="0F7D25CB"/>
    <w:rsid w:val="0F841BAC"/>
    <w:rsid w:val="0F8751F8"/>
    <w:rsid w:val="0F8A3CBD"/>
    <w:rsid w:val="0FE07DB5"/>
    <w:rsid w:val="0FE360C4"/>
    <w:rsid w:val="0FE5141F"/>
    <w:rsid w:val="102437C2"/>
    <w:rsid w:val="10687E3C"/>
    <w:rsid w:val="10CE7E44"/>
    <w:rsid w:val="11370628"/>
    <w:rsid w:val="116662E4"/>
    <w:rsid w:val="118B5473"/>
    <w:rsid w:val="12635BF0"/>
    <w:rsid w:val="12FD2B97"/>
    <w:rsid w:val="13294F44"/>
    <w:rsid w:val="1362610F"/>
    <w:rsid w:val="13C82EA6"/>
    <w:rsid w:val="13E07C27"/>
    <w:rsid w:val="14E05AD6"/>
    <w:rsid w:val="14F221CD"/>
    <w:rsid w:val="15A42079"/>
    <w:rsid w:val="15BF3CE2"/>
    <w:rsid w:val="16C56589"/>
    <w:rsid w:val="1735337C"/>
    <w:rsid w:val="179D22A1"/>
    <w:rsid w:val="18876269"/>
    <w:rsid w:val="18D30198"/>
    <w:rsid w:val="18E254E0"/>
    <w:rsid w:val="18F90E99"/>
    <w:rsid w:val="19306900"/>
    <w:rsid w:val="1A31749C"/>
    <w:rsid w:val="1A7B3BAB"/>
    <w:rsid w:val="1BB455C7"/>
    <w:rsid w:val="1BE54AF7"/>
    <w:rsid w:val="1C5570C1"/>
    <w:rsid w:val="1CB44504"/>
    <w:rsid w:val="1CED6FE2"/>
    <w:rsid w:val="1D360605"/>
    <w:rsid w:val="1E081BFA"/>
    <w:rsid w:val="20546AD4"/>
    <w:rsid w:val="20967991"/>
    <w:rsid w:val="20B0441B"/>
    <w:rsid w:val="20B6593D"/>
    <w:rsid w:val="211573C2"/>
    <w:rsid w:val="221A4CD6"/>
    <w:rsid w:val="226338A3"/>
    <w:rsid w:val="22A82BC6"/>
    <w:rsid w:val="22A97606"/>
    <w:rsid w:val="22DD4148"/>
    <w:rsid w:val="235A170F"/>
    <w:rsid w:val="23723533"/>
    <w:rsid w:val="23EE3640"/>
    <w:rsid w:val="246D6C5B"/>
    <w:rsid w:val="24872A22"/>
    <w:rsid w:val="24BB660D"/>
    <w:rsid w:val="2504133E"/>
    <w:rsid w:val="25513E86"/>
    <w:rsid w:val="259F40A6"/>
    <w:rsid w:val="259F425C"/>
    <w:rsid w:val="265A3293"/>
    <w:rsid w:val="268305F9"/>
    <w:rsid w:val="269048A1"/>
    <w:rsid w:val="26B506EE"/>
    <w:rsid w:val="26B71E93"/>
    <w:rsid w:val="26F25DDE"/>
    <w:rsid w:val="275859A0"/>
    <w:rsid w:val="27644FA7"/>
    <w:rsid w:val="2770405C"/>
    <w:rsid w:val="281279F9"/>
    <w:rsid w:val="282D3A0D"/>
    <w:rsid w:val="2835183D"/>
    <w:rsid w:val="28830315"/>
    <w:rsid w:val="291F631C"/>
    <w:rsid w:val="29663B3A"/>
    <w:rsid w:val="297A7E50"/>
    <w:rsid w:val="29A64863"/>
    <w:rsid w:val="29C76A3A"/>
    <w:rsid w:val="29EB6C0A"/>
    <w:rsid w:val="29F221E7"/>
    <w:rsid w:val="2A1F3DF0"/>
    <w:rsid w:val="2A596FC4"/>
    <w:rsid w:val="2A5A558B"/>
    <w:rsid w:val="2AA703F4"/>
    <w:rsid w:val="2AFC2AE6"/>
    <w:rsid w:val="2B367DA6"/>
    <w:rsid w:val="2B701629"/>
    <w:rsid w:val="2B806AEC"/>
    <w:rsid w:val="2BCF3D57"/>
    <w:rsid w:val="2BF51A0F"/>
    <w:rsid w:val="2C3818FC"/>
    <w:rsid w:val="2C4A4940"/>
    <w:rsid w:val="2CB36E69"/>
    <w:rsid w:val="2D124529"/>
    <w:rsid w:val="2D327144"/>
    <w:rsid w:val="2E1A318B"/>
    <w:rsid w:val="2E536BF6"/>
    <w:rsid w:val="2E887A15"/>
    <w:rsid w:val="2ECF508C"/>
    <w:rsid w:val="2ED42B8A"/>
    <w:rsid w:val="2F1C5505"/>
    <w:rsid w:val="30A82681"/>
    <w:rsid w:val="30FF38C2"/>
    <w:rsid w:val="3125255F"/>
    <w:rsid w:val="314C6BC6"/>
    <w:rsid w:val="317B1C43"/>
    <w:rsid w:val="31C51E84"/>
    <w:rsid w:val="31CD6174"/>
    <w:rsid w:val="3255145A"/>
    <w:rsid w:val="32594BD2"/>
    <w:rsid w:val="32770201"/>
    <w:rsid w:val="32990C1B"/>
    <w:rsid w:val="32E25558"/>
    <w:rsid w:val="32FD41BB"/>
    <w:rsid w:val="3320499D"/>
    <w:rsid w:val="33A53D1B"/>
    <w:rsid w:val="33D60378"/>
    <w:rsid w:val="33D648F6"/>
    <w:rsid w:val="33E12879"/>
    <w:rsid w:val="33F627C9"/>
    <w:rsid w:val="345B087E"/>
    <w:rsid w:val="345C1524"/>
    <w:rsid w:val="34DB447F"/>
    <w:rsid w:val="35044A71"/>
    <w:rsid w:val="35495504"/>
    <w:rsid w:val="357C6BC8"/>
    <w:rsid w:val="359C114E"/>
    <w:rsid w:val="35CD0AE5"/>
    <w:rsid w:val="35D30C5A"/>
    <w:rsid w:val="35E05D71"/>
    <w:rsid w:val="3613529D"/>
    <w:rsid w:val="36686D27"/>
    <w:rsid w:val="36AF0BD7"/>
    <w:rsid w:val="36D861B6"/>
    <w:rsid w:val="36E31B22"/>
    <w:rsid w:val="375D15A6"/>
    <w:rsid w:val="37C12DCF"/>
    <w:rsid w:val="37C565A9"/>
    <w:rsid w:val="380354B4"/>
    <w:rsid w:val="38291F6A"/>
    <w:rsid w:val="38657F1D"/>
    <w:rsid w:val="38FB6F08"/>
    <w:rsid w:val="39A27CE8"/>
    <w:rsid w:val="39BD3968"/>
    <w:rsid w:val="3A492879"/>
    <w:rsid w:val="3A845141"/>
    <w:rsid w:val="3B0B6B11"/>
    <w:rsid w:val="3BC62A80"/>
    <w:rsid w:val="3BEA3572"/>
    <w:rsid w:val="3CA65F73"/>
    <w:rsid w:val="3CA97824"/>
    <w:rsid w:val="3D1E069A"/>
    <w:rsid w:val="3E4F20FB"/>
    <w:rsid w:val="3E851D80"/>
    <w:rsid w:val="3EDD6834"/>
    <w:rsid w:val="3EE6607F"/>
    <w:rsid w:val="3EFA76FE"/>
    <w:rsid w:val="3F3C4DFA"/>
    <w:rsid w:val="3FC165DA"/>
    <w:rsid w:val="407F58BC"/>
    <w:rsid w:val="409C3B07"/>
    <w:rsid w:val="41101DFD"/>
    <w:rsid w:val="413466DE"/>
    <w:rsid w:val="41937E36"/>
    <w:rsid w:val="41A37FB5"/>
    <w:rsid w:val="41C13312"/>
    <w:rsid w:val="41C92543"/>
    <w:rsid w:val="41D869C5"/>
    <w:rsid w:val="42275ABF"/>
    <w:rsid w:val="4256677E"/>
    <w:rsid w:val="42601A81"/>
    <w:rsid w:val="427A5CF1"/>
    <w:rsid w:val="42B04A1B"/>
    <w:rsid w:val="42D462B4"/>
    <w:rsid w:val="43755CA2"/>
    <w:rsid w:val="43E21F24"/>
    <w:rsid w:val="442962A2"/>
    <w:rsid w:val="443C1619"/>
    <w:rsid w:val="449F5A6E"/>
    <w:rsid w:val="452F5B3A"/>
    <w:rsid w:val="45401825"/>
    <w:rsid w:val="463B4C52"/>
    <w:rsid w:val="464A0752"/>
    <w:rsid w:val="466505AE"/>
    <w:rsid w:val="46D00C57"/>
    <w:rsid w:val="475C5E48"/>
    <w:rsid w:val="481903DC"/>
    <w:rsid w:val="481935D8"/>
    <w:rsid w:val="497D499A"/>
    <w:rsid w:val="4A07193D"/>
    <w:rsid w:val="4A0B3AD6"/>
    <w:rsid w:val="4A564D5A"/>
    <w:rsid w:val="4AA93C99"/>
    <w:rsid w:val="4AEE5B50"/>
    <w:rsid w:val="4BF806C0"/>
    <w:rsid w:val="4BFC24EE"/>
    <w:rsid w:val="4C2D06CD"/>
    <w:rsid w:val="4C4C0689"/>
    <w:rsid w:val="4CDD31A4"/>
    <w:rsid w:val="4D60162B"/>
    <w:rsid w:val="4DE535FF"/>
    <w:rsid w:val="4E1744E3"/>
    <w:rsid w:val="4E6E2603"/>
    <w:rsid w:val="4E8567CB"/>
    <w:rsid w:val="4EAD187E"/>
    <w:rsid w:val="4F161B19"/>
    <w:rsid w:val="4F8922EB"/>
    <w:rsid w:val="4F934F18"/>
    <w:rsid w:val="4FA64C4B"/>
    <w:rsid w:val="4FB07F85"/>
    <w:rsid w:val="501C4F0D"/>
    <w:rsid w:val="50566671"/>
    <w:rsid w:val="50874A7C"/>
    <w:rsid w:val="50CE160C"/>
    <w:rsid w:val="512E12EF"/>
    <w:rsid w:val="52403844"/>
    <w:rsid w:val="533C79BD"/>
    <w:rsid w:val="5376663B"/>
    <w:rsid w:val="539B25A1"/>
    <w:rsid w:val="543F45CB"/>
    <w:rsid w:val="54753EA0"/>
    <w:rsid w:val="54971006"/>
    <w:rsid w:val="551B08BC"/>
    <w:rsid w:val="55482ADB"/>
    <w:rsid w:val="55704D28"/>
    <w:rsid w:val="565076BF"/>
    <w:rsid w:val="5708213C"/>
    <w:rsid w:val="57A012C6"/>
    <w:rsid w:val="57A53A3A"/>
    <w:rsid w:val="581A12F1"/>
    <w:rsid w:val="583D0117"/>
    <w:rsid w:val="58B101BD"/>
    <w:rsid w:val="58FE1654"/>
    <w:rsid w:val="590F04F9"/>
    <w:rsid w:val="59B559C4"/>
    <w:rsid w:val="5A010E1A"/>
    <w:rsid w:val="5A2E48DD"/>
    <w:rsid w:val="5A7E1890"/>
    <w:rsid w:val="5A7E3E82"/>
    <w:rsid w:val="5AB273AF"/>
    <w:rsid w:val="5ABC3575"/>
    <w:rsid w:val="5B461090"/>
    <w:rsid w:val="5B474DD8"/>
    <w:rsid w:val="5BB701E0"/>
    <w:rsid w:val="5D647EF4"/>
    <w:rsid w:val="5F0400F9"/>
    <w:rsid w:val="5F3D1F88"/>
    <w:rsid w:val="5FA51708"/>
    <w:rsid w:val="5FB6281C"/>
    <w:rsid w:val="5FC37153"/>
    <w:rsid w:val="5FF266DD"/>
    <w:rsid w:val="600A5DD1"/>
    <w:rsid w:val="60DF1240"/>
    <w:rsid w:val="61277C94"/>
    <w:rsid w:val="617436E2"/>
    <w:rsid w:val="61A46B11"/>
    <w:rsid w:val="626E2E29"/>
    <w:rsid w:val="62890576"/>
    <w:rsid w:val="62900C11"/>
    <w:rsid w:val="62D160BE"/>
    <w:rsid w:val="63D3192F"/>
    <w:rsid w:val="640970FF"/>
    <w:rsid w:val="643D03FD"/>
    <w:rsid w:val="644545DB"/>
    <w:rsid w:val="64654FD5"/>
    <w:rsid w:val="64F25DE5"/>
    <w:rsid w:val="64F83B70"/>
    <w:rsid w:val="65295CAB"/>
    <w:rsid w:val="65AB02DD"/>
    <w:rsid w:val="6602326A"/>
    <w:rsid w:val="66122322"/>
    <w:rsid w:val="667B6379"/>
    <w:rsid w:val="66D621E8"/>
    <w:rsid w:val="670D3579"/>
    <w:rsid w:val="6753700F"/>
    <w:rsid w:val="67994DD9"/>
    <w:rsid w:val="67BA37FC"/>
    <w:rsid w:val="67FD50C9"/>
    <w:rsid w:val="681A5D7E"/>
    <w:rsid w:val="6830279C"/>
    <w:rsid w:val="684D1CB0"/>
    <w:rsid w:val="687562C1"/>
    <w:rsid w:val="68CF4BE5"/>
    <w:rsid w:val="697E66F5"/>
    <w:rsid w:val="6B3A00D8"/>
    <w:rsid w:val="6B7834E8"/>
    <w:rsid w:val="6BBE2717"/>
    <w:rsid w:val="6C5607E6"/>
    <w:rsid w:val="6C967A2C"/>
    <w:rsid w:val="6CAD3724"/>
    <w:rsid w:val="6D172E93"/>
    <w:rsid w:val="6D68563E"/>
    <w:rsid w:val="6D803BC9"/>
    <w:rsid w:val="6E272FA3"/>
    <w:rsid w:val="6E565636"/>
    <w:rsid w:val="6EA539C7"/>
    <w:rsid w:val="6EB325CC"/>
    <w:rsid w:val="6ED57955"/>
    <w:rsid w:val="6F0376CC"/>
    <w:rsid w:val="6F9E1043"/>
    <w:rsid w:val="7096383D"/>
    <w:rsid w:val="70A46B2D"/>
    <w:rsid w:val="70E60EF4"/>
    <w:rsid w:val="714F6A99"/>
    <w:rsid w:val="716C58B6"/>
    <w:rsid w:val="719D0416"/>
    <w:rsid w:val="71A30B93"/>
    <w:rsid w:val="71AA57A9"/>
    <w:rsid w:val="72227D09"/>
    <w:rsid w:val="73177BF4"/>
    <w:rsid w:val="738D1C53"/>
    <w:rsid w:val="73CF2D21"/>
    <w:rsid w:val="73E13BF4"/>
    <w:rsid w:val="743E47E3"/>
    <w:rsid w:val="74BA74C3"/>
    <w:rsid w:val="752B5127"/>
    <w:rsid w:val="76A23C5C"/>
    <w:rsid w:val="76B31878"/>
    <w:rsid w:val="76D452AF"/>
    <w:rsid w:val="77203648"/>
    <w:rsid w:val="77945F0F"/>
    <w:rsid w:val="780C5C95"/>
    <w:rsid w:val="781A4DE9"/>
    <w:rsid w:val="78206DA7"/>
    <w:rsid w:val="78C117D1"/>
    <w:rsid w:val="792737ED"/>
    <w:rsid w:val="79E578F6"/>
    <w:rsid w:val="7A0745DE"/>
    <w:rsid w:val="7A4D1FE3"/>
    <w:rsid w:val="7AAB0470"/>
    <w:rsid w:val="7AC64AA5"/>
    <w:rsid w:val="7AED10D1"/>
    <w:rsid w:val="7BA82D08"/>
    <w:rsid w:val="7BE83BD7"/>
    <w:rsid w:val="7D4F1AC4"/>
    <w:rsid w:val="7D746B63"/>
    <w:rsid w:val="7E9256D3"/>
    <w:rsid w:val="7E926217"/>
    <w:rsid w:val="7EB049C0"/>
    <w:rsid w:val="7EE2698D"/>
    <w:rsid w:val="7EEB13B4"/>
    <w:rsid w:val="7F3948E4"/>
    <w:rsid w:val="7F9B559F"/>
    <w:rsid w:val="7FB90D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79"/>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8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8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9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9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9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9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5"/>
    <w:unhideWhenUsed/>
    <w:qFormat/>
    <w:uiPriority w:val="9"/>
    <w:pPr>
      <w:keepNext/>
      <w:keepLines/>
      <w:spacing w:before="320" w:after="200"/>
      <w:outlineLvl w:val="8"/>
    </w:pPr>
    <w:rPr>
      <w:rFonts w:ascii="Arial" w:hAnsi="Arial" w:eastAsia="Arial" w:cs="Arial"/>
      <w:i/>
      <w:iCs/>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ind w:firstLine="420"/>
    </w:pPr>
    <w:rPr>
      <w:rFonts w:ascii="Times New Roman" w:hAnsi="Times New Roman"/>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6"/>
    <w:qFormat/>
    <w:uiPriority w:val="0"/>
    <w:rPr>
      <w:rFonts w:ascii="楷体_GB2312" w:hAnsi="Arial" w:eastAsia="楷体_GB2312"/>
      <w:sz w:val="28"/>
      <w:szCs w:val="28"/>
    </w:rPr>
  </w:style>
  <w:style w:type="paragraph" w:styleId="16">
    <w:name w:val="Body Text First Indent"/>
    <w:basedOn w:val="15"/>
    <w:next w:val="1"/>
    <w:qFormat/>
    <w:uiPriority w:val="0"/>
    <w:pPr>
      <w:ind w:firstLine="420"/>
    </w:pPr>
  </w:style>
  <w:style w:type="paragraph" w:styleId="17">
    <w:name w:val="Body Text Indent"/>
    <w:basedOn w:val="1"/>
    <w:qFormat/>
    <w:uiPriority w:val="0"/>
    <w:pPr>
      <w:ind w:firstLine="225" w:firstLineChars="225"/>
    </w:pPr>
    <w:rPr>
      <w:rFonts w:ascii="仿宋_GB2312" w:hAnsi="Times New Roman" w:eastAsia="仿宋_GB2312" w:cs="Times New Roman"/>
      <w:sz w:val="32"/>
    </w:rPr>
  </w:style>
  <w:style w:type="paragraph" w:styleId="18">
    <w:name w:val="List Bullet 2"/>
    <w:basedOn w:val="1"/>
    <w:semiHidden/>
    <w:unhideWhenUsed/>
    <w:qFormat/>
    <w:uiPriority w:val="99"/>
    <w:pPr>
      <w:numPr>
        <w:ilvl w:val="0"/>
        <w:numId w:val="1"/>
      </w:numPr>
    </w:pPr>
  </w:style>
  <w:style w:type="paragraph" w:styleId="19">
    <w:name w:val="index 4"/>
    <w:basedOn w:val="1"/>
    <w:next w:val="1"/>
    <w:qFormat/>
    <w:uiPriority w:val="0"/>
    <w:pPr>
      <w:spacing w:line="360" w:lineRule="auto"/>
      <w:ind w:left="600" w:firstLine="200"/>
    </w:pPr>
    <w:rPr>
      <w:rFonts w:ascii="等线" w:hAnsi="等线" w:eastAsia="等线"/>
      <w:sz w:val="24"/>
      <w:szCs w:val="24"/>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unhideWhenUsed/>
    <w:qFormat/>
    <w:uiPriority w:val="0"/>
    <w:rPr>
      <w:rFonts w:ascii="宋体" w:hAnsi="Courier New"/>
      <w:kern w:val="0"/>
      <w:sz w:val="20"/>
      <w:szCs w:val="21"/>
    </w:rPr>
  </w:style>
  <w:style w:type="paragraph" w:styleId="23">
    <w:name w:val="toc 8"/>
    <w:basedOn w:val="1"/>
    <w:next w:val="1"/>
    <w:unhideWhenUsed/>
    <w:qFormat/>
    <w:uiPriority w:val="39"/>
    <w:pPr>
      <w:spacing w:after="57"/>
      <w:ind w:left="1984"/>
    </w:pPr>
  </w:style>
  <w:style w:type="paragraph" w:styleId="24">
    <w:name w:val="endnote text"/>
    <w:basedOn w:val="1"/>
    <w:link w:val="233"/>
    <w:semiHidden/>
    <w:unhideWhenUsed/>
    <w:qFormat/>
    <w:uiPriority w:val="99"/>
    <w:rPr>
      <w:sz w:val="20"/>
    </w:rPr>
  </w:style>
  <w:style w:type="paragraph" w:styleId="25">
    <w:name w:val="footer"/>
    <w:basedOn w:val="1"/>
    <w:link w:val="106"/>
    <w:unhideWhenUsed/>
    <w:qFormat/>
    <w:uiPriority w:val="99"/>
    <w:pPr>
      <w:tabs>
        <w:tab w:val="center" w:pos="7143"/>
        <w:tab w:val="right" w:pos="14287"/>
      </w:tabs>
    </w:pPr>
  </w:style>
  <w:style w:type="paragraph" w:styleId="26">
    <w:name w:val="header"/>
    <w:basedOn w:val="1"/>
    <w:link w:val="104"/>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99"/>
    <w:qFormat/>
    <w:uiPriority w:val="11"/>
    <w:pPr>
      <w:spacing w:before="200" w:after="200"/>
    </w:pPr>
    <w:rPr>
      <w:sz w:val="24"/>
      <w:szCs w:val="24"/>
    </w:rPr>
  </w:style>
  <w:style w:type="paragraph" w:styleId="30">
    <w:name w:val="footnote text"/>
    <w:basedOn w:val="1"/>
    <w:link w:val="232"/>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Body Text 2"/>
    <w:basedOn w:val="1"/>
    <w:qFormat/>
    <w:uiPriority w:val="0"/>
    <w:pPr>
      <w:spacing w:after="120" w:line="480" w:lineRule="auto"/>
    </w:pPr>
    <w:rPr>
      <w:rFonts w:ascii="Calibri" w:hAnsi="Calibri"/>
    </w:rPr>
  </w:style>
  <w:style w:type="paragraph" w:styleId="36">
    <w:name w:val="Normal (Web)"/>
    <w:basedOn w:val="1"/>
    <w:qFormat/>
    <w:uiPriority w:val="0"/>
    <w:rPr>
      <w:sz w:val="24"/>
    </w:rPr>
  </w:style>
  <w:style w:type="paragraph" w:styleId="37">
    <w:name w:val="Title"/>
    <w:basedOn w:val="1"/>
    <w:next w:val="1"/>
    <w:link w:val="98"/>
    <w:qFormat/>
    <w:uiPriority w:val="10"/>
    <w:pPr>
      <w:spacing w:before="300" w:after="200"/>
      <w:contextualSpacing/>
    </w:pPr>
    <w:rPr>
      <w:sz w:val="48"/>
      <w:szCs w:val="48"/>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qFormat/>
    <w:uiPriority w:val="99"/>
    <w:rPr>
      <w:b/>
      <w:bCs/>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paragraph" w:customStyle="1" w:styleId="45">
    <w:name w:val="列表项目符号 21"/>
    <w:basedOn w:val="1"/>
    <w:unhideWhenUsed/>
    <w:qFormat/>
    <w:uiPriority w:val="0"/>
    <w:pPr>
      <w:numPr>
        <w:ilvl w:val="0"/>
        <w:numId w:val="2"/>
      </w:numPr>
    </w:pPr>
  </w:style>
  <w:style w:type="character" w:customStyle="1" w:styleId="46">
    <w:name w:val="Heading 1 Char"/>
    <w:basedOn w:val="40"/>
    <w:qFormat/>
    <w:uiPriority w:val="9"/>
    <w:rPr>
      <w:rFonts w:ascii="Arial" w:hAnsi="Arial" w:eastAsia="Arial" w:cs="Arial"/>
      <w:sz w:val="40"/>
      <w:szCs w:val="40"/>
    </w:rPr>
  </w:style>
  <w:style w:type="character" w:customStyle="1" w:styleId="47">
    <w:name w:val="Heading 2 Char"/>
    <w:basedOn w:val="40"/>
    <w:qFormat/>
    <w:uiPriority w:val="9"/>
    <w:rPr>
      <w:rFonts w:ascii="Arial" w:hAnsi="Arial" w:eastAsia="Arial" w:cs="Arial"/>
      <w:sz w:val="34"/>
    </w:rPr>
  </w:style>
  <w:style w:type="character" w:customStyle="1" w:styleId="48">
    <w:name w:val="标题 4 Char"/>
    <w:link w:val="49"/>
    <w:qFormat/>
    <w:uiPriority w:val="0"/>
    <w:rPr>
      <w:rFonts w:ascii="Arial" w:hAnsi="Arial" w:eastAsia="黑体" w:cs="Arial"/>
      <w:b/>
      <w:bCs/>
      <w:sz w:val="28"/>
      <w:szCs w:val="28"/>
    </w:rPr>
  </w:style>
  <w:style w:type="paragraph" w:customStyle="1" w:styleId="49">
    <w:name w:val="标题 41"/>
    <w:basedOn w:val="1"/>
    <w:next w:val="50"/>
    <w:link w:val="48"/>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50">
    <w:name w:val="正文缩进1"/>
    <w:basedOn w:val="1"/>
    <w:link w:val="276"/>
    <w:qFormat/>
    <w:uiPriority w:val="0"/>
    <w:pPr>
      <w:ind w:firstLine="420"/>
    </w:pPr>
  </w:style>
  <w:style w:type="paragraph" w:customStyle="1" w:styleId="51">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52">
    <w:name w:val="Heading 3 Char"/>
    <w:basedOn w:val="40"/>
    <w:qFormat/>
    <w:uiPriority w:val="9"/>
    <w:rPr>
      <w:rFonts w:ascii="Arial" w:hAnsi="Arial" w:eastAsia="Arial" w:cs="Arial"/>
      <w:sz w:val="30"/>
      <w:szCs w:val="30"/>
    </w:rPr>
  </w:style>
  <w:style w:type="character" w:customStyle="1" w:styleId="53">
    <w:name w:val="Heading 4 Char"/>
    <w:basedOn w:val="40"/>
    <w:qFormat/>
    <w:uiPriority w:val="9"/>
    <w:rPr>
      <w:rFonts w:ascii="Arial" w:hAnsi="Arial" w:eastAsia="Arial" w:cs="Arial"/>
      <w:b/>
      <w:bCs/>
      <w:sz w:val="26"/>
      <w:szCs w:val="26"/>
    </w:rPr>
  </w:style>
  <w:style w:type="character" w:customStyle="1" w:styleId="54">
    <w:name w:val="Heading 5 Char"/>
    <w:basedOn w:val="40"/>
    <w:qFormat/>
    <w:uiPriority w:val="9"/>
    <w:rPr>
      <w:rFonts w:ascii="Arial" w:hAnsi="Arial" w:eastAsia="Arial" w:cs="Arial"/>
      <w:b/>
      <w:bCs/>
      <w:sz w:val="24"/>
      <w:szCs w:val="24"/>
    </w:rPr>
  </w:style>
  <w:style w:type="character" w:customStyle="1" w:styleId="55">
    <w:name w:val="Heading 6 Char"/>
    <w:basedOn w:val="40"/>
    <w:qFormat/>
    <w:uiPriority w:val="9"/>
    <w:rPr>
      <w:rFonts w:ascii="Arial" w:hAnsi="Arial" w:eastAsia="Arial" w:cs="Arial"/>
      <w:b/>
      <w:bCs/>
      <w:sz w:val="22"/>
      <w:szCs w:val="22"/>
    </w:rPr>
  </w:style>
  <w:style w:type="character" w:customStyle="1" w:styleId="56">
    <w:name w:val="Heading 7 Char"/>
    <w:basedOn w:val="40"/>
    <w:qFormat/>
    <w:uiPriority w:val="9"/>
    <w:rPr>
      <w:rFonts w:ascii="Arial" w:hAnsi="Arial" w:eastAsia="Arial" w:cs="Arial"/>
      <w:b/>
      <w:bCs/>
      <w:i/>
      <w:iCs/>
      <w:sz w:val="22"/>
      <w:szCs w:val="22"/>
    </w:rPr>
  </w:style>
  <w:style w:type="character" w:customStyle="1" w:styleId="57">
    <w:name w:val="Heading 8 Char"/>
    <w:basedOn w:val="40"/>
    <w:qFormat/>
    <w:uiPriority w:val="9"/>
    <w:rPr>
      <w:rFonts w:ascii="Arial" w:hAnsi="Arial" w:eastAsia="Arial" w:cs="Arial"/>
      <w:i/>
      <w:iCs/>
      <w:sz w:val="22"/>
      <w:szCs w:val="22"/>
    </w:rPr>
  </w:style>
  <w:style w:type="character" w:customStyle="1" w:styleId="58">
    <w:name w:val="Heading 9 Char"/>
    <w:basedOn w:val="40"/>
    <w:qFormat/>
    <w:uiPriority w:val="9"/>
    <w:rPr>
      <w:rFonts w:ascii="Arial" w:hAnsi="Arial" w:eastAsia="Arial" w:cs="Arial"/>
      <w:i/>
      <w:iCs/>
      <w:sz w:val="21"/>
      <w:szCs w:val="21"/>
    </w:rPr>
  </w:style>
  <w:style w:type="character" w:customStyle="1" w:styleId="59">
    <w:name w:val="Title Char"/>
    <w:basedOn w:val="40"/>
    <w:qFormat/>
    <w:uiPriority w:val="10"/>
    <w:rPr>
      <w:sz w:val="48"/>
      <w:szCs w:val="48"/>
    </w:rPr>
  </w:style>
  <w:style w:type="character" w:customStyle="1" w:styleId="60">
    <w:name w:val="Subtitle Char"/>
    <w:basedOn w:val="40"/>
    <w:qFormat/>
    <w:uiPriority w:val="11"/>
    <w:rPr>
      <w:sz w:val="24"/>
      <w:szCs w:val="24"/>
    </w:rPr>
  </w:style>
  <w:style w:type="character" w:customStyle="1" w:styleId="61">
    <w:name w:val="Quote Char"/>
    <w:qFormat/>
    <w:uiPriority w:val="29"/>
    <w:rPr>
      <w:i/>
    </w:rPr>
  </w:style>
  <w:style w:type="character" w:customStyle="1" w:styleId="62">
    <w:name w:val="Intense Quote Char"/>
    <w:qFormat/>
    <w:uiPriority w:val="30"/>
    <w:rPr>
      <w:i/>
    </w:rPr>
  </w:style>
  <w:style w:type="character" w:customStyle="1" w:styleId="63">
    <w:name w:val="Header Char"/>
    <w:basedOn w:val="40"/>
    <w:qFormat/>
    <w:uiPriority w:val="99"/>
  </w:style>
  <w:style w:type="character" w:customStyle="1" w:styleId="64">
    <w:name w:val="Caption Char"/>
    <w:qFormat/>
    <w:uiPriority w:val="99"/>
  </w:style>
  <w:style w:type="table" w:customStyle="1" w:styleId="65">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5">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8">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9">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0">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2">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3">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4">
    <w:name w:val="Footnote Text Char"/>
    <w:qFormat/>
    <w:uiPriority w:val="99"/>
    <w:rPr>
      <w:sz w:val="18"/>
    </w:rPr>
  </w:style>
  <w:style w:type="character" w:customStyle="1" w:styleId="85">
    <w:name w:val="Endnote Text Char"/>
    <w:qFormat/>
    <w:uiPriority w:val="99"/>
    <w:rPr>
      <w:sz w:val="20"/>
    </w:rPr>
  </w:style>
  <w:style w:type="paragraph" w:customStyle="1" w:styleId="86">
    <w:name w:val="TOC Heading"/>
    <w:unhideWhenUsed/>
    <w:qFormat/>
    <w:uiPriority w:val="39"/>
    <w:rPr>
      <w:rFonts w:hint="default" w:ascii="Times New Roman" w:hAnsi="Times New Roman" w:eastAsia="宋体" w:cs="Times New Roman"/>
    </w:rPr>
  </w:style>
  <w:style w:type="character" w:customStyle="1" w:styleId="87">
    <w:name w:val="标题 1 字符"/>
    <w:link w:val="2"/>
    <w:qFormat/>
    <w:uiPriority w:val="9"/>
    <w:rPr>
      <w:rFonts w:ascii="Arial" w:hAnsi="Arial" w:eastAsia="Arial" w:cs="Arial"/>
      <w:sz w:val="40"/>
      <w:szCs w:val="40"/>
    </w:rPr>
  </w:style>
  <w:style w:type="character" w:customStyle="1" w:styleId="88">
    <w:name w:val="标题 2 字符"/>
    <w:link w:val="3"/>
    <w:qFormat/>
    <w:uiPriority w:val="9"/>
    <w:rPr>
      <w:rFonts w:ascii="Arial" w:hAnsi="Arial" w:eastAsia="Arial" w:cs="Arial"/>
      <w:sz w:val="34"/>
    </w:rPr>
  </w:style>
  <w:style w:type="character" w:customStyle="1" w:styleId="89">
    <w:name w:val="标题 3 字符"/>
    <w:link w:val="5"/>
    <w:qFormat/>
    <w:uiPriority w:val="9"/>
    <w:rPr>
      <w:rFonts w:ascii="Arial" w:hAnsi="Arial" w:eastAsia="Arial" w:cs="Arial"/>
      <w:sz w:val="30"/>
      <w:szCs w:val="30"/>
    </w:rPr>
  </w:style>
  <w:style w:type="character" w:customStyle="1" w:styleId="90">
    <w:name w:val="标题 4 字符"/>
    <w:link w:val="6"/>
    <w:qFormat/>
    <w:uiPriority w:val="9"/>
    <w:rPr>
      <w:rFonts w:ascii="Arial" w:hAnsi="Arial" w:eastAsia="Arial" w:cs="Arial"/>
      <w:b/>
      <w:bCs/>
      <w:sz w:val="26"/>
      <w:szCs w:val="26"/>
    </w:rPr>
  </w:style>
  <w:style w:type="character" w:customStyle="1" w:styleId="91">
    <w:name w:val="标题 5 字符"/>
    <w:link w:val="7"/>
    <w:qFormat/>
    <w:uiPriority w:val="9"/>
    <w:rPr>
      <w:rFonts w:ascii="Arial" w:hAnsi="Arial" w:eastAsia="Arial" w:cs="Arial"/>
      <w:b/>
      <w:bCs/>
      <w:sz w:val="24"/>
      <w:szCs w:val="24"/>
    </w:rPr>
  </w:style>
  <w:style w:type="character" w:customStyle="1" w:styleId="92">
    <w:name w:val="标题 6 字符"/>
    <w:link w:val="8"/>
    <w:qFormat/>
    <w:uiPriority w:val="9"/>
    <w:rPr>
      <w:rFonts w:ascii="Arial" w:hAnsi="Arial" w:eastAsia="Arial" w:cs="Arial"/>
      <w:b/>
      <w:bCs/>
      <w:sz w:val="22"/>
      <w:szCs w:val="22"/>
    </w:rPr>
  </w:style>
  <w:style w:type="character" w:customStyle="1" w:styleId="93">
    <w:name w:val="标题 7 字符"/>
    <w:link w:val="9"/>
    <w:qFormat/>
    <w:uiPriority w:val="9"/>
    <w:rPr>
      <w:rFonts w:ascii="Arial" w:hAnsi="Arial" w:eastAsia="Arial" w:cs="Arial"/>
      <w:b/>
      <w:bCs/>
      <w:i/>
      <w:iCs/>
      <w:sz w:val="22"/>
      <w:szCs w:val="22"/>
    </w:rPr>
  </w:style>
  <w:style w:type="character" w:customStyle="1" w:styleId="94">
    <w:name w:val="标题 8 字符"/>
    <w:link w:val="10"/>
    <w:qFormat/>
    <w:uiPriority w:val="9"/>
    <w:rPr>
      <w:rFonts w:ascii="Arial" w:hAnsi="Arial" w:eastAsia="Arial" w:cs="Arial"/>
      <w:i/>
      <w:iCs/>
      <w:sz w:val="22"/>
      <w:szCs w:val="22"/>
    </w:rPr>
  </w:style>
  <w:style w:type="character" w:customStyle="1" w:styleId="95">
    <w:name w:val="标题 9 字符"/>
    <w:link w:val="11"/>
    <w:qFormat/>
    <w:uiPriority w:val="9"/>
    <w:rPr>
      <w:rFonts w:ascii="Arial" w:hAnsi="Arial" w:eastAsia="Arial" w:cs="Arial"/>
      <w:i/>
      <w:iCs/>
      <w:sz w:val="21"/>
      <w:szCs w:val="21"/>
    </w:rPr>
  </w:style>
  <w:style w:type="paragraph" w:styleId="96">
    <w:name w:val="List Paragraph"/>
    <w:basedOn w:val="1"/>
    <w:qFormat/>
    <w:uiPriority w:val="34"/>
    <w:pPr>
      <w:ind w:left="720"/>
      <w:contextualSpacing/>
    </w:pPr>
  </w:style>
  <w:style w:type="paragraph" w:styleId="97">
    <w:name w:val="No Spacing"/>
    <w:qFormat/>
    <w:uiPriority w:val="1"/>
    <w:rPr>
      <w:rFonts w:hint="default" w:ascii="Calibri" w:hAnsi="Calibri" w:eastAsia="宋体" w:cs="Times New Roman"/>
      <w:lang w:val="en-US" w:eastAsia="zh-CN" w:bidi="ar-SA"/>
    </w:rPr>
  </w:style>
  <w:style w:type="character" w:customStyle="1" w:styleId="98">
    <w:name w:val="标题 字符"/>
    <w:link w:val="37"/>
    <w:qFormat/>
    <w:uiPriority w:val="10"/>
    <w:rPr>
      <w:sz w:val="48"/>
      <w:szCs w:val="48"/>
    </w:rPr>
  </w:style>
  <w:style w:type="character" w:customStyle="1" w:styleId="99">
    <w:name w:val="副标题 字符"/>
    <w:link w:val="29"/>
    <w:qFormat/>
    <w:uiPriority w:val="11"/>
    <w:rPr>
      <w:sz w:val="24"/>
      <w:szCs w:val="24"/>
    </w:rPr>
  </w:style>
  <w:style w:type="paragraph" w:styleId="100">
    <w:name w:val="Quote"/>
    <w:basedOn w:val="1"/>
    <w:next w:val="1"/>
    <w:link w:val="101"/>
    <w:qFormat/>
    <w:uiPriority w:val="29"/>
    <w:pPr>
      <w:ind w:left="720" w:right="720"/>
    </w:pPr>
    <w:rPr>
      <w:i/>
    </w:rPr>
  </w:style>
  <w:style w:type="character" w:customStyle="1" w:styleId="101">
    <w:name w:val="引用 字符"/>
    <w:link w:val="100"/>
    <w:qFormat/>
    <w:uiPriority w:val="29"/>
    <w:rPr>
      <w:i/>
    </w:rPr>
  </w:style>
  <w:style w:type="paragraph" w:styleId="102">
    <w:name w:val="Intense Quote"/>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字符"/>
    <w:link w:val="102"/>
    <w:qFormat/>
    <w:uiPriority w:val="30"/>
    <w:rPr>
      <w:i/>
    </w:rPr>
  </w:style>
  <w:style w:type="character" w:customStyle="1" w:styleId="104">
    <w:name w:val="页眉 字符"/>
    <w:link w:val="26"/>
    <w:qFormat/>
    <w:uiPriority w:val="99"/>
  </w:style>
  <w:style w:type="character" w:customStyle="1" w:styleId="105">
    <w:name w:val="Footer Char"/>
    <w:qFormat/>
    <w:uiPriority w:val="99"/>
  </w:style>
  <w:style w:type="character" w:customStyle="1" w:styleId="106">
    <w:name w:val="页脚 字符"/>
    <w:link w:val="25"/>
    <w:qFormat/>
    <w:uiPriority w:val="99"/>
  </w:style>
  <w:style w:type="table" w:customStyle="1" w:styleId="10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2">
    <w:name w:val="脚注文本 字符"/>
    <w:link w:val="30"/>
    <w:qFormat/>
    <w:uiPriority w:val="99"/>
    <w:rPr>
      <w:sz w:val="18"/>
    </w:rPr>
  </w:style>
  <w:style w:type="character" w:customStyle="1" w:styleId="233">
    <w:name w:val="尾注文本 字符"/>
    <w:link w:val="24"/>
    <w:qFormat/>
    <w:uiPriority w:val="99"/>
    <w:rPr>
      <w:sz w:val="20"/>
    </w:rPr>
  </w:style>
  <w:style w:type="paragraph" w:customStyle="1" w:styleId="234">
    <w:name w:val="TOC 标题1"/>
    <w:unhideWhenUsed/>
    <w:qFormat/>
    <w:uiPriority w:val="39"/>
    <w:rPr>
      <w:rFonts w:hint="default" w:ascii="Calibri" w:hAnsi="Calibri" w:eastAsia="宋体" w:cs="Times New Roman"/>
      <w:lang w:val="en-US" w:eastAsia="zh-CN" w:bidi="ar-SA"/>
    </w:rPr>
  </w:style>
  <w:style w:type="paragraph" w:customStyle="1" w:styleId="235">
    <w:name w:val="标题 11"/>
    <w:basedOn w:val="236"/>
    <w:next w:val="236"/>
    <w:link w:val="291"/>
    <w:qFormat/>
    <w:uiPriority w:val="0"/>
    <w:pPr>
      <w:keepNext/>
      <w:jc w:val="center"/>
      <w:outlineLvl w:val="0"/>
    </w:pPr>
    <w:rPr>
      <w:rFonts w:ascii="楷体_GB2312" w:eastAsia="楷体_GB2312"/>
      <w:sz w:val="28"/>
      <w:szCs w:val="28"/>
    </w:rPr>
  </w:style>
  <w:style w:type="paragraph" w:customStyle="1" w:styleId="236">
    <w:name w:val="正文11"/>
    <w:next w:val="237"/>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37">
    <w:name w:val="正文1"/>
    <w:basedOn w:val="1"/>
    <w:next w:val="238"/>
    <w:qFormat/>
    <w:uiPriority w:val="99"/>
    <w:pPr>
      <w:spacing w:line="440" w:lineRule="exact"/>
      <w:ind w:firstLine="480"/>
    </w:pPr>
    <w:rPr>
      <w:rFonts w:ascii="微软雅黑" w:hAnsi="微软雅黑" w:eastAsia="微软雅黑"/>
      <w:sz w:val="24"/>
      <w:szCs w:val="20"/>
    </w:rPr>
  </w:style>
  <w:style w:type="paragraph" w:customStyle="1" w:styleId="238">
    <w:name w:val="正文文本1"/>
    <w:basedOn w:val="1"/>
    <w:next w:val="239"/>
    <w:link w:val="255"/>
    <w:qFormat/>
    <w:uiPriority w:val="0"/>
    <w:rPr>
      <w:rFonts w:ascii="楷体_GB2312" w:hAnsi="Arial" w:eastAsia="楷体_GB2312"/>
      <w:sz w:val="28"/>
      <w:szCs w:val="28"/>
    </w:rPr>
  </w:style>
  <w:style w:type="paragraph" w:customStyle="1" w:styleId="239">
    <w:name w:val="一级条标题"/>
    <w:basedOn w:val="240"/>
    <w:next w:val="24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40">
    <w:name w:val="章标题"/>
    <w:next w:val="236"/>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41">
    <w:name w:val="段"/>
    <w:basedOn w:val="237"/>
    <w:next w:val="236"/>
    <w:qFormat/>
    <w:uiPriority w:val="0"/>
    <w:pPr>
      <w:widowControl/>
      <w:ind w:firstLine="200"/>
    </w:pPr>
    <w:rPr>
      <w:sz w:val="20"/>
    </w:rPr>
  </w:style>
  <w:style w:type="paragraph" w:customStyle="1" w:styleId="242">
    <w:name w:val="标题 21"/>
    <w:basedOn w:val="1"/>
    <w:next w:val="50"/>
    <w:link w:val="292"/>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43">
    <w:name w:val="标题 31"/>
    <w:basedOn w:val="1"/>
    <w:next w:val="1"/>
    <w:link w:val="273"/>
    <w:qFormat/>
    <w:uiPriority w:val="0"/>
    <w:pPr>
      <w:keepNext/>
      <w:keepLines/>
      <w:spacing w:before="260" w:after="260" w:line="416" w:lineRule="auto"/>
      <w:outlineLvl w:val="2"/>
    </w:pPr>
    <w:rPr>
      <w:b/>
      <w:bCs/>
      <w:sz w:val="32"/>
      <w:szCs w:val="32"/>
    </w:rPr>
  </w:style>
  <w:style w:type="paragraph" w:customStyle="1" w:styleId="244">
    <w:name w:val="标题 51"/>
    <w:basedOn w:val="1"/>
    <w:next w:val="50"/>
    <w:link w:val="283"/>
    <w:qFormat/>
    <w:uiPriority w:val="0"/>
    <w:pPr>
      <w:keepNext/>
      <w:outlineLvl w:val="4"/>
    </w:pPr>
    <w:rPr>
      <w:rFonts w:ascii="宋体"/>
      <w:color w:val="000000"/>
      <w:sz w:val="28"/>
      <w:szCs w:val="28"/>
    </w:rPr>
  </w:style>
  <w:style w:type="paragraph" w:customStyle="1" w:styleId="245">
    <w:name w:val="标题 61"/>
    <w:basedOn w:val="1"/>
    <w:next w:val="1"/>
    <w:link w:val="263"/>
    <w:qFormat/>
    <w:uiPriority w:val="0"/>
    <w:pPr>
      <w:keepNext/>
      <w:keepLines/>
      <w:numPr>
        <w:ilvl w:val="5"/>
        <w:numId w:val="3"/>
      </w:numPr>
      <w:spacing w:before="240" w:after="64" w:line="320" w:lineRule="auto"/>
      <w:outlineLvl w:val="5"/>
    </w:pPr>
    <w:rPr>
      <w:rFonts w:ascii="Arial" w:hAnsi="Arial" w:eastAsia="黑体"/>
      <w:b/>
      <w:bCs/>
      <w:sz w:val="24"/>
      <w:szCs w:val="24"/>
    </w:rPr>
  </w:style>
  <w:style w:type="paragraph" w:customStyle="1" w:styleId="246">
    <w:name w:val="标题 71"/>
    <w:basedOn w:val="1"/>
    <w:next w:val="1"/>
    <w:link w:val="258"/>
    <w:qFormat/>
    <w:uiPriority w:val="0"/>
    <w:pPr>
      <w:keepNext/>
      <w:keepLines/>
      <w:numPr>
        <w:ilvl w:val="6"/>
        <w:numId w:val="3"/>
      </w:numPr>
      <w:spacing w:before="240" w:after="64" w:line="320" w:lineRule="auto"/>
      <w:outlineLvl w:val="6"/>
    </w:pPr>
    <w:rPr>
      <w:b/>
      <w:bCs/>
      <w:sz w:val="24"/>
      <w:szCs w:val="24"/>
    </w:rPr>
  </w:style>
  <w:style w:type="paragraph" w:customStyle="1" w:styleId="247">
    <w:name w:val="标题 81"/>
    <w:basedOn w:val="1"/>
    <w:next w:val="1"/>
    <w:link w:val="257"/>
    <w:qFormat/>
    <w:uiPriority w:val="0"/>
    <w:pPr>
      <w:keepNext/>
      <w:keepLines/>
      <w:numPr>
        <w:ilvl w:val="7"/>
        <w:numId w:val="3"/>
      </w:numPr>
      <w:spacing w:before="240" w:after="64" w:line="320" w:lineRule="auto"/>
      <w:outlineLvl w:val="7"/>
    </w:pPr>
    <w:rPr>
      <w:rFonts w:ascii="Arial" w:hAnsi="Arial" w:eastAsia="黑体"/>
      <w:sz w:val="24"/>
      <w:szCs w:val="24"/>
    </w:rPr>
  </w:style>
  <w:style w:type="paragraph" w:customStyle="1" w:styleId="248">
    <w:name w:val="标题 91"/>
    <w:basedOn w:val="1"/>
    <w:next w:val="1"/>
    <w:link w:val="293"/>
    <w:qFormat/>
    <w:uiPriority w:val="0"/>
    <w:pPr>
      <w:keepNext/>
      <w:keepLines/>
      <w:numPr>
        <w:ilvl w:val="8"/>
        <w:numId w:val="3"/>
      </w:numPr>
      <w:spacing w:before="240" w:after="64" w:line="320" w:lineRule="auto"/>
      <w:outlineLvl w:val="8"/>
    </w:pPr>
    <w:rPr>
      <w:rFonts w:ascii="Arial" w:hAnsi="Arial" w:eastAsia="黑体"/>
    </w:rPr>
  </w:style>
  <w:style w:type="character" w:customStyle="1" w:styleId="249">
    <w:name w:val="默认段落字体1"/>
    <w:unhideWhenUsed/>
    <w:qFormat/>
    <w:uiPriority w:val="1"/>
  </w:style>
  <w:style w:type="table" w:customStyle="1" w:styleId="250">
    <w:name w:val="普通表格1"/>
    <w:unhideWhenUsed/>
    <w:qFormat/>
    <w:uiPriority w:val="99"/>
    <w:tblPr>
      <w:tblCellMar>
        <w:top w:w="0" w:type="dxa"/>
        <w:left w:w="0" w:type="dxa"/>
        <w:bottom w:w="0" w:type="dxa"/>
        <w:right w:w="0" w:type="dxa"/>
      </w:tblCellMar>
    </w:tblPr>
  </w:style>
  <w:style w:type="character" w:customStyle="1" w:styleId="251">
    <w:name w:val="批注框文本 Char"/>
    <w:link w:val="252"/>
    <w:semiHidden/>
    <w:qFormat/>
    <w:uiPriority w:val="0"/>
    <w:rPr>
      <w:rFonts w:ascii="Times New Roman" w:hAnsi="Times New Roman" w:eastAsia="宋体" w:cs="Times New Roman"/>
      <w:sz w:val="18"/>
      <w:szCs w:val="18"/>
    </w:rPr>
  </w:style>
  <w:style w:type="paragraph" w:customStyle="1" w:styleId="252">
    <w:name w:val="批注框文本1"/>
    <w:basedOn w:val="1"/>
    <w:link w:val="251"/>
    <w:semiHidden/>
    <w:qFormat/>
    <w:uiPriority w:val="0"/>
    <w:rPr>
      <w:sz w:val="18"/>
      <w:szCs w:val="18"/>
    </w:rPr>
  </w:style>
  <w:style w:type="character" w:customStyle="1" w:styleId="253">
    <w:name w:val="列出段落 Char"/>
    <w:link w:val="254"/>
    <w:qFormat/>
    <w:uiPriority w:val="0"/>
    <w:rPr>
      <w:rFonts w:ascii="Calibri" w:hAnsi="Calibri"/>
      <w:sz w:val="24"/>
      <w:szCs w:val="24"/>
      <w:lang w:eastAsia="en-US" w:bidi="en-US"/>
    </w:rPr>
  </w:style>
  <w:style w:type="paragraph" w:customStyle="1" w:styleId="254">
    <w:name w:val="列出段落1"/>
    <w:basedOn w:val="1"/>
    <w:link w:val="253"/>
    <w:qFormat/>
    <w:uiPriority w:val="0"/>
    <w:pPr>
      <w:widowControl/>
      <w:ind w:left="720"/>
      <w:contextualSpacing/>
      <w:jc w:val="left"/>
    </w:pPr>
    <w:rPr>
      <w:rFonts w:ascii="Calibri" w:hAnsi="Calibri"/>
      <w:sz w:val="24"/>
      <w:szCs w:val="24"/>
      <w:lang w:eastAsia="en-US" w:bidi="en-US"/>
    </w:rPr>
  </w:style>
  <w:style w:type="character" w:customStyle="1" w:styleId="255">
    <w:name w:val="正文文本 Char"/>
    <w:link w:val="238"/>
    <w:qFormat/>
    <w:uiPriority w:val="0"/>
    <w:rPr>
      <w:rFonts w:ascii="楷体_GB2312" w:hAnsi="Arial" w:eastAsia="楷体_GB2312" w:cs="Times New Roman"/>
      <w:sz w:val="28"/>
      <w:szCs w:val="28"/>
    </w:rPr>
  </w:style>
  <w:style w:type="paragraph" w:customStyle="1" w:styleId="256">
    <w:name w:val="正文文本 21"/>
    <w:basedOn w:val="1"/>
    <w:link w:val="296"/>
    <w:qFormat/>
    <w:uiPriority w:val="0"/>
    <w:pPr>
      <w:widowControl/>
      <w:jc w:val="center"/>
    </w:pPr>
    <w:rPr>
      <w:rFonts w:ascii="楷体_GB2312" w:eastAsia="楷体_GB2312"/>
      <w:sz w:val="28"/>
      <w:szCs w:val="28"/>
    </w:rPr>
  </w:style>
  <w:style w:type="character" w:customStyle="1" w:styleId="257">
    <w:name w:val="标题 8 Char"/>
    <w:link w:val="247"/>
    <w:qFormat/>
    <w:uiPriority w:val="0"/>
    <w:rPr>
      <w:rFonts w:ascii="Arial" w:hAnsi="Arial" w:eastAsia="黑体" w:cs="Times New Roman"/>
      <w:sz w:val="24"/>
      <w:szCs w:val="24"/>
    </w:rPr>
  </w:style>
  <w:style w:type="character" w:customStyle="1" w:styleId="258">
    <w:name w:val="标题 7 Char"/>
    <w:link w:val="246"/>
    <w:qFormat/>
    <w:uiPriority w:val="0"/>
    <w:rPr>
      <w:rFonts w:ascii="Times New Roman" w:hAnsi="Times New Roman" w:eastAsia="宋体" w:cs="Times New Roman"/>
      <w:b/>
      <w:bCs/>
      <w:sz w:val="24"/>
      <w:szCs w:val="24"/>
    </w:rPr>
  </w:style>
  <w:style w:type="character" w:customStyle="1" w:styleId="259">
    <w:name w:val="超链接1"/>
    <w:qFormat/>
    <w:uiPriority w:val="0"/>
    <w:rPr>
      <w:color w:val="0000FF"/>
      <w:u w:val="single"/>
    </w:rPr>
  </w:style>
  <w:style w:type="character" w:customStyle="1" w:styleId="260">
    <w:name w:val="正文文本 3 Char"/>
    <w:link w:val="261"/>
    <w:qFormat/>
    <w:uiPriority w:val="0"/>
    <w:rPr>
      <w:rFonts w:ascii="仿宋_GB2312" w:hAnsi="Arial" w:eastAsia="仿宋_GB2312" w:cs="Times New Roman"/>
      <w:sz w:val="32"/>
      <w:szCs w:val="32"/>
    </w:rPr>
  </w:style>
  <w:style w:type="paragraph" w:customStyle="1" w:styleId="261">
    <w:name w:val="正文文本 31"/>
    <w:basedOn w:val="1"/>
    <w:link w:val="260"/>
    <w:qFormat/>
    <w:uiPriority w:val="0"/>
    <w:rPr>
      <w:rFonts w:ascii="仿宋_GB2312" w:hAnsi="Arial" w:eastAsia="仿宋_GB2312"/>
      <w:sz w:val="32"/>
      <w:szCs w:val="32"/>
    </w:rPr>
  </w:style>
  <w:style w:type="character" w:customStyle="1" w:styleId="262">
    <w:name w:val="font5 Char"/>
    <w:qFormat/>
    <w:uiPriority w:val="0"/>
    <w:rPr>
      <w:rFonts w:ascii="宋体" w:hAnsi="宋体" w:eastAsia="宋体"/>
      <w:sz w:val="28"/>
      <w:szCs w:val="28"/>
      <w:lang w:val="en-US" w:eastAsia="zh-CN" w:bidi="ar-SA"/>
    </w:rPr>
  </w:style>
  <w:style w:type="character" w:customStyle="1" w:styleId="263">
    <w:name w:val="标题 6 Char"/>
    <w:link w:val="245"/>
    <w:qFormat/>
    <w:uiPriority w:val="0"/>
    <w:rPr>
      <w:rFonts w:ascii="Arial" w:hAnsi="Arial" w:eastAsia="黑体" w:cs="Times New Roman"/>
      <w:b/>
      <w:bCs/>
      <w:sz w:val="24"/>
      <w:szCs w:val="24"/>
    </w:rPr>
  </w:style>
  <w:style w:type="character" w:customStyle="1" w:styleId="264">
    <w:name w:val="已访问的超链接1"/>
    <w:qFormat/>
    <w:uiPriority w:val="0"/>
    <w:rPr>
      <w:color w:val="800080"/>
      <w:u w:val="single"/>
    </w:rPr>
  </w:style>
  <w:style w:type="character" w:customStyle="1" w:styleId="265">
    <w:name w:val="二级目录 Char"/>
    <w:link w:val="266"/>
    <w:qFormat/>
    <w:uiPriority w:val="0"/>
    <w:rPr>
      <w:b/>
      <w:sz w:val="30"/>
      <w:szCs w:val="28"/>
    </w:rPr>
  </w:style>
  <w:style w:type="paragraph" w:customStyle="1" w:styleId="266">
    <w:name w:val="二级目录"/>
    <w:next w:val="1"/>
    <w:link w:val="265"/>
    <w:qFormat/>
    <w:uiPriority w:val="0"/>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267">
    <w:name w:val="页眉 Char"/>
    <w:link w:val="268"/>
    <w:qFormat/>
    <w:uiPriority w:val="0"/>
    <w:rPr>
      <w:rFonts w:ascii="Times New Roman" w:hAnsi="Times New Roman" w:eastAsia="宋体" w:cs="Times New Roman"/>
      <w:sz w:val="18"/>
      <w:szCs w:val="18"/>
    </w:rPr>
  </w:style>
  <w:style w:type="paragraph" w:customStyle="1" w:styleId="268">
    <w:name w:val="页眉1"/>
    <w:basedOn w:val="1"/>
    <w:link w:val="267"/>
    <w:qFormat/>
    <w:uiPriority w:val="0"/>
    <w:pPr>
      <w:pBdr>
        <w:bottom w:val="single" w:color="000000" w:sz="6" w:space="1"/>
      </w:pBdr>
      <w:tabs>
        <w:tab w:val="center" w:pos="4153"/>
        <w:tab w:val="right" w:pos="8306"/>
      </w:tabs>
      <w:jc w:val="center"/>
    </w:pPr>
    <w:rPr>
      <w:sz w:val="18"/>
      <w:szCs w:val="18"/>
    </w:rPr>
  </w:style>
  <w:style w:type="character" w:customStyle="1" w:styleId="269">
    <w:name w:val="页码1"/>
    <w:qFormat/>
    <w:uiPriority w:val="0"/>
  </w:style>
  <w:style w:type="character" w:customStyle="1" w:styleId="270">
    <w:name w:val="正文首行缩进 2 Char"/>
    <w:link w:val="271"/>
    <w:qFormat/>
    <w:uiPriority w:val="0"/>
    <w:rPr>
      <w:rFonts w:ascii="宋体" w:hAnsi="宋体" w:eastAsia="宋体" w:cs="Times New Roman"/>
      <w:sz w:val="32"/>
      <w:szCs w:val="20"/>
    </w:rPr>
  </w:style>
  <w:style w:type="paragraph" w:customStyle="1" w:styleId="271">
    <w:name w:val="正文首行缩进 21"/>
    <w:basedOn w:val="272"/>
    <w:link w:val="270"/>
    <w:qFormat/>
    <w:uiPriority w:val="0"/>
    <w:pPr>
      <w:spacing w:line="360" w:lineRule="auto"/>
      <w:ind w:firstLine="420"/>
    </w:pPr>
    <w:rPr>
      <w:rFonts w:ascii="宋体" w:hAnsi="宋体" w:eastAsia="宋体"/>
      <w:sz w:val="21"/>
      <w:szCs w:val="20"/>
    </w:rPr>
  </w:style>
  <w:style w:type="paragraph" w:customStyle="1" w:styleId="272">
    <w:name w:val="正文文本缩进1"/>
    <w:basedOn w:val="1"/>
    <w:next w:val="236"/>
    <w:link w:val="288"/>
    <w:qFormat/>
    <w:uiPriority w:val="0"/>
    <w:pPr>
      <w:ind w:firstLine="645"/>
    </w:pPr>
    <w:rPr>
      <w:rFonts w:ascii="楷体_GB2312" w:eastAsia="楷体_GB2312"/>
      <w:sz w:val="32"/>
      <w:szCs w:val="32"/>
    </w:rPr>
  </w:style>
  <w:style w:type="character" w:customStyle="1" w:styleId="273">
    <w:name w:val="标题 3 Char"/>
    <w:link w:val="243"/>
    <w:qFormat/>
    <w:uiPriority w:val="0"/>
    <w:rPr>
      <w:rFonts w:ascii="Times New Roman" w:hAnsi="Times New Roman" w:eastAsia="宋体" w:cs="Times New Roman"/>
      <w:b/>
      <w:bCs/>
      <w:sz w:val="32"/>
      <w:szCs w:val="32"/>
    </w:rPr>
  </w:style>
  <w:style w:type="character" w:customStyle="1" w:styleId="274">
    <w:name w:val="批注文字 Char"/>
    <w:link w:val="275"/>
    <w:semiHidden/>
    <w:qFormat/>
    <w:uiPriority w:val="0"/>
    <w:rPr>
      <w:rFonts w:ascii="Times New Roman" w:hAnsi="Times New Roman" w:eastAsia="宋体" w:cs="Times New Roman"/>
      <w:szCs w:val="21"/>
    </w:rPr>
  </w:style>
  <w:style w:type="paragraph" w:customStyle="1" w:styleId="275">
    <w:name w:val="批注文字1"/>
    <w:basedOn w:val="1"/>
    <w:link w:val="274"/>
    <w:semiHidden/>
    <w:qFormat/>
    <w:uiPriority w:val="0"/>
    <w:pPr>
      <w:jc w:val="left"/>
    </w:pPr>
  </w:style>
  <w:style w:type="character" w:customStyle="1" w:styleId="276">
    <w:name w:val="正文缩进 Char"/>
    <w:link w:val="50"/>
    <w:qFormat/>
    <w:uiPriority w:val="0"/>
    <w:rPr>
      <w:rFonts w:ascii="Times New Roman" w:hAnsi="Times New Roman" w:eastAsia="宋体" w:cs="Times New Roman"/>
      <w:szCs w:val="21"/>
    </w:rPr>
  </w:style>
  <w:style w:type="character" w:customStyle="1" w:styleId="277">
    <w:name w:val="日期 Char"/>
    <w:link w:val="278"/>
    <w:qFormat/>
    <w:uiPriority w:val="0"/>
    <w:rPr>
      <w:rFonts w:ascii="Times New Roman" w:hAnsi="Times New Roman" w:eastAsia="宋体" w:cs="Times New Roman"/>
      <w:sz w:val="24"/>
      <w:szCs w:val="24"/>
    </w:rPr>
  </w:style>
  <w:style w:type="paragraph" w:customStyle="1" w:styleId="278">
    <w:name w:val="日期1"/>
    <w:basedOn w:val="1"/>
    <w:next w:val="1"/>
    <w:link w:val="277"/>
    <w:qFormat/>
    <w:uiPriority w:val="0"/>
    <w:rPr>
      <w:sz w:val="24"/>
      <w:szCs w:val="24"/>
    </w:rPr>
  </w:style>
  <w:style w:type="character" w:customStyle="1" w:styleId="279">
    <w:name w:val="要点1"/>
    <w:link w:val="1"/>
    <w:qFormat/>
    <w:uiPriority w:val="0"/>
    <w:rPr>
      <w:rFonts w:hint="default" w:ascii="Times New Roman" w:hAnsi="Times New Roman" w:eastAsia="宋体" w:cs="Times New Roman"/>
      <w:sz w:val="21"/>
      <w:szCs w:val="21"/>
      <w:lang w:val="en-US" w:eastAsia="zh-CN" w:bidi="ar-SA"/>
    </w:rPr>
  </w:style>
  <w:style w:type="character" w:customStyle="1" w:styleId="280">
    <w:name w:val="页脚 Char"/>
    <w:link w:val="281"/>
    <w:qFormat/>
    <w:uiPriority w:val="0"/>
    <w:rPr>
      <w:rFonts w:ascii="Times New Roman" w:hAnsi="Times New Roman" w:eastAsia="宋体" w:cs="Times New Roman"/>
      <w:sz w:val="18"/>
      <w:szCs w:val="18"/>
    </w:rPr>
  </w:style>
  <w:style w:type="paragraph" w:customStyle="1" w:styleId="281">
    <w:name w:val="页脚1"/>
    <w:basedOn w:val="1"/>
    <w:link w:val="280"/>
    <w:qFormat/>
    <w:uiPriority w:val="0"/>
    <w:pPr>
      <w:tabs>
        <w:tab w:val="center" w:pos="4153"/>
        <w:tab w:val="right" w:pos="8306"/>
      </w:tabs>
      <w:jc w:val="left"/>
    </w:pPr>
    <w:rPr>
      <w:sz w:val="18"/>
      <w:szCs w:val="18"/>
    </w:rPr>
  </w:style>
  <w:style w:type="character" w:customStyle="1" w:styleId="282">
    <w:name w:val="批注引用1"/>
    <w:semiHidden/>
    <w:qFormat/>
    <w:uiPriority w:val="0"/>
    <w:rPr>
      <w:sz w:val="21"/>
      <w:szCs w:val="21"/>
    </w:rPr>
  </w:style>
  <w:style w:type="character" w:customStyle="1" w:styleId="283">
    <w:name w:val="标题 5 Char"/>
    <w:link w:val="244"/>
    <w:qFormat/>
    <w:uiPriority w:val="0"/>
    <w:rPr>
      <w:rFonts w:ascii="宋体" w:hAnsi="Times New Roman" w:eastAsia="宋体" w:cs="Times New Roman"/>
      <w:color w:val="000000"/>
      <w:sz w:val="28"/>
      <w:szCs w:val="28"/>
    </w:rPr>
  </w:style>
  <w:style w:type="character" w:customStyle="1" w:styleId="284">
    <w:name w:val="文档结构图 Char"/>
    <w:link w:val="285"/>
    <w:semiHidden/>
    <w:qFormat/>
    <w:uiPriority w:val="0"/>
    <w:rPr>
      <w:rFonts w:ascii="Times New Roman" w:hAnsi="Times New Roman" w:eastAsia="宋体" w:cs="Times New Roman"/>
      <w:szCs w:val="21"/>
      <w:shd w:val="clear" w:color="auto" w:fill="000080"/>
    </w:rPr>
  </w:style>
  <w:style w:type="paragraph" w:customStyle="1" w:styleId="285">
    <w:name w:val="文档结构图1"/>
    <w:basedOn w:val="1"/>
    <w:link w:val="284"/>
    <w:semiHidden/>
    <w:qFormat/>
    <w:uiPriority w:val="0"/>
    <w:pPr>
      <w:shd w:val="clear" w:color="auto" w:fill="000080"/>
    </w:pPr>
  </w:style>
  <w:style w:type="character" w:customStyle="1" w:styleId="286">
    <w:name w:val="正文文本缩进 3 Char"/>
    <w:link w:val="287"/>
    <w:qFormat/>
    <w:uiPriority w:val="0"/>
    <w:rPr>
      <w:rFonts w:ascii="Arial" w:hAnsi="Arial" w:eastAsia="仿宋_GB2312" w:cs="Arial"/>
      <w:color w:val="FFFF00"/>
      <w:sz w:val="32"/>
      <w:szCs w:val="32"/>
    </w:rPr>
  </w:style>
  <w:style w:type="paragraph" w:customStyle="1" w:styleId="287">
    <w:name w:val="正文文本缩进 31"/>
    <w:basedOn w:val="1"/>
    <w:link w:val="286"/>
    <w:qFormat/>
    <w:uiPriority w:val="0"/>
    <w:pPr>
      <w:ind w:left="645" w:firstLine="645"/>
    </w:pPr>
    <w:rPr>
      <w:rFonts w:ascii="Arial" w:hAnsi="Arial" w:eastAsia="仿宋_GB2312" w:cs="Arial"/>
      <w:color w:val="FFFF00"/>
      <w:sz w:val="32"/>
      <w:szCs w:val="32"/>
    </w:rPr>
  </w:style>
  <w:style w:type="character" w:customStyle="1" w:styleId="288">
    <w:name w:val="正文文本缩进 Char"/>
    <w:link w:val="272"/>
    <w:qFormat/>
    <w:uiPriority w:val="0"/>
    <w:rPr>
      <w:rFonts w:ascii="楷体_GB2312" w:hAnsi="Times New Roman" w:eastAsia="楷体_GB2312" w:cs="Times New Roman"/>
      <w:sz w:val="32"/>
      <w:szCs w:val="32"/>
    </w:rPr>
  </w:style>
  <w:style w:type="character" w:customStyle="1" w:styleId="289">
    <w:name w:val="纯文本 Char"/>
    <w:link w:val="290"/>
    <w:qFormat/>
    <w:uiPriority w:val="0"/>
    <w:rPr>
      <w:rFonts w:ascii="宋体" w:hAnsi="Courier New" w:eastAsia="宋体" w:cs="Courier New"/>
      <w:szCs w:val="21"/>
    </w:rPr>
  </w:style>
  <w:style w:type="paragraph" w:customStyle="1" w:styleId="290">
    <w:name w:val="纯文本1"/>
    <w:basedOn w:val="1"/>
    <w:link w:val="289"/>
    <w:qFormat/>
    <w:uiPriority w:val="0"/>
    <w:rPr>
      <w:rFonts w:ascii="宋体" w:hAnsi="Courier New" w:cs="Courier New"/>
    </w:rPr>
  </w:style>
  <w:style w:type="character" w:customStyle="1" w:styleId="291">
    <w:name w:val="标题 1 Char"/>
    <w:link w:val="235"/>
    <w:qFormat/>
    <w:uiPriority w:val="0"/>
    <w:rPr>
      <w:rFonts w:ascii="楷体_GB2312" w:hAnsi="Times New Roman" w:eastAsia="楷体_GB2312" w:cs="Times New Roman"/>
      <w:sz w:val="28"/>
      <w:szCs w:val="28"/>
    </w:rPr>
  </w:style>
  <w:style w:type="character" w:customStyle="1" w:styleId="292">
    <w:name w:val="标题 2 Char"/>
    <w:link w:val="242"/>
    <w:qFormat/>
    <w:uiPriority w:val="0"/>
    <w:rPr>
      <w:rFonts w:ascii="Arial" w:hAnsi="Arial" w:eastAsia="幼圆" w:cs="Arial"/>
      <w:b/>
      <w:bCs/>
      <w:sz w:val="44"/>
      <w:szCs w:val="44"/>
    </w:rPr>
  </w:style>
  <w:style w:type="character" w:customStyle="1" w:styleId="293">
    <w:name w:val="标题 9 Char"/>
    <w:link w:val="248"/>
    <w:qFormat/>
    <w:uiPriority w:val="0"/>
    <w:rPr>
      <w:rFonts w:ascii="Arial" w:hAnsi="Arial" w:eastAsia="黑体" w:cs="Times New Roman"/>
      <w:szCs w:val="21"/>
    </w:rPr>
  </w:style>
  <w:style w:type="character" w:customStyle="1" w:styleId="294">
    <w:name w:val="正文文本缩进 2 Char"/>
    <w:link w:val="295"/>
    <w:qFormat/>
    <w:uiPriority w:val="0"/>
    <w:rPr>
      <w:rFonts w:ascii="Arial" w:hAnsi="Arial" w:eastAsia="仿宋_GB2312" w:cs="Arial"/>
      <w:sz w:val="32"/>
      <w:szCs w:val="32"/>
    </w:rPr>
  </w:style>
  <w:style w:type="paragraph" w:customStyle="1" w:styleId="295">
    <w:name w:val="正文文本缩进 21"/>
    <w:basedOn w:val="1"/>
    <w:link w:val="294"/>
    <w:qFormat/>
    <w:uiPriority w:val="0"/>
    <w:pPr>
      <w:ind w:left="630" w:firstLine="645"/>
    </w:pPr>
    <w:rPr>
      <w:rFonts w:ascii="Arial" w:hAnsi="Arial" w:eastAsia="仿宋_GB2312" w:cs="Arial"/>
      <w:sz w:val="32"/>
      <w:szCs w:val="32"/>
    </w:rPr>
  </w:style>
  <w:style w:type="character" w:customStyle="1" w:styleId="296">
    <w:name w:val="正文文本 2 Char"/>
    <w:link w:val="256"/>
    <w:qFormat/>
    <w:uiPriority w:val="0"/>
    <w:rPr>
      <w:rFonts w:ascii="楷体_GB2312" w:hAnsi="Times New Roman" w:eastAsia="楷体_GB2312" w:cs="Times New Roman"/>
      <w:sz w:val="28"/>
      <w:szCs w:val="28"/>
    </w:rPr>
  </w:style>
  <w:style w:type="character" w:customStyle="1" w:styleId="297">
    <w:name w:val="批注主题 Char"/>
    <w:link w:val="298"/>
    <w:semiHidden/>
    <w:qFormat/>
    <w:uiPriority w:val="0"/>
    <w:rPr>
      <w:rFonts w:ascii="Times New Roman" w:hAnsi="Times New Roman" w:eastAsia="宋体" w:cs="Times New Roman"/>
      <w:b/>
      <w:bCs/>
      <w:szCs w:val="21"/>
    </w:rPr>
  </w:style>
  <w:style w:type="paragraph" w:customStyle="1" w:styleId="298">
    <w:name w:val="批注主题1"/>
    <w:basedOn w:val="275"/>
    <w:next w:val="275"/>
    <w:link w:val="297"/>
    <w:semiHidden/>
    <w:qFormat/>
    <w:uiPriority w:val="0"/>
    <w:rPr>
      <w:b/>
      <w:bCs/>
    </w:rPr>
  </w:style>
  <w:style w:type="character" w:customStyle="1" w:styleId="299">
    <w:name w:val="正文首行缩进 Char"/>
    <w:link w:val="300"/>
    <w:qFormat/>
    <w:uiPriority w:val="0"/>
    <w:rPr>
      <w:rFonts w:ascii="仿宋_GB2312" w:hAnsi="Times New Roman" w:eastAsia="仿宋_GB2312" w:cs="Times New Roman"/>
      <w:sz w:val="30"/>
      <w:szCs w:val="30"/>
    </w:rPr>
  </w:style>
  <w:style w:type="paragraph" w:customStyle="1" w:styleId="300">
    <w:name w:val="正文首行缩进1"/>
    <w:basedOn w:val="1"/>
    <w:link w:val="299"/>
    <w:qFormat/>
    <w:uiPriority w:val="0"/>
    <w:pPr>
      <w:spacing w:line="360" w:lineRule="auto"/>
      <w:ind w:firstLine="200"/>
    </w:pPr>
    <w:rPr>
      <w:rFonts w:ascii="仿宋_GB2312" w:eastAsia="仿宋_GB2312"/>
      <w:sz w:val="30"/>
      <w:szCs w:val="30"/>
    </w:rPr>
  </w:style>
  <w:style w:type="paragraph" w:customStyle="1" w:styleId="301">
    <w:name w:val="table_lines"/>
    <w:basedOn w:val="1"/>
    <w:qFormat/>
    <w:uiPriority w:val="0"/>
    <w:pPr>
      <w:widowControl/>
      <w:jc w:val="left"/>
    </w:pPr>
    <w:rPr>
      <w:sz w:val="20"/>
      <w:szCs w:val="20"/>
      <w:lang w:val="de-DE" w:eastAsia="de-DE"/>
    </w:rPr>
  </w:style>
  <w:style w:type="paragraph" w:customStyle="1" w:styleId="302">
    <w:name w:val="Char"/>
    <w:basedOn w:val="285"/>
    <w:qFormat/>
    <w:uiPriority w:val="0"/>
    <w:rPr>
      <w:rFonts w:ascii="Tahoma" w:hAnsi="Tahoma"/>
      <w:sz w:val="24"/>
      <w:szCs w:val="24"/>
    </w:rPr>
  </w:style>
  <w:style w:type="paragraph" w:customStyle="1" w:styleId="303">
    <w:name w:val="索引 11"/>
    <w:basedOn w:val="1"/>
    <w:next w:val="1"/>
    <w:semiHidden/>
    <w:qFormat/>
    <w:uiPriority w:val="0"/>
    <w:pPr>
      <w:spacing w:line="240" w:lineRule="atLeast"/>
    </w:pPr>
    <w:rPr>
      <w:b/>
      <w:bCs/>
    </w:rPr>
  </w:style>
  <w:style w:type="paragraph" w:customStyle="1" w:styleId="304">
    <w:name w:val="目录 51"/>
    <w:basedOn w:val="1"/>
    <w:next w:val="1"/>
    <w:semiHidden/>
    <w:qFormat/>
    <w:uiPriority w:val="0"/>
    <w:pPr>
      <w:ind w:left="840"/>
      <w:jc w:val="left"/>
    </w:pPr>
  </w:style>
  <w:style w:type="paragraph" w:customStyle="1" w:styleId="305">
    <w:name w:val="Char Char Char Char"/>
    <w:basedOn w:val="285"/>
    <w:qFormat/>
    <w:uiPriority w:val="0"/>
    <w:pPr>
      <w:spacing w:line="360" w:lineRule="auto"/>
    </w:pPr>
    <w:rPr>
      <w:rFonts w:ascii="Tahoma" w:hAnsi="Tahoma"/>
      <w:sz w:val="24"/>
      <w:szCs w:val="24"/>
    </w:rPr>
  </w:style>
  <w:style w:type="paragraph" w:customStyle="1" w:styleId="306">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0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08">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1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1">
    <w:name w:val="目录 81"/>
    <w:basedOn w:val="1"/>
    <w:next w:val="1"/>
    <w:semiHidden/>
    <w:qFormat/>
    <w:uiPriority w:val="0"/>
    <w:pPr>
      <w:ind w:left="1470"/>
      <w:jc w:val="left"/>
    </w:pPr>
  </w:style>
  <w:style w:type="paragraph" w:customStyle="1" w:styleId="312">
    <w:name w:val="目录 91"/>
    <w:basedOn w:val="1"/>
    <w:next w:val="1"/>
    <w:semiHidden/>
    <w:qFormat/>
    <w:uiPriority w:val="0"/>
    <w:pPr>
      <w:ind w:left="1680"/>
      <w:jc w:val="left"/>
    </w:pPr>
  </w:style>
  <w:style w:type="paragraph" w:customStyle="1" w:styleId="313">
    <w:name w:val="Char1"/>
    <w:basedOn w:val="1"/>
    <w:qFormat/>
    <w:uiPriority w:val="0"/>
    <w:pPr>
      <w:tabs>
        <w:tab w:val="left" w:pos="360"/>
      </w:tabs>
      <w:ind w:firstLine="200"/>
    </w:pPr>
    <w:rPr>
      <w:sz w:val="28"/>
      <w:szCs w:val="30"/>
    </w:rPr>
  </w:style>
  <w:style w:type="paragraph" w:customStyle="1" w:styleId="31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6">
    <w:name w:val="Char Char Char Char Char Char Char Char Char Char"/>
    <w:basedOn w:val="1"/>
    <w:qFormat/>
    <w:uiPriority w:val="0"/>
    <w:pPr>
      <w:spacing w:line="360" w:lineRule="auto"/>
    </w:pPr>
    <w:rPr>
      <w:sz w:val="24"/>
      <w:szCs w:val="20"/>
    </w:rPr>
  </w:style>
  <w:style w:type="paragraph" w:customStyle="1" w:styleId="31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8">
    <w:name w:val="table_1stline"/>
    <w:basedOn w:val="1"/>
    <w:qFormat/>
    <w:uiPriority w:val="0"/>
    <w:pPr>
      <w:widowControl/>
      <w:spacing w:before="120"/>
      <w:jc w:val="left"/>
    </w:pPr>
    <w:rPr>
      <w:bCs/>
      <w:sz w:val="20"/>
      <w:szCs w:val="20"/>
      <w:lang w:val="de-DE" w:eastAsia="de-DE"/>
    </w:rPr>
  </w:style>
  <w:style w:type="paragraph" w:customStyle="1" w:styleId="31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0">
    <w:name w:val="目录 31"/>
    <w:basedOn w:val="1"/>
    <w:next w:val="1"/>
    <w:semiHidden/>
    <w:qFormat/>
    <w:uiPriority w:val="0"/>
    <w:pPr>
      <w:ind w:left="420"/>
      <w:jc w:val="left"/>
    </w:pPr>
    <w:rPr>
      <w:i/>
      <w:iCs/>
      <w:szCs w:val="24"/>
    </w:rPr>
  </w:style>
  <w:style w:type="paragraph" w:customStyle="1" w:styleId="321">
    <w:name w:val="目录 61"/>
    <w:basedOn w:val="1"/>
    <w:next w:val="1"/>
    <w:semiHidden/>
    <w:qFormat/>
    <w:uiPriority w:val="0"/>
    <w:pPr>
      <w:ind w:left="1050"/>
      <w:jc w:val="left"/>
    </w:pPr>
  </w:style>
  <w:style w:type="paragraph" w:customStyle="1" w:styleId="322">
    <w:name w:val="目录 71"/>
    <w:basedOn w:val="1"/>
    <w:next w:val="1"/>
    <w:semiHidden/>
    <w:qFormat/>
    <w:uiPriority w:val="0"/>
    <w:pPr>
      <w:ind w:left="1260"/>
      <w:jc w:val="left"/>
    </w:pPr>
  </w:style>
  <w:style w:type="paragraph" w:customStyle="1" w:styleId="323">
    <w:name w:val="附录1"/>
    <w:qFormat/>
    <w:uiPriority w:val="0"/>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customStyle="1" w:styleId="32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25">
    <w:name w:val="列表 31"/>
    <w:basedOn w:val="1"/>
    <w:qFormat/>
    <w:uiPriority w:val="0"/>
    <w:pPr>
      <w:ind w:left="100" w:hanging="200"/>
    </w:pPr>
  </w:style>
  <w:style w:type="paragraph" w:customStyle="1" w:styleId="32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32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28">
    <w:name w:val="目录 41"/>
    <w:basedOn w:val="1"/>
    <w:next w:val="1"/>
    <w:semiHidden/>
    <w:qFormat/>
    <w:uiPriority w:val="0"/>
    <w:pPr>
      <w:ind w:left="630"/>
      <w:jc w:val="left"/>
    </w:pPr>
  </w:style>
  <w:style w:type="paragraph" w:customStyle="1" w:styleId="329">
    <w:name w:val="4"/>
    <w:basedOn w:val="1"/>
    <w:next w:val="287"/>
    <w:qFormat/>
    <w:uiPriority w:val="0"/>
    <w:pPr>
      <w:spacing w:line="360" w:lineRule="auto"/>
      <w:ind w:firstLine="420"/>
    </w:pPr>
    <w:rPr>
      <w:color w:val="FF0000"/>
      <w:sz w:val="24"/>
      <w:szCs w:val="24"/>
    </w:rPr>
  </w:style>
  <w:style w:type="paragraph" w:customStyle="1" w:styleId="330">
    <w:name w:val="列表 21"/>
    <w:basedOn w:val="1"/>
    <w:qFormat/>
    <w:uiPriority w:val="0"/>
    <w:pPr>
      <w:ind w:left="100" w:hanging="200"/>
    </w:pPr>
  </w:style>
  <w:style w:type="paragraph" w:customStyle="1" w:styleId="331">
    <w:name w:val="目录 21"/>
    <w:basedOn w:val="1"/>
    <w:next w:val="1"/>
    <w:semiHidden/>
    <w:qFormat/>
    <w:uiPriority w:val="0"/>
    <w:pPr>
      <w:ind w:left="210"/>
      <w:jc w:val="left"/>
    </w:pPr>
    <w:rPr>
      <w:smallCaps/>
      <w:szCs w:val="24"/>
    </w:rPr>
  </w:style>
  <w:style w:type="paragraph" w:customStyle="1" w:styleId="332">
    <w:name w:val="Char Char Char Char1"/>
    <w:basedOn w:val="285"/>
    <w:qFormat/>
    <w:uiPriority w:val="0"/>
    <w:pPr>
      <w:spacing w:line="360" w:lineRule="auto"/>
    </w:pPr>
    <w:rPr>
      <w:rFonts w:ascii="Tahoma" w:hAnsi="Tahoma"/>
      <w:sz w:val="24"/>
      <w:szCs w:val="24"/>
    </w:rPr>
  </w:style>
  <w:style w:type="paragraph" w:customStyle="1" w:styleId="33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34">
    <w:name w:val="Body Text(ch)"/>
    <w:basedOn w:val="1"/>
    <w:next w:val="238"/>
    <w:qFormat/>
    <w:uiPriority w:val="0"/>
    <w:pPr>
      <w:spacing w:after="120"/>
    </w:pPr>
    <w:rPr>
      <w:rFonts w:ascii="宋体" w:hAnsi="Arial"/>
      <w:bCs/>
      <w:iCs/>
      <w:szCs w:val="24"/>
    </w:rPr>
  </w:style>
  <w:style w:type="paragraph" w:customStyle="1" w:styleId="335">
    <w:name w:val="列表1"/>
    <w:basedOn w:val="1"/>
    <w:qFormat/>
    <w:uiPriority w:val="0"/>
    <w:pPr>
      <w:ind w:left="200" w:hanging="200"/>
    </w:pPr>
  </w:style>
  <w:style w:type="paragraph" w:customStyle="1" w:styleId="336">
    <w:name w:val="样式1"/>
    <w:basedOn w:val="1"/>
    <w:qFormat/>
    <w:uiPriority w:val="0"/>
    <w:pPr>
      <w:numPr>
        <w:ilvl w:val="0"/>
        <w:numId w:val="5"/>
      </w:numPr>
    </w:pPr>
    <w:rPr>
      <w:rFonts w:ascii="宋体" w:hAnsi="宋体"/>
    </w:rPr>
  </w:style>
  <w:style w:type="paragraph" w:customStyle="1" w:styleId="33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39">
    <w:name w:val="图表目录1"/>
    <w:basedOn w:val="1"/>
    <w:next w:val="1"/>
    <w:semiHidden/>
    <w:qFormat/>
    <w:uiPriority w:val="0"/>
    <w:pPr>
      <w:ind w:left="840" w:hanging="420"/>
    </w:pPr>
  </w:style>
  <w:style w:type="paragraph" w:customStyle="1" w:styleId="34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4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4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4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4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4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46">
    <w:name w:val="修订1"/>
    <w:semiHidden/>
    <w:qFormat/>
    <w:uiPriority w:val="99"/>
    <w:rPr>
      <w:rFonts w:hint="default" w:ascii="Times New Roman" w:hAnsi="Times New Roman" w:eastAsia="宋体" w:cs="Times New Roman"/>
      <w:sz w:val="21"/>
      <w:szCs w:val="21"/>
      <w:lang w:val="en-US" w:eastAsia="zh-CN" w:bidi="ar-SA"/>
    </w:rPr>
  </w:style>
  <w:style w:type="table" w:customStyle="1" w:styleId="347">
    <w:name w:val="网格型1"/>
    <w:basedOn w:val="250"/>
    <w:qFormat/>
    <w:uiPriority w:val="0"/>
    <w:pPr>
      <w:widowControl w:val="0"/>
      <w:jc w:val="both"/>
    </w:pPr>
    <w:rPr>
      <w:rFonts w:ascii="Times New Roman" w:hAnsi="Times New Roman"/>
    </w:rPr>
  </w:style>
  <w:style w:type="character" w:customStyle="1" w:styleId="348">
    <w:name w:val="正文文本 Char1"/>
    <w:basedOn w:val="40"/>
    <w:semiHidden/>
    <w:qFormat/>
    <w:uiPriority w:val="99"/>
    <w:rPr>
      <w:rFonts w:ascii="Times New Roman" w:hAnsi="Times New Roman"/>
      <w:sz w:val="21"/>
      <w:szCs w:val="21"/>
    </w:rPr>
  </w:style>
  <w:style w:type="paragraph" w:customStyle="1" w:styleId="349">
    <w:name w:val="正文2"/>
    <w:basedOn w:val="1"/>
    <w:qFormat/>
    <w:uiPriority w:val="0"/>
    <w:pPr>
      <w:tabs>
        <w:tab w:val="left" w:pos="6480"/>
      </w:tabs>
      <w:spacing w:line="360" w:lineRule="auto"/>
    </w:pPr>
    <w:rPr>
      <w:sz w:val="24"/>
      <w:szCs w:val="24"/>
    </w:rPr>
  </w:style>
  <w:style w:type="paragraph" w:customStyle="1" w:styleId="350">
    <w:name w:val="1 正文"/>
    <w:basedOn w:val="1"/>
    <w:qFormat/>
    <w:uiPriority w:val="0"/>
    <w:pPr>
      <w:spacing w:line="360" w:lineRule="auto"/>
      <w:ind w:firstLine="420"/>
    </w:pPr>
    <w:rPr>
      <w:rFonts w:ascii="宋体" w:hAnsi="宋体"/>
      <w:sz w:val="24"/>
      <w:szCs w:val="24"/>
    </w:rPr>
  </w:style>
  <w:style w:type="paragraph" w:customStyle="1" w:styleId="351">
    <w:name w:val="A正文"/>
    <w:basedOn w:val="1"/>
    <w:qFormat/>
    <w:uiPriority w:val="0"/>
    <w:pPr>
      <w:spacing w:line="360" w:lineRule="auto"/>
      <w:ind w:firstLine="200"/>
    </w:pPr>
    <w:rPr>
      <w:rFonts w:cs="宋体"/>
      <w:sz w:val="24"/>
      <w:szCs w:val="28"/>
      <w:lang w:eastAsia="zh-Hans"/>
    </w:rPr>
  </w:style>
  <w:style w:type="paragraph" w:customStyle="1" w:styleId="352">
    <w:name w:val="列出段落11"/>
    <w:qFormat/>
    <w:uiPriority w:val="34"/>
    <w:pPr>
      <w:widowControl w:val="0"/>
      <w:ind w:firstLine="420"/>
      <w:jc w:val="both"/>
    </w:pPr>
    <w:rPr>
      <w:rFonts w:hint="default" w:ascii="宋体" w:hAnsi="宋体" w:eastAsia="宋体" w:cs="Times New Roman"/>
      <w:sz w:val="24"/>
      <w:szCs w:val="24"/>
      <w:lang w:val="en-US" w:eastAsia="zh-CN" w:bidi="ar-SA"/>
    </w:rPr>
  </w:style>
  <w:style w:type="paragraph" w:customStyle="1" w:styleId="353">
    <w:name w:val="列表段落1"/>
    <w:qFormat/>
    <w:uiPriority w:val="34"/>
    <w:pPr>
      <w:widowControl w:val="0"/>
      <w:ind w:firstLine="420"/>
      <w:jc w:val="both"/>
    </w:pPr>
    <w:rPr>
      <w:rFonts w:hint="default" w:ascii="Times New Roman" w:hAnsi="Times New Roman" w:eastAsia="宋体" w:cs="Times New Roman"/>
      <w:sz w:val="21"/>
      <w:szCs w:val="24"/>
      <w:lang w:val="en-US" w:eastAsia="zh-CN" w:bidi="ar-SA"/>
    </w:rPr>
  </w:style>
  <w:style w:type="paragraph" w:customStyle="1" w:styleId="354">
    <w:name w:val="UserStyle_16"/>
    <w:qFormat/>
    <w:uiPriority w:val="0"/>
    <w:pPr>
      <w:spacing w:line="360" w:lineRule="auto"/>
      <w:ind w:firstLine="283"/>
      <w:jc w:val="both"/>
    </w:pPr>
    <w:rPr>
      <w:rFonts w:hint="default" w:ascii="宋体" w:hAnsi="宋体" w:eastAsia="宋体" w:cs="Times New Roman"/>
      <w:sz w:val="24"/>
      <w:szCs w:val="21"/>
      <w:lang w:val="en-US" w:eastAsia="zh-CN" w:bidi="ar-SA"/>
    </w:rPr>
  </w:style>
  <w:style w:type="character" w:customStyle="1" w:styleId="355">
    <w:name w:val="UserStyle_11"/>
    <w:qFormat/>
    <w:uiPriority w:val="0"/>
    <w:rPr>
      <w:sz w:val="21"/>
      <w:szCs w:val="21"/>
      <w:lang w:val="en-US" w:eastAsia="zh-CN" w:bidi="ar-SA"/>
    </w:rPr>
  </w:style>
  <w:style w:type="character" w:customStyle="1" w:styleId="356">
    <w:name w:val="NormalCharacter"/>
    <w:qFormat/>
    <w:uiPriority w:val="0"/>
  </w:style>
  <w:style w:type="character" w:customStyle="1" w:styleId="357">
    <w:name w:val="font41"/>
    <w:basedOn w:val="40"/>
    <w:qFormat/>
    <w:uiPriority w:val="0"/>
    <w:rPr>
      <w:rFonts w:hint="eastAsia" w:ascii="宋体" w:hAnsi="宋体" w:eastAsia="宋体" w:cs="宋体"/>
      <w:color w:val="000000"/>
      <w:sz w:val="20"/>
      <w:szCs w:val="20"/>
      <w:u w:val="none"/>
    </w:rPr>
  </w:style>
  <w:style w:type="character" w:customStyle="1" w:styleId="358">
    <w:name w:val="font131"/>
    <w:basedOn w:val="40"/>
    <w:qFormat/>
    <w:uiPriority w:val="0"/>
    <w:rPr>
      <w:rFonts w:ascii="Wingdings 2" w:hAnsi="Wingdings 2" w:eastAsia="Wingdings 2"/>
      <w:color w:val="000000"/>
      <w:sz w:val="20"/>
      <w:szCs w:val="20"/>
      <w:u w:val="none"/>
    </w:rPr>
  </w:style>
  <w:style w:type="paragraph" w:customStyle="1" w:styleId="359">
    <w:name w:val="正文文本11"/>
    <w:basedOn w:val="1"/>
    <w:next w:val="1"/>
    <w:qFormat/>
    <w:uiPriority w:val="0"/>
    <w:rPr>
      <w:rFonts w:ascii="楷体_GB2312" w:hAnsi="Arial" w:eastAsia="楷体_GB2312"/>
      <w:sz w:val="28"/>
      <w:szCs w:val="28"/>
    </w:rPr>
  </w:style>
  <w:style w:type="paragraph" w:customStyle="1" w:styleId="360">
    <w:name w:val="Table Paragraph"/>
    <w:basedOn w:val="236"/>
    <w:qFormat/>
    <w:uiPriority w:val="0"/>
    <w:rPr>
      <w:rFonts w:ascii="Calibri" w:hAnsi="Calibri"/>
      <w:lang w:eastAsia="en-US"/>
    </w:rPr>
  </w:style>
  <w:style w:type="character" w:customStyle="1" w:styleId="361">
    <w:name w:val="font91"/>
    <w:basedOn w:val="40"/>
    <w:qFormat/>
    <w:uiPriority w:val="0"/>
    <w:rPr>
      <w:rFonts w:hint="eastAsia" w:ascii="宋体" w:hAnsi="宋体" w:eastAsia="宋体" w:cs="宋体"/>
      <w:color w:val="000000"/>
      <w:sz w:val="32"/>
      <w:szCs w:val="32"/>
      <w:u w:val="none"/>
    </w:rPr>
  </w:style>
  <w:style w:type="character" w:customStyle="1" w:styleId="362">
    <w:name w:val="font31"/>
    <w:basedOn w:val="40"/>
    <w:qFormat/>
    <w:uiPriority w:val="0"/>
    <w:rPr>
      <w:rFonts w:hint="eastAsia" w:ascii="宋体" w:hAnsi="宋体" w:eastAsia="宋体" w:cs="宋体"/>
      <w:color w:val="000000"/>
      <w:sz w:val="18"/>
      <w:szCs w:val="18"/>
      <w:u w:val="none"/>
    </w:rPr>
  </w:style>
  <w:style w:type="character" w:customStyle="1" w:styleId="363">
    <w:name w:val="font51"/>
    <w:basedOn w:val="40"/>
    <w:qFormat/>
    <w:uiPriority w:val="0"/>
    <w:rPr>
      <w:rFonts w:hint="eastAsia" w:ascii="宋体" w:hAnsi="宋体" w:eastAsia="宋体" w:cs="宋体"/>
      <w:color w:val="000000"/>
      <w:sz w:val="16"/>
      <w:szCs w:val="16"/>
      <w:u w:val="none"/>
    </w:rPr>
  </w:style>
  <w:style w:type="character" w:customStyle="1" w:styleId="364">
    <w:name w:val="font101"/>
    <w:basedOn w:val="40"/>
    <w:qFormat/>
    <w:uiPriority w:val="0"/>
    <w:rPr>
      <w:rFonts w:hint="eastAsia" w:ascii="宋体" w:hAnsi="宋体" w:eastAsia="宋体" w:cs="宋体"/>
      <w:b/>
      <w:bCs/>
      <w:i/>
      <w:iCs/>
      <w:color w:val="000000"/>
      <w:sz w:val="16"/>
      <w:szCs w:val="16"/>
      <w:u w:val="none"/>
    </w:rPr>
  </w:style>
  <w:style w:type="paragraph" w:customStyle="1" w:styleId="365">
    <w:name w:val="Plain Text"/>
    <w:basedOn w:val="1"/>
    <w:autoRedefine/>
    <w:qFormat/>
    <w:uiPriority w:val="0"/>
    <w:pPr>
      <w:spacing w:line="360" w:lineRule="auto"/>
      <w:ind w:firstLine="200" w:firstLineChars="200"/>
    </w:pPr>
    <w:rPr>
      <w:rFonts w:ascii="宋体" w:hAnsi="Courier New"/>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82</Pages>
  <Words>24355</Words>
  <Characters>26264</Characters>
  <TotalTime>58</TotalTime>
  <ScaleCrop>false</ScaleCrop>
  <LinksUpToDate>false</LinksUpToDate>
  <CharactersWithSpaces>26857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2023-12-04T02:59:00Z</dcterms:created>
  <dc:creator>赵国</dc:creator>
  <cp:lastModifiedBy>WPS_1766558195</cp:lastModifiedBy>
  <dcterms:modified xsi:type="dcterms:W3CDTF">2026-09-11T01:41:40Z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FFFA195578404FEEA0FB12ACA4D9A3F7_13</vt:lpwstr>
  </property>
  <property fmtid="{D5CDD505-2E9C-101B-9397-08002B2CF9AE}" pid="4" name="KSOTemplateDocerSaveRecord">
    <vt:lpwstr>eyJoZGlkIjoiZjFmZWIzNDg2MmIzZjExOTIzMmViNTBmYTMwYTk0ZWYiLCJ1c2VySWQiOiIxNzgzOTU2MDExIn0=</vt:lpwstr>
  </property>
</Properties>
</file>