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2244" w:hanging="1606"/>
        <w:spacing w:line="480" w:lineRule="auto"/>
        <w:rPr>
          <w:rFonts w:ascii="Arial" w:hAnsi="Arial"/>
          <w:b/>
          <w:bCs/>
          <w:color w:val="000000"/>
          <w:sz w:val="32"/>
          <w:szCs w:val="24"/>
        </w:rPr>
      </w:pPr>
      <w:r>
        <w:rPr>
          <w:rFonts w:hint="eastAsia" w:ascii="Arial" w:hAnsi="Arial"/>
          <w:b/>
          <w:bCs/>
          <w:color w:val="000000"/>
          <w:sz w:val="32"/>
          <w:szCs w:val="24"/>
        </w:rPr>
        <w:t xml:space="preserve">项目名称：数智焊接研训中心项目（专门面向中小企业）</w:t>
      </w:r>
      <w:r/>
    </w:p>
    <w:p>
      <w:pPr>
        <w:ind w:firstLine="643"/>
        <w:spacing w:line="480" w:lineRule="auto"/>
        <w:rPr>
          <w:rFonts w:ascii="黑体" w:hAnsi="Arial"/>
          <w:b/>
          <w:color w:val="000000"/>
          <w:sz w:val="44"/>
          <w:szCs w:val="21"/>
        </w:rPr>
      </w:pPr>
      <w:r>
        <w:rPr>
          <w:rFonts w:hint="eastAsia" w:ascii="Arial" w:hAnsi="Arial"/>
          <w:b/>
          <w:bCs/>
          <w:sz w:val="32"/>
          <w:szCs w:val="24"/>
        </w:rPr>
        <w:t xml:space="preserve">项目编号：JSZC-320700-JZMY-G2026-0004</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1"/>
        <w:spacing w:line="360" w:lineRule="auto"/>
        <w:rPr>
          <w:rFonts w:ascii="宋体" w:hAnsi="宋体"/>
          <w:b/>
          <w:bCs/>
          <w:sz w:val="32"/>
        </w:rPr>
      </w:pPr>
      <w:r>
        <w:rPr>
          <w:rFonts w:ascii="宋体" w:hAnsi="宋体"/>
          <w:b/>
          <w:bCs/>
          <w:sz w:val="32"/>
        </w:rPr>
      </w:r>
      <w:r/>
    </w:p>
    <w:p>
      <w:pPr>
        <w:pStyle w:val="861"/>
        <w:spacing w:line="360" w:lineRule="auto"/>
        <w:rPr>
          <w:rFonts w:ascii="宋体" w:hAnsi="宋体"/>
          <w:b/>
          <w:bCs/>
          <w:sz w:val="32"/>
        </w:rPr>
      </w:pPr>
      <w:r>
        <w:rPr>
          <w:rFonts w:ascii="宋体" w:hAnsi="宋体"/>
          <w:b/>
          <w:bCs/>
          <w:sz w:val="32"/>
        </w:rPr>
      </w:r>
      <w:r/>
    </w:p>
    <w:p>
      <w:pPr>
        <w:pStyle w:val="861"/>
        <w:ind w:firstLine="964"/>
        <w:spacing w:line="360" w:lineRule="auto"/>
        <w:rPr>
          <w:b/>
          <w:color w:val="000000"/>
          <w:sz w:val="32"/>
        </w:rPr>
      </w:pPr>
      <w:r>
        <w:rPr>
          <w:rFonts w:hint="eastAsia" w:ascii="宋体" w:hAnsi="宋体"/>
          <w:b/>
          <w:bCs/>
          <w:sz w:val="32"/>
        </w:rPr>
        <w:t xml:space="preserve"> 采 购 人：</w:t>
      </w:r>
      <w:r>
        <w:rPr>
          <w:rFonts w:hint="eastAsia"/>
          <w:b/>
          <w:color w:val="000000"/>
          <w:sz w:val="32"/>
        </w:rPr>
        <w:t xml:space="preserve">江苏省连云港中等专业学校</w:t>
      </w:r>
      <w:r/>
    </w:p>
    <w:p>
      <w:pPr>
        <w:jc w:val="center"/>
        <w:spacing w:before="120" w:after="120" w:line="360" w:lineRule="auto"/>
        <w:rPr>
          <w:rFonts w:ascii="宋体" w:hAnsi="宋体"/>
          <w:b/>
          <w:bCs/>
          <w:sz w:val="32"/>
        </w:rPr>
      </w:pPr>
      <w:r>
        <w:rPr>
          <w:rFonts w:hint="eastAsia" w:ascii="宋体" w:hAnsi="宋体"/>
          <w:b/>
          <w:bCs/>
          <w:sz w:val="32"/>
        </w:rPr>
        <w:t xml:space="preserve"> 采购代理机构：江苏智茗元建设管理有限公司</w:t>
      </w:r>
      <w:r/>
    </w:p>
    <w:p>
      <w:pPr>
        <w:jc w:val="center"/>
        <w:spacing w:before="120" w:after="120" w:line="360" w:lineRule="auto"/>
        <w:rPr>
          <w:rFonts w:ascii="宋体" w:hAnsi="宋体" w:cs="宋体"/>
        </w:rPr>
      </w:pPr>
      <w:r>
        <w:rPr>
          <w:rFonts w:hint="eastAsia" w:ascii="Arial" w:hAnsi="Arial"/>
          <w:b/>
          <w:bCs/>
          <w:color w:val="000000"/>
          <w:sz w:val="32"/>
          <w:szCs w:val="24"/>
        </w:rPr>
        <w:t xml:space="preserve">2026年9月</w:t>
      </w:r>
      <w:r>
        <w:br w:type="page" w:clear="all"/>
      </w:r>
      <w:r>
        <w:rPr>
          <w:rFonts w:hint="eastAsia" w:ascii="宋体" w:hAnsi="宋体" w:cs="宋体"/>
        </w:rPr>
        <w:fldChar w:fldCharType="begin"/>
      </w:r>
      <w:r>
        <w:rPr>
          <w:rFonts w:hint="eastAsia" w:ascii="宋体" w:hAnsi="宋体" w:cs="宋体"/>
        </w:rPr>
        <w:instrText xml:space="preserve"> TOC \o "1-1" \u </w:instrText>
      </w:r>
      <w:r>
        <w:rPr>
          <w:rFonts w:hint="eastAsia" w:ascii="宋体" w:hAnsi="宋体" w:cs="宋体"/>
        </w:rPr>
        <w:fldChar w:fldCharType="separate"/>
      </w:r>
      <w:r/>
    </w:p>
    <w:p>
      <w:pPr>
        <w:pStyle w:val="1056"/>
        <w:rPr>
          <w:rFonts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rPr>
      </w:r>
      <w:r/>
    </w:p>
    <w:p>
      <w:pPr>
        <w:pStyle w:val="1056"/>
        <w:rPr>
          <w:rFonts w:ascii="宋体" w:hAnsi="宋体" w:eastAsia="宋体" w:cs="宋体"/>
        </w:rPr>
      </w:pPr>
      <w:r>
        <w:rPr>
          <w:rFonts w:hint="eastAsia" w:ascii="宋体" w:hAnsi="宋体" w:eastAsia="宋体" w:cs="宋体"/>
        </w:rPr>
        <w:t xml:space="preserve">目  录</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56"/>
        <w:rPr>
          <w:rFonts w:ascii="宋体" w:hAnsi="宋体" w:eastAsia="宋体" w:cs="宋体"/>
          <w:sz w:val="36"/>
          <w:szCs w:val="36"/>
        </w:rPr>
      </w:pPr>
      <w:r>
        <w:rPr>
          <w:rFonts w:hint="eastAsia" w:ascii="宋体" w:hAnsi="宋体" w:eastAsia="宋体" w:cs="宋体"/>
          <w:sz w:val="36"/>
          <w:szCs w:val="36"/>
        </w:rPr>
        <w:t xml:space="preserve">第一章投标邀请</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_Toc165205794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rPr>
        <w:fldChar w:fldCharType="end"/>
      </w:r>
      <w:r/>
    </w:p>
    <w:p>
      <w:pPr>
        <w:pStyle w:val="1056"/>
        <w:rPr>
          <w:rFonts w:ascii="宋体" w:hAnsi="宋体" w:eastAsia="宋体" w:cs="宋体"/>
          <w:sz w:val="36"/>
          <w:szCs w:val="36"/>
        </w:rPr>
      </w:pPr>
      <w:r>
        <w:rPr>
          <w:rFonts w:hint="eastAsia" w:ascii="宋体" w:hAnsi="宋体" w:eastAsia="宋体" w:cs="宋体"/>
          <w:sz w:val="36"/>
          <w:szCs w:val="36"/>
        </w:rPr>
        <w:t xml:space="preserve">第二章投标人须知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_Toc165205795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5</w:t>
      </w:r>
      <w:r>
        <w:rPr>
          <w:rFonts w:hint="eastAsia" w:ascii="宋体" w:hAnsi="宋体" w:eastAsia="宋体" w:cs="宋体"/>
          <w:sz w:val="36"/>
          <w:szCs w:val="36"/>
        </w:rPr>
        <w:fldChar w:fldCharType="end"/>
      </w:r>
      <w:r/>
    </w:p>
    <w:p>
      <w:pPr>
        <w:pStyle w:val="1056"/>
        <w:rPr>
          <w:rFonts w:ascii="宋体" w:hAnsi="宋体" w:eastAsia="宋体" w:cs="宋体"/>
          <w:sz w:val="36"/>
          <w:szCs w:val="36"/>
        </w:rPr>
      </w:pPr>
      <w:r>
        <w:rPr>
          <w:rFonts w:hint="eastAsia" w:ascii="宋体" w:hAnsi="宋体" w:eastAsia="宋体" w:cs="宋体"/>
          <w:sz w:val="36"/>
          <w:szCs w:val="36"/>
        </w:rPr>
        <w:t xml:space="preserve">第三章合同文本</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_Toc165205796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22</w:t>
      </w:r>
      <w:r>
        <w:rPr>
          <w:rFonts w:hint="eastAsia" w:ascii="宋体" w:hAnsi="宋体" w:eastAsia="宋体" w:cs="宋体"/>
          <w:sz w:val="36"/>
          <w:szCs w:val="36"/>
        </w:rPr>
        <w:fldChar w:fldCharType="end"/>
      </w:r>
      <w:r/>
    </w:p>
    <w:p>
      <w:pPr>
        <w:pStyle w:val="1056"/>
        <w:rPr>
          <w:rFonts w:ascii="宋体" w:hAnsi="宋体" w:eastAsia="宋体" w:cs="宋体"/>
          <w:sz w:val="36"/>
          <w:szCs w:val="36"/>
        </w:rPr>
      </w:pPr>
      <w:r>
        <w:rPr>
          <w:rFonts w:hint="eastAsia" w:ascii="宋体" w:hAnsi="宋体" w:eastAsia="宋体" w:cs="宋体"/>
          <w:sz w:val="36"/>
          <w:szCs w:val="36"/>
        </w:rPr>
        <w:t xml:space="preserve">第四章采购需求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_Toc165205797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38</w:t>
      </w:r>
      <w:r>
        <w:rPr>
          <w:rFonts w:hint="eastAsia" w:ascii="宋体" w:hAnsi="宋体" w:eastAsia="宋体" w:cs="宋体"/>
          <w:sz w:val="36"/>
          <w:szCs w:val="36"/>
        </w:rPr>
        <w:fldChar w:fldCharType="end"/>
      </w:r>
      <w:r/>
    </w:p>
    <w:p>
      <w:pPr>
        <w:pStyle w:val="1056"/>
        <w:rPr>
          <w:rFonts w:ascii="宋体" w:hAnsi="宋体" w:eastAsia="宋体" w:cs="宋体"/>
          <w:sz w:val="36"/>
          <w:szCs w:val="36"/>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rPr>
        <w:tab/>
      </w:r>
      <w:r>
        <w:rPr>
          <w:rFonts w:hint="eastAsia" w:ascii="宋体" w:hAnsi="宋体" w:eastAsia="宋体" w:cs="宋体"/>
          <w:sz w:val="36"/>
          <w:szCs w:val="36"/>
        </w:rPr>
        <w:t xml:space="preserve">51</w:t>
      </w:r>
      <w:r/>
    </w:p>
    <w:p>
      <w:pPr>
        <w:pStyle w:val="1056"/>
        <w:rPr>
          <w:rFonts w:ascii="宋体" w:hAnsi="宋体" w:eastAsia="宋体" w:cs="宋体"/>
          <w:sz w:val="36"/>
          <w:szCs w:val="36"/>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rPr>
        <w:tab/>
      </w:r>
      <w:r>
        <w:rPr>
          <w:rFonts w:hint="eastAsia" w:ascii="宋体" w:hAnsi="宋体" w:eastAsia="宋体" w:cs="宋体"/>
          <w:sz w:val="36"/>
          <w:szCs w:val="36"/>
        </w:rPr>
        <w:t xml:space="preserve">54</w:t>
      </w:r>
      <w:r/>
    </w:p>
    <w:p>
      <w:pPr>
        <w:jc w:val="left"/>
        <w:widowControl/>
        <w:rPr>
          <w:rFonts w:ascii="宋体" w:hAnsi="宋体" w:cs="宋体"/>
          <w:b/>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w:fldChar w:fldCharType="end"/>
      </w:r>
      <w:r/>
    </w:p>
    <w:p>
      <w:pPr>
        <w:pStyle w:val="1030"/>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受江苏省连云港中等专业学校的委托，江苏智茗元建设管理有限公司就数智焊接研训中心项目（专门面向中小企业）（项目编号：JSZC-320700-JZMY-G2026-0004）进行公开招标采购，欢迎符合条件的供应商投标。</w:t>
      </w:r>
      <w:r/>
    </w:p>
    <w:tbl>
      <w:tblPr>
        <w:tblStyle w:val="8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ind w:firstLine="480"/>
              <w:jc w:val="left"/>
              <w:spacing w:line="500" w:lineRule="exact"/>
              <w:rPr>
                <w:sz w:val="24"/>
                <w:szCs w:val="24"/>
              </w:rPr>
            </w:pPr>
            <w:r>
              <w:rPr>
                <w:rFonts w:hint="eastAsia"/>
                <w:sz w:val="24"/>
                <w:szCs w:val="24"/>
                <w:u w:val="single"/>
              </w:rPr>
              <w:t xml:space="preserve">数智焊接研训中心项目（专门面向中小企业）</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2026年 </w:t>
            </w:r>
            <w:r>
              <w:rPr>
                <w:rFonts w:hint="eastAsia"/>
                <w:sz w:val="24"/>
                <w:szCs w:val="24"/>
                <w:highlight w:val="none"/>
                <w:lang w:val="en-US" w:eastAsia="zh-CN"/>
              </w:rPr>
              <w:t xml:space="preserve">10</w:t>
            </w:r>
            <w:r>
              <w:rPr>
                <w:rFonts w:hint="eastAsia"/>
                <w:sz w:val="24"/>
                <w:szCs w:val="24"/>
                <w:highlight w:val="none"/>
              </w:rPr>
              <w:t xml:space="preserve">月</w:t>
            </w:r>
            <w:r>
              <w:rPr>
                <w:rFonts w:hint="eastAsia"/>
                <w:sz w:val="24"/>
                <w:szCs w:val="24"/>
                <w:highlight w:val="none"/>
                <w:lang w:val="en-US" w:eastAsia="zh-CN"/>
              </w:rPr>
              <w:t xml:space="preserve">09日</w:t>
            </w:r>
            <w:r>
              <w:rPr>
                <w:rFonts w:hint="eastAsia"/>
                <w:sz w:val="24"/>
                <w:szCs w:val="24"/>
                <w:highlight w:val="none"/>
              </w:rPr>
              <w:t xml:space="preserve"> </w:t>
            </w:r>
            <w:r>
              <w:rPr>
                <w:rFonts w:hint="eastAsia"/>
                <w:sz w:val="24"/>
                <w:szCs w:val="24"/>
                <w:highlight w:val="none"/>
                <w:lang w:val="en-US" w:eastAsia="zh-CN"/>
              </w:rPr>
              <w:t xml:space="preserve">15</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w:t>
            </w:r>
            <w:r>
              <w:rPr>
                <w:rFonts w:hint="eastAsia"/>
                <w:sz w:val="24"/>
                <w:szCs w:val="24"/>
              </w:rPr>
              <w:t xml:space="preserve">0（北京时间）前递交（上传）投标文件。</w:t>
            </w:r>
            <w:r/>
          </w:p>
        </w:tc>
      </w:tr>
    </w:tbl>
    <w:p>
      <w:pPr>
        <w:pStyle w:val="103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项目编号：JSZC-320700-JZMY-G2026-0004</w:t>
      </w:r>
      <w:r/>
    </w:p>
    <w:p>
      <w:pPr>
        <w:ind w:firstLine="480"/>
        <w:jc w:val="left"/>
        <w:spacing w:line="500" w:lineRule="exact"/>
        <w:rPr>
          <w:sz w:val="24"/>
          <w:szCs w:val="24"/>
        </w:rPr>
      </w:pPr>
      <w:r>
        <w:rPr>
          <w:rFonts w:hint="eastAsia"/>
          <w:sz w:val="24"/>
          <w:szCs w:val="24"/>
        </w:rPr>
        <w:t xml:space="preserve">项目名称：数智焊接研训中心项目（专门面向中小企业）</w:t>
      </w:r>
      <w:r/>
    </w:p>
    <w:p>
      <w:pPr>
        <w:ind w:firstLine="480"/>
        <w:jc w:val="left"/>
        <w:spacing w:line="500" w:lineRule="exact"/>
        <w:rPr>
          <w:sz w:val="24"/>
          <w:szCs w:val="24"/>
        </w:rPr>
      </w:pPr>
      <w:r>
        <w:rPr>
          <w:rFonts w:hint="eastAsia"/>
          <w:sz w:val="24"/>
          <w:szCs w:val="24"/>
        </w:rPr>
        <w:t xml:space="preserve">预算金额：156万</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项目位于焊接与汽车实训中心（11号楼3楼），面积约480平方米左右。主要建设：34个智能焊接工位，配套欧盟标准吸音防弧屏风、探伤检测房、焊烟净化系统设备、集中供气、配电及图像采集系统；购置数控激光切割机1台、锯床1台、等离子切割机1台；射线探伤机(RT)等焊接关联设备。</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bCs/>
          <w:sz w:val="24"/>
        </w:rPr>
        <w:t xml:space="preserve">合同签订后80天内完成安装调试，达到预期效果。</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68"/>
        <w:spacing w:line="360" w:lineRule="auto"/>
        <w:rPr>
          <w:sz w:val="24"/>
          <w:szCs w:val="24"/>
        </w:rPr>
      </w:pPr>
      <w:r>
        <w:rPr>
          <w:rFonts w:hint="eastAsia"/>
          <w:sz w:val="24"/>
          <w:szCs w:val="24"/>
        </w:rPr>
        <w:t xml:space="preserve">本项目不接受进口产品（进口产品是指通过中国海关报关验放进入中国境内且产自关境外的产品）投标，中标后不允许分包或转包。</w:t>
      </w:r>
      <w:r/>
    </w:p>
    <w:p>
      <w:pPr>
        <w:pStyle w:val="103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sz w:val="24"/>
          <w:szCs w:val="24"/>
          <w:highlight w:val="yellow"/>
        </w:rPr>
      </w:pPr>
      <w:r>
        <w:rPr>
          <w:rFonts w:hint="eastAsia"/>
          <w:sz w:val="24"/>
          <w:szCs w:val="24"/>
        </w:rPr>
        <w:t xml:space="preserve">（二）落实政府采购政策需满足的资格要求：</w:t>
      </w:r>
      <w:r>
        <w:rPr>
          <w:rFonts w:hint="eastAsia" w:ascii="Arial" w:hAnsi="Arial" w:eastAsia="Arial"/>
          <w:b/>
          <w:bCs/>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1031"/>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时间：自招标公告发布之日起五个工作日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1031"/>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2026年 </w:t>
      </w:r>
      <w:r>
        <w:rPr>
          <w:rFonts w:hint="eastAsia"/>
          <w:sz w:val="24"/>
          <w:szCs w:val="24"/>
          <w:highlight w:val="none"/>
          <w:lang w:val="en-US" w:eastAsia="zh-CN"/>
        </w:rPr>
        <w:t xml:space="preserve">10</w:t>
      </w:r>
      <w:r>
        <w:rPr>
          <w:rFonts w:hint="eastAsia"/>
          <w:sz w:val="24"/>
          <w:szCs w:val="24"/>
          <w:highlight w:val="none"/>
        </w:rPr>
        <w:t xml:space="preserve">月 </w:t>
      </w:r>
      <w:r>
        <w:rPr>
          <w:rFonts w:hint="eastAsia"/>
          <w:sz w:val="24"/>
          <w:szCs w:val="24"/>
          <w:highlight w:val="none"/>
          <w:lang w:val="en-US" w:eastAsia="zh-CN"/>
        </w:rPr>
        <w:t xml:space="preserve">09</w:t>
      </w:r>
      <w:r>
        <w:rPr>
          <w:rFonts w:hint="eastAsia"/>
          <w:sz w:val="24"/>
          <w:szCs w:val="24"/>
          <w:highlight w:val="none"/>
        </w:rPr>
        <w:t xml:space="preserve">日</w:t>
      </w:r>
      <w:r>
        <w:rPr>
          <w:rFonts w:hint="eastAsia"/>
          <w:sz w:val="24"/>
          <w:szCs w:val="24"/>
          <w:highlight w:val="none"/>
          <w:lang w:val="en-US" w:eastAsia="zh-CN"/>
        </w:rPr>
        <w:t xml:space="preserve">15</w:t>
      </w:r>
      <w:r>
        <w:rPr>
          <w:rFonts w:hint="eastAsia"/>
          <w:sz w:val="24"/>
          <w:szCs w:val="24"/>
          <w:highlight w:val="none"/>
        </w:rPr>
        <w:t xml:space="preserve">:00:00（北京时间）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1031"/>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1031"/>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w:t>
      </w:r>
      <w:r>
        <w:rPr>
          <w:rFonts w:hint="eastAsia"/>
          <w:b/>
          <w:bCs/>
          <w:i/>
          <w:iCs/>
          <w:sz w:val="24"/>
          <w:szCs w:val="24"/>
          <w:u w:val="single"/>
        </w:rPr>
        <w:t xml:space="preserve">斜体且有下划线</w:t>
      </w:r>
      <w:r>
        <w:rPr>
          <w:rFonts w:hint="eastAsia"/>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3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称：江苏省连云港中等专业学校</w:t>
      </w:r>
      <w:r/>
    </w:p>
    <w:p>
      <w:pPr>
        <w:ind w:firstLine="480"/>
        <w:jc w:val="left"/>
        <w:spacing w:line="500" w:lineRule="exact"/>
        <w:rPr>
          <w:sz w:val="24"/>
          <w:szCs w:val="24"/>
        </w:rPr>
      </w:pPr>
      <w:r>
        <w:rPr>
          <w:rFonts w:hint="eastAsia"/>
          <w:sz w:val="24"/>
          <w:szCs w:val="24"/>
        </w:rPr>
        <w:t xml:space="preserve">地    址：江苏省连云港市海州区振华东路2号</w:t>
      </w:r>
      <w:r/>
    </w:p>
    <w:p>
      <w:pPr>
        <w:ind w:firstLine="480"/>
        <w:jc w:val="left"/>
        <w:spacing w:line="500" w:lineRule="exact"/>
        <w:rPr>
          <w:sz w:val="24"/>
          <w:szCs w:val="24"/>
        </w:rPr>
      </w:pPr>
      <w:r>
        <w:rPr>
          <w:rFonts w:hint="eastAsia"/>
          <w:sz w:val="24"/>
          <w:szCs w:val="24"/>
        </w:rPr>
        <w:t xml:space="preserve">联 系 人：殷老师</w:t>
      </w:r>
      <w:r/>
    </w:p>
    <w:p>
      <w:pPr>
        <w:ind w:firstLine="480"/>
        <w:jc w:val="left"/>
        <w:spacing w:line="500" w:lineRule="exact"/>
        <w:rPr>
          <w:sz w:val="24"/>
          <w:szCs w:val="24"/>
        </w:rPr>
      </w:pPr>
      <w:r>
        <w:rPr>
          <w:rFonts w:hint="eastAsia"/>
          <w:sz w:val="24"/>
          <w:szCs w:val="24"/>
        </w:rPr>
        <w:t xml:space="preserve">联系电话：0518-85899277</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称：江苏智茗元建设管理有限公司</w:t>
      </w:r>
      <w:r/>
    </w:p>
    <w:p>
      <w:pPr>
        <w:ind w:firstLine="480"/>
        <w:jc w:val="left"/>
        <w:spacing w:line="500" w:lineRule="exact"/>
        <w:rPr>
          <w:sz w:val="24"/>
          <w:szCs w:val="24"/>
        </w:rPr>
      </w:pPr>
      <w:r>
        <w:rPr>
          <w:rFonts w:hint="eastAsia"/>
          <w:sz w:val="24"/>
          <w:szCs w:val="24"/>
        </w:rPr>
        <w:t xml:space="preserve">地    址：连云港市海州区朝阳东路东盛阳光大厦B座1206室</w:t>
      </w:r>
      <w:r/>
    </w:p>
    <w:p>
      <w:pPr>
        <w:ind w:firstLine="480"/>
        <w:jc w:val="left"/>
        <w:spacing w:line="500" w:lineRule="exact"/>
        <w:rPr>
          <w:sz w:val="24"/>
          <w:szCs w:val="24"/>
        </w:rPr>
      </w:pPr>
      <w:r>
        <w:rPr>
          <w:rFonts w:hint="eastAsia"/>
          <w:sz w:val="24"/>
          <w:szCs w:val="24"/>
        </w:rPr>
        <w:t xml:space="preserve">联 系 人：侍工</w:t>
      </w:r>
      <w:r/>
    </w:p>
    <w:p>
      <w:pPr>
        <w:ind w:firstLine="480"/>
        <w:jc w:val="left"/>
        <w:spacing w:line="500" w:lineRule="exact"/>
        <w:rPr>
          <w:sz w:val="24"/>
          <w:szCs w:val="24"/>
        </w:rPr>
      </w:pPr>
      <w:r>
        <w:rPr>
          <w:rFonts w:hint="eastAsia"/>
          <w:sz w:val="24"/>
          <w:szCs w:val="24"/>
        </w:rPr>
        <w:t xml:space="preserve">联系电话：0518-85805869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项目联系人：殷老师</w:t>
      </w:r>
      <w:r>
        <w:rPr>
          <w:sz w:val="24"/>
          <w:szCs w:val="24"/>
        </w:rPr>
        <w:t xml:space="preserve"> </w:t>
      </w:r>
      <w:r/>
    </w:p>
    <w:p>
      <w:pPr>
        <w:ind w:firstLine="480"/>
        <w:jc w:val="left"/>
        <w:spacing w:line="500" w:lineRule="exact"/>
        <w:rPr>
          <w:sz w:val="24"/>
          <w:szCs w:val="24"/>
        </w:rPr>
      </w:pPr>
      <w:r>
        <w:rPr>
          <w:rFonts w:hint="eastAsia"/>
          <w:sz w:val="24"/>
          <w:szCs w:val="24"/>
        </w:rPr>
        <w:t xml:space="preserve">电      话：0518-85899277</w:t>
      </w:r>
      <w:r/>
    </w:p>
    <w:p>
      <w:pPr>
        <w:ind w:firstLine="480"/>
        <w:jc w:val="left"/>
        <w:spacing w:line="500" w:lineRule="exact"/>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1030"/>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1031"/>
        <w:spacing w:before="0" w:after="0" w:line="360" w:lineRule="auto"/>
        <w:rPr>
          <w:rFonts w:ascii="黑体" w:hAnsi="黑体" w:eastAsia="黑体"/>
          <w:b w:val="0"/>
        </w:rPr>
      </w:pPr>
      <w:r>
        <w:rPr>
          <w:rFonts w:hint="eastAsia" w:ascii="黑体" w:hAnsi="黑体" w:eastAsia="黑体"/>
          <w:b w:val="0"/>
        </w:rPr>
        <w:t xml:space="preserve">一、总则</w:t>
      </w:r>
      <w:r/>
    </w:p>
    <w:p>
      <w:pPr>
        <w:pStyle w:val="103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103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103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1032"/>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投标人应自行承担所有与参与投标有关的费用，无论投标过程中的做法和结果如何，采购人和江苏智茗元建设管理有限公司（以下简称采购代理机构）在任何情况下均无义务和责任承担这些费用。</w:t>
      </w:r>
      <w:r/>
    </w:p>
    <w:p>
      <w:pPr>
        <w:ind w:firstLine="480"/>
        <w:jc w:val="left"/>
        <w:spacing w:line="500" w:lineRule="exact"/>
        <w:rPr>
          <w:sz w:val="24"/>
          <w:szCs w:val="24"/>
        </w:rPr>
      </w:pPr>
      <w:r>
        <w:rPr>
          <w:rFonts w:hint="eastAsia"/>
          <w:sz w:val="24"/>
          <w:szCs w:val="24"/>
        </w:rPr>
        <w:t xml:space="preserve">4.2  本项目招标代理费按照国家计委计价格【2002】1980号文件收费标准的39%收取；全部费用由中标人在领取中标通知书时支付；需考虑在投标报价中。</w:t>
      </w:r>
      <w:r/>
    </w:p>
    <w:p>
      <w:pPr>
        <w:pStyle w:val="103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1031"/>
        <w:spacing w:before="0" w:after="0" w:line="360" w:lineRule="auto"/>
        <w:rPr>
          <w:rFonts w:ascii="黑体" w:hAnsi="黑体" w:eastAsia="黑体"/>
          <w:b w:val="0"/>
        </w:rPr>
      </w:pPr>
      <w:r>
        <w:rPr>
          <w:rFonts w:hint="eastAsia" w:ascii="黑体" w:hAnsi="黑体" w:eastAsia="黑体"/>
          <w:b w:val="0"/>
        </w:rPr>
        <w:t xml:space="preserve">二、招标文件</w:t>
      </w:r>
      <w:r/>
    </w:p>
    <w:p>
      <w:pPr>
        <w:pStyle w:val="103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103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103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103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103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3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103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103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103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103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103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103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103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31"/>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103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103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103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103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1031"/>
        <w:spacing w:before="0" w:after="0" w:line="360" w:lineRule="auto"/>
        <w:rPr>
          <w:rFonts w:ascii="黑体" w:hAnsi="黑体" w:eastAsia="黑体"/>
          <w:b w:val="0"/>
        </w:rPr>
      </w:pPr>
      <w:r>
        <w:rPr>
          <w:rFonts w:hint="eastAsia" w:ascii="黑体" w:hAnsi="黑体" w:eastAsia="黑体"/>
          <w:b w:val="0"/>
        </w:rPr>
        <w:t xml:space="preserve">五、开标与评标</w:t>
      </w:r>
      <w:r/>
    </w:p>
    <w:p>
      <w:pPr>
        <w:pStyle w:val="103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103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103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103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103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宋体" w:hAnsi="宋体"/>
          <w:b/>
          <w:bCs/>
          <w:sz w:val="24"/>
          <w:szCs w:val="24"/>
        </w:rPr>
      </w:pPr>
      <w:r>
        <w:rPr>
          <w:rFonts w:hint="eastAsia" w:ascii="宋体" w:hAnsi="宋体"/>
          <w:b/>
          <w:bCs/>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rFonts w:ascii="宋体" w:hAnsi="宋体"/>
          <w:b/>
          <w:sz w:val="24"/>
          <w:szCs w:val="24"/>
        </w:rPr>
      </w:pPr>
      <w:r>
        <w:rPr>
          <w:rFonts w:hint="eastAsia" w:ascii="宋体" w:hAnsi="宋体"/>
          <w:b/>
          <w:sz w:val="24"/>
          <w:szCs w:val="24"/>
        </w:rPr>
        <w:t xml:space="preserve">26.1.3政府采购异常低价审查：</w:t>
      </w:r>
      <w:r/>
    </w:p>
    <w:p>
      <w:pPr>
        <w:ind w:firstLine="482"/>
        <w:spacing w:line="499" w:lineRule="atLeast"/>
        <w:rPr>
          <w:sz w:val="24"/>
        </w:rPr>
      </w:pPr>
      <w:r>
        <w:rPr>
          <w:rFonts w:hint="eastAsia" w:ascii="宋体" w:hAnsi="宋体" w:cs="宋体"/>
          <w:color w:val="000000"/>
          <w:sz w:val="24"/>
          <w:szCs w:val="24"/>
        </w:rPr>
        <w:t xml:space="preserve">（一）评审过程中出现下列情形之一的，评委会应当启动异常低价投标（响应）审查程序：</w:t>
      </w:r>
      <w:r/>
    </w:p>
    <w:p>
      <w:pPr>
        <w:ind w:firstLine="482"/>
        <w:spacing w:line="499" w:lineRule="atLeast"/>
        <w:rPr>
          <w:rFonts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499" w:lineRule="atLeast"/>
        <w:rPr>
          <w:rFonts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499" w:lineRule="atLeast"/>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p>
    <w:p>
      <w:pPr>
        <w:ind w:firstLine="482"/>
        <w:spacing w:line="499" w:lineRule="atLeast"/>
        <w:rPr>
          <w:rFonts w:ascii="宋体" w:hAnsi="宋体" w:cs="宋体"/>
          <w:sz w:val="24"/>
          <w:szCs w:val="24"/>
        </w:rPr>
      </w:pPr>
      <w:r>
        <w:rPr>
          <w:rFonts w:hint="eastAsia" w:ascii="宋体" w:hAnsi="宋体" w:cs="宋体"/>
          <w:sz w:val="24"/>
          <w:szCs w:val="24"/>
        </w:rPr>
        <w:t xml:space="preserve">4.评委会基于专业判断，认为供应商报价过低，有可能影响产品质量或者不能诚信履约的其他情形。</w:t>
      </w:r>
      <w:r/>
    </w:p>
    <w:p>
      <w:pPr>
        <w:ind w:firstLine="482"/>
        <w:spacing w:line="499" w:lineRule="atLeast"/>
        <w:rPr>
          <w:rFonts w:cs="Calibri"/>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w:t>
      </w:r>
      <w:r>
        <w:rPr>
          <w:rFonts w:hint="eastAsia" w:ascii="宋体" w:hAnsi="宋体" w:cs="宋体"/>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0"/>
        <w:spacing w:line="499" w:lineRule="atLeast"/>
        <w:rPr>
          <w:rFonts w:ascii="宋体" w:hAnsi="宋体"/>
          <w:bCs/>
          <w:sz w:val="24"/>
          <w:szCs w:val="24"/>
        </w:rPr>
      </w:pPr>
      <w:r>
        <w:rPr>
          <w:rFonts w:hint="eastAsia" w:ascii="宋体" w:hAnsi="宋体" w:cs="宋体"/>
          <w:color w:val="000000"/>
          <w:sz w:val="24"/>
          <w:szCs w:val="24"/>
        </w:rPr>
        <w:t xml:space="preserve">投标人可在投标（响应）文件中</w:t>
      </w:r>
      <w:r>
        <w:rPr>
          <w:rFonts w:hint="eastAsia" w:ascii="宋体" w:hAnsi="宋体" w:cs="宋体"/>
          <w:color w:val="000000"/>
          <w:sz w:val="24"/>
          <w:szCs w:val="24"/>
          <w:shd w:val="clear" w:color="auto" w:fill="ffffff"/>
        </w:rPr>
        <w:t xml:space="preserve">提供项目具体成本测算等与报价合理性相关的书面说明及必要的证明材料</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包括但不限于原材料成本、人工成本、制造费用等，</w:t>
      </w:r>
      <w:r>
        <w:rPr>
          <w:rFonts w:hint="eastAsia" w:ascii="宋体" w:hAnsi="宋体" w:cs="宋体"/>
          <w:color w:val="000000"/>
          <w:sz w:val="24"/>
          <w:szCs w:val="24"/>
        </w:rPr>
        <w:t xml:space="preserve">对投标（响应）价格作出解释，便于评审。</w:t>
      </w:r>
      <w:r/>
    </w:p>
    <w:p>
      <w:pPr>
        <w:ind w:firstLine="480"/>
        <w:spacing w:line="500" w:lineRule="exact"/>
        <w:rPr>
          <w:sz w:val="24"/>
          <w:szCs w:val="24"/>
        </w:rPr>
      </w:pPr>
      <w:r>
        <w:rPr>
          <w:rFonts w:hint="eastAsia" w:ascii="宋体" w:hAnsi="宋体"/>
          <w:sz w:val="24"/>
          <w:szCs w:val="24"/>
        </w:rPr>
        <w:t xml:space="preserve">26.1.4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103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rFonts w:ascii="宋体" w:hAnsi="宋体"/>
          <w:sz w:val="24"/>
          <w:szCs w:val="24"/>
        </w:rPr>
      </w:pPr>
      <w:r>
        <w:rPr>
          <w:rFonts w:hint="eastAsia" w:ascii="宋体" w:hAnsi="宋体"/>
          <w:sz w:val="24"/>
          <w:szCs w:val="24"/>
        </w:rPr>
        <w:t xml:space="preserve">27.1 无效投标条款</w:t>
      </w:r>
      <w:r/>
    </w:p>
    <w:p>
      <w:pPr>
        <w:ind w:firstLine="480"/>
        <w:jc w:val="left"/>
        <w:spacing w:line="500" w:lineRule="exact"/>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500" w:lineRule="exact"/>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500" w:lineRule="exact"/>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500" w:lineRule="exact"/>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500" w:lineRule="exact"/>
        <w:rPr>
          <w:rFonts w:ascii="宋体" w:hAnsi="宋体"/>
          <w:sz w:val="24"/>
          <w:szCs w:val="24"/>
        </w:rPr>
      </w:pPr>
      <w:r>
        <w:rPr>
          <w:rFonts w:hint="eastAsia" w:ascii="宋体" w:hAnsi="宋体"/>
          <w:sz w:val="24"/>
          <w:szCs w:val="24"/>
        </w:rPr>
        <w:t xml:space="preserve">（6）投标人的报价超过了采购预算或者最高限价的。</w:t>
      </w:r>
      <w:r/>
    </w:p>
    <w:p>
      <w:pPr>
        <w:ind w:firstLine="480"/>
        <w:spacing w:line="500" w:lineRule="exact"/>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0"/>
        <w:jc w:val="left"/>
        <w:spacing w:line="500" w:lineRule="exact"/>
        <w:rPr>
          <w:sz w:val="24"/>
          <w:szCs w:val="24"/>
        </w:rPr>
      </w:pPr>
      <w:r>
        <w:rPr>
          <w:sz w:val="24"/>
          <w:szCs w:val="24"/>
        </w:rPr>
      </w:r>
      <w:r/>
    </w:p>
    <w:p>
      <w:pPr>
        <w:pStyle w:val="1031"/>
        <w:spacing w:before="0" w:after="0" w:line="360" w:lineRule="auto"/>
        <w:rPr>
          <w:rFonts w:ascii="黑体" w:hAnsi="黑体" w:eastAsia="黑体"/>
          <w:b w:val="0"/>
        </w:rPr>
      </w:pPr>
      <w:r>
        <w:rPr>
          <w:rFonts w:hint="eastAsia" w:ascii="黑体" w:hAnsi="黑体" w:eastAsia="黑体"/>
          <w:b w:val="0"/>
        </w:rPr>
        <w:t xml:space="preserve">六、定标</w:t>
      </w:r>
      <w:r/>
    </w:p>
    <w:p>
      <w:pPr>
        <w:pStyle w:val="103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103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b/>
          <w:bCs/>
          <w:sz w:val="24"/>
          <w:szCs w:val="24"/>
        </w:rPr>
      </w:pPr>
      <w:r>
        <w:rPr>
          <w:rFonts w:hint="eastAsia"/>
          <w:sz w:val="24"/>
          <w:szCs w:val="24"/>
        </w:rPr>
        <w:t xml:space="preserve">29.3中标人在领取中标通知书时，</w:t>
      </w:r>
      <w:r>
        <w:rPr>
          <w:rFonts w:hint="eastAsia"/>
          <w:b/>
          <w:bCs/>
          <w:sz w:val="24"/>
          <w:szCs w:val="24"/>
        </w:rPr>
        <w:t xml:space="preserve">需提供三份与电子投标文件一致的纸质打印投标文件，封面、骑缝需加盖公章。</w:t>
      </w:r>
      <w:r/>
    </w:p>
    <w:p>
      <w:pPr>
        <w:pStyle w:val="1031"/>
        <w:spacing w:before="0" w:after="0" w:line="360" w:lineRule="auto"/>
        <w:rPr>
          <w:rFonts w:ascii="黑体" w:hAnsi="黑体" w:eastAsia="黑体"/>
          <w:b w:val="0"/>
        </w:rPr>
      </w:pPr>
      <w:r>
        <w:rPr>
          <w:rFonts w:hint="eastAsia" w:ascii="黑体" w:hAnsi="黑体" w:eastAsia="黑体"/>
          <w:b w:val="0"/>
        </w:rPr>
        <w:t xml:space="preserve">七、授予合同</w:t>
      </w:r>
      <w:r/>
    </w:p>
    <w:p>
      <w:pPr>
        <w:pStyle w:val="103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1032"/>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103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3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103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103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103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103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1031"/>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1032"/>
        <w:ind w:firstLine="562"/>
        <w:jc w:val="left"/>
        <w:spacing w:before="0" w:after="0" w:line="360" w:lineRule="auto"/>
        <w:rPr>
          <w:sz w:val="28"/>
          <w:szCs w:val="28"/>
        </w:rPr>
      </w:pPr>
      <w:r>
        <w:rPr>
          <w:rFonts w:hint="eastAsia"/>
          <w:sz w:val="28"/>
          <w:szCs w:val="28"/>
        </w:rPr>
        <w:t xml:space="preserve">37、促进中小企业发展</w:t>
      </w:r>
      <w:r/>
    </w:p>
    <w:p>
      <w:pPr>
        <w:ind w:firstLine="562"/>
        <w:jc w:val="left"/>
        <w:keepLines/>
        <w:keepNext/>
        <w:spacing w:line="360" w:lineRule="auto"/>
        <w:rPr>
          <w:sz w:val="24"/>
          <w:szCs w:val="24"/>
        </w:rPr>
        <w:outlineLvl w:val="2"/>
      </w:pPr>
      <w:r>
        <w:rPr>
          <w:rFonts w:hint="eastAsia"/>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562"/>
        <w:jc w:val="left"/>
        <w:keepLines/>
        <w:keepNext/>
        <w:spacing w:line="360" w:lineRule="auto"/>
        <w:rPr>
          <w:sz w:val="24"/>
          <w:szCs w:val="24"/>
        </w:rPr>
        <w:outlineLvl w:val="2"/>
      </w:pPr>
      <w:r>
        <w:rPr>
          <w:rFonts w:hint="eastAsia"/>
          <w:sz w:val="24"/>
          <w:szCs w:val="24"/>
        </w:rPr>
        <w:t xml:space="preserve">37.2 参加本项目政府采购活动的供应商应当提供的材料： </w:t>
      </w:r>
      <w:r/>
    </w:p>
    <w:p>
      <w:pPr>
        <w:ind w:firstLine="562"/>
        <w:jc w:val="left"/>
        <w:keepLines/>
        <w:keepNext/>
        <w:spacing w:line="360" w:lineRule="auto"/>
        <w:rPr>
          <w:sz w:val="24"/>
          <w:szCs w:val="24"/>
        </w:rPr>
        <w:outlineLvl w:val="2"/>
      </w:pPr>
      <w:r>
        <w:rPr>
          <w:rFonts w:hint="eastAsia"/>
          <w:sz w:val="24"/>
          <w:szCs w:val="24"/>
        </w:rPr>
        <w:t xml:space="preserve">（1）投标人为中型企业、小型企业、微型企业的，提供《中小企业声明函》（第六章 投标文件格式）。</w:t>
      </w:r>
      <w:r/>
    </w:p>
    <w:p>
      <w:pPr>
        <w:ind w:firstLine="562"/>
        <w:jc w:val="left"/>
        <w:keepLines/>
        <w:keepNext/>
        <w:spacing w:line="360" w:lineRule="auto"/>
        <w:rPr>
          <w:sz w:val="24"/>
          <w:szCs w:val="24"/>
        </w:rPr>
        <w:outlineLvl w:val="2"/>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562"/>
        <w:jc w:val="left"/>
        <w:keepLines/>
        <w:keepNext/>
        <w:spacing w:line="360" w:lineRule="auto"/>
        <w:rPr>
          <w:sz w:val="24"/>
          <w:szCs w:val="24"/>
        </w:rPr>
        <w:outlineLvl w:val="2"/>
      </w:pPr>
      <w:r>
        <w:rPr>
          <w:rFonts w:hint="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562"/>
        <w:jc w:val="left"/>
        <w:keepLines/>
        <w:keepNext/>
        <w:spacing w:line="360" w:lineRule="auto"/>
        <w:rPr>
          <w:b/>
          <w:bCs/>
          <w:sz w:val="28"/>
          <w:szCs w:val="28"/>
        </w:rPr>
        <w:outlineLvl w:val="2"/>
      </w:pPr>
      <w:r>
        <w:rPr>
          <w:rFonts w:hint="eastAsia"/>
          <w:b/>
          <w:bCs/>
          <w:sz w:val="28"/>
          <w:szCs w:val="28"/>
        </w:rPr>
        <w:t xml:space="preserve">38、采购本国产品的支持政策</w:t>
      </w:r>
      <w:r/>
    </w:p>
    <w:p>
      <w:pPr>
        <w:ind w:firstLine="480"/>
        <w:spacing w:line="500" w:lineRule="exact"/>
        <w:rPr>
          <w:sz w:val="24"/>
          <w:szCs w:val="24"/>
        </w:rPr>
      </w:pPr>
      <w:r>
        <w:rPr>
          <w:rFonts w:hint="eastAsia"/>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sz w:val="24"/>
          <w:szCs w:val="24"/>
        </w:rPr>
      </w:pPr>
      <w:r>
        <w:rPr>
          <w:rFonts w:hint="eastAsia" w:ascii="宋体" w:hAnsi="宋体" w:cs="宋体"/>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sz w:val="24"/>
          <w:szCs w:val="24"/>
        </w:rPr>
      </w:pPr>
      <w:r>
        <w:rPr>
          <w:rFonts w:hint="eastAsia" w:ascii="宋体" w:hAnsi="宋体" w:cs="宋体"/>
          <w:sz w:val="24"/>
          <w:szCs w:val="24"/>
        </w:rPr>
        <w:t xml:space="preserve">38.3供应商需按照招标文件的要求提供《关于符合本国产品标准的声明函》（以下简称《声明函》），如不提供将不享受本国产品价格评审优惠。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sz w:val="24"/>
          <w:szCs w:val="24"/>
        </w:rPr>
      </w:pPr>
      <w:r>
        <w:rPr>
          <w:rFonts w:hint="eastAsia" w:ascii="宋体" w:hAnsi="宋体" w:cs="宋体"/>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cs="宋体"/>
          <w:sz w:val="24"/>
          <w:szCs w:val="24"/>
        </w:rPr>
      </w:pPr>
      <w:r>
        <w:rPr>
          <w:rFonts w:hint="eastAsia" w:ascii="宋体" w:hAnsi="宋体" w:cs="宋体"/>
          <w:sz w:val="24"/>
          <w:szCs w:val="24"/>
        </w:rPr>
        <w:t xml:space="preserve">38.5政府采购中的本国产品标准及其他未尽事宜详见《国务院办公厅关于在政府采购中实施本国产品标准及相关政策的通知》（国办发〔2025〕34号）。</w:t>
      </w:r>
      <w:r/>
    </w:p>
    <w:p>
      <w:pPr>
        <w:ind w:firstLine="562"/>
        <w:jc w:val="left"/>
        <w:keepLines/>
        <w:keepNext/>
        <w:spacing w:line="360" w:lineRule="auto"/>
        <w:rPr>
          <w:b/>
          <w:bCs/>
          <w:sz w:val="28"/>
          <w:szCs w:val="28"/>
        </w:rPr>
        <w:outlineLvl w:val="2"/>
      </w:pPr>
      <w:r>
        <w:rPr>
          <w:rFonts w:hint="eastAsia"/>
          <w:b/>
          <w:bCs/>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jc w:val="left"/>
        <w:keepLines/>
        <w:keepNext/>
        <w:spacing w:line="360" w:lineRule="auto"/>
        <w:rPr>
          <w:b/>
          <w:bCs/>
          <w:sz w:val="28"/>
          <w:szCs w:val="28"/>
        </w:rPr>
        <w:outlineLvl w:val="2"/>
      </w:pPr>
      <w:r>
        <w:rPr>
          <w:rFonts w:hint="eastAsia"/>
          <w:b/>
          <w:bCs/>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1030"/>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1042"/>
        <w:jc w:val="center"/>
        <w:spacing w:after="0"/>
        <w:rPr>
          <w:rFonts w:ascii="宋体" w:hAnsi="宋体" w:cs="宋体"/>
          <w:b/>
          <w:bCs/>
          <w:spacing w:val="-20"/>
          <w:sz w:val="48"/>
          <w:szCs w:val="48"/>
        </w:rPr>
      </w:pPr>
      <w:r/>
      <w:bookmarkStart w:id="3" w:name="_Toc3995"/>
      <w:r/>
      <w:r/>
    </w:p>
    <w:p>
      <w:pPr>
        <w:pStyle w:val="1042"/>
        <w:jc w:val="center"/>
        <w:spacing w:after="0"/>
        <w:rPr>
          <w:rFonts w:ascii="宋体" w:hAnsi="宋体" w:cs="宋体"/>
          <w:b/>
          <w:bCs/>
          <w:spacing w:val="-20"/>
          <w:sz w:val="48"/>
          <w:szCs w:val="48"/>
        </w:rPr>
      </w:pPr>
      <w:r>
        <w:rPr>
          <w:rFonts w:ascii="宋体" w:hAnsi="宋体" w:cs="宋体"/>
          <w:b/>
          <w:bCs/>
          <w:spacing w:val="-20"/>
          <w:sz w:val="48"/>
          <w:szCs w:val="48"/>
        </w:rPr>
      </w:r>
      <w:r/>
    </w:p>
    <w:p>
      <w:pPr>
        <w:pStyle w:val="1042"/>
        <w:jc w:val="center"/>
        <w:spacing w:after="0"/>
        <w:rPr>
          <w:rFonts w:ascii="宋体" w:hAnsi="宋体" w:cs="宋体"/>
          <w:b/>
          <w:bCs/>
          <w:spacing w:val="-20"/>
          <w:sz w:val="48"/>
          <w:szCs w:val="48"/>
        </w:rPr>
      </w:pPr>
      <w:r>
        <w:rPr>
          <w:rFonts w:ascii="宋体" w:hAnsi="宋体" w:cs="宋体"/>
          <w:b/>
          <w:bCs/>
          <w:spacing w:val="-20"/>
          <w:sz w:val="48"/>
          <w:szCs w:val="48"/>
        </w:rPr>
      </w:r>
      <w:r/>
    </w:p>
    <w:p>
      <w:pPr>
        <w:pStyle w:val="1042"/>
        <w:jc w:val="center"/>
        <w:spacing w:after="0"/>
        <w:rPr>
          <w:rFonts w:ascii="宋体" w:hAnsi="宋体" w:cs="宋体"/>
          <w:b/>
          <w:bCs/>
          <w:spacing w:val="-20"/>
          <w:sz w:val="48"/>
          <w:szCs w:val="48"/>
        </w:rPr>
      </w:pPr>
      <w:r>
        <w:rPr>
          <w:rFonts w:ascii="宋体" w:hAnsi="宋体" w:cs="宋体"/>
          <w:b/>
          <w:bCs/>
          <w:spacing w:val="-20"/>
          <w:sz w:val="48"/>
          <w:szCs w:val="48"/>
        </w:rPr>
      </w:r>
      <w:r/>
    </w:p>
    <w:p>
      <w:pPr>
        <w:pStyle w:val="104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103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rPr>
      </w:pPr>
      <w:r>
        <w:rPr>
          <w:rFonts w:ascii="宋体" w:hAnsi="宋体"/>
        </w:rPr>
      </w:r>
      <w:r/>
    </w:p>
    <w:p>
      <w:pPr>
        <w:pStyle w:val="104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1044"/>
        <w:jc w:val="left"/>
        <w:spacing w:after="0" w:line="400" w:lineRule="exact"/>
        <w:rPr>
          <w:rFonts w:ascii="宋体" w:hAnsi="宋体"/>
          <w:szCs w:val="21"/>
          <w:u w:val="single"/>
        </w:rPr>
      </w:pPr>
      <w:r>
        <w:rPr>
          <w:rFonts w:hint="eastAsia" w:ascii="宋体" w:hAnsi="宋体"/>
          <w:szCs w:val="21"/>
        </w:rPr>
        <w:t xml:space="preserve">（1）采购项目名称：</w:t>
      </w:r>
      <w:r/>
    </w:p>
    <w:p>
      <w:pPr>
        <w:pStyle w:val="1044"/>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1044"/>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1066"/>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66"/>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1066"/>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106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6"/>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1066"/>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1066"/>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66"/>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1067"/>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66"/>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1066"/>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106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106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1067"/>
      </w:pPr>
      <w:r/>
      <w:r/>
    </w:p>
    <w:tbl>
      <w:tblPr>
        <w:tblStyle w:val="85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104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31"/>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104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104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6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4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400" w:lineRule="exact"/>
        <w:rPr>
          <w:rFonts w:ascii="宋体" w:hAnsi="宋体"/>
          <w:b/>
          <w:bCs/>
          <w:sz w:val="24"/>
          <w:szCs w:val="24"/>
        </w:rPr>
      </w:pPr>
      <w:r/>
      <w:bookmarkStart w:id="7" w:name="_Toc20313"/>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line="400" w:lineRule="exact"/>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ind w:firstLine="420"/>
        <w:spacing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ind w:firstLine="420"/>
        <w:spacing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ind w:firstLine="420"/>
        <w:spacing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宋体" w:hAnsi="宋体" w:cs="宋体"/>
          <w:szCs w:val="21"/>
        </w:rPr>
      </w:pPr>
      <w:r>
        <w:rPr>
          <w:rFonts w:hint="eastAsia" w:ascii="宋体" w:hAnsi="宋体" w:cs="宋体"/>
          <w:szCs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rPr>
          <w:rFonts w:ascii="黑体" w:hAnsi="华文中宋" w:eastAsia="黑体"/>
          <w:sz w:val="28"/>
          <w:szCs w:val="28"/>
        </w:rPr>
      </w:pPr>
      <w:r>
        <w:rPr>
          <w:rFonts w:hint="eastAsia" w:ascii="黑体" w:hAnsi="华文中宋" w:eastAsia="黑体"/>
          <w:sz w:val="28"/>
          <w:szCs w:val="28"/>
        </w:rPr>
        <w:br w:type="page" w:clear="all"/>
      </w:r>
      <w:r/>
    </w:p>
    <w:p>
      <w:pPr>
        <w:pStyle w:val="103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854"/>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66"/>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1030"/>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rFonts w:ascii="宋体" w:hAnsi="宋体"/>
          <w:sz w:val="24"/>
          <w:szCs w:val="24"/>
        </w:rPr>
      </w:pPr>
      <w:r>
        <w:rPr>
          <w:rFonts w:hint="eastAsia" w:cs="宋体"/>
          <w:b/>
          <w:color w:val="000000"/>
          <w:sz w:val="24"/>
          <w:szCs w:val="24"/>
          <w:shd w:val="clear" w:color="auto" w:fill="ffffff"/>
        </w:rPr>
        <w:t xml:space="preserve">根据《</w:t>
      </w:r>
      <w:r>
        <w:rPr>
          <w:rFonts w:hint="eastAsia" w:cs="宋体"/>
          <w:b/>
          <w:bCs/>
          <w:color w:val="000000"/>
          <w:sz w:val="24"/>
          <w:szCs w:val="24"/>
          <w:shd w:val="clear" w:color="auto" w:fill="ffffff"/>
        </w:rPr>
        <w:t xml:space="preserve">关于印发中小企业划型标准规定的通知</w:t>
      </w:r>
      <w:r>
        <w:rPr>
          <w:rFonts w:hint="eastAsia" w:cs="宋体"/>
          <w:b/>
          <w:color w:val="000000"/>
          <w:sz w:val="24"/>
          <w:szCs w:val="24"/>
          <w:shd w:val="clear" w:color="auto" w:fill="ffffff"/>
        </w:rPr>
        <w:t xml:space="preserve">》（工信部联企业〔</w:t>
      </w:r>
      <w:r>
        <w:rPr>
          <w:b/>
          <w:color w:val="000000"/>
          <w:sz w:val="24"/>
          <w:szCs w:val="24"/>
          <w:shd w:val="clear" w:color="auto" w:fill="ffffff"/>
        </w:rPr>
        <w:t xml:space="preserve">2011</w:t>
      </w:r>
      <w:r>
        <w:rPr>
          <w:rFonts w:hint="eastAsia" w:cs="宋体"/>
          <w:b/>
          <w:color w:val="000000"/>
          <w:sz w:val="24"/>
          <w:szCs w:val="24"/>
          <w:shd w:val="clear" w:color="auto" w:fill="ffffff"/>
        </w:rPr>
        <w:t xml:space="preserve">〕</w:t>
      </w:r>
      <w:r>
        <w:rPr>
          <w:b/>
          <w:color w:val="000000"/>
          <w:sz w:val="24"/>
          <w:szCs w:val="24"/>
          <w:shd w:val="clear" w:color="auto" w:fill="ffffff"/>
        </w:rPr>
        <w:t xml:space="preserve">300</w:t>
      </w:r>
      <w:r>
        <w:rPr>
          <w:rFonts w:hint="eastAsia" w:cs="宋体"/>
          <w:b/>
          <w:color w:val="000000"/>
          <w:sz w:val="24"/>
          <w:szCs w:val="24"/>
          <w:shd w:val="clear" w:color="auto" w:fill="ffffff"/>
        </w:rPr>
        <w:t xml:space="preserve">号）规定： </w:t>
      </w:r>
      <w:r>
        <w:rPr>
          <w:rFonts w:hint="eastAsia" w:ascii="宋体" w:hAnsi="宋体"/>
          <w:b/>
          <w:bCs/>
          <w:color w:val="000000"/>
          <w:sz w:val="24"/>
          <w:szCs w:val="24"/>
          <w:u w:val="single"/>
        </w:rPr>
        <w:t xml:space="preserve">工业 </w:t>
      </w:r>
      <w:r>
        <w:rPr>
          <w:rFonts w:hint="eastAsia" w:ascii="宋体" w:hAnsi="宋体"/>
          <w:color w:val="000000"/>
          <w:sz w:val="24"/>
          <w:szCs w:val="24"/>
        </w:rPr>
        <w:t xml:space="preserve">行业划型标准：</w:t>
      </w:r>
      <w:r>
        <w:rPr>
          <w:rFonts w:hint="eastAsia"/>
          <w:sz w:val="24"/>
          <w:szCs w:val="24"/>
        </w:rPr>
        <w:t xml:space="preserve">根据《关于印发中小企业划型标准规定的通知》（工信部联企业〔2011〕300号），</w:t>
      </w:r>
      <w:r>
        <w:rPr>
          <w:rFonts w:hint="eastAsia" w:ascii="宋体" w:hAnsi="宋体"/>
          <w:color w:val="000000"/>
          <w:sz w:val="24"/>
          <w:szCs w:val="24"/>
        </w:rPr>
        <w:t xml:space="preserve">工业行业划型标准：</w:t>
      </w:r>
      <w:r>
        <w:rPr>
          <w:rFonts w:hint="eastAsia"/>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ind w:firstLine="468"/>
        <w:spacing w:line="360" w:lineRule="auto"/>
        <w:rPr>
          <w:sz w:val="24"/>
          <w:szCs w:val="24"/>
        </w:rPr>
      </w:pPr>
      <w:r>
        <w:rPr>
          <w:rFonts w:hint="eastAsia"/>
          <w:sz w:val="24"/>
          <w:szCs w:val="24"/>
        </w:rPr>
        <w:t xml:space="preserve">3、特别提醒：政府采购中实施本国产品标准及相关政策</w:t>
      </w:r>
      <w:r/>
    </w:p>
    <w:p>
      <w:pPr>
        <w:ind w:firstLine="468"/>
        <w:spacing w:line="360" w:lineRule="auto"/>
        <w:rPr>
          <w:sz w:val="24"/>
          <w:szCs w:val="24"/>
        </w:rPr>
      </w:pPr>
      <w:r>
        <w:rPr>
          <w:rFonts w:hint="eastAsia"/>
          <w:sz w:val="24"/>
          <w:szCs w:val="24"/>
        </w:rPr>
        <w:t xml:space="preserve">3.1本项目对采购本国产品给予政策支持，具体内容见招标文件“第二章 九、政府采购政策功能”。</w:t>
      </w:r>
      <w:r/>
    </w:p>
    <w:p>
      <w:pPr>
        <w:ind w:firstLine="468"/>
        <w:spacing w:line="360" w:lineRule="auto"/>
        <w:rPr>
          <w:sz w:val="24"/>
          <w:szCs w:val="24"/>
        </w:rPr>
      </w:pPr>
      <w:r>
        <w:rPr>
          <w:rFonts w:hint="eastAsia"/>
          <w:sz w:val="24"/>
          <w:szCs w:val="24"/>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68"/>
        <w:spacing w:line="360" w:lineRule="auto"/>
        <w:rPr>
          <w:sz w:val="24"/>
          <w:szCs w:val="24"/>
        </w:rPr>
      </w:pPr>
      <w:r>
        <w:rPr>
          <w:rFonts w:hint="eastAsia"/>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p>
    <w:p>
      <w:pPr>
        <w:ind w:firstLine="480"/>
        <w:jc w:val="left"/>
        <w:spacing w:line="500" w:lineRule="exact"/>
        <w:rPr>
          <w:b/>
          <w:bCs/>
          <w:sz w:val="24"/>
          <w:szCs w:val="24"/>
          <w:u w:val="single"/>
        </w:rPr>
      </w:pPr>
      <w:r/>
      <w:bookmarkStart w:id="9" w:name="_Toc139966432"/>
      <w:r/>
      <w:bookmarkStart w:id="10" w:name="_Toc139967216"/>
      <w:r>
        <w:rPr>
          <w:rFonts w:hint="eastAsia"/>
          <w:sz w:val="24"/>
          <w:szCs w:val="24"/>
        </w:rPr>
        <w:t xml:space="preserve">4、本项目核心产品为：</w:t>
      </w:r>
      <w:r>
        <w:rPr>
          <w:rFonts w:hint="eastAsia"/>
          <w:b/>
          <w:bCs/>
          <w:sz w:val="24"/>
          <w:szCs w:val="24"/>
          <w:u w:val="single"/>
        </w:rPr>
        <w:t xml:space="preserve">智能焊烟除尘净化设备</w:t>
      </w:r>
      <w:r/>
    </w:p>
    <w:p>
      <w:pPr>
        <w:pStyle w:val="1040"/>
        <w:ind w:firstLine="0"/>
        <w:spacing w:line="240" w:lineRule="auto"/>
        <w:rPr>
          <w:rFonts w:ascii="宋体" w:hAnsi="宋体" w:cs="宋体"/>
          <w:sz w:val="18"/>
          <w:szCs w:val="18"/>
          <w:highlight w:val="yellow"/>
        </w:rPr>
      </w:pPr>
      <w:r>
        <w:rPr>
          <w:rFonts w:ascii="宋体" w:hAnsi="宋体" w:cs="宋体"/>
          <w:sz w:val="18"/>
          <w:szCs w:val="18"/>
          <w:highlight w:val="yellow"/>
        </w:rPr>
      </w:r>
      <w:bookmarkEnd w:id="9"/>
      <w:r/>
      <w:bookmarkEnd w:id="10"/>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Height w:val="420"/>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rPr>
            </w:pPr>
            <w:r>
              <w:rPr>
                <w:b/>
                <w:sz w:val="24"/>
                <w:szCs w:val="24"/>
              </w:rPr>
              <w:t xml:space="preserve">序号</w:t>
            </w:r>
            <w:r/>
          </w:p>
        </w:tc>
        <w:tc>
          <w:tcPr>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i/>
                <w:iCs/>
                <w:sz w:val="24"/>
                <w:szCs w:val="24"/>
              </w:rPr>
            </w:pPr>
            <w:r>
              <w:rPr>
                <w:rFonts w:hint="eastAsia"/>
                <w:i/>
                <w:iCs/>
                <w:sz w:val="24"/>
                <w:szCs w:val="24"/>
              </w:rPr>
              <w:t xml:space="preserve">1</w:t>
            </w:r>
            <w:r/>
          </w:p>
        </w:tc>
        <w:tc>
          <w:tcPr>
            <w:tcW w:w="7689" w:type="dxa"/>
            <w:textDirection w:val="lrTb"/>
            <w:noWrap w:val="false"/>
          </w:tcPr>
          <w:p>
            <w:pPr>
              <w:widowControl/>
              <w:rPr>
                <w:rFonts w:ascii="宋体" w:hAnsi="宋体" w:cs="宋体"/>
                <w:b/>
                <w:bCs/>
                <w:i/>
                <w:iCs/>
                <w:sz w:val="24"/>
                <w:szCs w:val="24"/>
                <w:u w:val="single"/>
              </w:rPr>
            </w:pPr>
            <w:r>
              <w:rPr>
                <w:rFonts w:hint="eastAsia" w:ascii="宋体" w:hAnsi="宋体" w:cs="宋体"/>
                <w:b/>
                <w:bCs/>
                <w:i/>
                <w:iCs/>
                <w:sz w:val="24"/>
                <w:szCs w:val="24"/>
                <w:u w:val="single"/>
              </w:rPr>
              <w:t xml:space="preserve">全钢结构焊接工作间屏风：</w:t>
            </w:r>
            <w:r/>
          </w:p>
          <w:p>
            <w:pPr>
              <w:rPr>
                <w:rFonts w:ascii="宋体" w:hAnsi="宋体" w:cs="宋体"/>
                <w:i/>
                <w:iCs/>
                <w:sz w:val="24"/>
                <w:szCs w:val="24"/>
                <w:u w:val="single"/>
              </w:rPr>
            </w:pPr>
            <w:r>
              <w:rPr>
                <w:rFonts w:hint="eastAsia" w:ascii="宋体" w:hAnsi="宋体" w:cs="宋体"/>
                <w:b/>
                <w:bCs/>
                <w:i/>
                <w:iCs/>
                <w:sz w:val="24"/>
                <w:szCs w:val="24"/>
                <w:u w:val="single"/>
              </w:rPr>
              <w:t xml:space="preserve">（1）为节约后期搬迁调整费用，延长设备利用时间，屏风本体需整体采用≥2MM全钢结构框架标准，积木组合模块式螺丝组装设计，快速准确的搭建拼装，对于后期任意次数的调整需求可将立柱、边框、腰筋、吸音防弧板通过拆卸螺丝的方式无损完全拆解分离，无需焊接、打胶的方式重新组合，符合国家标准。（</w:t>
            </w:r>
            <w:r>
              <w:rPr>
                <w:rFonts w:hint="eastAsia" w:ascii="宋体" w:hAnsi="宋体" w:cs="宋体"/>
                <w:b/>
                <w:bCs/>
                <w:i/>
                <w:iCs/>
                <w:color w:val="000000"/>
                <w:sz w:val="24"/>
                <w:szCs w:val="24"/>
                <w:u w:val="single"/>
              </w:rPr>
              <w:t xml:space="preserve">提供技术参数响应表或第三方检测报告或官方技术说明书等通用证明材料。</w:t>
            </w:r>
            <w:r>
              <w:rPr>
                <w:rFonts w:hint="eastAsia" w:ascii="宋体" w:hAnsi="宋体" w:cs="宋体"/>
                <w:b/>
                <w:bCs/>
                <w:i/>
                <w:iCs/>
                <w:sz w:val="24"/>
                <w:szCs w:val="24"/>
                <w:u w:val="single"/>
              </w:rPr>
              <w:t xml:space="preserve">）</w:t>
            </w:r>
            <w:r/>
          </w:p>
          <w:p>
            <w:pPr>
              <w:rPr>
                <w:rFonts w:ascii="宋体" w:hAnsi="宋体" w:cs="宋体"/>
                <w:b/>
                <w:bCs/>
                <w:i/>
                <w:iCs/>
                <w:sz w:val="24"/>
                <w:szCs w:val="24"/>
                <w:u w:val="single"/>
              </w:rPr>
            </w:pPr>
            <w:r>
              <w:rPr>
                <w:rFonts w:hint="eastAsia" w:ascii="宋体" w:hAnsi="宋体" w:cs="宋体"/>
                <w:b/>
                <w:bCs/>
                <w:i/>
                <w:iCs/>
                <w:sz w:val="24"/>
                <w:szCs w:val="24"/>
                <w:u w:val="single"/>
              </w:rPr>
              <w:t xml:space="preserve">（5）焊接吸音防弧板中间包裹自熄型高密度玻璃丝，玻璃丝达到国家防火等级A1级CNAS标准，（</w:t>
            </w:r>
            <w:r>
              <w:rPr>
                <w:rFonts w:hint="eastAsia" w:ascii="宋体" w:hAnsi="宋体" w:cs="宋体"/>
                <w:b/>
                <w:bCs/>
                <w:i/>
                <w:iCs/>
                <w:color w:val="000000"/>
                <w:sz w:val="24"/>
                <w:szCs w:val="24"/>
                <w:u w:val="single"/>
              </w:rPr>
              <w:t xml:space="preserve">提供技术参数响应表或第三方检测报告或官方技术说明书等通用证明材料。</w:t>
            </w:r>
            <w:r>
              <w:rPr>
                <w:rFonts w:hint="eastAsia" w:ascii="宋体" w:hAnsi="宋体" w:cs="宋体"/>
                <w:b/>
                <w:bCs/>
                <w:i/>
                <w:iCs/>
                <w:sz w:val="24"/>
                <w:szCs w:val="24"/>
                <w:u w:val="single"/>
              </w:rPr>
              <w:t xml:space="preserve">）</w:t>
            </w:r>
            <w:r/>
          </w:p>
        </w:tc>
      </w:tr>
      <w:tr>
        <w:trPr>
          <w:jc w:val="center"/>
        </w:trPr>
        <w:tc>
          <w:tcPr>
            <w:tcW w:w="816" w:type="dxa"/>
            <w:textDirection w:val="lrTb"/>
            <w:noWrap w:val="false"/>
          </w:tcPr>
          <w:p>
            <w:pPr>
              <w:jc w:val="center"/>
              <w:spacing w:line="500" w:lineRule="exact"/>
              <w:rPr>
                <w:i/>
                <w:iCs/>
                <w:sz w:val="24"/>
                <w:szCs w:val="24"/>
              </w:rPr>
            </w:pPr>
            <w:r>
              <w:rPr>
                <w:rFonts w:hint="eastAsia"/>
                <w:i/>
                <w:iCs/>
                <w:sz w:val="24"/>
                <w:szCs w:val="24"/>
              </w:rPr>
              <w:t xml:space="preserve">2</w:t>
            </w:r>
            <w:r/>
          </w:p>
        </w:tc>
        <w:tc>
          <w:tcPr>
            <w:tcW w:w="7689" w:type="dxa"/>
            <w:textDirection w:val="lrTb"/>
            <w:noWrap w:val="false"/>
          </w:tcPr>
          <w:p>
            <w:pPr>
              <w:jc w:val="left"/>
              <w:rPr>
                <w:rFonts w:ascii="宋体" w:hAnsi="宋体" w:cs="宋体"/>
                <w:b/>
                <w:bCs/>
                <w:i/>
                <w:iCs/>
                <w:sz w:val="24"/>
                <w:szCs w:val="24"/>
                <w:u w:val="single"/>
              </w:rPr>
            </w:pPr>
            <w:r>
              <w:rPr>
                <w:rFonts w:hint="eastAsia" w:ascii="宋体" w:hAnsi="宋体" w:cs="宋体"/>
                <w:b/>
                <w:bCs/>
                <w:i/>
                <w:iCs/>
                <w:sz w:val="24"/>
                <w:szCs w:val="24"/>
                <w:u w:val="single"/>
              </w:rPr>
              <w:t xml:space="preserve">探伤检测房：</w:t>
            </w:r>
            <w:r/>
          </w:p>
          <w:p>
            <w:pPr>
              <w:ind w:firstLine="482"/>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15、供应商负责设备技术参数符合环评要求并提供环评申报所需的技术支持。（投标人需提供承诺书并加盖投标人公章）</w:t>
            </w:r>
            <w:r/>
          </w:p>
        </w:tc>
      </w:tr>
      <w:tr>
        <w:trPr>
          <w:jc w:val="center"/>
        </w:trPr>
        <w:tc>
          <w:tcPr>
            <w:tcW w:w="816" w:type="dxa"/>
            <w:textDirection w:val="lrTb"/>
            <w:noWrap w:val="false"/>
          </w:tcPr>
          <w:p>
            <w:pPr>
              <w:jc w:val="center"/>
              <w:spacing w:line="500" w:lineRule="exact"/>
              <w:rPr>
                <w:i/>
                <w:iCs/>
                <w:sz w:val="24"/>
                <w:szCs w:val="24"/>
              </w:rPr>
            </w:pPr>
            <w:r>
              <w:rPr>
                <w:rFonts w:hint="eastAsia"/>
                <w:i/>
                <w:iCs/>
                <w:sz w:val="24"/>
                <w:szCs w:val="24"/>
              </w:rPr>
              <w:t xml:space="preserve">3</w:t>
            </w:r>
            <w:r/>
          </w:p>
        </w:tc>
        <w:tc>
          <w:tcPr>
            <w:tcW w:w="7689" w:type="dxa"/>
            <w:textDirection w:val="lrTb"/>
            <w:noWrap w:val="false"/>
          </w:tcPr>
          <w:p>
            <w:pPr>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智能焊烟除尘净化设备：</w:t>
            </w:r>
            <w:r/>
          </w:p>
          <w:p>
            <w:pPr>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1、新购除尘设备</w:t>
            </w:r>
            <w:r/>
          </w:p>
          <w:p>
            <w:pPr>
              <w:ind w:firstLine="482"/>
              <w:rPr>
                <w:rFonts w:ascii="宋体" w:hAnsi="宋体" w:cs="宋体"/>
                <w:b/>
                <w:bCs/>
                <w:i/>
                <w:iCs/>
                <w:color w:val="000000"/>
                <w:sz w:val="24"/>
                <w:szCs w:val="24"/>
                <w:u w:val="single"/>
              </w:rPr>
            </w:pPr>
            <w:r>
              <w:rPr>
                <w:rFonts w:hint="eastAsia" w:ascii="宋体" w:hAnsi="宋体" w:cs="宋体"/>
                <w:b/>
                <w:bCs/>
                <w:i/>
                <w:iCs/>
                <w:sz w:val="24"/>
                <w:szCs w:val="24"/>
                <w:u w:val="single"/>
              </w:rPr>
              <w:t xml:space="preserve">为了降低楼宇承载风险，新购除尘设备主机</w:t>
            </w:r>
            <w:r>
              <w:rPr>
                <w:rFonts w:hint="eastAsia" w:ascii="宋体" w:hAnsi="宋体" w:cs="宋体"/>
                <w:b/>
                <w:bCs/>
                <w:i/>
                <w:iCs/>
                <w:color w:val="000000"/>
                <w:sz w:val="24"/>
                <w:szCs w:val="24"/>
                <w:u w:val="single"/>
              </w:rPr>
              <w:t xml:space="preserve">需采用自动清灰型中央一体单柜式烟尘净化主机，电机、风机、过滤系统均在一个柜体内，占地小、自重低、低噪音、安全、美观、耐用，</w:t>
            </w:r>
            <w:r>
              <w:rPr>
                <w:rFonts w:hint="eastAsia" w:ascii="宋体" w:hAnsi="宋体" w:cs="宋体"/>
                <w:b/>
                <w:bCs/>
                <w:i/>
                <w:iCs/>
                <w:spacing w:val="14"/>
                <w:sz w:val="24"/>
                <w:szCs w:val="24"/>
                <w:u w:val="single"/>
              </w:rPr>
              <w:t xml:space="preserve">主机外形尺寸</w:t>
            </w:r>
            <w:r>
              <w:rPr>
                <w:rFonts w:hint="eastAsia" w:ascii="宋体" w:hAnsi="宋体" w:cs="宋体"/>
                <w:b/>
                <w:bCs/>
                <w:i/>
                <w:iCs/>
                <w:sz w:val="24"/>
                <w:szCs w:val="24"/>
                <w:u w:val="single"/>
              </w:rPr>
              <w:t xml:space="preserve">≤</w:t>
            </w:r>
            <w:r>
              <w:rPr>
                <w:rFonts w:hint="eastAsia" w:ascii="宋体" w:hAnsi="宋体" w:cs="宋体"/>
                <w:b/>
                <w:bCs/>
                <w:i/>
                <w:iCs/>
                <w:spacing w:val="14"/>
                <w:sz w:val="24"/>
                <w:szCs w:val="24"/>
                <w:u w:val="single"/>
              </w:rPr>
              <w:t xml:space="preserve">长2300X宽1800mm。（提供技术参数响应表或第三方检测报告或官方技术说明书等通用证明材料。）</w:t>
            </w:r>
            <w:r/>
          </w:p>
          <w:p>
            <w:pPr>
              <w:ind w:firstLine="538"/>
              <w:rPr>
                <w:rFonts w:ascii="宋体" w:hAnsi="宋体" w:cs="宋体"/>
                <w:b/>
                <w:bCs/>
                <w:i/>
                <w:iCs/>
                <w:color w:val="000000"/>
                <w:sz w:val="24"/>
                <w:szCs w:val="24"/>
                <w:u w:val="single"/>
              </w:rPr>
            </w:pPr>
            <w:r>
              <w:rPr>
                <w:rFonts w:hint="eastAsia" w:ascii="宋体" w:hAnsi="宋体" w:cs="宋体"/>
                <w:b/>
                <w:bCs/>
                <w:i/>
                <w:iCs/>
                <w:spacing w:val="14"/>
                <w:sz w:val="24"/>
                <w:szCs w:val="24"/>
                <w:u w:val="single"/>
              </w:rPr>
              <w:t xml:space="preserve">单机采用</w:t>
            </w:r>
            <w:r>
              <w:rPr>
                <w:rFonts w:hint="eastAsia" w:ascii="宋体" w:hAnsi="宋体" w:cs="宋体"/>
                <w:b/>
                <w:bCs/>
                <w:i/>
                <w:iCs/>
                <w:sz w:val="24"/>
                <w:szCs w:val="24"/>
                <w:u w:val="single"/>
              </w:rPr>
              <w:t xml:space="preserve">≥2</w:t>
            </w:r>
            <w:r>
              <w:rPr>
                <w:rFonts w:hint="eastAsia" w:ascii="宋体" w:hAnsi="宋体" w:cs="宋体"/>
                <w:b/>
                <w:bCs/>
                <w:i/>
                <w:iCs/>
                <w:spacing w:val="14"/>
                <w:sz w:val="24"/>
                <w:szCs w:val="24"/>
                <w:u w:val="single"/>
              </w:rPr>
              <w:t xml:space="preserve">台电机</w:t>
            </w:r>
            <w:r>
              <w:rPr>
                <w:rFonts w:hint="eastAsia" w:ascii="宋体" w:hAnsi="宋体" w:cs="宋体"/>
                <w:b/>
                <w:bCs/>
                <w:i/>
                <w:iCs/>
                <w:sz w:val="24"/>
                <w:szCs w:val="24"/>
                <w:u w:val="single"/>
              </w:rPr>
              <w:t xml:space="preserve">，电机可分别启动，有效降低能耗和震动</w:t>
            </w:r>
            <w:r>
              <w:rPr>
                <w:rFonts w:hint="eastAsia" w:ascii="宋体" w:hAnsi="宋体" w:cs="宋体"/>
                <w:b/>
                <w:bCs/>
                <w:i/>
                <w:iCs/>
                <w:color w:val="000000"/>
                <w:sz w:val="24"/>
                <w:szCs w:val="24"/>
                <w:u w:val="single"/>
              </w:rPr>
              <w:t xml:space="preserve">。（提供技术参数响应表或第三方检测报告或官方技术说明书等通用证明材料。）</w:t>
            </w:r>
            <w:r/>
          </w:p>
          <w:p>
            <w:pPr>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2、旧除尘设备移机</w:t>
            </w:r>
            <w:r/>
          </w:p>
          <w:p>
            <w:pPr>
              <w:ind w:firstLine="482"/>
              <w:rPr>
                <w:rFonts w:ascii="宋体" w:hAnsi="宋体" w:cs="宋体"/>
                <w:b/>
                <w:bCs/>
                <w:i/>
                <w:iCs/>
                <w:sz w:val="24"/>
                <w:szCs w:val="24"/>
                <w:u w:val="single"/>
              </w:rPr>
            </w:pPr>
            <w:r>
              <w:rPr>
                <w:rFonts w:hint="eastAsia" w:ascii="宋体" w:hAnsi="宋体" w:cs="宋体"/>
                <w:b/>
                <w:bCs/>
                <w:i/>
                <w:iCs/>
                <w:sz w:val="24"/>
                <w:szCs w:val="24"/>
                <w:u w:val="single"/>
              </w:rPr>
              <w:t xml:space="preserve">2套原系统移机并维护更换主机滤芯；原有吸气臂及立柱拆除、外皮更换并安装（需与新购吸气臂外观、颜色一致）；镀锌螺旋风管全部新制。</w:t>
            </w:r>
            <w:r>
              <w:rPr>
                <w:rFonts w:hint="eastAsia" w:ascii="宋体" w:hAnsi="宋体" w:cs="宋体"/>
                <w:b/>
                <w:bCs/>
                <w:sz w:val="24"/>
                <w:szCs w:val="24"/>
                <w:u w:val="single"/>
              </w:rPr>
              <w:t xml:space="preserve">（</w:t>
            </w:r>
            <w:r>
              <w:rPr>
                <w:rFonts w:hint="eastAsia" w:ascii="宋体" w:hAnsi="宋体" w:cs="宋体"/>
                <w:b/>
                <w:bCs/>
                <w:i/>
                <w:sz w:val="24"/>
                <w:szCs w:val="24"/>
                <w:u w:val="single"/>
              </w:rPr>
              <w:t xml:space="preserve">投标人需提供承诺书并加盖投标人公章）</w:t>
            </w:r>
            <w:r/>
          </w:p>
        </w:tc>
      </w:tr>
      <w:tr>
        <w:trPr>
          <w:jc w:val="center"/>
        </w:trPr>
        <w:tc>
          <w:tcPr>
            <w:tcW w:w="816" w:type="dxa"/>
            <w:textDirection w:val="lrTb"/>
            <w:noWrap w:val="false"/>
          </w:tcPr>
          <w:p>
            <w:pPr>
              <w:jc w:val="center"/>
              <w:spacing w:line="500" w:lineRule="exact"/>
              <w:rPr>
                <w:i/>
                <w:iCs/>
                <w:sz w:val="24"/>
                <w:szCs w:val="24"/>
              </w:rPr>
            </w:pPr>
            <w:r>
              <w:rPr>
                <w:rFonts w:hint="eastAsia"/>
                <w:i/>
                <w:iCs/>
                <w:sz w:val="24"/>
                <w:szCs w:val="24"/>
              </w:rPr>
              <w:t xml:space="preserve">4</w:t>
            </w:r>
            <w:r/>
          </w:p>
        </w:tc>
        <w:tc>
          <w:tcPr>
            <w:tcW w:w="7689" w:type="dxa"/>
            <w:textDirection w:val="lrTb"/>
            <w:noWrap w:val="false"/>
          </w:tcPr>
          <w:p>
            <w:pPr>
              <w:ind w:firstLine="482"/>
              <w:spacing w:line="360" w:lineRule="auto"/>
              <w:rPr>
                <w:rFonts w:ascii="宋体" w:hAnsi="宋体" w:cs="宋体"/>
                <w:i/>
                <w:iCs/>
                <w:sz w:val="24"/>
                <w:szCs w:val="24"/>
                <w:u w:val="single"/>
              </w:rPr>
            </w:pPr>
            <w:r>
              <w:rPr>
                <w:rFonts w:hint="eastAsia" w:hAnsi="宋体" w:cs="宋体"/>
                <w:b/>
                <w:bCs/>
                <w:i/>
                <w:iCs/>
                <w:sz w:val="24"/>
                <w:szCs w:val="24"/>
                <w:u w:val="single"/>
              </w:rPr>
              <w:t xml:space="preserve">交货期：合同签订后80天内完成安装调试，达到预期效果。</w:t>
            </w:r>
            <w:r/>
          </w:p>
        </w:tc>
      </w:tr>
      <w:tr>
        <w:trPr>
          <w:jc w:val="center"/>
        </w:trPr>
        <w:tc>
          <w:tcPr>
            <w:tcW w:w="816" w:type="dxa"/>
            <w:textDirection w:val="lrTb"/>
            <w:noWrap w:val="false"/>
          </w:tcPr>
          <w:p>
            <w:pPr>
              <w:jc w:val="center"/>
              <w:spacing w:line="500" w:lineRule="exact"/>
              <w:rPr>
                <w:i/>
                <w:iCs/>
                <w:sz w:val="24"/>
                <w:szCs w:val="24"/>
              </w:rPr>
            </w:pPr>
            <w:r>
              <w:rPr>
                <w:rFonts w:hint="eastAsia"/>
                <w:i/>
                <w:iCs/>
                <w:sz w:val="24"/>
                <w:szCs w:val="24"/>
              </w:rPr>
              <w:t xml:space="preserve">5</w:t>
            </w:r>
            <w:r/>
          </w:p>
        </w:tc>
        <w:tc>
          <w:tcPr>
            <w:tcW w:w="7689" w:type="dxa"/>
            <w:textDirection w:val="lrTb"/>
            <w:noWrap w:val="false"/>
          </w:tcPr>
          <w:p>
            <w:pPr>
              <w:ind w:firstLine="482"/>
              <w:spacing w:line="360" w:lineRule="auto"/>
              <w:rPr>
                <w:rFonts w:hAnsi="宋体" w:cs="宋体"/>
                <w:b/>
                <w:bCs/>
                <w:i/>
                <w:iCs/>
                <w:sz w:val="24"/>
                <w:szCs w:val="24"/>
                <w:u w:val="single"/>
              </w:rPr>
            </w:pPr>
            <w:r>
              <w:rPr>
                <w:rFonts w:hint="eastAsia" w:hAnsi="宋体" w:cs="宋体"/>
                <w:b/>
                <w:bCs/>
                <w:i/>
                <w:iCs/>
                <w:sz w:val="24"/>
                <w:szCs w:val="24"/>
                <w:u w:val="single"/>
              </w:rPr>
              <w:t xml:space="preserve">付款方式：合同签订后预付合同总价的30%合同生效；设备安装调试完毕并经采购人验收合格后一次性支付至合同总价的100%。</w:t>
            </w:r>
            <w:r/>
          </w:p>
        </w:tc>
      </w:tr>
    </w:tbl>
    <w:p>
      <w:pPr>
        <w:ind w:firstLine="562"/>
        <w:spacing w:line="360" w:lineRule="auto"/>
        <w:rPr>
          <w:rFonts w:ascii="Times New Roman" w:hAnsi="Times New Roman"/>
          <w:b/>
          <w:sz w:val="28"/>
          <w:szCs w:val="28"/>
          <w:highlight w:val="yellow"/>
        </w:rPr>
      </w:pPr>
      <w:r>
        <w:rPr>
          <w:rFonts w:ascii="Times New Roman" w:hAnsi="Times New Roman"/>
          <w:b/>
          <w:sz w:val="28"/>
          <w:szCs w:val="28"/>
          <w:highlight w:val="yellow"/>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spacing w:line="360" w:lineRule="auto"/>
        <w:rPr>
          <w:rFonts w:ascii="宋体" w:hAnsi="宋体"/>
          <w:sz w:val="24"/>
        </w:rPr>
      </w:pPr>
      <w:r>
        <w:rPr>
          <w:rFonts w:hint="eastAsia" w:ascii="宋体" w:hAnsi="宋体"/>
          <w:sz w:val="24"/>
        </w:rPr>
        <w:t xml:space="preserve">为贯彻落实教育部《关于深化职业教育教学关键要素改革的意见》中“建设产教融合实习实训基地”的要求，为服务地方产业，深化产教融合，交通运输系计划开展“数智焊接研训中心” 项目建设，焊接加工现有设备陈旧、工位不足，难以满足教学、培训与竞赛需求，亟需对现有焊接实训场所进行改建并添置部分与智能焊接技术专业有关的新设备。项目建成后，可满足年均200余名学生实训需求，具备承办省级及以上技能比赛能力，年均可输送高级焊接人才300人以上，带动全市焊接专业师资提升。</w:t>
      </w:r>
      <w:r/>
    </w:p>
    <w:p>
      <w:pPr>
        <w:ind w:firstLine="480"/>
        <w:jc w:val="left"/>
        <w:spacing w:line="500" w:lineRule="exact"/>
        <w:rPr>
          <w:sz w:val="24"/>
          <w:szCs w:val="24"/>
          <w:highlight w:val="yellow"/>
        </w:rPr>
      </w:pPr>
      <w:r>
        <w:rPr>
          <w:rFonts w:hint="eastAsia" w:ascii="宋体" w:hAnsi="宋体"/>
          <w:sz w:val="24"/>
        </w:rPr>
        <w:t xml:space="preserve">项目位于焊接与汽车实训中心（11号楼3楼），面积约480平方米左右。主要建设：34个智能焊接工位，配套欧盟标准</w:t>
      </w:r>
      <w:r>
        <w:rPr>
          <w:rFonts w:hint="eastAsia" w:ascii="宋体" w:hAnsi="宋体" w:cs="宋体"/>
          <w:sz w:val="24"/>
          <w:szCs w:val="24"/>
        </w:rPr>
        <w:t xml:space="preserve">吸音防弧屏风</w:t>
      </w:r>
      <w:r>
        <w:rPr>
          <w:rFonts w:hint="eastAsia" w:ascii="宋体" w:hAnsi="宋体"/>
          <w:sz w:val="24"/>
        </w:rPr>
        <w:t xml:space="preserve">、</w:t>
      </w:r>
      <w:r>
        <w:rPr>
          <w:rFonts w:hint="eastAsia" w:ascii="宋体" w:hAnsi="宋体" w:cs="宋体"/>
          <w:sz w:val="24"/>
          <w:szCs w:val="24"/>
        </w:rPr>
        <w:t xml:space="preserve">探伤检测房、</w:t>
      </w:r>
      <w:r>
        <w:rPr>
          <w:rFonts w:hint="eastAsia" w:ascii="宋体" w:hAnsi="宋体"/>
          <w:sz w:val="24"/>
        </w:rPr>
        <w:t xml:space="preserve">焊烟净化系统设备、集中供气、配电及图像采集系统；购置数控激光切割机1台、锯床1台、等离子切割机1台；</w:t>
      </w:r>
      <w:bookmarkStart w:id="11" w:name="OLE_LINK24"/>
      <w:r>
        <w:rPr>
          <w:rFonts w:hint="eastAsia" w:ascii="宋体" w:hAnsi="宋体"/>
          <w:sz w:val="24"/>
        </w:rPr>
        <w:t xml:space="preserve">射线探伤机(RT)</w:t>
      </w:r>
      <w:bookmarkEnd w:id="11"/>
      <w:r>
        <w:rPr>
          <w:rFonts w:hint="eastAsia" w:ascii="宋体" w:hAnsi="宋体"/>
          <w:sz w:val="24"/>
        </w:rPr>
        <w:t xml:space="preserve">等焊接关联设备。</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854"/>
        <w:tblW w:w="87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895"/>
        <w:gridCol w:w="782"/>
        <w:gridCol w:w="791"/>
        <w:gridCol w:w="2414"/>
      </w:tblGrid>
      <w:tr>
        <w:trPr>
          <w:jc w:val="center"/>
        </w:trPr>
        <w:tc>
          <w:tcPr>
            <w:tcW w:w="896" w:type="dxa"/>
            <w:vAlign w:val="center"/>
            <w:textDirection w:val="lrTb"/>
            <w:noWrap w:val="false"/>
          </w:tcPr>
          <w:p>
            <w:pPr>
              <w:jc w:val="center"/>
              <w:spacing w:line="360" w:lineRule="auto"/>
              <w:widowControl/>
              <w:rPr>
                <w:rFonts w:ascii="宋体" w:hAnsi="宋体" w:cs="Helvetica"/>
                <w:szCs w:val="21"/>
              </w:rPr>
            </w:pPr>
            <w:r>
              <w:rPr>
                <w:rFonts w:hint="eastAsia" w:ascii="宋体" w:hAnsi="宋体" w:cs="Helvetica"/>
                <w:szCs w:val="21"/>
              </w:rPr>
              <w:t xml:space="preserve">序号</w:t>
            </w:r>
            <w:r/>
          </w:p>
        </w:tc>
        <w:tc>
          <w:tcPr>
            <w:tcW w:w="3895" w:type="dxa"/>
            <w:vAlign w:val="center"/>
            <w:textDirection w:val="lrTb"/>
            <w:noWrap w:val="false"/>
          </w:tcPr>
          <w:p>
            <w:pPr>
              <w:jc w:val="center"/>
              <w:spacing w:line="360" w:lineRule="auto"/>
              <w:widowControl/>
              <w:rPr>
                <w:rFonts w:ascii="宋体" w:hAnsi="宋体" w:cs="Helvetica"/>
                <w:szCs w:val="21"/>
              </w:rPr>
            </w:pPr>
            <w:r>
              <w:rPr>
                <w:rFonts w:hint="eastAsia" w:ascii="宋体" w:hAnsi="宋体" w:cs="Helvetica"/>
                <w:szCs w:val="21"/>
              </w:rPr>
              <w:t xml:space="preserve">货物（标的）名称</w:t>
            </w:r>
            <w:r/>
          </w:p>
        </w:tc>
        <w:tc>
          <w:tcPr>
            <w:tcW w:w="782" w:type="dxa"/>
            <w:vAlign w:val="center"/>
            <w:textDirection w:val="lrTb"/>
            <w:noWrap w:val="false"/>
          </w:tcPr>
          <w:p>
            <w:pPr>
              <w:jc w:val="center"/>
              <w:spacing w:line="360" w:lineRule="auto"/>
              <w:widowControl/>
              <w:rPr>
                <w:rFonts w:ascii="宋体" w:hAnsi="Times New Roman"/>
                <w:szCs w:val="21"/>
              </w:rPr>
            </w:pPr>
            <w:r>
              <w:rPr>
                <w:rFonts w:hint="eastAsia" w:ascii="Times New Roman" w:hAnsi="Times New Roman"/>
                <w:szCs w:val="21"/>
              </w:rPr>
              <w:t xml:space="preserve">数量</w:t>
            </w:r>
            <w:r/>
          </w:p>
        </w:tc>
        <w:tc>
          <w:tcPr>
            <w:tcW w:w="791" w:type="dxa"/>
            <w:vAlign w:val="center"/>
            <w:textDirection w:val="lrTb"/>
            <w:noWrap w:val="false"/>
          </w:tcPr>
          <w:p>
            <w:pPr>
              <w:jc w:val="center"/>
              <w:spacing w:line="360" w:lineRule="auto"/>
              <w:widowControl/>
              <w:rPr>
                <w:rFonts w:ascii="Times New Roman" w:hAnsi="Times New Roman"/>
                <w:szCs w:val="21"/>
              </w:rPr>
            </w:pPr>
            <w:r>
              <w:rPr>
                <w:rFonts w:hint="eastAsia" w:ascii="Times New Roman" w:hAnsi="Times New Roman"/>
                <w:szCs w:val="21"/>
              </w:rPr>
              <w:t xml:space="preserve">单位</w:t>
            </w:r>
            <w:r/>
          </w:p>
        </w:tc>
        <w:tc>
          <w:tcPr>
            <w:tcW w:w="2414" w:type="dxa"/>
            <w:textDirection w:val="lrTb"/>
            <w:noWrap w:val="false"/>
          </w:tcPr>
          <w:p>
            <w:pPr>
              <w:jc w:val="center"/>
              <w:widowControl/>
              <w:rPr>
                <w:rFonts w:ascii="Times New Roman" w:hAnsi="Times New Roman"/>
                <w:szCs w:val="21"/>
              </w:rPr>
            </w:pPr>
            <w:r>
              <w:rPr>
                <w:rFonts w:hint="eastAsia" w:ascii="Times New Roman" w:hAnsi="Times New Roman"/>
                <w:szCs w:val="21"/>
              </w:rPr>
              <w:t xml:space="preserve">中小企业划分标准所属行业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1</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全钢结构焊接作间屏风</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34</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2</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图像采集、公示、上传设备</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3</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探伤检测房</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Height w:val="382"/>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4</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射线探伤机</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5</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智能焊烟除尘净化设备</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6</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数控激光切割机</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7</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半自动数字等离子切割机</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r>
        <w:trPr>
          <w:jc w:val="center"/>
        </w:trPr>
        <w:tc>
          <w:tcPr>
            <w:tcW w:w="89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8</w:t>
            </w:r>
            <w:r/>
          </w:p>
        </w:tc>
        <w:tc>
          <w:tcPr>
            <w:tcW w:w="3895"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锯床</w:t>
            </w:r>
            <w:r/>
          </w:p>
        </w:tc>
        <w:tc>
          <w:tcPr>
            <w:tcW w:w="782" w:type="dxa"/>
            <w:vAlign w:val="center"/>
            <w:textDirection w:val="lrTb"/>
            <w:noWrap w:val="false"/>
          </w:tcPr>
          <w:p>
            <w:pPr>
              <w:jc w:val="center"/>
              <w:widowControl/>
              <w:rPr>
                <w:rFonts w:ascii="宋体" w:hAnsi="宋体" w:cs="Helvetica"/>
                <w:sz w:val="24"/>
                <w:szCs w:val="24"/>
              </w:rPr>
            </w:pPr>
            <w:r>
              <w:rPr>
                <w:rFonts w:hint="eastAsia" w:ascii="宋体" w:hAnsi="宋体" w:cs="Helvetica"/>
                <w:sz w:val="24"/>
                <w:szCs w:val="24"/>
              </w:rPr>
              <w:t xml:space="preserve">1</w:t>
            </w:r>
            <w:r/>
          </w:p>
        </w:tc>
        <w:tc>
          <w:tcPr>
            <w:tcW w:w="791"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tcW w:w="241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工业</w:t>
            </w:r>
            <w:r/>
          </w:p>
        </w:tc>
      </w:tr>
    </w:tbl>
    <w:p>
      <w:pPr>
        <w:jc w:val="left"/>
        <w:spacing w:line="360" w:lineRule="auto"/>
        <w:rPr>
          <w:rFonts w:ascii="宋体" w:hAnsi="宋体"/>
          <w:color w:val="000000"/>
          <w:sz w:val="24"/>
          <w:szCs w:val="24"/>
        </w:rPr>
      </w:pPr>
      <w:r>
        <w:rPr>
          <w:rFonts w:ascii="宋体" w:hAnsi="宋体"/>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53"/>
        <w:gridCol w:w="6583"/>
      </w:tblGrid>
      <w:tr>
        <w:trPr>
          <w:jc w:val="center"/>
        </w:trPr>
        <w:tc>
          <w:tcPr>
            <w:tcW w:w="66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序号</w:t>
            </w:r>
            <w:r/>
          </w:p>
        </w:tc>
        <w:tc>
          <w:tcPr>
            <w:tcW w:w="125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货物（标的）名称</w:t>
            </w:r>
            <w:r/>
          </w:p>
        </w:tc>
        <w:tc>
          <w:tcPr>
            <w:tcW w:w="65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技术参数及功能指标</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2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hint="eastAsia" w:ascii="宋体" w:hAnsi="宋体" w:cs="宋体"/>
                <w:sz w:val="24"/>
                <w:szCs w:val="24"/>
              </w:rPr>
              <w:t xml:space="preserve">全钢结构</w:t>
            </w:r>
            <w:r/>
          </w:p>
          <w:p>
            <w:pPr>
              <w:jc w:val="center"/>
              <w:spacing w:line="360" w:lineRule="auto"/>
              <w:widowControl/>
              <w:rPr>
                <w:rFonts w:ascii="宋体" w:hAnsi="宋体" w:cs="宋体"/>
                <w:sz w:val="24"/>
                <w:szCs w:val="24"/>
              </w:rPr>
            </w:pPr>
            <w:r>
              <w:rPr>
                <w:rFonts w:hint="eastAsia" w:ascii="宋体" w:hAnsi="宋体" w:cs="宋体"/>
                <w:sz w:val="24"/>
                <w:szCs w:val="24"/>
              </w:rPr>
              <w:t xml:space="preserve">焊接工作间</w:t>
            </w:r>
            <w:r/>
          </w:p>
          <w:p>
            <w:pPr>
              <w:jc w:val="center"/>
              <w:spacing w:line="360" w:lineRule="auto"/>
              <w:widowControl/>
              <w:rPr>
                <w:rFonts w:ascii="宋体" w:hAnsi="宋体" w:cs="宋体"/>
                <w:sz w:val="24"/>
                <w:szCs w:val="24"/>
              </w:rPr>
            </w:pPr>
            <w:r>
              <w:rPr>
                <w:rFonts w:hint="eastAsia" w:ascii="宋体" w:hAnsi="宋体" w:cs="宋体"/>
                <w:sz w:val="24"/>
                <w:szCs w:val="24"/>
              </w:rPr>
              <w:t xml:space="preserve">屏风</w:t>
            </w:r>
            <w:r/>
          </w:p>
        </w:tc>
        <w:tc>
          <w:tcPr>
            <w:tcW w:w="6583" w:type="dxa"/>
            <w:textDirection w:val="lrTb"/>
            <w:noWrap w:val="false"/>
          </w:tcPr>
          <w:p>
            <w:pPr>
              <w:jc w:val="left"/>
              <w:widowControl/>
              <w:rPr>
                <w:rFonts w:ascii="宋体" w:hAnsi="宋体" w:cs="宋体"/>
                <w:spacing w:val="14"/>
                <w:sz w:val="24"/>
                <w:szCs w:val="24"/>
              </w:rPr>
            </w:pPr>
            <w:r>
              <w:rPr>
                <w:rFonts w:hint="eastAsia" w:ascii="宋体" w:hAnsi="宋体" w:cs="宋体"/>
                <w:sz w:val="24"/>
                <w:szCs w:val="24"/>
              </w:rPr>
              <w:t xml:space="preserve">定制设备需求：</w:t>
            </w:r>
            <w:r/>
          </w:p>
          <w:p>
            <w:pPr>
              <w:rPr>
                <w:rFonts w:ascii="宋体" w:hAnsi="宋体" w:cs="宋体"/>
                <w:sz w:val="24"/>
                <w:szCs w:val="24"/>
              </w:rPr>
            </w:pPr>
            <w:r>
              <w:rPr>
                <w:rFonts w:hint="eastAsia" w:ascii="宋体" w:hAnsi="宋体" w:cs="宋体"/>
                <w:sz w:val="24"/>
                <w:szCs w:val="24"/>
              </w:rPr>
              <w:t xml:space="preserve">1、34套工作间屏风本体</w:t>
            </w:r>
            <w:r/>
          </w:p>
          <w:p>
            <w:pPr>
              <w:rPr>
                <w:rFonts w:ascii="宋体" w:hAnsi="宋体" w:cs="宋体"/>
                <w:i/>
                <w:iCs/>
                <w:sz w:val="24"/>
                <w:szCs w:val="24"/>
                <w:u w:val="single"/>
              </w:rPr>
            </w:pPr>
            <w:r>
              <w:rPr>
                <w:rFonts w:hint="eastAsia" w:ascii="宋体" w:hAnsi="宋体" w:cs="宋体"/>
                <w:sz w:val="24"/>
                <w:szCs w:val="24"/>
              </w:rPr>
              <w:t xml:space="preserve">（1）</w:t>
            </w:r>
            <w:r>
              <w:rPr>
                <w:rFonts w:hint="eastAsia" w:ascii="宋体" w:hAnsi="宋体" w:cs="宋体"/>
                <w:b/>
                <w:bCs/>
                <w:i/>
                <w:iCs/>
                <w:sz w:val="24"/>
                <w:szCs w:val="24"/>
                <w:u w:val="single"/>
              </w:rPr>
              <w:t xml:space="preserve">为节约后期搬迁调整费用，延长设备利用时间，屏风本体需整体采用≥2MM全钢结构框架标准，积木组合模块式螺丝组装设计，快速准确的搭建拼装，对于后期任意次数的调整需求可将立柱、边框、腰筋、吸音防弧板通过拆卸螺丝的方式无损完全拆解分离，无需焊接、打胶的方式重新组合，</w:t>
            </w:r>
            <w:r>
              <w:rPr>
                <w:rFonts w:hint="eastAsia" w:ascii="宋体" w:hAnsi="宋体" w:cs="宋体"/>
                <w:b/>
                <w:bCs/>
                <w:i/>
                <w:iCs/>
                <w:color w:val="666666"/>
                <w:sz w:val="24"/>
                <w:szCs w:val="24"/>
                <w:u w:val="single"/>
              </w:rPr>
              <w:t xml:space="preserve">符合国家标准</w:t>
            </w:r>
            <w:r>
              <w:rPr>
                <w:rFonts w:hint="eastAsia" w:ascii="宋体" w:hAnsi="宋体" w:cs="宋体"/>
                <w:b/>
                <w:bCs/>
                <w:i/>
                <w:iCs/>
                <w:sz w:val="24"/>
                <w:szCs w:val="24"/>
                <w:u w:val="single"/>
              </w:rPr>
              <w:t xml:space="preserve">。（</w:t>
            </w:r>
            <w:r>
              <w:rPr>
                <w:rFonts w:hint="eastAsia" w:ascii="宋体" w:hAnsi="宋体" w:cs="宋体"/>
                <w:b/>
                <w:bCs/>
                <w:i/>
                <w:iCs/>
                <w:color w:val="000000"/>
                <w:sz w:val="24"/>
                <w:szCs w:val="24"/>
                <w:u w:val="single"/>
              </w:rPr>
              <w:t xml:space="preserve">提供技术参数响应表或第三方检测报告或官方技术说明书等通用证明材料。</w:t>
            </w:r>
            <w:r>
              <w:rPr>
                <w:rFonts w:hint="eastAsia" w:ascii="宋体" w:hAnsi="宋体" w:cs="宋体"/>
                <w:b/>
                <w:bCs/>
                <w:i/>
                <w:iCs/>
                <w:sz w:val="24"/>
                <w:szCs w:val="24"/>
                <w:u w:val="single"/>
              </w:rPr>
              <w:t xml:space="preserve">）</w:t>
            </w:r>
            <w:r/>
          </w:p>
          <w:p>
            <w:pPr>
              <w:jc w:val="left"/>
              <w:widowControl/>
              <w:rPr>
                <w:rFonts w:ascii="宋体" w:hAnsi="宋体" w:cs="宋体"/>
                <w:sz w:val="24"/>
                <w:szCs w:val="24"/>
              </w:rPr>
            </w:pPr>
            <w:r>
              <w:rPr>
                <w:rFonts w:hint="eastAsia" w:ascii="宋体" w:hAnsi="宋体" w:cs="宋体"/>
                <w:sz w:val="24"/>
                <w:szCs w:val="24"/>
              </w:rPr>
              <w:t xml:space="preserve">（2）焊接工位采用≥2MM国标冷轧钢板制作成钢结构框架，为确保框架各个连接处装配紧密结合，采用精细加工误差不低于±0.3mm设备工艺制作，二合一双直角方向斜坡面为135度；三合一顺延工作间90°+180°+90°链接；腰筋60mm\榫卯搭扣正反向各90°，开口44mm双C型加闭合50mm*40mm*1500mm框架，整体盖板为双内向边30°，中间支撑卡口80mmX2,,为确保框架L角垂直弧度-∞0，钢结构采用</w:t>
            </w:r>
            <w:r>
              <w:rPr>
                <w:rFonts w:hint="eastAsia" w:ascii="宋体" w:hAnsi="宋体" w:cs="宋体"/>
                <w:color w:val="666666"/>
                <w:sz w:val="24"/>
                <w:szCs w:val="24"/>
              </w:rPr>
              <w:t xml:space="preserve">行业通用的加工工艺标准或性能要求，采用精密数控加工，确保结构连接精度满足装配与使用要求。</w:t>
            </w:r>
            <w:r>
              <w:rPr>
                <w:rFonts w:hint="eastAsia" w:ascii="宋体" w:hAnsi="宋体" w:cs="宋体"/>
                <w:sz w:val="24"/>
                <w:szCs w:val="24"/>
              </w:rPr>
              <w:t xml:space="preserve">结构连接处采用榫卯结构便于安装锁紧和拆卸。</w:t>
            </w:r>
            <w:r/>
          </w:p>
          <w:p>
            <w:pPr>
              <w:rPr>
                <w:rFonts w:ascii="宋体" w:hAnsi="宋体" w:cs="宋体"/>
                <w:i/>
                <w:iCs/>
                <w:sz w:val="24"/>
                <w:szCs w:val="24"/>
                <w:u w:val="single"/>
              </w:rPr>
            </w:pPr>
            <w:r>
              <w:rPr>
                <w:rFonts w:hint="eastAsia" w:ascii="宋体" w:hAnsi="宋体" w:cs="宋体"/>
                <w:sz w:val="24"/>
                <w:szCs w:val="24"/>
              </w:rPr>
              <w:t xml:space="preserve">（3）焊接吸音防弧板为 44mm 吸音功能板，内外层板均采用吸音孔ф4mm间隙S10mm国标冷轧镀锌钢板制作。</w:t>
            </w:r>
            <w:r/>
          </w:p>
          <w:p>
            <w:pPr>
              <w:rPr>
                <w:rFonts w:ascii="宋体" w:hAnsi="宋体" w:cs="宋体"/>
                <w:sz w:val="24"/>
                <w:szCs w:val="24"/>
              </w:rPr>
            </w:pPr>
            <w:r>
              <w:rPr>
                <w:rFonts w:hint="eastAsia" w:ascii="宋体" w:hAnsi="宋体" w:cs="宋体"/>
                <w:sz w:val="24"/>
                <w:szCs w:val="24"/>
              </w:rPr>
              <w:t xml:space="preserve">（4）焊接吸音防弧板内外板与防火材料整体铆接成一体，具有良好的防火和防腐性能及消音功能，整体承重力是依据三维力学数字建模智能软件设计定制，表面经300度高温水波纹防火喷涂处理(颜色任意选择）。</w:t>
            </w:r>
            <w:r/>
          </w:p>
          <w:p>
            <w:pPr>
              <w:rPr>
                <w:rFonts w:ascii="宋体" w:hAnsi="宋体" w:cs="宋体"/>
                <w:b/>
                <w:bCs/>
                <w:sz w:val="24"/>
                <w:szCs w:val="24"/>
              </w:rPr>
            </w:pPr>
            <w:r>
              <w:rPr>
                <w:rFonts w:hint="eastAsia" w:ascii="宋体" w:hAnsi="宋体" w:cs="宋体"/>
                <w:sz w:val="24"/>
                <w:szCs w:val="24"/>
              </w:rPr>
              <w:t xml:space="preserve">（5）</w:t>
            </w:r>
            <w:r>
              <w:rPr>
                <w:rFonts w:hint="eastAsia" w:ascii="宋体" w:hAnsi="宋体" w:cs="宋体"/>
                <w:b/>
                <w:bCs/>
                <w:i/>
                <w:iCs/>
                <w:sz w:val="24"/>
                <w:szCs w:val="24"/>
                <w:u w:val="single"/>
              </w:rPr>
              <w:t xml:space="preserve">焊接吸音防弧板中间包裹自熄型高密度玻璃丝，玻璃丝达到国家防火等级A1级CNAS标准。（</w:t>
            </w:r>
            <w:r>
              <w:rPr>
                <w:rFonts w:hint="eastAsia" w:ascii="宋体" w:hAnsi="宋体" w:cs="宋体"/>
                <w:b/>
                <w:bCs/>
                <w:i/>
                <w:iCs/>
                <w:color w:val="000000"/>
                <w:sz w:val="24"/>
                <w:szCs w:val="24"/>
                <w:u w:val="single"/>
              </w:rPr>
              <w:t xml:space="preserve">提供技术参数响应表或第三方检测报告或官方技术说明书等通用证明材料。</w:t>
            </w:r>
            <w:r>
              <w:rPr>
                <w:rFonts w:hint="eastAsia" w:ascii="宋体" w:hAnsi="宋体" w:cs="宋体"/>
                <w:b/>
                <w:bCs/>
                <w:i/>
                <w:iCs/>
                <w:sz w:val="24"/>
                <w:szCs w:val="24"/>
                <w:u w:val="single"/>
              </w:rPr>
              <w:t xml:space="preserve">）</w:t>
            </w:r>
            <w:r/>
          </w:p>
          <w:p>
            <w:pPr>
              <w:rPr>
                <w:rFonts w:ascii="宋体" w:hAnsi="宋体" w:cs="宋体"/>
                <w:sz w:val="24"/>
                <w:szCs w:val="24"/>
              </w:rPr>
            </w:pPr>
            <w:r>
              <w:rPr>
                <w:rFonts w:hint="eastAsia" w:ascii="宋体" w:hAnsi="宋体" w:cs="宋体"/>
                <w:sz w:val="24"/>
                <w:szCs w:val="24"/>
              </w:rPr>
              <w:t xml:space="preserve">（6）工作间强度、刚度、稳定性、保温性、密封性、抗冲击性、抗震性、防火防腐等均达到国家或行业标准。</w:t>
            </w:r>
            <w:r/>
          </w:p>
          <w:p>
            <w:pPr>
              <w:rPr>
                <w:rFonts w:ascii="宋体" w:hAnsi="宋体" w:cs="宋体"/>
                <w:sz w:val="24"/>
                <w:szCs w:val="24"/>
              </w:rPr>
            </w:pPr>
            <w:r>
              <w:rPr>
                <w:rFonts w:hint="eastAsia" w:ascii="宋体" w:hAnsi="宋体" w:cs="宋体"/>
                <w:sz w:val="24"/>
                <w:szCs w:val="24"/>
              </w:rPr>
              <w:t xml:space="preserve">2、尺寸参数：</w:t>
            </w:r>
            <w:r/>
          </w:p>
          <w:p>
            <w:pPr>
              <w:rPr>
                <w:rFonts w:ascii="宋体" w:hAnsi="宋体" w:cs="宋体"/>
                <w:sz w:val="24"/>
                <w:szCs w:val="24"/>
                <w:u w:val="single"/>
              </w:rPr>
            </w:pPr>
            <w:r>
              <w:rPr>
                <w:rFonts w:hint="eastAsia" w:ascii="宋体" w:hAnsi="宋体" w:cs="宋体"/>
                <w:sz w:val="24"/>
                <w:szCs w:val="24"/>
              </w:rPr>
              <w:t xml:space="preserve">▲工作间尺寸：≥3000mm×2500mm×1600mm</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rPr>
                <w:rFonts w:ascii="宋体" w:hAnsi="宋体" w:cs="宋体"/>
                <w:sz w:val="24"/>
                <w:szCs w:val="24"/>
              </w:rPr>
            </w:pPr>
            <w:r>
              <w:rPr>
                <w:rFonts w:hint="eastAsia" w:ascii="宋体" w:hAnsi="宋体" w:cs="宋体"/>
                <w:sz w:val="24"/>
                <w:szCs w:val="24"/>
              </w:rPr>
              <w:t xml:space="preserve">结构钢架：约(1395×30×50)mm+(1600×40×50)mm+（2950×40×54）mm</w:t>
            </w:r>
            <w:r/>
          </w:p>
          <w:p>
            <w:pPr>
              <w:rPr>
                <w:rFonts w:ascii="宋体" w:hAnsi="宋体" w:cs="宋体"/>
                <w:sz w:val="24"/>
                <w:szCs w:val="24"/>
              </w:rPr>
            </w:pPr>
            <w:r>
              <w:rPr>
                <w:rFonts w:hint="eastAsia" w:ascii="宋体" w:hAnsi="宋体" w:cs="宋体"/>
                <w:sz w:val="24"/>
                <w:szCs w:val="24"/>
              </w:rPr>
              <w:t xml:space="preserve">吸音隔板：约44mm×1395m×740m</w:t>
            </w:r>
            <w:r/>
          </w:p>
          <w:p>
            <w:pPr>
              <w:rPr>
                <w:rFonts w:ascii="宋体" w:hAnsi="宋体" w:cs="宋体"/>
                <w:sz w:val="24"/>
                <w:szCs w:val="24"/>
              </w:rPr>
            </w:pPr>
            <w:r>
              <w:rPr>
                <w:rFonts w:hint="eastAsia" w:ascii="宋体" w:hAnsi="宋体" w:cs="宋体"/>
                <w:sz w:val="24"/>
                <w:szCs w:val="24"/>
              </w:rPr>
              <w:t xml:space="preserve">配34套阻燃缓冲地垫。</w:t>
            </w:r>
            <w:r/>
          </w:p>
          <w:p>
            <w:pPr>
              <w:rPr>
                <w:rFonts w:ascii="宋体" w:hAnsi="宋体" w:cs="宋体"/>
                <w:sz w:val="24"/>
                <w:szCs w:val="24"/>
              </w:rPr>
            </w:pPr>
            <w:r>
              <w:rPr>
                <w:rFonts w:hint="eastAsia" w:ascii="宋体" w:hAnsi="宋体" w:cs="宋体"/>
                <w:sz w:val="24"/>
                <w:szCs w:val="24"/>
              </w:rPr>
              <w:t xml:space="preserve">3、工作间屏风配套电器设备</w:t>
            </w:r>
            <w:r/>
          </w:p>
          <w:p>
            <w:pPr>
              <w:ind w:firstLine="480"/>
              <w:rPr>
                <w:rFonts w:ascii="宋体" w:hAnsi="宋体" w:cs="宋体"/>
                <w:sz w:val="24"/>
                <w:szCs w:val="24"/>
              </w:rPr>
            </w:pPr>
            <w:r>
              <w:rPr>
                <w:rFonts w:hint="eastAsia" w:ascii="宋体" w:hAnsi="宋体" w:cs="宋体"/>
                <w:sz w:val="24"/>
                <w:szCs w:val="24"/>
              </w:rPr>
              <w:t xml:space="preserve">34套吸音防弧屏风每套配套供电箱和辅助照明，每套满足不低于15KW的380V和220V的设备供电需要；将总负荷不低于600KW输电系统架设到数智焊接研训中心；（架设内容含电缆、桥架、线管、电箱等。）</w:t>
            </w:r>
            <w:r/>
          </w:p>
          <w:p>
            <w:pPr>
              <w:numPr>
                <w:ilvl w:val="0"/>
                <w:numId w:val="6"/>
              </w:numPr>
              <w:rPr>
                <w:rFonts w:ascii="宋体" w:hAnsi="宋体" w:cs="宋体"/>
                <w:sz w:val="24"/>
                <w:szCs w:val="24"/>
              </w:rPr>
            </w:pPr>
            <w:r>
              <w:rPr>
                <w:rFonts w:hint="eastAsia" w:ascii="宋体" w:hAnsi="宋体" w:cs="宋体"/>
                <w:sz w:val="24"/>
                <w:szCs w:val="24"/>
              </w:rPr>
              <w:t xml:space="preserve">工作间屏风配套供气设备</w:t>
            </w:r>
            <w:r/>
          </w:p>
          <w:p>
            <w:pPr>
              <w:ind w:firstLine="480"/>
              <w:rPr>
                <w:rFonts w:ascii="宋体" w:hAnsi="宋体" w:cs="宋体"/>
                <w:sz w:val="24"/>
                <w:szCs w:val="24"/>
              </w:rPr>
            </w:pPr>
            <w:r>
              <w:rPr>
                <w:rFonts w:hint="eastAsia" w:ascii="宋体" w:hAnsi="宋体" w:cs="宋体"/>
                <w:sz w:val="24"/>
                <w:szCs w:val="24"/>
              </w:rPr>
              <w:t xml:space="preserve">34套吸音防弧屏风每套配套独立的CO2、氩气管道集中供气设备（配套内容含汇流排、全不锈钢管道、阀门、流量计的安装调试等。）</w:t>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Height w:val="90"/>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图像采集、</w:t>
            </w:r>
            <w:r/>
          </w:p>
          <w:p>
            <w:pPr>
              <w:jc w:val="center"/>
              <w:spacing w:line="360" w:lineRule="auto"/>
              <w:widowControl/>
              <w:rPr>
                <w:rFonts w:ascii="宋体" w:hAnsi="宋体" w:cs="宋体"/>
                <w:sz w:val="24"/>
                <w:szCs w:val="24"/>
              </w:rPr>
            </w:pPr>
            <w:r>
              <w:rPr>
                <w:rFonts w:hint="eastAsia" w:ascii="宋体" w:hAnsi="宋体" w:cs="宋体"/>
                <w:sz w:val="24"/>
                <w:szCs w:val="24"/>
              </w:rPr>
              <w:t xml:space="preserve">存档、公示</w:t>
            </w:r>
            <w:r/>
          </w:p>
          <w:p>
            <w:pPr>
              <w:jc w:val="center"/>
              <w:spacing w:line="360" w:lineRule="auto"/>
              <w:widowControl/>
              <w:rPr>
                <w:rFonts w:ascii="宋体" w:hAnsi="宋体" w:cs="宋体"/>
                <w:sz w:val="24"/>
                <w:szCs w:val="24"/>
              </w:rPr>
            </w:pPr>
            <w:r>
              <w:rPr>
                <w:rFonts w:hint="eastAsia" w:ascii="宋体" w:hAnsi="宋体" w:cs="宋体"/>
                <w:sz w:val="24"/>
                <w:szCs w:val="24"/>
              </w:rPr>
              <w:t xml:space="preserve">上传设备</w:t>
            </w:r>
            <w:r/>
          </w:p>
        </w:tc>
        <w:tc>
          <w:tcPr>
            <w:tcW w:w="6583" w:type="dxa"/>
            <w:textDirection w:val="lrTb"/>
            <w:noWrap w:val="false"/>
          </w:tcPr>
          <w:p>
            <w:pPr>
              <w:rPr>
                <w:rFonts w:ascii="宋体" w:hAnsi="宋体" w:cs="宋体"/>
                <w:i/>
                <w:iCs/>
                <w:sz w:val="24"/>
                <w:szCs w:val="24"/>
                <w:u w:val="single"/>
              </w:rPr>
            </w:pPr>
            <w:r>
              <w:rPr>
                <w:rFonts w:hint="eastAsia" w:ascii="宋体" w:hAnsi="宋体" w:cs="宋体"/>
                <w:sz w:val="24"/>
                <w:szCs w:val="24"/>
              </w:rPr>
              <w:t xml:space="preserve">▲设备安装调试内容含图像采集设备（≥40套）、存档设备、公示上传设备、配套线缆、桥架、线管及电器柜等的安装、调试、升级。</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rPr>
                <w:rFonts w:ascii="宋体" w:hAnsi="宋体" w:cs="宋体"/>
                <w:b/>
                <w:bCs/>
                <w:color w:val="000000"/>
                <w:sz w:val="24"/>
                <w:szCs w:val="24"/>
              </w:rPr>
            </w:pPr>
            <w:r>
              <w:rPr>
                <w:rFonts w:ascii="宋体" w:hAnsi="宋体" w:cs="宋体"/>
                <w:b/>
                <w:bCs/>
                <w:color w:val="000000"/>
                <w:sz w:val="24"/>
                <w:szCs w:val="24"/>
              </w:rPr>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Height w:val="370"/>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探伤检测房</w:t>
            </w:r>
            <w:r/>
          </w:p>
        </w:tc>
        <w:tc>
          <w:tcPr>
            <w:tcW w:w="6583" w:type="dxa"/>
            <w:vAlign w:val="center"/>
            <w:textDirection w:val="lrTb"/>
            <w:noWrap w:val="false"/>
          </w:tcPr>
          <w:p>
            <w:pPr>
              <w:jc w:val="left"/>
              <w:widowControl/>
              <w:rPr>
                <w:rFonts w:ascii="宋体" w:hAnsi="宋体" w:cs="宋体"/>
                <w:spacing w:val="14"/>
                <w:sz w:val="24"/>
                <w:szCs w:val="24"/>
              </w:rPr>
            </w:pPr>
            <w:r>
              <w:rPr>
                <w:rFonts w:hint="eastAsia" w:ascii="宋体" w:hAnsi="宋体" w:cs="宋体"/>
                <w:sz w:val="24"/>
                <w:szCs w:val="24"/>
              </w:rPr>
              <w:t xml:space="preserve">定制设备需求：</w:t>
            </w:r>
            <w:r/>
          </w:p>
          <w:p>
            <w:pPr>
              <w:jc w:val="left"/>
              <w:widowControl/>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spacing w:val="14"/>
                <w:sz w:val="24"/>
                <w:szCs w:val="24"/>
              </w:rPr>
              <w:t xml:space="preserve">铅房尺寸：长*宽*高：</w:t>
            </w:r>
            <w:r>
              <w:rPr>
                <w:rFonts w:hint="eastAsia" w:ascii="宋体" w:hAnsi="宋体" w:cs="宋体"/>
                <w:sz w:val="24"/>
                <w:szCs w:val="24"/>
              </w:rPr>
              <w:t xml:space="preserve">≥</w:t>
            </w:r>
            <w:r>
              <w:rPr>
                <w:rFonts w:hint="eastAsia" w:ascii="宋体" w:hAnsi="宋体" w:cs="宋体"/>
                <w:spacing w:val="14"/>
                <w:sz w:val="24"/>
                <w:szCs w:val="24"/>
              </w:rPr>
              <w:t xml:space="preserve">1.8m*2m*2m</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widowControl/>
              <w:rPr>
                <w:rFonts w:ascii="宋体" w:hAnsi="宋体" w:cs="宋体"/>
                <w:spacing w:val="14"/>
                <w:sz w:val="24"/>
                <w:szCs w:val="24"/>
              </w:rPr>
            </w:pPr>
            <w:r>
              <w:rPr>
                <w:rFonts w:hint="eastAsia" w:ascii="宋体" w:hAnsi="宋体" w:cs="宋体"/>
                <w:spacing w:val="14"/>
                <w:sz w:val="24"/>
                <w:szCs w:val="24"/>
              </w:rPr>
              <w:t xml:space="preserve">2、防护室结构：“钢板-铅板-钢板 ”结构、骨架为槽钢框架结构</w:t>
            </w:r>
            <w:r/>
          </w:p>
          <w:p>
            <w:pPr>
              <w:jc w:val="left"/>
              <w:widowControl/>
              <w:rPr>
                <w:rFonts w:ascii="宋体" w:hAnsi="宋体" w:cs="宋体"/>
                <w:spacing w:val="14"/>
                <w:sz w:val="24"/>
                <w:szCs w:val="24"/>
              </w:rPr>
            </w:pPr>
            <w:r>
              <w:rPr>
                <w:rFonts w:hint="eastAsia" w:ascii="宋体" w:hAnsi="宋体" w:cs="宋体"/>
                <w:spacing w:val="14"/>
                <w:sz w:val="24"/>
                <w:szCs w:val="24"/>
              </w:rPr>
              <w:t xml:space="preserve">3、防护室四周墙壁：</w:t>
            </w:r>
            <w:r>
              <w:rPr>
                <w:rFonts w:hint="eastAsia" w:ascii="宋体" w:hAnsi="宋体" w:cs="宋体"/>
                <w:sz w:val="24"/>
                <w:szCs w:val="24"/>
              </w:rPr>
              <w:t xml:space="preserve">≥</w:t>
            </w:r>
            <w:r>
              <w:rPr>
                <w:rFonts w:hint="eastAsia" w:ascii="宋体" w:hAnsi="宋体" w:cs="宋体"/>
                <w:spacing w:val="14"/>
                <w:sz w:val="24"/>
                <w:szCs w:val="24"/>
              </w:rPr>
              <w:tab/>
            </w:r>
            <w:r>
              <w:rPr>
                <w:rFonts w:hint="eastAsia" w:ascii="宋体" w:hAnsi="宋体" w:cs="宋体"/>
                <w:spacing w:val="14"/>
                <w:sz w:val="24"/>
                <w:szCs w:val="24"/>
              </w:rPr>
              <w:t xml:space="preserve">防护当量为14mmpb</w:t>
            </w:r>
            <w:r/>
          </w:p>
          <w:p>
            <w:pPr>
              <w:jc w:val="left"/>
              <w:widowControl/>
              <w:rPr>
                <w:rFonts w:ascii="宋体" w:hAnsi="宋体" w:cs="宋体"/>
                <w:spacing w:val="14"/>
                <w:sz w:val="24"/>
                <w:szCs w:val="24"/>
              </w:rPr>
            </w:pPr>
            <w:r>
              <w:rPr>
                <w:rFonts w:hint="eastAsia" w:ascii="宋体" w:hAnsi="宋体" w:cs="宋体"/>
                <w:spacing w:val="14"/>
                <w:sz w:val="24"/>
                <w:szCs w:val="24"/>
              </w:rPr>
              <w:t xml:space="preserve">4、防护室顶、底部：</w:t>
            </w:r>
            <w:r>
              <w:rPr>
                <w:rFonts w:hint="eastAsia" w:ascii="宋体" w:hAnsi="宋体" w:cs="宋体"/>
                <w:spacing w:val="14"/>
                <w:sz w:val="24"/>
                <w:szCs w:val="24"/>
              </w:rPr>
              <w:tab/>
            </w:r>
            <w:r>
              <w:rPr>
                <w:rFonts w:hint="eastAsia" w:ascii="宋体" w:hAnsi="宋体" w:cs="宋体"/>
                <w:sz w:val="24"/>
                <w:szCs w:val="24"/>
              </w:rPr>
              <w:t xml:space="preserve">≥</w:t>
            </w:r>
            <w:r>
              <w:rPr>
                <w:rFonts w:hint="eastAsia" w:ascii="宋体" w:hAnsi="宋体" w:cs="宋体"/>
                <w:spacing w:val="14"/>
                <w:sz w:val="24"/>
                <w:szCs w:val="24"/>
              </w:rPr>
              <w:t xml:space="preserve">防护当量为14mmpb</w:t>
            </w:r>
            <w:r/>
          </w:p>
          <w:p>
            <w:pPr>
              <w:jc w:val="left"/>
              <w:widowControl/>
              <w:rPr>
                <w:rFonts w:ascii="宋体" w:hAnsi="宋体" w:cs="宋体"/>
                <w:spacing w:val="14"/>
                <w:sz w:val="24"/>
                <w:szCs w:val="24"/>
              </w:rPr>
            </w:pPr>
            <w:r>
              <w:rPr>
                <w:rFonts w:hint="eastAsia" w:ascii="宋体" w:hAnsi="宋体" w:cs="宋体"/>
                <w:spacing w:val="14"/>
                <w:sz w:val="24"/>
                <w:szCs w:val="24"/>
              </w:rPr>
              <w:t xml:space="preserve">5、工件门洞尺寸:</w:t>
            </w:r>
            <w:r>
              <w:rPr>
                <w:rFonts w:hint="eastAsia" w:ascii="宋体" w:hAnsi="宋体" w:cs="宋体"/>
                <w:spacing w:val="14"/>
                <w:sz w:val="24"/>
                <w:szCs w:val="24"/>
              </w:rPr>
              <w:tab/>
            </w:r>
            <w:r>
              <w:rPr>
                <w:rFonts w:hint="eastAsia" w:ascii="宋体" w:hAnsi="宋体" w:cs="宋体"/>
                <w:spacing w:val="14"/>
                <w:sz w:val="24"/>
                <w:szCs w:val="24"/>
              </w:rPr>
              <w:t xml:space="preserve">约宽800mm、高1800mm</w:t>
            </w:r>
            <w:r/>
          </w:p>
          <w:p>
            <w:pPr>
              <w:jc w:val="left"/>
              <w:widowControl/>
              <w:rPr>
                <w:rFonts w:ascii="宋体" w:hAnsi="宋体" w:cs="宋体"/>
                <w:spacing w:val="14"/>
                <w:sz w:val="24"/>
                <w:szCs w:val="24"/>
              </w:rPr>
            </w:pPr>
            <w:r>
              <w:rPr>
                <w:rFonts w:hint="eastAsia" w:ascii="宋体" w:hAnsi="宋体" w:cs="宋体"/>
                <w:spacing w:val="14"/>
                <w:sz w:val="24"/>
                <w:szCs w:val="24"/>
              </w:rPr>
              <w:t xml:space="preserve">6、防护门尺寸:</w:t>
            </w:r>
            <w:r>
              <w:rPr>
                <w:rFonts w:hint="eastAsia" w:ascii="宋体" w:hAnsi="宋体" w:cs="宋体"/>
                <w:spacing w:val="14"/>
                <w:sz w:val="24"/>
                <w:szCs w:val="24"/>
              </w:rPr>
              <w:tab/>
            </w:r>
            <w:r>
              <w:rPr>
                <w:rFonts w:hint="eastAsia" w:ascii="宋体" w:hAnsi="宋体" w:cs="宋体"/>
                <w:spacing w:val="14"/>
                <w:sz w:val="24"/>
                <w:szCs w:val="24"/>
              </w:rPr>
              <w:t xml:space="preserve">门体宽约 1200mm，高约2100mm，防护门与墙体搭接长度:左、右侧各为200mm，上部为 200 mm，下部为100 mm</w:t>
            </w:r>
            <w:r/>
          </w:p>
          <w:p>
            <w:pPr>
              <w:jc w:val="left"/>
              <w:widowControl/>
              <w:rPr>
                <w:rFonts w:ascii="宋体" w:hAnsi="宋体" w:cs="宋体"/>
                <w:b/>
                <w:bCs/>
                <w:sz w:val="24"/>
                <w:szCs w:val="24"/>
              </w:rPr>
            </w:pPr>
            <w:r>
              <w:rPr>
                <w:rFonts w:hint="eastAsia" w:ascii="宋体" w:hAnsi="宋体" w:cs="宋体"/>
                <w:spacing w:val="14"/>
                <w:sz w:val="24"/>
                <w:szCs w:val="24"/>
              </w:rPr>
              <w:t xml:space="preserve">7、</w:t>
            </w:r>
            <w:r>
              <w:rPr>
                <w:rFonts w:hint="eastAsia" w:ascii="宋体" w:hAnsi="宋体" w:cs="宋体"/>
                <w:sz w:val="24"/>
                <w:szCs w:val="24"/>
              </w:rPr>
              <w:t xml:space="preserve">▲</w:t>
            </w:r>
            <w:r>
              <w:rPr>
                <w:rFonts w:hint="eastAsia" w:ascii="宋体" w:hAnsi="宋体" w:cs="宋体"/>
                <w:spacing w:val="14"/>
                <w:sz w:val="24"/>
                <w:szCs w:val="24"/>
              </w:rPr>
              <w:t xml:space="preserve">门体防护当量防护门采用“钢板-铅板-钢板 ”结构、骨架为槽钢框架结构，防护当量为</w:t>
            </w:r>
            <w:r>
              <w:rPr>
                <w:rFonts w:hint="eastAsia" w:ascii="宋体" w:hAnsi="宋体" w:cs="宋体"/>
                <w:sz w:val="24"/>
                <w:szCs w:val="24"/>
              </w:rPr>
              <w:t xml:space="preserve">≥</w:t>
            </w:r>
            <w:r>
              <w:rPr>
                <w:rFonts w:hint="eastAsia" w:ascii="宋体" w:hAnsi="宋体" w:cs="宋体"/>
                <w:spacing w:val="14"/>
                <w:sz w:val="24"/>
                <w:szCs w:val="24"/>
              </w:rPr>
              <w:t xml:space="preserve">14mmpb</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widowControl/>
              <w:rPr>
                <w:rFonts w:ascii="宋体" w:hAnsi="宋体" w:cs="宋体"/>
                <w:spacing w:val="14"/>
                <w:sz w:val="24"/>
                <w:szCs w:val="24"/>
              </w:rPr>
            </w:pPr>
            <w:r>
              <w:rPr>
                <w:rFonts w:hint="eastAsia" w:ascii="宋体" w:hAnsi="宋体" w:cs="宋体"/>
                <w:spacing w:val="14"/>
                <w:sz w:val="24"/>
                <w:szCs w:val="24"/>
              </w:rPr>
              <w:t xml:space="preserve">8、通风系统顶部设有机械排风装置，外部安装防护铅罩，排风量满足室内通风换气次数不小于每小时4次。</w:t>
            </w:r>
            <w:r/>
          </w:p>
          <w:p>
            <w:pPr>
              <w:jc w:val="left"/>
              <w:widowControl/>
              <w:rPr>
                <w:rFonts w:ascii="宋体" w:hAnsi="宋体" w:cs="宋体"/>
                <w:spacing w:val="14"/>
                <w:sz w:val="24"/>
                <w:szCs w:val="24"/>
              </w:rPr>
            </w:pPr>
            <w:r>
              <w:rPr>
                <w:rFonts w:hint="eastAsia" w:ascii="宋体" w:hAnsi="宋体" w:cs="宋体"/>
                <w:spacing w:val="14"/>
                <w:sz w:val="24"/>
                <w:szCs w:val="24"/>
              </w:rPr>
              <w:t xml:space="preserve">9、急停装置在防护室内部和防护门处设有紧急停止按钮， 安装位置距底部 1.2米，同时设置标签说明紧急 停止按钮的使用方法</w:t>
            </w:r>
            <w:r/>
          </w:p>
          <w:p>
            <w:pPr>
              <w:jc w:val="left"/>
              <w:widowControl/>
              <w:rPr>
                <w:rFonts w:ascii="宋体" w:hAnsi="宋体" w:cs="宋体"/>
                <w:spacing w:val="14"/>
                <w:sz w:val="24"/>
                <w:szCs w:val="24"/>
              </w:rPr>
            </w:pPr>
            <w:r>
              <w:rPr>
                <w:rFonts w:hint="eastAsia" w:ascii="宋体" w:hAnsi="宋体" w:cs="宋体"/>
                <w:spacing w:val="14"/>
                <w:sz w:val="24"/>
                <w:szCs w:val="24"/>
              </w:rPr>
              <w:t xml:space="preserve">10、门-机连锁系统:</w:t>
            </w:r>
            <w:r>
              <w:rPr>
                <w:rFonts w:hint="eastAsia" w:ascii="宋体" w:hAnsi="宋体" w:cs="宋体"/>
                <w:spacing w:val="14"/>
                <w:sz w:val="24"/>
                <w:szCs w:val="24"/>
              </w:rPr>
              <w:tab/>
            </w:r>
            <w:r>
              <w:rPr>
                <w:rFonts w:hint="eastAsia" w:ascii="宋体" w:hAnsi="宋体" w:cs="宋体"/>
                <w:spacing w:val="14"/>
                <w:sz w:val="24"/>
                <w:szCs w:val="24"/>
              </w:rPr>
              <w:t xml:space="preserve">防护门与射线机形成高压联锁控制，当防护门打 开或未关闭完全，射线机不能出束，防护门完全 关闭后，射线机才能具备出束条件，如果防护门意外打开，射线机立即中断出束</w:t>
            </w:r>
            <w:r/>
          </w:p>
          <w:p>
            <w:pPr>
              <w:jc w:val="left"/>
              <w:widowControl/>
              <w:rPr>
                <w:rFonts w:ascii="宋体" w:hAnsi="宋体" w:cs="宋体"/>
                <w:spacing w:val="14"/>
                <w:sz w:val="24"/>
                <w:szCs w:val="24"/>
              </w:rPr>
            </w:pPr>
            <w:r>
              <w:rPr>
                <w:rFonts w:hint="eastAsia" w:ascii="宋体" w:hAnsi="宋体" w:cs="宋体"/>
                <w:spacing w:val="14"/>
                <w:sz w:val="24"/>
                <w:szCs w:val="24"/>
              </w:rPr>
              <w:t xml:space="preserve">11、工作状态显示装置</w:t>
            </w:r>
            <w:r>
              <w:rPr>
                <w:rFonts w:hint="eastAsia" w:ascii="宋体" w:hAnsi="宋体" w:cs="宋体"/>
                <w:spacing w:val="14"/>
                <w:sz w:val="24"/>
                <w:szCs w:val="24"/>
              </w:rPr>
              <w:tab/>
            </w:r>
            <w:r>
              <w:rPr>
                <w:rFonts w:hint="eastAsia" w:ascii="宋体" w:hAnsi="宋体" w:cs="宋体"/>
                <w:spacing w:val="14"/>
                <w:sz w:val="24"/>
                <w:szCs w:val="24"/>
              </w:rPr>
              <w:t xml:space="preserve">防护室门口设有工作状态显示装置（“预备 ” 和“照射 ”两种工作状态)和声光报警灯及射线危险标志，明确告诫非职业人员不得随意进入控制室或防护室，不得在门边及墙边逗留。</w:t>
            </w:r>
            <w:r/>
          </w:p>
          <w:p>
            <w:pPr>
              <w:jc w:val="left"/>
              <w:widowControl/>
              <w:rPr>
                <w:rFonts w:ascii="宋体" w:hAnsi="宋体" w:cs="宋体"/>
                <w:spacing w:val="14"/>
                <w:sz w:val="24"/>
                <w:szCs w:val="24"/>
              </w:rPr>
            </w:pPr>
            <w:r>
              <w:rPr>
                <w:rFonts w:hint="eastAsia" w:ascii="宋体" w:hAnsi="宋体" w:cs="宋体"/>
                <w:spacing w:val="14"/>
                <w:sz w:val="24"/>
                <w:szCs w:val="24"/>
              </w:rPr>
              <w:t xml:space="preserve">12、声光报警系统门洞顶部安装警示灯，具备声光报警功能。</w:t>
            </w:r>
            <w:r/>
          </w:p>
          <w:p>
            <w:pPr>
              <w:jc w:val="left"/>
              <w:widowControl/>
              <w:rPr>
                <w:rFonts w:ascii="宋体" w:hAnsi="宋体" w:cs="宋体"/>
                <w:spacing w:val="14"/>
                <w:sz w:val="24"/>
                <w:szCs w:val="24"/>
              </w:rPr>
            </w:pPr>
            <w:r>
              <w:rPr>
                <w:rFonts w:hint="eastAsia" w:ascii="宋体" w:hAnsi="宋体" w:cs="宋体"/>
                <w:spacing w:val="14"/>
                <w:sz w:val="24"/>
                <w:szCs w:val="24"/>
              </w:rPr>
              <w:t xml:space="preserve">13、电路系统铅房内布设必要线路，顶部设有LED照明灯，照度不小于150Lx。</w:t>
            </w:r>
            <w:r/>
          </w:p>
          <w:p>
            <w:pPr>
              <w:jc w:val="left"/>
              <w:widowControl/>
              <w:rPr>
                <w:rFonts w:ascii="宋体" w:hAnsi="宋体" w:cs="宋体"/>
                <w:sz w:val="24"/>
                <w:szCs w:val="24"/>
              </w:rPr>
            </w:pPr>
            <w:r>
              <w:rPr>
                <w:rFonts w:hint="eastAsia" w:ascii="宋体" w:hAnsi="宋体" w:cs="宋体"/>
                <w:spacing w:val="14"/>
                <w:sz w:val="24"/>
                <w:szCs w:val="24"/>
              </w:rPr>
              <w:t xml:space="preserve">14、表面处理防辐射是基本功能，表面处理则是确保总体外观效果，延长使用寿命的重要环节，为此，防护门在制作完成后需对其外观进行处理；防护门内外表 面采用油漆喷涂，达到防锈美观的效果， 防护门面漆颜色采用中灰色或由用户指定颜色喷涂。（</w:t>
            </w:r>
            <w:r>
              <w:rPr>
                <w:rFonts w:hint="eastAsia" w:ascii="宋体" w:hAnsi="宋体" w:cs="宋体"/>
                <w:sz w:val="24"/>
                <w:szCs w:val="24"/>
              </w:rPr>
              <w:t xml:space="preserve">含探伤检测房安装调试、环评、洗片器材、安全防护器材等。）</w:t>
            </w:r>
            <w:r/>
          </w:p>
          <w:p>
            <w:pPr>
              <w:rPr>
                <w:rFonts w:ascii="宋体" w:hAnsi="宋体" w:cs="宋体"/>
                <w:b/>
                <w:bCs/>
                <w:i/>
                <w:iCs/>
                <w:sz w:val="24"/>
                <w:szCs w:val="24"/>
                <w:u w:val="single"/>
              </w:rPr>
            </w:pPr>
            <w:r>
              <w:rPr>
                <w:rFonts w:hint="eastAsia" w:ascii="宋体" w:hAnsi="宋体" w:cs="宋体"/>
                <w:b/>
                <w:bCs/>
                <w:sz w:val="24"/>
                <w:szCs w:val="24"/>
              </w:rPr>
              <w:t xml:space="preserve">15、</w:t>
            </w:r>
            <w:r>
              <w:rPr>
                <w:rFonts w:hint="eastAsia" w:ascii="宋体" w:hAnsi="宋体" w:cs="宋体"/>
                <w:b/>
                <w:bCs/>
                <w:i/>
                <w:iCs/>
                <w:spacing w:val="14"/>
                <w:sz w:val="24"/>
                <w:szCs w:val="24"/>
                <w:u w:val="single"/>
              </w:rPr>
              <w:t xml:space="preserve">供应商负责设备技术参数符合环评要求并提供环评申报所需的技术支持。</w:t>
            </w:r>
            <w:r>
              <w:rPr>
                <w:rFonts w:hint="eastAsia" w:ascii="宋体" w:hAnsi="宋体" w:cs="宋体"/>
                <w:b/>
                <w:bCs/>
                <w:i/>
                <w:iCs/>
                <w:sz w:val="24"/>
                <w:szCs w:val="24"/>
                <w:u w:val="single"/>
              </w:rPr>
              <w:t xml:space="preserve">（投标人需提供承诺书并加盖投标人公章）。</w:t>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射线探伤机</w:t>
            </w:r>
            <w:r/>
          </w:p>
        </w:tc>
        <w:tc>
          <w:tcPr>
            <w:tcW w:w="6583" w:type="dxa"/>
            <w:textDirection w:val="lrTb"/>
            <w:noWrap w:val="false"/>
          </w:tcPr>
          <w:p>
            <w:pPr>
              <w:numPr>
                <w:ilvl w:val="0"/>
                <w:numId w:val="7"/>
              </w:numPr>
              <w:jc w:val="left"/>
              <w:widowControl/>
              <w:rPr>
                <w:rFonts w:ascii="宋体" w:hAnsi="宋体" w:cs="宋体"/>
                <w:sz w:val="24"/>
                <w:szCs w:val="24"/>
              </w:rPr>
            </w:pPr>
            <w:r>
              <w:rPr>
                <w:rFonts w:hint="eastAsia" w:ascii="宋体" w:hAnsi="宋体" w:cs="宋体"/>
                <w:sz w:val="24"/>
                <w:szCs w:val="24"/>
              </w:rPr>
              <w:t xml:space="preserve">陶瓷管、锥靶</w:t>
            </w:r>
            <w:r/>
          </w:p>
          <w:p>
            <w:pPr>
              <w:rPr>
                <w:rFonts w:ascii="宋体" w:hAnsi="宋体" w:cs="宋体"/>
                <w:i/>
                <w:iCs/>
                <w:sz w:val="24"/>
                <w:szCs w:val="24"/>
                <w:u w:val="single"/>
              </w:rPr>
            </w:pPr>
            <w:r>
              <w:rPr>
                <w:rFonts w:hint="eastAsia" w:ascii="宋体" w:hAnsi="宋体" w:cs="宋体"/>
                <w:sz w:val="24"/>
                <w:szCs w:val="24"/>
              </w:rPr>
              <w:t xml:space="preserve">2、▲最大穿透厚度不少于（a3）：</w:t>
            </w:r>
            <w:r>
              <w:rPr>
                <w:rFonts w:hint="eastAsia" w:ascii="宋体" w:hAnsi="宋体" w:cs="宋体"/>
                <w:color w:val="333333"/>
                <w:sz w:val="24"/>
                <w:szCs w:val="24"/>
              </w:rPr>
              <w:t xml:space="preserve">32mm </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3、双面铅箔增感pb0.03</w:t>
            </w:r>
            <w:r/>
          </w:p>
          <w:p>
            <w:pPr>
              <w:jc w:val="left"/>
              <w:widowControl/>
              <w:rPr>
                <w:rFonts w:ascii="宋体" w:hAnsi="宋体" w:cs="宋体"/>
                <w:sz w:val="24"/>
                <w:szCs w:val="24"/>
              </w:rPr>
            </w:pPr>
            <w:r>
              <w:rPr>
                <w:rFonts w:hint="eastAsia" w:ascii="宋体" w:hAnsi="宋体" w:cs="宋体"/>
                <w:sz w:val="24"/>
                <w:szCs w:val="24"/>
              </w:rPr>
              <w:t xml:space="preserve">4、焦距：600mm</w:t>
            </w:r>
            <w:r/>
          </w:p>
          <w:p>
            <w:pPr>
              <w:jc w:val="left"/>
              <w:widowControl/>
              <w:rPr>
                <w:rFonts w:ascii="宋体" w:hAnsi="宋体" w:cs="宋体"/>
                <w:sz w:val="24"/>
                <w:szCs w:val="24"/>
              </w:rPr>
            </w:pPr>
            <w:r>
              <w:rPr>
                <w:rFonts w:hint="eastAsia" w:ascii="宋体" w:hAnsi="宋体" w:cs="宋体"/>
                <w:sz w:val="24"/>
                <w:szCs w:val="24"/>
              </w:rPr>
              <w:t xml:space="preserve">5、曝光时间：≤5分钟</w:t>
            </w:r>
            <w:r/>
          </w:p>
          <w:p>
            <w:pPr>
              <w:jc w:val="left"/>
              <w:widowControl/>
              <w:rPr>
                <w:rFonts w:ascii="宋体" w:hAnsi="宋体" w:cs="宋体"/>
                <w:sz w:val="24"/>
                <w:szCs w:val="24"/>
              </w:rPr>
            </w:pPr>
            <w:r>
              <w:rPr>
                <w:rFonts w:hint="eastAsia" w:ascii="宋体" w:hAnsi="宋体" w:cs="宋体"/>
                <w:sz w:val="24"/>
                <w:szCs w:val="24"/>
              </w:rPr>
              <w:t xml:space="preserve">6、天津ⅲ型胶片</w:t>
            </w:r>
            <w:r/>
          </w:p>
          <w:p>
            <w:pPr>
              <w:jc w:val="left"/>
              <w:widowControl/>
              <w:rPr>
                <w:rFonts w:ascii="宋体" w:hAnsi="宋体" w:cs="宋体"/>
                <w:sz w:val="24"/>
                <w:szCs w:val="24"/>
              </w:rPr>
            </w:pPr>
            <w:r>
              <w:rPr>
                <w:rFonts w:hint="eastAsia" w:ascii="宋体" w:hAnsi="宋体" w:cs="宋体"/>
                <w:sz w:val="24"/>
                <w:szCs w:val="24"/>
              </w:rPr>
              <w:t xml:space="preserve">7、暗室处理：20±2℃</w:t>
            </w:r>
            <w:r/>
          </w:p>
          <w:p>
            <w:pPr>
              <w:jc w:val="left"/>
              <w:widowControl/>
              <w:rPr>
                <w:rFonts w:ascii="宋体" w:hAnsi="宋体" w:cs="宋体"/>
                <w:sz w:val="24"/>
                <w:szCs w:val="24"/>
              </w:rPr>
            </w:pPr>
            <w:r>
              <w:rPr>
                <w:rFonts w:hint="eastAsia" w:ascii="宋体" w:hAnsi="宋体" w:cs="宋体"/>
                <w:sz w:val="24"/>
                <w:szCs w:val="24"/>
              </w:rPr>
              <w:t xml:space="preserve">8、显影时间：≤5分</w:t>
            </w:r>
            <w:r/>
          </w:p>
          <w:p>
            <w:pPr>
              <w:jc w:val="left"/>
              <w:widowControl/>
              <w:rPr>
                <w:rFonts w:ascii="宋体" w:hAnsi="宋体" w:cs="宋体"/>
                <w:sz w:val="24"/>
                <w:szCs w:val="24"/>
              </w:rPr>
            </w:pPr>
            <w:r>
              <w:rPr>
                <w:rFonts w:hint="eastAsia" w:ascii="宋体" w:hAnsi="宋体" w:cs="宋体"/>
                <w:sz w:val="24"/>
                <w:szCs w:val="24"/>
              </w:rPr>
              <w:t xml:space="preserve">9、黑度：≥1.5</w:t>
            </w:r>
            <w:r/>
          </w:p>
          <w:p>
            <w:pPr>
              <w:jc w:val="left"/>
              <w:widowControl/>
              <w:rPr>
                <w:rFonts w:ascii="宋体" w:hAnsi="宋体" w:cs="宋体"/>
                <w:sz w:val="24"/>
                <w:szCs w:val="24"/>
              </w:rPr>
            </w:pPr>
            <w:r>
              <w:rPr>
                <w:rFonts w:hint="eastAsia" w:ascii="宋体" w:hAnsi="宋体" w:cs="宋体"/>
                <w:sz w:val="24"/>
                <w:szCs w:val="24"/>
              </w:rPr>
              <w:t xml:space="preserve">10、输入电压（v）：</w:t>
            </w:r>
            <w:r>
              <w:rPr>
                <w:rFonts w:hint="eastAsia" w:ascii="宋体" w:hAnsi="宋体" w:cs="宋体"/>
                <w:sz w:val="24"/>
                <w:szCs w:val="24"/>
              </w:rPr>
              <w:tab/>
            </w:r>
            <w:r>
              <w:rPr>
                <w:rFonts w:hint="eastAsia" w:ascii="宋体" w:hAnsi="宋体" w:cs="宋体"/>
                <w:sz w:val="24"/>
                <w:szCs w:val="24"/>
              </w:rPr>
              <w:t xml:space="preserve">210-240v  50hz-60hz</w:t>
            </w:r>
            <w:r/>
          </w:p>
          <w:p>
            <w:pPr>
              <w:jc w:val="left"/>
              <w:widowControl/>
              <w:rPr>
                <w:rFonts w:ascii="宋体" w:hAnsi="宋体" w:cs="宋体"/>
                <w:sz w:val="24"/>
                <w:szCs w:val="24"/>
              </w:rPr>
            </w:pPr>
            <w:r>
              <w:rPr>
                <w:rFonts w:hint="eastAsia" w:ascii="宋体" w:hAnsi="宋体" w:cs="宋体"/>
                <w:sz w:val="24"/>
                <w:szCs w:val="24"/>
              </w:rPr>
              <w:t xml:space="preserve">11、输入容量（kva）：≥</w:t>
            </w:r>
            <w:r>
              <w:rPr>
                <w:rFonts w:hint="eastAsia" w:ascii="宋体" w:hAnsi="宋体" w:cs="宋体"/>
                <w:sz w:val="24"/>
                <w:szCs w:val="24"/>
              </w:rPr>
              <w:tab/>
            </w:r>
            <w:r>
              <w:rPr>
                <w:rFonts w:hint="eastAsia" w:ascii="宋体" w:hAnsi="宋体" w:cs="宋体"/>
                <w:sz w:val="24"/>
                <w:szCs w:val="24"/>
              </w:rPr>
              <w:t xml:space="preserve">2.5</w:t>
            </w:r>
            <w:r/>
          </w:p>
          <w:p>
            <w:pPr>
              <w:jc w:val="left"/>
              <w:widowControl/>
              <w:rPr>
                <w:rFonts w:ascii="宋体" w:hAnsi="宋体" w:cs="宋体"/>
                <w:sz w:val="24"/>
                <w:szCs w:val="24"/>
              </w:rPr>
            </w:pPr>
            <w:r>
              <w:rPr>
                <w:rFonts w:hint="eastAsia" w:ascii="宋体" w:hAnsi="宋体" w:cs="宋体"/>
                <w:sz w:val="24"/>
                <w:szCs w:val="24"/>
              </w:rPr>
              <w:t xml:space="preserve">12、输出管电压（kv）：</w:t>
            </w:r>
            <w:r>
              <w:rPr>
                <w:rFonts w:hint="eastAsia" w:ascii="宋体" w:hAnsi="宋体" w:cs="宋体"/>
                <w:sz w:val="24"/>
                <w:szCs w:val="24"/>
              </w:rPr>
              <w:tab/>
            </w:r>
            <w:r>
              <w:rPr>
                <w:rFonts w:hint="eastAsia" w:ascii="宋体" w:hAnsi="宋体" w:cs="宋体"/>
                <w:sz w:val="24"/>
                <w:szCs w:val="24"/>
              </w:rPr>
              <w:t xml:space="preserve">100-250</w:t>
            </w:r>
            <w:r/>
          </w:p>
          <w:p>
            <w:pPr>
              <w:numPr>
                <w:ilvl w:val="0"/>
                <w:numId w:val="8"/>
              </w:numPr>
              <w:jc w:val="left"/>
              <w:widowControl/>
              <w:rPr>
                <w:rFonts w:ascii="宋体" w:hAnsi="宋体" w:cs="宋体"/>
                <w:sz w:val="24"/>
                <w:szCs w:val="24"/>
              </w:rPr>
            </w:pPr>
            <w:r>
              <w:rPr>
                <w:rFonts w:hint="eastAsia" w:ascii="宋体" w:hAnsi="宋体" w:cs="宋体"/>
                <w:sz w:val="24"/>
                <w:szCs w:val="24"/>
              </w:rPr>
              <w:t xml:space="preserve">输出管电流（ma）：≥</w:t>
            </w:r>
            <w:r>
              <w:rPr>
                <w:rFonts w:hint="eastAsia" w:ascii="宋体" w:hAnsi="宋体" w:cs="宋体"/>
                <w:sz w:val="24"/>
                <w:szCs w:val="24"/>
              </w:rPr>
              <w:tab/>
            </w:r>
            <w:r>
              <w:rPr>
                <w:rFonts w:hint="eastAsia" w:ascii="宋体" w:hAnsi="宋体" w:cs="宋体"/>
                <w:sz w:val="24"/>
                <w:szCs w:val="24"/>
              </w:rPr>
              <w:t xml:space="preserve">5</w:t>
            </w:r>
            <w:r/>
          </w:p>
          <w:p>
            <w:pPr>
              <w:numPr>
                <w:ilvl w:val="0"/>
                <w:numId w:val="8"/>
              </w:numPr>
              <w:jc w:val="left"/>
              <w:widowControl/>
              <w:rPr>
                <w:rFonts w:ascii="宋体" w:hAnsi="宋体" w:cs="宋体"/>
                <w:sz w:val="24"/>
                <w:szCs w:val="24"/>
              </w:rPr>
            </w:pPr>
            <w:r>
              <w:rPr>
                <w:rFonts w:hint="eastAsia" w:ascii="宋体" w:hAnsi="宋体" w:cs="宋体"/>
                <w:sz w:val="24"/>
                <w:szCs w:val="24"/>
              </w:rPr>
              <w:t xml:space="preserve">输出波动：</w:t>
            </w:r>
            <w:r>
              <w:rPr>
                <w:rFonts w:hint="eastAsia" w:ascii="宋体" w:hAnsi="宋体" w:cs="宋体"/>
                <w:sz w:val="24"/>
                <w:szCs w:val="24"/>
              </w:rPr>
              <w:tab/>
            </w:r>
            <w:r>
              <w:rPr>
                <w:rFonts w:hint="eastAsia" w:ascii="宋体" w:hAnsi="宋体" w:cs="宋体"/>
                <w:sz w:val="24"/>
                <w:szCs w:val="24"/>
              </w:rPr>
              <w:t xml:space="preserve">±2%</w:t>
            </w:r>
            <w:r/>
          </w:p>
          <w:p>
            <w:pPr>
              <w:numPr>
                <w:ilvl w:val="0"/>
                <w:numId w:val="8"/>
              </w:numPr>
              <w:jc w:val="left"/>
              <w:widowControl/>
              <w:rPr>
                <w:rFonts w:ascii="宋体" w:hAnsi="宋体" w:cs="宋体"/>
                <w:sz w:val="24"/>
                <w:szCs w:val="24"/>
              </w:rPr>
            </w:pPr>
            <w:r>
              <w:rPr>
                <w:rFonts w:hint="eastAsia" w:ascii="宋体" w:hAnsi="宋体" w:cs="宋体"/>
                <w:sz w:val="24"/>
                <w:szCs w:val="24"/>
              </w:rPr>
              <w:t xml:space="preserve">射线管焦点（mm）：</w:t>
            </w:r>
            <w:r>
              <w:rPr>
                <w:rFonts w:hint="eastAsia" w:ascii="宋体" w:hAnsi="宋体" w:cs="宋体"/>
                <w:sz w:val="24"/>
                <w:szCs w:val="24"/>
              </w:rPr>
              <w:tab/>
            </w:r>
            <w:r>
              <w:rPr>
                <w:rFonts w:hint="eastAsia" w:ascii="宋体" w:hAnsi="宋体" w:cs="宋体"/>
                <w:sz w:val="24"/>
                <w:szCs w:val="24"/>
              </w:rPr>
              <w:t xml:space="preserve">≤1.0×2.4</w:t>
            </w:r>
            <w:r/>
          </w:p>
          <w:p>
            <w:pPr>
              <w:numPr>
                <w:ilvl w:val="0"/>
                <w:numId w:val="8"/>
              </w:numPr>
              <w:jc w:val="left"/>
              <w:widowControl/>
              <w:rPr>
                <w:rFonts w:ascii="宋体" w:hAnsi="宋体" w:cs="宋体"/>
                <w:sz w:val="24"/>
                <w:szCs w:val="24"/>
              </w:rPr>
            </w:pPr>
            <w:r>
              <w:rPr>
                <w:rFonts w:hint="eastAsia" w:ascii="宋体" w:hAnsi="宋体" w:cs="宋体"/>
                <w:sz w:val="24"/>
                <w:szCs w:val="24"/>
              </w:rPr>
              <w:t xml:space="preserve">射线管辐射角：360º×30°</w:t>
            </w:r>
            <w:r/>
          </w:p>
          <w:p>
            <w:pPr>
              <w:numPr>
                <w:ilvl w:val="0"/>
                <w:numId w:val="8"/>
              </w:numPr>
              <w:jc w:val="left"/>
              <w:widowControl/>
              <w:rPr>
                <w:rFonts w:ascii="宋体" w:hAnsi="宋体" w:cs="宋体"/>
                <w:sz w:val="24"/>
                <w:szCs w:val="24"/>
              </w:rPr>
            </w:pPr>
            <w:r>
              <w:rPr>
                <w:rFonts w:hint="eastAsia" w:ascii="宋体" w:hAnsi="宋体" w:cs="宋体"/>
                <w:sz w:val="24"/>
                <w:szCs w:val="24"/>
              </w:rPr>
              <w:t xml:space="preserve">灵敏度（%）：</w:t>
            </w:r>
            <w:r>
              <w:rPr>
                <w:rFonts w:hint="eastAsia" w:ascii="宋体" w:hAnsi="宋体" w:cs="宋体"/>
                <w:sz w:val="24"/>
                <w:szCs w:val="24"/>
              </w:rPr>
              <w:tab/>
            </w:r>
            <w:r>
              <w:rPr>
                <w:rFonts w:hint="eastAsia" w:ascii="宋体" w:hAnsi="宋体" w:cs="宋体"/>
                <w:sz w:val="24"/>
                <w:szCs w:val="24"/>
              </w:rPr>
              <w:t xml:space="preserve">≤1.8</w:t>
            </w:r>
            <w:r/>
          </w:p>
          <w:p>
            <w:pPr>
              <w:jc w:val="left"/>
              <w:widowControl/>
              <w:rPr>
                <w:rFonts w:ascii="宋体" w:hAnsi="宋体" w:cs="宋体"/>
                <w:sz w:val="24"/>
                <w:szCs w:val="24"/>
              </w:rPr>
            </w:pPr>
            <w:r>
              <w:rPr>
                <w:rFonts w:hint="eastAsia" w:ascii="宋体" w:hAnsi="宋体" w:cs="宋体"/>
                <w:sz w:val="24"/>
                <w:szCs w:val="24"/>
              </w:rPr>
              <w:t xml:space="preserve">18、冷却方式：</w:t>
            </w:r>
            <w:r>
              <w:rPr>
                <w:rFonts w:hint="eastAsia" w:ascii="宋体" w:hAnsi="宋体" w:cs="宋体"/>
                <w:sz w:val="24"/>
                <w:szCs w:val="24"/>
              </w:rPr>
              <w:tab/>
            </w:r>
            <w:r>
              <w:rPr>
                <w:rFonts w:hint="eastAsia" w:ascii="宋体" w:hAnsi="宋体" w:cs="宋体"/>
                <w:sz w:val="24"/>
                <w:szCs w:val="24"/>
              </w:rPr>
              <w:t xml:space="preserve">强风冷却</w:t>
            </w:r>
            <w:r/>
          </w:p>
          <w:p>
            <w:pPr>
              <w:jc w:val="left"/>
              <w:widowControl/>
              <w:rPr>
                <w:rFonts w:ascii="宋体" w:hAnsi="宋体" w:cs="宋体"/>
                <w:sz w:val="24"/>
                <w:szCs w:val="24"/>
              </w:rPr>
            </w:pPr>
            <w:r>
              <w:rPr>
                <w:rFonts w:hint="eastAsia" w:ascii="宋体" w:hAnsi="宋体" w:cs="宋体"/>
                <w:sz w:val="24"/>
                <w:szCs w:val="24"/>
              </w:rPr>
              <w:t xml:space="preserve">19、绝缘方式：</w:t>
            </w:r>
            <w:r>
              <w:rPr>
                <w:rFonts w:hint="eastAsia" w:ascii="宋体" w:hAnsi="宋体" w:cs="宋体"/>
                <w:sz w:val="24"/>
                <w:szCs w:val="24"/>
              </w:rPr>
              <w:tab/>
            </w:r>
            <w:r>
              <w:rPr>
                <w:rFonts w:hint="eastAsia" w:ascii="宋体" w:hAnsi="宋体" w:cs="宋体"/>
                <w:sz w:val="24"/>
                <w:szCs w:val="24"/>
              </w:rPr>
              <w:t xml:space="preserve">sf6气体绝缘</w:t>
            </w:r>
            <w:r/>
          </w:p>
          <w:p>
            <w:pPr>
              <w:jc w:val="left"/>
              <w:widowControl/>
              <w:rPr>
                <w:rFonts w:ascii="宋体" w:hAnsi="宋体" w:cs="宋体"/>
                <w:sz w:val="24"/>
                <w:szCs w:val="24"/>
              </w:rPr>
            </w:pPr>
            <w:r>
              <w:rPr>
                <w:rFonts w:hint="eastAsia" w:ascii="宋体" w:hAnsi="宋体" w:cs="宋体"/>
                <w:sz w:val="24"/>
                <w:szCs w:val="24"/>
              </w:rPr>
              <w:t xml:space="preserve">20、工作压力：</w:t>
            </w:r>
            <w:r>
              <w:rPr>
                <w:rFonts w:hint="eastAsia" w:ascii="宋体" w:hAnsi="宋体" w:cs="宋体"/>
                <w:sz w:val="24"/>
                <w:szCs w:val="24"/>
              </w:rPr>
              <w:tab/>
            </w:r>
            <w:r>
              <w:rPr>
                <w:rFonts w:hint="eastAsia" w:ascii="宋体" w:hAnsi="宋体" w:cs="宋体"/>
                <w:sz w:val="24"/>
                <w:szCs w:val="24"/>
              </w:rPr>
              <w:t xml:space="preserve">0.35mpa～0.45mpa</w:t>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智能焊烟除尘净化设备</w:t>
            </w:r>
            <w:r/>
          </w:p>
        </w:tc>
        <w:tc>
          <w:tcPr>
            <w:tcW w:w="658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定制设备需求：</w:t>
            </w:r>
            <w:r/>
          </w:p>
          <w:p>
            <w:pPr>
              <w:rPr>
                <w:rFonts w:ascii="宋体" w:hAnsi="宋体" w:cs="宋体"/>
                <w:b/>
                <w:bCs/>
                <w:i/>
                <w:iCs/>
                <w:spacing w:val="14"/>
                <w:sz w:val="24"/>
                <w:szCs w:val="24"/>
                <w:u w:val="single"/>
              </w:rPr>
            </w:pPr>
            <w:r>
              <w:rPr>
                <w:rFonts w:hint="eastAsia" w:ascii="宋体" w:hAnsi="宋体" w:cs="宋体"/>
                <w:b/>
                <w:bCs/>
                <w:i/>
                <w:iCs/>
                <w:spacing w:val="14"/>
                <w:sz w:val="24"/>
                <w:szCs w:val="24"/>
                <w:u w:val="single"/>
              </w:rPr>
              <w:t xml:space="preserve">1、新购除尘设备</w:t>
            </w:r>
            <w:r/>
          </w:p>
          <w:p>
            <w:pPr>
              <w:ind w:firstLine="269"/>
              <w:rPr>
                <w:rFonts w:ascii="宋体" w:hAnsi="宋体" w:cs="宋体"/>
                <w:b/>
                <w:bCs/>
                <w:i/>
                <w:iCs/>
                <w:sz w:val="24"/>
                <w:szCs w:val="24"/>
                <w:u w:val="single"/>
              </w:rPr>
            </w:pPr>
            <w:r>
              <w:rPr>
                <w:rFonts w:hint="eastAsia" w:ascii="宋体" w:hAnsi="宋体" w:cs="宋体"/>
                <w:b/>
                <w:bCs/>
                <w:i/>
                <w:iCs/>
                <w:spacing w:val="14"/>
                <w:sz w:val="24"/>
                <w:szCs w:val="24"/>
                <w:u w:val="single"/>
              </w:rPr>
              <w:t xml:space="preserve">为了降低楼宇承载风险，新购除尘设备主机需采用自动清灰型中央一体单柜式烟尘净化主机，电机、风机、过滤系统均在一个柜体内，占地小、自重低、低噪音、安全、美观、耐用，主机外形尺寸</w:t>
            </w:r>
            <w:r>
              <w:rPr>
                <w:rFonts w:hint="eastAsia" w:ascii="宋体" w:hAnsi="宋体" w:cs="宋体"/>
                <w:b/>
                <w:bCs/>
                <w:i/>
                <w:iCs/>
                <w:sz w:val="24"/>
                <w:szCs w:val="24"/>
                <w:u w:val="single"/>
              </w:rPr>
              <w:t xml:space="preserve">≤</w:t>
            </w:r>
            <w:r>
              <w:rPr>
                <w:rFonts w:hint="eastAsia" w:ascii="宋体" w:hAnsi="宋体" w:cs="宋体"/>
                <w:b/>
                <w:bCs/>
                <w:i/>
                <w:iCs/>
                <w:spacing w:val="14"/>
                <w:sz w:val="24"/>
                <w:szCs w:val="24"/>
                <w:u w:val="single"/>
              </w:rPr>
              <w:t xml:space="preserve">长2300X宽1800mm。</w:t>
            </w:r>
            <w:r>
              <w:rPr>
                <w:rFonts w:hint="eastAsia" w:ascii="宋体" w:hAnsi="宋体" w:cs="宋体"/>
                <w:b/>
                <w:bCs/>
                <w:i/>
                <w:iCs/>
                <w:sz w:val="24"/>
                <w:szCs w:val="24"/>
                <w:u w:val="single"/>
              </w:rPr>
              <w:t xml:space="preserve">（</w:t>
            </w:r>
            <w:r>
              <w:rPr>
                <w:rFonts w:hint="eastAsia" w:ascii="宋体" w:hAnsi="宋体" w:cs="宋体"/>
                <w:b/>
                <w:bCs/>
                <w:i/>
                <w:iCs/>
                <w:color w:val="000000"/>
                <w:sz w:val="24"/>
                <w:szCs w:val="24"/>
                <w:u w:val="single"/>
              </w:rPr>
              <w:t xml:space="preserve">提供技术参数响应表或第三方检测报告或官方技术说明书等通用证明材料。</w:t>
            </w:r>
            <w:r>
              <w:rPr>
                <w:rFonts w:hint="eastAsia" w:ascii="宋体" w:hAnsi="宋体" w:cs="宋体"/>
                <w:b/>
                <w:bCs/>
                <w:i/>
                <w:iCs/>
                <w:sz w:val="24"/>
                <w:szCs w:val="24"/>
                <w:u w:val="single"/>
              </w:rPr>
              <w:t xml:space="preserve">）</w:t>
            </w:r>
            <w:r/>
          </w:p>
          <w:p>
            <w:pPr>
              <w:ind w:firstLine="269"/>
              <w:rPr>
                <w:rFonts w:ascii="宋体" w:hAnsi="宋体" w:cs="宋体"/>
                <w:b/>
                <w:bCs/>
                <w:i/>
                <w:iCs/>
                <w:sz w:val="24"/>
                <w:szCs w:val="24"/>
                <w:u w:val="single"/>
              </w:rPr>
            </w:pPr>
            <w:r>
              <w:rPr>
                <w:rFonts w:hint="eastAsia" w:ascii="宋体" w:hAnsi="宋体" w:cs="宋体"/>
                <w:b/>
                <w:bCs/>
                <w:i/>
                <w:iCs/>
                <w:spacing w:val="14"/>
                <w:sz w:val="24"/>
                <w:szCs w:val="24"/>
                <w:u w:val="single"/>
              </w:rPr>
              <w:t xml:space="preserve">单机采用</w:t>
            </w:r>
            <w:r>
              <w:rPr>
                <w:rFonts w:hint="eastAsia" w:ascii="宋体" w:hAnsi="宋体" w:cs="宋体"/>
                <w:b/>
                <w:bCs/>
                <w:i/>
                <w:iCs/>
                <w:sz w:val="24"/>
                <w:szCs w:val="24"/>
                <w:u w:val="single"/>
              </w:rPr>
              <w:t xml:space="preserve">≥2</w:t>
            </w:r>
            <w:r>
              <w:rPr>
                <w:rFonts w:hint="eastAsia" w:ascii="宋体" w:hAnsi="宋体" w:cs="宋体"/>
                <w:b/>
                <w:bCs/>
                <w:i/>
                <w:iCs/>
                <w:spacing w:val="14"/>
                <w:sz w:val="24"/>
                <w:szCs w:val="24"/>
                <w:u w:val="single"/>
              </w:rPr>
              <w:t xml:space="preserve">台电机，电机可分别启动，有效降低能耗和震动。</w:t>
            </w:r>
            <w:r>
              <w:rPr>
                <w:rFonts w:hint="eastAsia" w:ascii="宋体" w:hAnsi="宋体" w:cs="宋体"/>
                <w:b/>
                <w:bCs/>
                <w:i/>
                <w:iCs/>
                <w:color w:val="000000"/>
                <w:sz w:val="24"/>
                <w:szCs w:val="24"/>
                <w:u w:val="single"/>
              </w:rPr>
              <w:t xml:space="preserve">（提供技术参数响应表或第三方检测报告或官方技术说明书等通用证明材料。）</w:t>
            </w:r>
            <w:r/>
          </w:p>
          <w:p>
            <w:pPr>
              <w:ind w:left="1200" w:hanging="1200"/>
              <w:rPr>
                <w:rFonts w:ascii="宋体" w:hAnsi="宋体" w:cs="宋体"/>
                <w:b/>
                <w:bCs/>
                <w:color w:val="000000"/>
                <w:sz w:val="24"/>
                <w:szCs w:val="24"/>
              </w:rPr>
            </w:pPr>
            <w:r>
              <w:rPr>
                <w:rFonts w:hint="eastAsia" w:ascii="宋体" w:hAnsi="宋体" w:cs="宋体"/>
                <w:color w:val="000000"/>
                <w:sz w:val="24"/>
                <w:szCs w:val="24"/>
              </w:rPr>
              <w:t xml:space="preserve">自动清灰：</w:t>
            </w:r>
            <w:r>
              <w:rPr>
                <w:rFonts w:hint="eastAsia" w:ascii="宋体" w:hAnsi="宋体" w:cs="宋体"/>
                <w:sz w:val="24"/>
                <w:szCs w:val="24"/>
              </w:rPr>
              <w:t xml:space="preserve">当滤筒表面饱和阻力达到一定的允许值时，自动清洁功能开启，并在主机工作过程中依次对各滤筒单元进行单独反吹清洁，保障除尘机始终处于良好工作状态。</w:t>
            </w:r>
            <w:r/>
          </w:p>
          <w:p>
            <w:pPr>
              <w:spacing w:line="288" w:lineRule="auto"/>
              <w:rPr>
                <w:rFonts w:ascii="宋体" w:hAnsi="宋体" w:cs="宋体"/>
                <w:bCs/>
                <w:sz w:val="24"/>
                <w:szCs w:val="24"/>
              </w:rPr>
            </w:pPr>
            <w:r>
              <w:rPr>
                <w:rFonts w:hint="eastAsia" w:ascii="宋体" w:hAnsi="宋体" w:cs="宋体"/>
                <w:color w:val="000000"/>
                <w:sz w:val="24"/>
                <w:szCs w:val="24"/>
              </w:rPr>
              <w:t xml:space="preserve">风量：</w:t>
            </w:r>
            <w:r>
              <w:rPr>
                <w:rFonts w:hint="eastAsia" w:ascii="宋体" w:hAnsi="宋体" w:cs="宋体"/>
                <w:sz w:val="24"/>
                <w:szCs w:val="24"/>
              </w:rPr>
              <w:t xml:space="preserve">≥</w:t>
            </w:r>
            <w:r>
              <w:rPr>
                <w:rFonts w:hint="eastAsia" w:ascii="宋体" w:hAnsi="宋体" w:cs="宋体"/>
                <w:bCs/>
                <w:sz w:val="24"/>
                <w:szCs w:val="24"/>
              </w:rPr>
              <w:t xml:space="preserve"> 20000 m³/h</w:t>
            </w:r>
            <w:r/>
          </w:p>
          <w:p>
            <w:pPr>
              <w:spacing w:line="288" w:lineRule="auto"/>
              <w:rPr>
                <w:rFonts w:ascii="宋体" w:hAnsi="宋体" w:cs="宋体"/>
                <w:sz w:val="24"/>
                <w:szCs w:val="24"/>
              </w:rPr>
            </w:pPr>
            <w:r>
              <w:rPr>
                <w:rFonts w:hint="eastAsia" w:ascii="宋体" w:hAnsi="宋体" w:cs="宋体"/>
                <w:color w:val="000000"/>
                <w:sz w:val="24"/>
                <w:szCs w:val="24"/>
              </w:rPr>
              <w:t xml:space="preserve">压力：</w:t>
            </w:r>
            <w:r>
              <w:rPr>
                <w:rFonts w:hint="eastAsia" w:ascii="宋体" w:hAnsi="宋体" w:cs="宋体"/>
                <w:sz w:val="24"/>
                <w:szCs w:val="24"/>
              </w:rPr>
              <w:t xml:space="preserve">≥</w:t>
            </w:r>
            <w:r>
              <w:rPr>
                <w:rFonts w:hint="eastAsia" w:ascii="宋体" w:hAnsi="宋体" w:cs="宋体"/>
                <w:bCs/>
                <w:sz w:val="24"/>
                <w:szCs w:val="24"/>
              </w:rPr>
              <w:t xml:space="preserve">2500pa。</w:t>
            </w:r>
            <w:r/>
          </w:p>
          <w:p>
            <w:pPr>
              <w:rPr>
                <w:rFonts w:ascii="宋体" w:hAnsi="宋体" w:cs="宋体"/>
                <w:i/>
                <w:iCs/>
                <w:sz w:val="24"/>
                <w:szCs w:val="24"/>
                <w:u w:val="single"/>
              </w:rPr>
            </w:pPr>
            <w:r>
              <w:rPr>
                <w:rFonts w:hint="eastAsia" w:ascii="宋体" w:hAnsi="宋体" w:cs="宋体"/>
                <w:sz w:val="24"/>
                <w:szCs w:val="24"/>
              </w:rPr>
              <w:t xml:space="preserve">▲吸气臂：≥3米。</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rPr>
                <w:rFonts w:ascii="宋体" w:hAnsi="宋体" w:cs="宋体"/>
                <w:i/>
                <w:iCs/>
                <w:sz w:val="24"/>
                <w:szCs w:val="24"/>
                <w:u w:val="single"/>
              </w:rPr>
            </w:pPr>
            <w:r>
              <w:rPr>
                <w:rFonts w:hint="eastAsia" w:ascii="宋体" w:hAnsi="宋体" w:cs="宋体"/>
                <w:sz w:val="24"/>
                <w:szCs w:val="24"/>
              </w:rPr>
              <w:t xml:space="preserve">▲吸气臂数量：≥6套。</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spacing w:line="288" w:lineRule="auto"/>
              <w:rPr>
                <w:rFonts w:ascii="宋体" w:hAnsi="宋体" w:cs="宋体"/>
                <w:sz w:val="24"/>
                <w:szCs w:val="24"/>
              </w:rPr>
            </w:pPr>
            <w:r>
              <w:rPr>
                <w:rFonts w:hint="eastAsia" w:ascii="宋体" w:hAnsi="宋体" w:cs="宋体"/>
                <w:sz w:val="24"/>
                <w:szCs w:val="24"/>
              </w:rPr>
              <w:t xml:space="preserve">可满足13个焊接工位的焊烟净化。</w:t>
            </w:r>
            <w:r/>
          </w:p>
          <w:p>
            <w:pPr>
              <w:rPr>
                <w:rFonts w:ascii="宋体" w:hAnsi="宋体" w:cs="宋体"/>
                <w:b/>
                <w:bCs/>
                <w:i/>
                <w:sz w:val="24"/>
                <w:szCs w:val="24"/>
                <w:u w:val="single"/>
              </w:rPr>
            </w:pPr>
            <w:r>
              <w:rPr>
                <w:rFonts w:hint="eastAsia" w:ascii="宋体" w:hAnsi="宋体" w:cs="宋体"/>
                <w:b/>
                <w:bCs/>
                <w:i/>
                <w:sz w:val="24"/>
                <w:szCs w:val="24"/>
                <w:u w:val="single"/>
              </w:rPr>
              <w:t xml:space="preserve">2、旧除尘设备移机</w:t>
            </w:r>
            <w:r/>
          </w:p>
          <w:p>
            <w:pPr>
              <w:ind w:firstLine="241"/>
              <w:rPr>
                <w:rFonts w:ascii="宋体" w:hAnsi="宋体" w:cs="宋体"/>
                <w:sz w:val="24"/>
                <w:szCs w:val="24"/>
                <w:u w:val="single"/>
              </w:rPr>
            </w:pPr>
            <w:r>
              <w:rPr>
                <w:rFonts w:hint="eastAsia" w:ascii="宋体" w:hAnsi="宋体" w:cs="宋体"/>
                <w:b/>
                <w:bCs/>
                <w:i/>
                <w:sz w:val="24"/>
                <w:szCs w:val="24"/>
                <w:u w:val="single"/>
              </w:rPr>
              <w:t xml:space="preserve">2套原系统移机并维护更换主机滤芯；原有吸气臂及立柱拆除、外皮更换并安装（需与新购吸气臂外观、颜色一致）；镀锌螺旋风管全部新制。</w:t>
            </w:r>
            <w:r>
              <w:rPr>
                <w:rFonts w:hint="eastAsia" w:ascii="宋体" w:hAnsi="宋体" w:cs="宋体"/>
                <w:b/>
                <w:bCs/>
                <w:sz w:val="24"/>
                <w:szCs w:val="24"/>
                <w:u w:val="single"/>
              </w:rPr>
              <w:t xml:space="preserve">（</w:t>
            </w:r>
            <w:r>
              <w:rPr>
                <w:rFonts w:hint="eastAsia" w:ascii="宋体" w:hAnsi="宋体" w:cs="宋体"/>
                <w:b/>
                <w:bCs/>
                <w:i/>
                <w:sz w:val="24"/>
                <w:szCs w:val="24"/>
                <w:u w:val="single"/>
              </w:rPr>
              <w:t xml:space="preserve">投标人需提供承诺书并加盖投标人公章）。</w:t>
            </w:r>
            <w:r/>
          </w:p>
          <w:p>
            <w:pPr>
              <w:rPr>
                <w:rFonts w:ascii="宋体" w:hAnsi="宋体" w:cs="宋体"/>
                <w:sz w:val="24"/>
                <w:szCs w:val="24"/>
              </w:rPr>
            </w:pPr>
            <w:r>
              <w:rPr>
                <w:rFonts w:hint="eastAsia" w:ascii="宋体" w:hAnsi="宋体" w:cs="宋体"/>
                <w:sz w:val="24"/>
                <w:szCs w:val="24"/>
              </w:rPr>
              <w:t xml:space="preserve">3、能确保数智焊接研训中心共计34个焊烟治理点的合理布局及正常使用。</w:t>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数控激光</w:t>
            </w:r>
            <w:r/>
          </w:p>
          <w:p>
            <w:pPr>
              <w:jc w:val="center"/>
              <w:spacing w:line="360" w:lineRule="auto"/>
              <w:widowControl/>
              <w:rPr>
                <w:rFonts w:ascii="宋体" w:hAnsi="宋体" w:cs="宋体"/>
                <w:sz w:val="24"/>
                <w:szCs w:val="24"/>
              </w:rPr>
            </w:pPr>
            <w:r>
              <w:rPr>
                <w:rFonts w:hint="eastAsia" w:ascii="宋体" w:hAnsi="宋体" w:cs="宋体"/>
                <w:sz w:val="24"/>
                <w:szCs w:val="24"/>
              </w:rPr>
              <w:t xml:space="preserve">切割机</w:t>
            </w:r>
            <w:r/>
          </w:p>
        </w:tc>
        <w:tc>
          <w:tcPr>
            <w:tcW w:w="6583"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1、3015单平台激光切割机的技术参数表:</w:t>
            </w:r>
            <w:r/>
          </w:p>
          <w:p>
            <w:pPr>
              <w:rPr>
                <w:rFonts w:ascii="宋体" w:hAnsi="宋体" w:cs="宋体"/>
                <w:i/>
                <w:iCs/>
                <w:sz w:val="24"/>
                <w:szCs w:val="24"/>
                <w:u w:val="single"/>
              </w:rPr>
            </w:pPr>
            <w:r>
              <w:rPr>
                <w:rFonts w:hint="eastAsia" w:ascii="宋体" w:hAnsi="宋体" w:cs="宋体"/>
                <w:sz w:val="24"/>
                <w:szCs w:val="24"/>
              </w:rPr>
              <w:t xml:space="preserve">2、▲工作面积：≥ 1500*3000mm</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rPr>
                <w:rFonts w:ascii="宋体" w:hAnsi="宋体" w:cs="宋体"/>
                <w:i/>
                <w:iCs/>
                <w:sz w:val="24"/>
                <w:szCs w:val="24"/>
                <w:u w:val="single"/>
              </w:rPr>
            </w:pPr>
            <w:r>
              <w:rPr>
                <w:rFonts w:hint="eastAsia" w:ascii="宋体" w:hAnsi="宋体" w:cs="宋体"/>
                <w:sz w:val="24"/>
                <w:szCs w:val="24"/>
              </w:rPr>
              <w:t xml:space="preserve">3、▲激光发射器功率：≥ 3000W</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rPr>
                <w:rFonts w:ascii="宋体" w:hAnsi="宋体" w:cs="宋体"/>
                <w:sz w:val="24"/>
                <w:szCs w:val="24"/>
              </w:rPr>
            </w:pPr>
            <w:r>
              <w:rPr>
                <w:rFonts w:hint="eastAsia" w:ascii="宋体" w:hAnsi="宋体" w:cs="宋体"/>
                <w:sz w:val="24"/>
                <w:szCs w:val="24"/>
              </w:rPr>
              <w:t xml:space="preserve">4、切割厚度： 碳钢≥18mm不锈钢≥10mm</w:t>
            </w:r>
            <w:r/>
          </w:p>
          <w:p>
            <w:pPr>
              <w:jc w:val="left"/>
              <w:rPr>
                <w:rFonts w:ascii="宋体" w:hAnsi="宋体" w:cs="宋体"/>
                <w:sz w:val="24"/>
                <w:szCs w:val="24"/>
              </w:rPr>
            </w:pPr>
            <w:r>
              <w:rPr>
                <w:rFonts w:hint="eastAsia" w:ascii="宋体" w:hAnsi="宋体" w:cs="宋体"/>
                <w:sz w:val="24"/>
                <w:szCs w:val="24"/>
              </w:rPr>
              <w:t xml:space="preserve">5、X 轴行程：</w:t>
            </w:r>
            <w:r>
              <w:rPr>
                <w:rFonts w:hint="eastAsia" w:ascii="宋体" w:hAnsi="宋体" w:cs="宋体"/>
                <w:sz w:val="24"/>
                <w:szCs w:val="24"/>
              </w:rPr>
              <w:tab/>
            </w:r>
            <w:r>
              <w:rPr>
                <w:rFonts w:hint="eastAsia" w:ascii="宋体" w:hAnsi="宋体" w:cs="宋体"/>
                <w:sz w:val="24"/>
                <w:szCs w:val="24"/>
              </w:rPr>
              <w:t xml:space="preserve">≥1520mm</w:t>
            </w:r>
            <w:r/>
          </w:p>
          <w:p>
            <w:pPr>
              <w:jc w:val="left"/>
              <w:rPr>
                <w:rFonts w:ascii="宋体" w:hAnsi="宋体" w:cs="宋体"/>
                <w:sz w:val="24"/>
                <w:szCs w:val="24"/>
              </w:rPr>
            </w:pPr>
            <w:r>
              <w:rPr>
                <w:rFonts w:hint="eastAsia" w:ascii="宋体" w:hAnsi="宋体" w:cs="宋体"/>
                <w:sz w:val="24"/>
                <w:szCs w:val="24"/>
              </w:rPr>
              <w:t xml:space="preserve">6、Y 轴行程：</w:t>
            </w:r>
            <w:r>
              <w:rPr>
                <w:rFonts w:hint="eastAsia" w:ascii="宋体" w:hAnsi="宋体" w:cs="宋体"/>
                <w:sz w:val="24"/>
                <w:szCs w:val="24"/>
              </w:rPr>
              <w:tab/>
            </w:r>
            <w:r>
              <w:rPr>
                <w:rFonts w:hint="eastAsia" w:ascii="宋体" w:hAnsi="宋体" w:cs="宋体"/>
                <w:sz w:val="24"/>
                <w:szCs w:val="24"/>
              </w:rPr>
              <w:t xml:space="preserve">≥3020mm</w:t>
            </w:r>
            <w:r/>
          </w:p>
          <w:p>
            <w:pPr>
              <w:jc w:val="left"/>
              <w:rPr>
                <w:rFonts w:ascii="宋体" w:hAnsi="宋体" w:cs="宋体"/>
                <w:sz w:val="24"/>
                <w:szCs w:val="24"/>
              </w:rPr>
            </w:pPr>
            <w:r>
              <w:rPr>
                <w:rFonts w:hint="eastAsia" w:ascii="宋体" w:hAnsi="宋体" w:cs="宋体"/>
                <w:sz w:val="24"/>
                <w:szCs w:val="24"/>
              </w:rPr>
              <w:t xml:space="preserve">7、Z 轴行程：  ≥160mm</w:t>
            </w:r>
            <w:r/>
          </w:p>
          <w:p>
            <w:pPr>
              <w:jc w:val="left"/>
              <w:rPr>
                <w:rFonts w:ascii="宋体" w:hAnsi="宋体" w:cs="宋体"/>
                <w:sz w:val="24"/>
                <w:szCs w:val="24"/>
              </w:rPr>
            </w:pPr>
            <w:r>
              <w:rPr>
                <w:rFonts w:hint="eastAsia" w:ascii="宋体" w:hAnsi="宋体" w:cs="宋体"/>
                <w:sz w:val="24"/>
                <w:szCs w:val="24"/>
              </w:rPr>
              <w:t xml:space="preserve">8、X,Y 加速度：≥0.8G</w:t>
            </w:r>
            <w:r/>
          </w:p>
          <w:p>
            <w:pPr>
              <w:jc w:val="left"/>
              <w:rPr>
                <w:rFonts w:ascii="宋体" w:hAnsi="宋体" w:cs="宋体"/>
                <w:sz w:val="24"/>
                <w:szCs w:val="24"/>
              </w:rPr>
            </w:pPr>
            <w:r>
              <w:rPr>
                <w:rFonts w:hint="eastAsia" w:ascii="宋体" w:hAnsi="宋体" w:cs="宋体"/>
                <w:sz w:val="24"/>
                <w:szCs w:val="24"/>
              </w:rPr>
              <w:t xml:space="preserve">9、X Y 轴重复定位精度</w:t>
            </w:r>
            <w:r>
              <w:rPr>
                <w:rFonts w:hint="eastAsia" w:ascii="宋体" w:hAnsi="宋体" w:cs="宋体"/>
                <w:sz w:val="24"/>
                <w:szCs w:val="24"/>
              </w:rPr>
              <w:tab/>
            </w:r>
            <w:r>
              <w:rPr>
                <w:rFonts w:hint="eastAsia" w:ascii="宋体" w:hAnsi="宋体" w:cs="宋体"/>
                <w:sz w:val="24"/>
                <w:szCs w:val="24"/>
              </w:rPr>
              <w:t xml:space="preserve">：±0.05mm/m</w:t>
            </w:r>
            <w:r/>
          </w:p>
          <w:p>
            <w:pPr>
              <w:jc w:val="left"/>
              <w:rPr>
                <w:rFonts w:ascii="宋体" w:hAnsi="宋体" w:cs="宋体"/>
                <w:sz w:val="24"/>
                <w:szCs w:val="24"/>
              </w:rPr>
            </w:pPr>
            <w:r>
              <w:rPr>
                <w:rFonts w:hint="eastAsia" w:ascii="宋体" w:hAnsi="宋体" w:cs="宋体"/>
                <w:sz w:val="24"/>
                <w:szCs w:val="24"/>
              </w:rPr>
              <w:t xml:space="preserve">10、X Y 轴定位精度：</w:t>
            </w:r>
            <w:r>
              <w:rPr>
                <w:rFonts w:hint="eastAsia" w:ascii="宋体" w:hAnsi="宋体" w:cs="宋体"/>
                <w:sz w:val="24"/>
                <w:szCs w:val="24"/>
              </w:rPr>
              <w:tab/>
            </w:r>
            <w:r>
              <w:rPr>
                <w:rFonts w:hint="eastAsia" w:ascii="宋体" w:hAnsi="宋体" w:cs="宋体"/>
                <w:sz w:val="24"/>
                <w:szCs w:val="24"/>
              </w:rPr>
              <w:t xml:space="preserve">±0.05mm/m</w:t>
            </w:r>
            <w:r/>
          </w:p>
          <w:p>
            <w:pPr>
              <w:jc w:val="left"/>
              <w:rPr>
                <w:rFonts w:ascii="宋体" w:hAnsi="宋体" w:cs="宋体"/>
                <w:sz w:val="24"/>
                <w:szCs w:val="24"/>
              </w:rPr>
            </w:pPr>
            <w:r>
              <w:rPr>
                <w:rFonts w:hint="eastAsia" w:ascii="宋体" w:hAnsi="宋体" w:cs="宋体"/>
                <w:sz w:val="24"/>
                <w:szCs w:val="24"/>
              </w:rPr>
              <w:t xml:space="preserve">11、X,Y轴最大定位速度：≥60m/min</w:t>
            </w:r>
            <w:r/>
          </w:p>
          <w:p>
            <w:pPr>
              <w:jc w:val="left"/>
              <w:rPr>
                <w:rFonts w:ascii="宋体" w:hAnsi="宋体" w:cs="宋体"/>
                <w:sz w:val="24"/>
                <w:szCs w:val="24"/>
              </w:rPr>
            </w:pPr>
            <w:r>
              <w:rPr>
                <w:rFonts w:hint="eastAsia" w:ascii="宋体" w:hAnsi="宋体" w:cs="宋体"/>
                <w:sz w:val="24"/>
                <w:szCs w:val="24"/>
              </w:rPr>
              <w:t xml:space="preserve">12、管焊床身：≥6mm</w:t>
            </w:r>
            <w:r>
              <w:rPr>
                <w:rFonts w:hint="eastAsia" w:ascii="宋体" w:hAnsi="宋体" w:cs="宋体"/>
                <w:sz w:val="24"/>
                <w:szCs w:val="24"/>
              </w:rPr>
              <w:tab/>
            </w:r>
            <w:r>
              <w:rPr>
                <w:rFonts w:hint="eastAsia" w:ascii="宋体" w:hAnsi="宋体" w:cs="宋体"/>
                <w:sz w:val="24"/>
                <w:szCs w:val="24"/>
              </w:rPr>
              <w:t xml:space="preserve">0.9T</w:t>
            </w:r>
            <w:r/>
          </w:p>
          <w:p>
            <w:pPr>
              <w:jc w:val="left"/>
              <w:rPr>
                <w:rFonts w:ascii="宋体" w:hAnsi="宋体" w:cs="宋体"/>
                <w:sz w:val="24"/>
                <w:szCs w:val="24"/>
              </w:rPr>
            </w:pPr>
            <w:r>
              <w:rPr>
                <w:rFonts w:hint="eastAsia" w:ascii="宋体" w:hAnsi="宋体" w:cs="宋体"/>
                <w:sz w:val="24"/>
                <w:szCs w:val="24"/>
              </w:rPr>
              <w:t xml:space="preserve">13、床身高度：≤</w:t>
            </w:r>
            <w:r>
              <w:rPr>
                <w:rFonts w:hint="eastAsia" w:ascii="宋体" w:hAnsi="宋体" w:cs="宋体"/>
                <w:sz w:val="24"/>
                <w:szCs w:val="24"/>
              </w:rPr>
              <w:tab/>
            </w:r>
            <w:r>
              <w:rPr>
                <w:rFonts w:hint="eastAsia" w:ascii="宋体" w:hAnsi="宋体" w:cs="宋体"/>
                <w:sz w:val="24"/>
                <w:szCs w:val="24"/>
              </w:rPr>
              <w:t xml:space="preserve">780mm</w:t>
            </w:r>
            <w:r/>
          </w:p>
          <w:p>
            <w:pPr>
              <w:jc w:val="left"/>
              <w:rPr>
                <w:rFonts w:ascii="宋体" w:hAnsi="宋体" w:cs="宋体"/>
                <w:sz w:val="24"/>
                <w:szCs w:val="24"/>
              </w:rPr>
            </w:pPr>
            <w:r>
              <w:rPr>
                <w:rFonts w:hint="eastAsia" w:ascii="宋体" w:hAnsi="宋体" w:cs="宋体"/>
                <w:sz w:val="24"/>
                <w:szCs w:val="24"/>
              </w:rPr>
              <w:t xml:space="preserve">14、外形尺寸： 约2280*4600*1800M</w:t>
            </w:r>
            <w:r/>
          </w:p>
          <w:p>
            <w:pPr>
              <w:jc w:val="left"/>
              <w:widowControl/>
              <w:rPr>
                <w:rFonts w:ascii="宋体" w:hAnsi="宋体" w:cs="宋体"/>
                <w:sz w:val="24"/>
                <w:szCs w:val="24"/>
              </w:rPr>
            </w:pPr>
            <w:r>
              <w:rPr>
                <w:rFonts w:hint="eastAsia" w:ascii="宋体" w:hAnsi="宋体" w:cs="宋体"/>
                <w:sz w:val="24"/>
                <w:szCs w:val="24"/>
              </w:rPr>
              <w:t xml:space="preserve">15、横梁：</w:t>
            </w:r>
            <w:r>
              <w:rPr>
                <w:rFonts w:hint="eastAsia" w:ascii="宋体" w:hAnsi="宋体" w:cs="宋体"/>
                <w:sz w:val="24"/>
                <w:szCs w:val="24"/>
              </w:rPr>
              <w:tab/>
            </w:r>
            <w:r>
              <w:rPr>
                <w:rFonts w:hint="eastAsia" w:ascii="宋体" w:hAnsi="宋体" w:cs="宋体"/>
                <w:sz w:val="24"/>
                <w:szCs w:val="24"/>
              </w:rPr>
              <w:t xml:space="preserve">航空铝材质，</w:t>
            </w:r>
            <w:r>
              <w:rPr>
                <w:rFonts w:hint="eastAsia" w:ascii="宋体" w:hAnsi="宋体" w:cs="宋体"/>
                <w:color w:val="666666"/>
                <w:sz w:val="24"/>
                <w:szCs w:val="24"/>
              </w:rPr>
              <w:t xml:space="preserve">结构强度及刚度满足设备运行精度要求。</w:t>
            </w:r>
            <w:r/>
          </w:p>
          <w:p>
            <w:pPr>
              <w:jc w:val="left"/>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半自动数字等离子切割机</w:t>
            </w:r>
            <w:r/>
          </w:p>
        </w:tc>
        <w:tc>
          <w:tcPr>
            <w:tcW w:w="6583" w:type="dxa"/>
            <w:vAlign w:val="center"/>
            <w:textDirection w:val="lrTb"/>
            <w:noWrap w:val="false"/>
          </w:tcPr>
          <w:p>
            <w:pPr>
              <w:rPr>
                <w:rFonts w:ascii="宋体" w:hAnsi="宋体" w:cs="宋体"/>
                <w:i/>
                <w:iCs/>
                <w:sz w:val="24"/>
                <w:szCs w:val="24"/>
                <w:u w:val="single"/>
              </w:rPr>
            </w:pPr>
            <w:r>
              <w:rPr>
                <w:rFonts w:hint="eastAsia" w:ascii="宋体" w:hAnsi="宋体" w:cs="宋体"/>
                <w:sz w:val="24"/>
                <w:szCs w:val="24"/>
              </w:rPr>
              <w:t xml:space="preserve">1、▲切割电流:≥120A；</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rPr>
                <w:rFonts w:ascii="宋体" w:hAnsi="宋体" w:cs="宋体"/>
                <w:sz w:val="24"/>
                <w:szCs w:val="24"/>
              </w:rPr>
            </w:pPr>
            <w:r>
              <w:rPr>
                <w:rFonts w:hint="eastAsia" w:ascii="宋体" w:hAnsi="宋体" w:cs="宋体"/>
                <w:sz w:val="24"/>
                <w:szCs w:val="24"/>
              </w:rPr>
              <w:t xml:space="preserve">2、额定输入电流：≥36A；</w:t>
            </w:r>
            <w:r/>
          </w:p>
          <w:p>
            <w:pPr>
              <w:jc w:val="left"/>
              <w:rPr>
                <w:rFonts w:ascii="宋体" w:hAnsi="宋体" w:cs="宋体"/>
                <w:sz w:val="24"/>
                <w:szCs w:val="24"/>
              </w:rPr>
            </w:pPr>
            <w:r>
              <w:rPr>
                <w:rFonts w:hint="eastAsia" w:ascii="宋体" w:hAnsi="宋体" w:cs="宋体"/>
                <w:sz w:val="24"/>
                <w:szCs w:val="24"/>
              </w:rPr>
              <w:t xml:space="preserve">3、切割厚度：碳钢≥25mm;</w:t>
            </w:r>
            <w:r/>
          </w:p>
          <w:p>
            <w:pPr>
              <w:jc w:val="left"/>
              <w:rPr>
                <w:rFonts w:ascii="宋体" w:hAnsi="宋体" w:cs="宋体"/>
                <w:sz w:val="24"/>
                <w:szCs w:val="24"/>
              </w:rPr>
            </w:pPr>
            <w:r>
              <w:rPr>
                <w:rFonts w:hint="eastAsia" w:ascii="宋体" w:hAnsi="宋体" w:cs="宋体"/>
                <w:sz w:val="24"/>
                <w:szCs w:val="24"/>
              </w:rPr>
              <w:t xml:space="preserve">4、空载电压：≥320V。</w:t>
            </w:r>
            <w:r/>
          </w:p>
          <w:p>
            <w:pPr>
              <w:jc w:val="left"/>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r>
        <w:trPr>
          <w:jc w:val="center"/>
        </w:trPr>
        <w:tc>
          <w:tcPr>
            <w:tcW w:w="669"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tcW w:w="1253" w:type="dxa"/>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锯床</w:t>
            </w:r>
            <w:r/>
          </w:p>
        </w:tc>
        <w:tc>
          <w:tcPr>
            <w:tcW w:w="6583" w:type="dxa"/>
            <w:vAlign w:val="center"/>
            <w:textDirection w:val="lrTb"/>
            <w:noWrap w:val="false"/>
          </w:tcPr>
          <w:p>
            <w:pPr>
              <w:rPr>
                <w:rFonts w:ascii="宋体" w:hAnsi="宋体" w:cs="宋体"/>
                <w:i/>
                <w:iCs/>
                <w:sz w:val="24"/>
                <w:szCs w:val="24"/>
                <w:u w:val="single"/>
              </w:rPr>
            </w:pPr>
            <w:r>
              <w:rPr>
                <w:rFonts w:hint="eastAsia" w:ascii="宋体" w:hAnsi="宋体" w:cs="宋体"/>
                <w:sz w:val="24"/>
                <w:szCs w:val="24"/>
              </w:rPr>
              <w:t xml:space="preserve">1、▲最大切削范围 mm≥ ●400 ■400×400</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rPr>
                <w:rFonts w:ascii="宋体" w:hAnsi="宋体" w:cs="宋体"/>
                <w:i/>
                <w:iCs/>
                <w:sz w:val="24"/>
                <w:szCs w:val="24"/>
                <w:u w:val="single"/>
              </w:rPr>
            </w:pPr>
            <w:r>
              <w:rPr>
                <w:rFonts w:hint="eastAsia" w:ascii="宋体" w:hAnsi="宋体" w:cs="宋体"/>
                <w:sz w:val="24"/>
                <w:szCs w:val="24"/>
              </w:rPr>
              <w:t xml:space="preserve">2、▲带锯条规格 mm≥ 4640×34×1.1</w:t>
            </w:r>
            <w:r>
              <w:rPr>
                <w:rFonts w:hint="eastAsia" w:ascii="宋体" w:hAnsi="宋体" w:cs="宋体"/>
                <w:b/>
                <w:bCs/>
                <w:sz w:val="24"/>
                <w:szCs w:val="24"/>
              </w:rPr>
              <w:t xml:space="preserve">（</w:t>
            </w:r>
            <w:r>
              <w:rPr>
                <w:rFonts w:hint="eastAsia" w:ascii="宋体" w:hAnsi="宋体" w:cs="宋体"/>
                <w:b/>
                <w:bCs/>
                <w:color w:val="000000"/>
                <w:sz w:val="24"/>
                <w:szCs w:val="24"/>
              </w:rPr>
              <w:t xml:space="preserve">提供技术参数响应表或第三方检测报告或官方技术说明书等通用证明材料。</w:t>
            </w:r>
            <w:r>
              <w:rPr>
                <w:rFonts w:hint="eastAsia" w:ascii="宋体" w:hAnsi="宋体" w:cs="宋体"/>
                <w:b/>
                <w:bCs/>
                <w:sz w:val="24"/>
                <w:szCs w:val="24"/>
              </w:rPr>
              <w:t xml:space="preserve">）</w:t>
            </w:r>
            <w:r/>
          </w:p>
          <w:p>
            <w:pPr>
              <w:jc w:val="left"/>
              <w:rPr>
                <w:rFonts w:ascii="宋体" w:hAnsi="宋体" w:cs="宋体"/>
                <w:sz w:val="24"/>
                <w:szCs w:val="24"/>
              </w:rPr>
            </w:pPr>
            <w:r>
              <w:rPr>
                <w:rFonts w:hint="eastAsia" w:ascii="宋体" w:hAnsi="宋体" w:cs="宋体"/>
                <w:sz w:val="24"/>
                <w:szCs w:val="24"/>
              </w:rPr>
              <w:t xml:space="preserve">3、带锯条线速 m/min 27/45/69 皮带三档调速</w:t>
            </w:r>
            <w:r/>
          </w:p>
          <w:p>
            <w:pPr>
              <w:jc w:val="left"/>
              <w:rPr>
                <w:rFonts w:ascii="宋体" w:hAnsi="宋体" w:cs="宋体"/>
                <w:sz w:val="24"/>
                <w:szCs w:val="24"/>
              </w:rPr>
            </w:pPr>
            <w:r>
              <w:rPr>
                <w:rFonts w:hint="eastAsia" w:ascii="宋体" w:hAnsi="宋体" w:cs="宋体"/>
                <w:sz w:val="24"/>
                <w:szCs w:val="24"/>
              </w:rPr>
              <w:t xml:space="preserve">4、主电机功率 kw ≥4</w:t>
            </w:r>
            <w:r/>
          </w:p>
          <w:p>
            <w:pPr>
              <w:jc w:val="left"/>
              <w:rPr>
                <w:rFonts w:ascii="宋体" w:hAnsi="宋体" w:cs="宋体"/>
                <w:sz w:val="24"/>
                <w:szCs w:val="24"/>
              </w:rPr>
            </w:pPr>
            <w:r>
              <w:rPr>
                <w:rFonts w:hint="eastAsia" w:ascii="宋体" w:hAnsi="宋体" w:cs="宋体"/>
                <w:sz w:val="24"/>
                <w:szCs w:val="24"/>
              </w:rPr>
              <w:t xml:space="preserve">5、液压电机功率 kw ≥0.75</w:t>
            </w:r>
            <w:r/>
          </w:p>
          <w:p>
            <w:pPr>
              <w:jc w:val="left"/>
              <w:rPr>
                <w:rFonts w:ascii="宋体" w:hAnsi="宋体" w:cs="宋体"/>
                <w:sz w:val="24"/>
                <w:szCs w:val="24"/>
              </w:rPr>
            </w:pPr>
            <w:r>
              <w:rPr>
                <w:rFonts w:hint="eastAsia" w:ascii="宋体" w:hAnsi="宋体" w:cs="宋体"/>
                <w:sz w:val="24"/>
                <w:szCs w:val="24"/>
              </w:rPr>
              <w:t xml:space="preserve">6、冷却泵功率 kw ≥0.04</w:t>
            </w:r>
            <w:r/>
          </w:p>
          <w:p>
            <w:pPr>
              <w:jc w:val="left"/>
              <w:rPr>
                <w:rFonts w:ascii="宋体" w:hAnsi="宋体" w:cs="宋体"/>
                <w:sz w:val="24"/>
                <w:szCs w:val="24"/>
              </w:rPr>
            </w:pPr>
            <w:r>
              <w:rPr>
                <w:rFonts w:hint="eastAsia" w:ascii="宋体" w:hAnsi="宋体" w:cs="宋体"/>
                <w:sz w:val="24"/>
                <w:szCs w:val="24"/>
              </w:rPr>
              <w:t xml:space="preserve">7、主传动方式 蜗轮传动</w:t>
            </w:r>
            <w:r/>
          </w:p>
          <w:p>
            <w:pPr>
              <w:jc w:val="left"/>
              <w:rPr>
                <w:rFonts w:ascii="宋体" w:hAnsi="宋体" w:cs="宋体"/>
                <w:sz w:val="24"/>
                <w:szCs w:val="24"/>
              </w:rPr>
            </w:pPr>
            <w:r>
              <w:rPr>
                <w:rFonts w:hint="eastAsia" w:ascii="宋体" w:hAnsi="宋体" w:cs="宋体"/>
                <w:sz w:val="24"/>
                <w:szCs w:val="24"/>
              </w:rPr>
              <w:t xml:space="preserve">8、夹紧方式 液压夹紧</w:t>
            </w:r>
            <w:r/>
          </w:p>
          <w:p>
            <w:pPr>
              <w:jc w:val="left"/>
              <w:rPr>
                <w:rFonts w:ascii="宋体" w:hAnsi="宋体" w:cs="宋体"/>
                <w:sz w:val="24"/>
                <w:szCs w:val="24"/>
              </w:rPr>
            </w:pPr>
            <w:r>
              <w:rPr>
                <w:rFonts w:hint="eastAsia" w:ascii="宋体" w:hAnsi="宋体" w:cs="宋体"/>
                <w:sz w:val="24"/>
                <w:szCs w:val="24"/>
              </w:rPr>
              <w:t xml:space="preserve">9、锯屑清理方式 冷却液和钢丝刷</w:t>
            </w:r>
            <w:r/>
          </w:p>
          <w:p>
            <w:pPr>
              <w:jc w:val="left"/>
              <w:rPr>
                <w:rFonts w:ascii="宋体" w:hAnsi="宋体" w:cs="宋体"/>
                <w:sz w:val="24"/>
                <w:szCs w:val="24"/>
              </w:rPr>
            </w:pPr>
            <w:r>
              <w:rPr>
                <w:rFonts w:hint="eastAsia" w:ascii="宋体" w:hAnsi="宋体" w:cs="宋体"/>
                <w:sz w:val="24"/>
                <w:szCs w:val="24"/>
              </w:rPr>
              <w:t xml:space="preserve">10、外形尺寸 mm 约2200×1300 ×1700</w:t>
            </w:r>
            <w:r/>
          </w:p>
          <w:p>
            <w:pPr>
              <w:jc w:val="left"/>
              <w:rPr>
                <w:rFonts w:ascii="宋体" w:hAnsi="宋体" w:cs="宋体"/>
                <w:sz w:val="24"/>
                <w:szCs w:val="24"/>
              </w:rPr>
            </w:pPr>
            <w:r>
              <w:rPr>
                <w:rFonts w:hint="eastAsia" w:ascii="宋体" w:hAnsi="宋体" w:cs="宋体"/>
                <w:sz w:val="24"/>
                <w:szCs w:val="24"/>
              </w:rPr>
              <w:t xml:space="preserve">11、机床重量 kg 约1000</w:t>
            </w:r>
            <w:r/>
          </w:p>
          <w:p>
            <w:pPr>
              <w:jc w:val="left"/>
              <w:widowControl/>
              <w:rPr>
                <w:rFonts w:ascii="宋体" w:hAnsi="宋体" w:cs="宋体"/>
                <w:sz w:val="24"/>
                <w:szCs w:val="24"/>
              </w:rPr>
            </w:pPr>
            <w:r>
              <w:rPr>
                <w:rFonts w:hint="eastAsia" w:ascii="宋体" w:hAnsi="宋体" w:cs="宋体"/>
                <w:b/>
                <w:bCs/>
                <w:color w:val="000000"/>
                <w:sz w:val="24"/>
                <w:szCs w:val="24"/>
              </w:rPr>
              <w:t xml:space="preserve">重要提示：中标人所提供的投标文件内容将作为验收标准。</w:t>
            </w:r>
            <w:r/>
          </w:p>
        </w:tc>
      </w:tr>
    </w:tbl>
    <w:p>
      <w:pPr>
        <w:ind w:firstLine="562"/>
        <w:jc w:val="left"/>
        <w:spacing w:line="360" w:lineRule="auto"/>
        <w:rPr>
          <w:rFonts w:ascii="Times New Roman" w:hAnsi="Times New Roman"/>
          <w:b/>
          <w:sz w:val="28"/>
          <w:szCs w:val="28"/>
        </w:rPr>
      </w:pPr>
      <w:r>
        <w:rPr>
          <w:rFonts w:ascii="Times New Roman" w:hAnsi="Times New Roman"/>
          <w:b/>
          <w:sz w:val="28"/>
          <w:szCs w:val="28"/>
        </w:rPr>
      </w:r>
      <w:r/>
    </w:p>
    <w:p>
      <w:pPr>
        <w:ind w:firstLine="562"/>
        <w:jc w:val="left"/>
        <w:spacing w:line="360" w:lineRule="auto"/>
        <w:rPr>
          <w:rFonts w:ascii="Times New Roman" w:hAnsi="Times New Roman"/>
          <w:b/>
          <w:sz w:val="28"/>
          <w:szCs w:val="28"/>
        </w:rPr>
      </w:pPr>
      <w:r/>
      <w:bookmarkStart w:id="12" w:name="_Toc165205798"/>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2"/>
        <w:spacing w:line="360" w:lineRule="auto"/>
        <w:rPr>
          <w:rFonts w:hAnsi="宋体" w:cs="宋体"/>
          <w:b/>
          <w:bCs/>
          <w:i/>
          <w:iCs/>
          <w:sz w:val="24"/>
          <w:szCs w:val="24"/>
          <w:u w:val="single"/>
        </w:rPr>
      </w:pPr>
      <w:r>
        <w:rPr>
          <w:rFonts w:hint="eastAsia" w:hAnsi="宋体" w:cs="宋体"/>
          <w:b/>
          <w:bCs/>
          <w:i/>
          <w:iCs/>
          <w:sz w:val="24"/>
          <w:szCs w:val="24"/>
          <w:u w:val="single"/>
        </w:rPr>
        <w:t xml:space="preserve">1、交货期：合同签订后80天内完成安装调试，达到预期效果。</w:t>
      </w:r>
      <w:r/>
    </w:p>
    <w:p>
      <w:pPr>
        <w:ind w:firstLine="482"/>
        <w:spacing w:line="360" w:lineRule="auto"/>
        <w:rPr>
          <w:rFonts w:hAnsi="宋体" w:cs="宋体"/>
          <w:sz w:val="24"/>
          <w:szCs w:val="24"/>
        </w:rPr>
      </w:pPr>
      <w:r>
        <w:rPr>
          <w:rFonts w:hint="eastAsia" w:hAnsi="宋体" w:cs="宋体"/>
          <w:sz w:val="24"/>
          <w:szCs w:val="24"/>
        </w:rPr>
        <w:t xml:space="preserve">2、交货方式：现场交货安装。</w:t>
      </w:r>
      <w:r/>
    </w:p>
    <w:p>
      <w:pPr>
        <w:ind w:firstLine="482"/>
        <w:spacing w:line="360" w:lineRule="auto"/>
        <w:rPr>
          <w:rFonts w:hAnsi="宋体" w:cs="宋体"/>
          <w:sz w:val="24"/>
          <w:szCs w:val="24"/>
        </w:rPr>
      </w:pPr>
      <w:r>
        <w:rPr>
          <w:rFonts w:hint="eastAsia" w:hAnsi="宋体" w:cs="宋体"/>
          <w:sz w:val="24"/>
          <w:szCs w:val="24"/>
        </w:rPr>
        <w:t xml:space="preserve">3、交货地点：由采购方指定交货地点。</w:t>
      </w:r>
      <w:r/>
    </w:p>
    <w:p>
      <w:p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w:t>
      </w:r>
      <w:r>
        <w:rPr>
          <w:rFonts w:hint="eastAsia" w:ascii="Times New Roman" w:hAnsi="Times New Roman" w:eastAsia="宋体" w:cs="Times New Roman"/>
          <w:b/>
          <w:sz w:val="28"/>
          <w:szCs w:val="28"/>
          <w:lang w:val="en-US" w:eastAsia="zh-CN"/>
        </w:rPr>
        <w:t xml:space="preserve">项目实施要求</w:t>
      </w:r>
      <w:r/>
    </w:p>
    <w:p>
      <w:pPr>
        <w:ind w:firstLine="562"/>
        <w:jc w:val="left"/>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设备基础拆除及修复</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拆除三楼</w:t>
      </w:r>
      <w:r>
        <w:rPr>
          <w:rFonts w:hint="eastAsia" w:ascii="Times New Roman" w:hAnsi="Times New Roman" w:eastAsia="宋体" w:cs="Times New Roman"/>
          <w:color w:val="000000"/>
          <w:sz w:val="24"/>
          <w:szCs w:val="24"/>
          <w:lang w:val="en-US" w:eastAsia="zh-CN"/>
        </w:rPr>
        <w:t xml:space="preserve">原有</w:t>
      </w:r>
      <w:r>
        <w:rPr>
          <w:rFonts w:hint="eastAsia" w:ascii="Times New Roman" w:hAnsi="Times New Roman" w:eastAsia="宋体" w:cs="Times New Roman"/>
          <w:color w:val="000000"/>
          <w:sz w:val="24"/>
          <w:szCs w:val="24"/>
        </w:rPr>
        <w:t xml:space="preserve">废旧气管、风管、电器、碳钢隔断、铝合金玻璃隔断、轻钢龙骨隔墙（运输至一楼指定仓储区域）；修补破损墙地面，设备平台基础安装。</w:t>
      </w:r>
      <w:r/>
    </w:p>
    <w:p>
      <w:pPr>
        <w:ind w:firstLine="562"/>
        <w:jc w:val="left"/>
        <w:spacing w:line="36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中标单位应按投标文件响应的货物性能、技术要求、质量标准向采购方提供未经使用的全新产品，负责将产品运抵使用单位指定地点，按照现场现有安装条件保障产品安装到位并交付使用（包括且不限于涉及部分现场准备事项）。安装后现场测试，完成旧设备的拆除与场地的配套改造，确保“数智焊接研训中心” 项目如期满足正常教学与比赛使用，使用单位验收签字确认。</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六、人员配备要求</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拟派项目团队人员中具有焊工、电工、钳工等相关专业人员</w:t>
      </w:r>
      <w:r>
        <w:rPr>
          <w:rFonts w:ascii="Times New Roman" w:hAnsi="Times New Roman"/>
          <w:color w:val="000000"/>
          <w:sz w:val="24"/>
          <w:szCs w:val="24"/>
        </w:rPr>
        <w:t xml:space="preserve">。所有人员</w:t>
      </w:r>
      <w:r>
        <w:rPr>
          <w:rFonts w:hint="eastAsia" w:ascii="Times New Roman" w:hAnsi="Times New Roman"/>
          <w:color w:val="000000"/>
          <w:sz w:val="24"/>
          <w:szCs w:val="24"/>
        </w:rPr>
        <w:t xml:space="preserve">证书</w:t>
      </w:r>
      <w:r>
        <w:rPr>
          <w:rFonts w:ascii="Times New Roman" w:hAnsi="Times New Roman"/>
          <w:color w:val="000000"/>
          <w:sz w:val="24"/>
          <w:szCs w:val="24"/>
        </w:rPr>
        <w:t xml:space="preserve">进场前提交采购人核验，无证人员不得进场施工。</w:t>
      </w:r>
      <w:r/>
    </w:p>
    <w:p>
      <w:pPr>
        <w:numPr>
          <w:ilvl w:val="0"/>
          <w:numId w:val="9"/>
        </w:numPr>
        <w:ind w:firstLine="482"/>
        <w:spacing w:line="360" w:lineRule="auto"/>
        <w:rPr>
          <w:rFonts w:ascii="Times New Roman" w:hAnsi="Times New Roman"/>
          <w:b/>
          <w:color w:val="000000" w:themeColor="text1"/>
          <w:sz w:val="28"/>
          <w:szCs w:val="28"/>
          <w14:textFill>
            <w14:solidFill>
              <w14:schemeClr w14:val="tx1"/>
            </w14:solidFill>
          </w14:textFill>
        </w:rPr>
      </w:pPr>
      <w:r>
        <w:rPr>
          <w:rFonts w:hint="eastAsia" w:ascii="Times New Roman" w:hAnsi="Times New Roman"/>
          <w:b/>
          <w:color w:val="000000" w:themeColor="text1"/>
          <w:sz w:val="28"/>
          <w:szCs w:val="28"/>
          <w14:textFill>
            <w14:solidFill>
              <w14:schemeClr w14:val="tx1"/>
            </w14:solidFill>
          </w14:textFill>
        </w:rPr>
        <w:t xml:space="preserve">履约验收要求</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1.中标人应在完成供货后提供一份货物清单作为采购人验收的依据；</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2.设备到达采购人现场前，应提前通知采购人做好接收准备，设备到达现场后由采购人会同有关单位和人员根据清单进行现场商检和验收；</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3.货物安装调试完成后，中标人须提供产品合格证、主要货物厂家质保书、保修证明等书面资料，并报请采购方进行检测验收。</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4.具备以下条件，方可通过验收：</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（1）经验收，设备及系统的各类性能及指标完全符合招标文件的技术要求、用途及功能需求。</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（2）合同规定的技术文件，除竣工验收文件外，其它已经如数提交给采购人。</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（3）合同规定由中标供应商提供的技术服务已经实现。</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（4）采购方、中标人双方共同组织或委托第三方来确认是否达到验收标准（验收大纲及验收标准由双方协商决定），若符合验收标准则验收合格。</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5.项目验收前中标方承担所有货物的保管责任；</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6.出具验收报告；</w:t>
      </w:r>
      <w:r/>
    </w:p>
    <w:p>
      <w:pPr>
        <w:ind w:firstLine="562"/>
        <w:jc w:val="left"/>
        <w:spacing w:line="360" w:lineRule="auto"/>
        <w:rPr>
          <w:rFonts w:ascii="Times New Roman" w:hAnsi="Times New Roman"/>
          <w:bCs/>
          <w:sz w:val="24"/>
          <w:szCs w:val="24"/>
        </w:rPr>
      </w:pPr>
      <w:r>
        <w:rPr>
          <w:rFonts w:hint="eastAsia" w:ascii="Times New Roman" w:hAnsi="Times New Roman"/>
          <w:bCs/>
          <w:sz w:val="24"/>
          <w:szCs w:val="24"/>
        </w:rPr>
        <w:t xml:space="preserve">7.本项目建成后需满足承办省级职业院校技能大赛赛点要求。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八、售后服务要求</w:t>
      </w:r>
      <w:r/>
    </w:p>
    <w:p>
      <w:pPr>
        <w:ind w:firstLine="480"/>
        <w:jc w:val="left"/>
        <w:spacing w:line="360" w:lineRule="auto"/>
        <w:rPr>
          <w:rFonts w:ascii="宋体" w:hAnsi="宋体"/>
          <w:b/>
          <w:bCs/>
          <w:sz w:val="24"/>
          <w:szCs w:val="24"/>
        </w:rPr>
      </w:pPr>
      <w:r>
        <w:rPr>
          <w:rFonts w:hint="eastAsia" w:ascii="宋体" w:hAnsi="宋体"/>
          <w:b/>
          <w:bCs/>
          <w:sz w:val="24"/>
          <w:szCs w:val="24"/>
        </w:rPr>
        <w:t xml:space="preserve">质保期 1年。</w:t>
      </w:r>
      <w:r/>
    </w:p>
    <w:p>
      <w:pPr>
        <w:ind w:firstLine="480"/>
        <w:jc w:val="left"/>
        <w:spacing w:line="360" w:lineRule="auto"/>
        <w:rPr>
          <w:rFonts w:ascii="宋体" w:hAnsi="宋体"/>
          <w:sz w:val="24"/>
          <w:szCs w:val="24"/>
        </w:rPr>
      </w:pPr>
      <w:r>
        <w:rPr>
          <w:rFonts w:hint="eastAsia" w:ascii="宋体" w:hAnsi="宋体"/>
          <w:sz w:val="24"/>
          <w:szCs w:val="24"/>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Pr>
      <w:r>
        <w:rPr>
          <w:rFonts w:hint="eastAsia" w:ascii="宋体" w:hAnsi="宋体"/>
          <w:sz w:val="24"/>
          <w:szCs w:val="24"/>
        </w:rPr>
        <w:t xml:space="preserve">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Pr>
      <w:r>
        <w:rPr>
          <w:rFonts w:hint="eastAsia" w:ascii="宋体" w:hAnsi="宋体"/>
          <w:sz w:val="24"/>
          <w:szCs w:val="24"/>
        </w:rPr>
        <w:t xml:space="preserve">承担质保期内的全部技术责任。</w:t>
      </w:r>
      <w:r/>
    </w:p>
    <w:p>
      <w:pPr>
        <w:ind w:firstLine="480"/>
        <w:jc w:val="left"/>
        <w:spacing w:line="360" w:lineRule="auto"/>
        <w:rPr>
          <w:rFonts w:ascii="宋体" w:hAnsi="宋体"/>
          <w:sz w:val="24"/>
          <w:szCs w:val="24"/>
        </w:rPr>
      </w:pPr>
      <w:r>
        <w:rPr>
          <w:rFonts w:hint="eastAsia" w:ascii="宋体" w:hAnsi="宋体"/>
          <w:sz w:val="24"/>
          <w:szCs w:val="24"/>
        </w:rPr>
        <w:t xml:space="preserve">质保期内，定期对所供产品进行巡检，对巡检中发现的潜在隐患提出改正建议，及时通知采购人。</w:t>
      </w:r>
      <w:r/>
    </w:p>
    <w:p>
      <w:pPr>
        <w:ind w:firstLine="480"/>
        <w:jc w:val="left"/>
        <w:spacing w:line="360" w:lineRule="auto"/>
        <w:rPr>
          <w:rFonts w:ascii="宋体" w:hAnsi="宋体"/>
          <w:sz w:val="24"/>
          <w:szCs w:val="24"/>
        </w:rPr>
      </w:pPr>
      <w:r>
        <w:rPr>
          <w:rFonts w:hint="eastAsia" w:ascii="宋体" w:hAnsi="宋体"/>
          <w:sz w:val="24"/>
          <w:szCs w:val="24"/>
        </w:rPr>
        <w:t xml:space="preserve">质保期内，发现由于材料、设备或工艺不良造成设备故障时，应研究其故障原因，并迅速修复或免费进行更换。</w:t>
      </w:r>
      <w:r/>
    </w:p>
    <w:p>
      <w:pPr>
        <w:ind w:firstLine="562"/>
        <w:jc w:val="left"/>
        <w:spacing w:line="360" w:lineRule="auto"/>
        <w:rPr>
          <w:rFonts w:ascii="宋体" w:hAnsi="宋体"/>
          <w:sz w:val="24"/>
          <w:szCs w:val="24"/>
        </w:rPr>
      </w:pPr>
      <w:r>
        <w:rPr>
          <w:rFonts w:hint="eastAsia" w:ascii="宋体" w:hAnsi="宋体"/>
          <w:sz w:val="24"/>
          <w:szCs w:val="24"/>
        </w:rPr>
        <w:t xml:space="preserve">维修后，如果设备配置与初始状态不一致时(如升级或改版)，应附上相应的配置说明。</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九、培训要求</w:t>
      </w:r>
      <w:r/>
    </w:p>
    <w:p>
      <w:pPr>
        <w:jc w:val="left"/>
        <w:spacing w:line="360" w:lineRule="auto"/>
        <w:rPr>
          <w:rFonts w:ascii="Times New Roman" w:hAnsi="Times New Roman"/>
          <w:b/>
          <w:sz w:val="28"/>
          <w:szCs w:val="28"/>
        </w:rPr>
      </w:pPr>
      <w:r>
        <w:rPr>
          <w:rFonts w:hint="eastAsia" w:ascii="Times New Roman" w:hAnsi="Times New Roman"/>
          <w:b/>
          <w:sz w:val="28"/>
          <w:szCs w:val="28"/>
        </w:rPr>
        <w:t xml:space="preserve">   </w:t>
      </w:r>
      <w:r>
        <w:rPr>
          <w:rFonts w:hint="eastAsia" w:ascii="Times New Roman" w:hAnsi="Times New Roman"/>
          <w:bCs/>
          <w:sz w:val="28"/>
          <w:szCs w:val="28"/>
        </w:rPr>
        <w:t xml:space="preserve"> </w:t>
      </w:r>
      <w:r>
        <w:rPr>
          <w:rFonts w:hint="eastAsia" w:ascii="Times New Roman" w:hAnsi="Times New Roman"/>
          <w:bCs/>
          <w:sz w:val="24"/>
          <w:szCs w:val="24"/>
        </w:rPr>
        <w:t xml:space="preserve">中标人需对本项目所提供设备进行全面必要的使用培训，并拓展但不仅限于日常研训、赛事支持、专业技术交流等。</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十、付款方式与履约保证金</w:t>
      </w:r>
      <w:r/>
    </w:p>
    <w:p>
      <w:pPr>
        <w:ind w:firstLine="482"/>
        <w:spacing w:line="360" w:lineRule="auto"/>
        <w:rPr>
          <w:rFonts w:hAnsi="宋体" w:cs="宋体"/>
          <w:b/>
          <w:bCs/>
          <w:i/>
          <w:iCs/>
          <w:sz w:val="24"/>
          <w:szCs w:val="24"/>
          <w:u w:val="single"/>
        </w:rPr>
      </w:pPr>
      <w:r/>
      <w:bookmarkStart w:id="29" w:name="_GoBack"/>
      <w:r>
        <w:rPr>
          <w:rFonts w:hint="eastAsia" w:hAnsi="宋体" w:cs="宋体"/>
          <w:b/>
          <w:bCs/>
          <w:i/>
          <w:iCs/>
          <w:sz w:val="24"/>
          <w:szCs w:val="24"/>
          <w:u w:val="single"/>
        </w:rPr>
        <w:t xml:space="preserve">付款方式：合同签订后预付合同总价的30%合同生效；设备安装调试完毕并经采购人验收合格后一次性支付至合同总价的100%。</w:t>
      </w:r>
      <w:bookmarkEnd w:id="29"/>
      <w:r/>
      <w:r/>
    </w:p>
    <w:p>
      <w:pPr>
        <w:ind w:firstLine="482"/>
        <w:spacing w:line="360" w:lineRule="auto"/>
        <w:rPr>
          <w:rFonts w:hAnsi="宋体" w:cs="宋体"/>
          <w:sz w:val="24"/>
          <w:szCs w:val="24"/>
        </w:rPr>
      </w:pPr>
      <w:r>
        <w:rPr>
          <w:rFonts w:hint="eastAsia" w:hAnsi="宋体" w:cs="宋体"/>
          <w:sz w:val="24"/>
          <w:szCs w:val="24"/>
        </w:rPr>
        <w:t xml:space="preserve">2、履约保证金；本项目不收取履约保证金。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十一、商品包装要求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十二、报价要求</w:t>
      </w:r>
      <w:r/>
    </w:p>
    <w:p>
      <w:pPr>
        <w:ind w:firstLine="480"/>
        <w:spacing w:line="360" w:lineRule="auto"/>
        <w:rPr>
          <w:rFonts w:ascii="宋体" w:hAnsi="宋体"/>
          <w:sz w:val="24"/>
          <w:szCs w:val="24"/>
        </w:rP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2、特别提醒供应商：应根据国家收费标准并结合市场实际进行报价，总价包干。</w:t>
      </w:r>
      <w:r/>
    </w:p>
    <w:p>
      <w:pPr>
        <w:ind w:firstLine="480"/>
        <w:jc w:val="left"/>
        <w:spacing w:line="360" w:lineRule="auto"/>
        <w:rPr>
          <w:rFonts w:ascii="宋体" w:hAnsi="宋体"/>
          <w:sz w:val="24"/>
          <w:szCs w:val="24"/>
        </w:rP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十三、现场勘察</w:t>
      </w:r>
      <w:r/>
    </w:p>
    <w:p>
      <w:pPr>
        <w:ind w:firstLine="480"/>
        <w:jc w:val="left"/>
        <w:spacing w:line="360" w:lineRule="auto"/>
        <w:rPr>
          <w:rFonts w:ascii="宋体" w:hAnsi="宋体"/>
          <w:sz w:val="24"/>
          <w:szCs w:val="24"/>
        </w:rPr>
      </w:pPr>
      <w:r>
        <w:rPr>
          <w:rFonts w:hint="eastAsia" w:ascii="宋体" w:hAnsi="宋体"/>
          <w:sz w:val="24"/>
          <w:szCs w:val="24"/>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hint="eastAsia" w:ascii="宋体" w:hAnsi="宋体"/>
          <w:sz w:val="24"/>
          <w:szCs w:val="24"/>
        </w:rPr>
      </w:pPr>
      <w:r>
        <w:rPr>
          <w:rFonts w:hint="eastAsia" w:ascii="宋体" w:hAnsi="宋体"/>
          <w:sz w:val="24"/>
          <w:szCs w:val="24"/>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rPr>
        <w:t xml:space="preserve">现场考察时间：</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9 </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24 </w:t>
      </w:r>
      <w:r>
        <w:rPr>
          <w:rFonts w:hint="eastAsia" w:ascii="宋体" w:hAnsi="宋体"/>
          <w:color w:val="auto"/>
          <w:sz w:val="24"/>
          <w:highlight w:val="none"/>
        </w:rPr>
        <w:t xml:space="preserve">日 上午9:30-11:30 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hint="default" w:ascii="宋体" w:hAnsi="宋体" w:eastAsia="宋体"/>
          <w:sz w:val="24"/>
          <w:szCs w:val="24"/>
          <w:highlight w:val="none"/>
          <w:lang w:val="en-US" w:eastAsia="zh-CN"/>
        </w:rPr>
      </w:pPr>
      <w:r>
        <w:rPr>
          <w:rFonts w:hint="eastAsia" w:ascii="宋体" w:hAnsi="宋体"/>
          <w:color w:val="auto"/>
          <w:sz w:val="24"/>
          <w:highlight w:val="none"/>
        </w:rPr>
        <w:t xml:space="preserve">考察联系人：徐主任      联系电话：0518-85899</w:t>
      </w:r>
      <w:r>
        <w:rPr>
          <w:rFonts w:hint="eastAsia" w:ascii="宋体" w:hAnsi="宋体"/>
          <w:color w:val="auto"/>
          <w:sz w:val="24"/>
          <w:highlight w:val="none"/>
          <w:lang w:val="en-US" w:eastAsia="zh-CN"/>
        </w:rPr>
        <w:t xml:space="preserve">171</w:t>
      </w:r>
      <w:r/>
    </w:p>
    <w:p>
      <w:pPr>
        <w:ind w:firstLine="480"/>
        <w:jc w:val="left"/>
        <w:spacing w:line="360" w:lineRule="auto"/>
        <w:rPr>
          <w:rFonts w:ascii="宋体" w:hAnsi="宋体"/>
          <w:sz w:val="24"/>
          <w:szCs w:val="24"/>
        </w:rPr>
      </w:pPr>
      <w:r>
        <w:rPr>
          <w:rFonts w:hint="eastAsia" w:ascii="宋体" w:hAnsi="宋体"/>
          <w:sz w:val="24"/>
          <w:szCs w:val="24"/>
        </w:rPr>
        <w:t xml:space="preserve">考察请提前联系，预约时间，考察时需携带授权委托书和有效身份证件，现场考察费用由投标人自行承担。</w:t>
      </w:r>
      <w:r/>
    </w:p>
    <w:p>
      <w:pPr>
        <w:ind w:firstLine="480"/>
        <w:jc w:val="left"/>
        <w:spacing w:line="360" w:lineRule="auto"/>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4"/>
          <w:szCs w:val="24"/>
        </w:rPr>
      </w:r>
      <w:r/>
    </w:p>
    <w:p>
      <w:r/>
      <w:r/>
    </w:p>
    <w:p>
      <w:pPr>
        <w:pStyle w:val="1030"/>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2"/>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评标结果按评审后得分由高到低顺序排列。得分相同的，按投标报价由低到高顺序排列。得分且投标报价相同的并列。评标委员会按照评审得分由高到低顺序推荐1名中标候选人。</w:t>
      </w:r>
      <w:r/>
    </w:p>
    <w:p>
      <w:pPr>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（2）商务分（46分）</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技术性能参数（30分）</w:t>
            </w:r>
            <w:r/>
          </w:p>
        </w:tc>
        <w:tc>
          <w:tcPr>
            <w:tcW w:w="6845" w:type="dxa"/>
            <w:vAlign w:val="center"/>
            <w:textDirection w:val="lrTb"/>
            <w:noWrap w:val="false"/>
          </w:tcPr>
          <w:p>
            <w:pPr>
              <w:pStyle w:val="857"/>
              <w:rPr>
                <w:rFonts w:ascii="宋体" w:hAnsi="宋体" w:cs="宋体"/>
                <w:sz w:val="24"/>
                <w:szCs w:val="24"/>
              </w:rPr>
            </w:pPr>
            <w:r>
              <w:rPr>
                <w:rFonts w:hint="eastAsia" w:ascii="宋体" w:hAnsi="宋体" w:cs="宋体"/>
                <w:sz w:val="24"/>
                <w:szCs w:val="24"/>
              </w:rPr>
              <w:t xml:space="preserve">产品技术参数基准分30分，标有“▲”的参数每有一项负偏离或未响应扣1分，其他参数，负偏离或未响应每条扣0.5分，扣完为止。</w:t>
            </w:r>
            <w:r/>
          </w:p>
          <w:p>
            <w:pPr>
              <w:jc w:val="left"/>
              <w:rPr>
                <w:rFonts w:ascii="宋体" w:hAnsi="宋体" w:cs="宋体"/>
                <w:sz w:val="24"/>
                <w:szCs w:val="24"/>
              </w:rPr>
            </w:pPr>
            <w:r>
              <w:rPr>
                <w:rFonts w:hint="eastAsia" w:ascii="宋体" w:hAnsi="宋体" w:cs="宋体"/>
                <w:b/>
                <w:bCs/>
                <w:color w:val="000000"/>
                <w:sz w:val="24"/>
                <w:szCs w:val="24"/>
              </w:rPr>
              <w:t xml:space="preserve">（1.投标文件中详细填写技术要求响应及偏离表，须逐条响应。标注“▲”项要求提供材料的未提供、或提供不全、或所提供材料与招标文件要求不符的视为负偏离。投标人可在投标文件中标明证明材料添加说明，以便评审。2.投标人提供的检测报告或说明书与技术参数及功能指标与招标文件要求表述不完全一致，功能相近的，由评标专家组认定）</w:t>
            </w:r>
            <w:r/>
          </w:p>
        </w:tc>
      </w:tr>
      <w:tr>
        <w:trPr>
          <w:jc w:val="center"/>
          <w:trHeight w:val="621"/>
        </w:trPr>
        <w:tc>
          <w:tcPr>
            <w:tcW w:w="16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业绩</w:t>
            </w:r>
            <w:r/>
          </w:p>
          <w:p>
            <w:pPr>
              <w:jc w:val="center"/>
              <w:rPr>
                <w:rFonts w:ascii="宋体" w:hAnsi="宋体"/>
                <w:bCs/>
                <w:color w:val="000000"/>
                <w:sz w:val="24"/>
                <w:szCs w:val="24"/>
              </w:rPr>
            </w:pPr>
            <w:r>
              <w:rPr>
                <w:rFonts w:hint="eastAsia" w:ascii="宋体" w:hAnsi="宋体" w:cs="宋体"/>
                <w:color w:val="000000"/>
                <w:sz w:val="24"/>
                <w:szCs w:val="24"/>
              </w:rPr>
              <w:t xml:space="preserve">（6分）</w:t>
            </w:r>
            <w:r/>
          </w:p>
        </w:tc>
        <w:tc>
          <w:tcPr>
            <w:tcW w:w="6845" w:type="dxa"/>
            <w:textDirection w:val="lrTb"/>
            <w:noWrap w:val="false"/>
          </w:tcPr>
          <w:p>
            <w:pPr>
              <w:jc w:val="left"/>
              <w:widowControl/>
              <w:rPr>
                <w:rFonts w:ascii="宋体" w:hAnsi="宋体" w:cs="宋体"/>
                <w:color w:val="000000"/>
                <w:sz w:val="24"/>
                <w:szCs w:val="24"/>
              </w:rPr>
            </w:pPr>
            <w:r/>
            <w:bookmarkStart w:id="13" w:name="OLE_LINK4"/>
            <w:r>
              <w:rPr>
                <w:rFonts w:hint="eastAsia" w:ascii="宋体" w:hAnsi="宋体" w:cs="宋体"/>
                <w:color w:val="000000"/>
                <w:sz w:val="24"/>
                <w:szCs w:val="24"/>
              </w:rPr>
              <w:t xml:space="preserve">自2023年1月1日以来，具有类似项目业绩，每有一个得3分，最高得6分。</w:t>
            </w:r>
            <w:r/>
          </w:p>
          <w:p>
            <w:pPr>
              <w:jc w:val="left"/>
              <w:rPr>
                <w:rFonts w:ascii="宋体" w:hAnsi="宋体" w:cs="宋体"/>
                <w:color w:val="000000"/>
                <w:sz w:val="24"/>
                <w:szCs w:val="24"/>
              </w:rPr>
            </w:pPr>
            <w:r>
              <w:rPr>
                <w:rFonts w:hint="eastAsia" w:ascii="宋体" w:hAnsi="宋体" w:cs="宋体"/>
                <w:b/>
                <w:bCs/>
                <w:color w:val="000000"/>
                <w:sz w:val="24"/>
                <w:szCs w:val="24"/>
              </w:rPr>
              <w:t xml:space="preserve">（投标文件中提供合同扫描件</w:t>
            </w:r>
            <w:bookmarkStart w:id="14" w:name="OLE_LINK1"/>
            <w:r>
              <w:rPr>
                <w:rFonts w:hint="eastAsia" w:ascii="宋体" w:hAnsi="宋体" w:cs="宋体"/>
                <w:b/>
                <w:bCs/>
                <w:color w:val="000000"/>
                <w:sz w:val="24"/>
                <w:szCs w:val="24"/>
              </w:rPr>
              <w:t xml:space="preserve">并加盖</w:t>
            </w:r>
            <w:bookmarkEnd w:id="14"/>
            <w:r>
              <w:rPr>
                <w:rFonts w:hint="eastAsia" w:ascii="宋体" w:hAnsi="宋体" w:cs="宋体"/>
                <w:b/>
                <w:bCs/>
                <w:color w:val="000000"/>
                <w:sz w:val="24"/>
                <w:szCs w:val="24"/>
              </w:rPr>
              <w:t xml:space="preserve">公章，未提供不得分。</w:t>
            </w:r>
            <w:r>
              <w:rPr>
                <w:rFonts w:hint="eastAsia" w:ascii="宋体" w:hAnsi="宋体" w:cs="宋体"/>
                <w:color w:val="000000"/>
                <w:sz w:val="24"/>
                <w:szCs w:val="24"/>
              </w:rPr>
              <w:t xml:space="preserve">）</w:t>
            </w:r>
            <w:bookmarkEnd w:id="13"/>
            <w:r/>
            <w:r/>
          </w:p>
        </w:tc>
      </w:tr>
      <w:tr>
        <w:trPr>
          <w:jc w:val="center"/>
          <w:trHeight w:val="621"/>
        </w:trPr>
        <w:tc>
          <w:tcPr>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项目组成员</w:t>
            </w:r>
            <w:r/>
          </w:p>
          <w:p>
            <w:pPr>
              <w:jc w:val="center"/>
              <w:rPr>
                <w:rFonts w:ascii="宋体" w:hAnsi="宋体" w:cs="宋体"/>
                <w:sz w:val="24"/>
                <w:szCs w:val="24"/>
              </w:rPr>
            </w:pPr>
            <w:r>
              <w:rPr>
                <w:rFonts w:hint="eastAsia" w:ascii="宋体" w:hAnsi="宋体" w:cs="宋体"/>
                <w:sz w:val="24"/>
                <w:szCs w:val="24"/>
              </w:rPr>
              <w:t xml:space="preserve">（6分）</w:t>
            </w:r>
            <w:r/>
          </w:p>
        </w:tc>
        <w:tc>
          <w:tcPr>
            <w:tcW w:w="6845" w:type="dxa"/>
            <w:textDirection w:val="lrTb"/>
            <w:noWrap w:val="false"/>
          </w:tcPr>
          <w:p>
            <w:pPr>
              <w:jc w:val="left"/>
              <w:rPr>
                <w:rFonts w:ascii="宋体" w:hAnsi="宋体" w:cs="宋体"/>
                <w:sz w:val="24"/>
                <w:szCs w:val="24"/>
              </w:rPr>
            </w:pPr>
            <w:r>
              <w:rPr>
                <w:rFonts w:hint="eastAsia" w:ascii="宋体" w:hAnsi="宋体" w:cs="宋体"/>
                <w:sz w:val="24"/>
                <w:szCs w:val="24"/>
              </w:rPr>
              <w:t xml:space="preserve">项目团队成员具有焊工、电工、钳工高级工及以上，每有一个得2分，中级工证书每有一个证书得1分，最高得6分。</w:t>
            </w:r>
            <w:r/>
          </w:p>
          <w:p>
            <w:pPr>
              <w:pStyle w:val="857"/>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pacing w:val="-2"/>
                <w:sz w:val="24"/>
                <w:szCs w:val="24"/>
              </w:rPr>
              <w:t xml:space="preserve">投标文件中须提供有效证书扫描件、项目团队成员</w:t>
            </w:r>
            <w:r>
              <w:rPr>
                <w:rFonts w:hint="eastAsia"/>
                <w:b/>
                <w:sz w:val="24"/>
                <w:szCs w:val="24"/>
              </w:rPr>
              <w:t xml:space="preserve">2026年03月至今任意一个月</w:t>
            </w:r>
            <w:r>
              <w:rPr>
                <w:rFonts w:hint="eastAsia" w:ascii="宋体" w:hAnsi="宋体" w:cs="宋体"/>
                <w:b/>
                <w:color w:val="000000"/>
                <w:spacing w:val="-2"/>
                <w:sz w:val="24"/>
                <w:szCs w:val="24"/>
              </w:rPr>
              <w:t xml:space="preserve">由投标人为其缴纳的社保证明材料</w:t>
            </w:r>
            <w:r>
              <w:rPr>
                <w:rFonts w:hint="eastAsia" w:ascii="宋体" w:hAnsi="宋体" w:cs="宋体"/>
                <w:b/>
                <w:bCs/>
                <w:spacing w:val="-2"/>
                <w:sz w:val="24"/>
                <w:szCs w:val="24"/>
              </w:rPr>
              <w:t xml:space="preserve">或提供用工合同，加盖投标人公章，否则不得分。项目团队成员与现场安装人员需保持一致</w:t>
            </w:r>
            <w:r>
              <w:rPr>
                <w:rFonts w:hint="eastAsia" w:ascii="宋体" w:hAnsi="宋体" w:cs="宋体"/>
                <w:sz w:val="24"/>
                <w:szCs w:val="24"/>
              </w:rPr>
              <w:t xml:space="preserve">）</w:t>
            </w:r>
            <w:r/>
          </w:p>
        </w:tc>
      </w:tr>
      <w:tr>
        <w:trPr>
          <w:jc w:val="center"/>
          <w:trHeight w:val="621"/>
        </w:trPr>
        <w:tc>
          <w:tcPr>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课程资源</w:t>
            </w:r>
            <w:r/>
          </w:p>
          <w:p>
            <w:pPr>
              <w:jc w:val="center"/>
              <w:rPr>
                <w:rFonts w:ascii="宋体" w:hAnsi="宋体" w:cs="宋体"/>
                <w:sz w:val="24"/>
                <w:szCs w:val="24"/>
              </w:rPr>
            </w:pPr>
            <w:r>
              <w:rPr>
                <w:rFonts w:hint="eastAsia" w:ascii="宋体" w:hAnsi="宋体" w:cs="宋体"/>
                <w:sz w:val="24"/>
                <w:szCs w:val="24"/>
              </w:rPr>
              <w:t xml:space="preserve">（4分）</w:t>
            </w:r>
            <w:r/>
          </w:p>
        </w:tc>
        <w:tc>
          <w:tcPr>
            <w:tcW w:w="6845" w:type="dxa"/>
            <w:textDirection w:val="lrTb"/>
            <w:noWrap w:val="false"/>
          </w:tcPr>
          <w:p>
            <w:pPr>
              <w:jc w:val="left"/>
              <w:rPr>
                <w:rFonts w:ascii="宋体" w:hAnsi="宋体" w:cs="宋体"/>
                <w:sz w:val="24"/>
                <w:szCs w:val="24"/>
              </w:rPr>
            </w:pPr>
            <w:r>
              <w:rPr>
                <w:rFonts w:hint="eastAsia" w:ascii="宋体" w:hAnsi="宋体" w:cs="宋体"/>
                <w:sz w:val="24"/>
                <w:szCs w:val="24"/>
              </w:rPr>
              <w:t xml:space="preserve">承诺中标后为学校建设配套焊接工学一体化课程资源，该课程资源须符合人力资源社会保障部《焊接加工专业国家技能人才培养工学一体化课程标准》要求，满分4分。</w:t>
            </w:r>
            <w:r/>
          </w:p>
          <w:p>
            <w:pPr>
              <w:jc w:val="left"/>
              <w:rPr>
                <w:rFonts w:ascii="宋体" w:hAnsi="宋体" w:cs="宋体"/>
                <w:sz w:val="24"/>
                <w:szCs w:val="24"/>
                <w:highlight w:val="yellow"/>
              </w:rPr>
            </w:pPr>
            <w:r>
              <w:rPr>
                <w:rFonts w:hint="eastAsia" w:ascii="宋体" w:hAnsi="宋体" w:cs="宋体"/>
                <w:b/>
                <w:bCs/>
                <w:spacing w:val="-2"/>
                <w:sz w:val="24"/>
                <w:szCs w:val="24"/>
              </w:rPr>
              <w:t xml:space="preserve">（投标文件提供承诺函并加盖投标人公章，</w:t>
            </w:r>
            <w:r>
              <w:rPr>
                <w:rFonts w:hint="eastAsia" w:ascii="宋体" w:hAnsi="宋体" w:cs="宋体"/>
                <w:b/>
                <w:bCs/>
                <w:sz w:val="24"/>
                <w:szCs w:val="24"/>
              </w:rPr>
              <w:t xml:space="preserve">否则不得分</w:t>
            </w:r>
            <w:r>
              <w:rPr>
                <w:rFonts w:hint="eastAsia" w:ascii="宋体" w:hAnsi="宋体" w:cs="宋体"/>
                <w:b/>
                <w:bCs/>
                <w:spacing w:val="-2"/>
                <w:sz w:val="24"/>
                <w:szCs w:val="24"/>
              </w:rPr>
              <w:t xml:space="preserve">）</w:t>
            </w:r>
            <w:r/>
          </w:p>
        </w:tc>
      </w:tr>
    </w:tbl>
    <w:p>
      <w:pPr>
        <w:ind w:firstLine="480"/>
        <w:jc w:val="left"/>
        <w:spacing w:line="500" w:lineRule="exact"/>
        <w:rPr>
          <w:sz w:val="24"/>
          <w:szCs w:val="24"/>
        </w:rPr>
      </w:pPr>
      <w:r>
        <w:rPr>
          <w:sz w:val="24"/>
          <w:szCs w:val="24"/>
        </w:rPr>
      </w:r>
      <w:r/>
    </w:p>
    <w:p>
      <w:pPr>
        <w:numPr>
          <w:ilvl w:val="0"/>
          <w:numId w:val="10"/>
        </w:numPr>
        <w:ind w:firstLine="480"/>
        <w:jc w:val="left"/>
        <w:spacing w:line="500" w:lineRule="exact"/>
        <w:rPr>
          <w:sz w:val="24"/>
          <w:szCs w:val="24"/>
        </w:rPr>
      </w:pPr>
      <w:r>
        <w:rPr>
          <w:rFonts w:hint="eastAsia"/>
          <w:sz w:val="24"/>
          <w:szCs w:val="24"/>
        </w:rPr>
        <w:t xml:space="preserve">技术分（24分）</w:t>
      </w:r>
      <w:r/>
    </w:p>
    <w:p>
      <w:pPr>
        <w:jc w:val="left"/>
        <w:spacing w:line="500" w:lineRule="exact"/>
        <w:rPr>
          <w:sz w:val="24"/>
          <w:szCs w:val="24"/>
        </w:rPr>
      </w:pPr>
      <w:r>
        <w:rPr>
          <w:rFonts w:hint="eastAsia"/>
          <w:sz w:val="24"/>
          <w:szCs w:val="24"/>
        </w:rPr>
        <w:t xml:space="preserve">   </w:t>
      </w:r>
      <w:r/>
    </w:p>
    <w:tbl>
      <w:tblPr>
        <w:tblStyle w:val="854"/>
        <w:tblpPr w:horzAnchor="page" w:tblpX="2160" w:vertAnchor="text" w:tblpY="86" w:leftFromText="180" w:topFromText="0" w:rightFromText="180" w:bottomFromText="0"/>
        <w:tblW w:w="8230" w:type="dxa"/>
        <w:tblInd w:w="0" w:type="dxa"/>
        <w:tblLayout w:type="fixed"/>
        <w:tblCellMar>
          <w:left w:w="108" w:type="dxa"/>
          <w:top w:w="0" w:type="dxa"/>
          <w:right w:w="108" w:type="dxa"/>
          <w:bottom w:w="0" w:type="dxa"/>
        </w:tblCellMar>
        <w:tblLook w:val="04A0" w:firstRow="1" w:lastRow="0" w:firstColumn="1" w:lastColumn="0" w:noHBand="0" w:noVBand="1"/>
      </w:tblPr>
      <w:tblGrid>
        <w:gridCol w:w="1330"/>
        <w:gridCol w:w="6900"/>
      </w:tblGrid>
      <w:tr>
        <w:trPr>
          <w:trHeight w:val="53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评审因素</w:t>
            </w:r>
            <w:r/>
          </w:p>
        </w:tc>
        <w:tc>
          <w:tcPr>
            <w:tcBorders>
              <w:top w:val="single" w:color="000000" w:sz="4" w:space="0"/>
              <w:left w:val="none" w:color="000000" w:sz="4" w:space="0"/>
              <w:bottom w:val="single" w:color="000000" w:sz="4" w:space="0"/>
              <w:right w:val="single" w:color="000000" w:sz="4" w:space="0"/>
            </w:tcBorders>
            <w:tcW w:w="690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 w:val="24"/>
                <w:szCs w:val="24"/>
              </w:rPr>
              <w:t xml:space="preserve">评审标准</w:t>
            </w:r>
            <w:r/>
          </w:p>
        </w:tc>
      </w:tr>
      <w:tr>
        <w:trPr>
          <w:trHeight w:val="53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实施方案</w:t>
            </w:r>
            <w:r/>
          </w:p>
          <w:p>
            <w:pPr>
              <w:jc w:val="center"/>
              <w:rPr>
                <w:rFonts w:ascii="宋体" w:hAnsi="宋体"/>
                <w:color w:val="000000"/>
                <w:sz w:val="24"/>
                <w:szCs w:val="24"/>
              </w:rPr>
            </w:pPr>
            <w:r>
              <w:rPr>
                <w:rFonts w:hint="eastAsia" w:ascii="宋体" w:hAnsi="宋体" w:cs="宋体"/>
                <w:b/>
                <w:bCs/>
                <w:sz w:val="24"/>
                <w:szCs w:val="24"/>
              </w:rPr>
              <w:t xml:space="preserve">6分</w:t>
            </w:r>
            <w:r/>
          </w:p>
        </w:tc>
        <w:tc>
          <w:tcPr>
            <w:tcBorders>
              <w:top w:val="single" w:color="000000" w:sz="4" w:space="0"/>
              <w:left w:val="none" w:color="000000" w:sz="4" w:space="0"/>
              <w:bottom w:val="single" w:color="000000" w:sz="4" w:space="0"/>
              <w:right w:val="single" w:color="000000" w:sz="4" w:space="0"/>
            </w:tcBorders>
            <w:tcW w:w="6900" w:type="dxa"/>
            <w:textDirection w:val="lrTb"/>
            <w:noWrap w:val="false"/>
          </w:tcPr>
          <w:p>
            <w:pPr>
              <w:jc w:val="left"/>
              <w:rPr>
                <w:rFonts w:ascii="宋体" w:hAnsi="宋体" w:cs="宋体"/>
                <w:sz w:val="24"/>
                <w:szCs w:val="24"/>
              </w:rPr>
            </w:pPr>
            <w:r>
              <w:rPr>
                <w:rFonts w:hint="eastAsia" w:ascii="宋体" w:hAnsi="宋体" w:cs="宋体"/>
                <w:sz w:val="24"/>
                <w:szCs w:val="24"/>
              </w:rPr>
              <w:t xml:space="preserve">根据投标人对本项目的组织和实施方案进行评分，方案包括但不限于组织和实施方案的合理性、完善程度、设备安装方案、进度计划、质量保证措施、紧急预案等内容：</w:t>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方案包含上述全部内容、描述合理详细、项目理解透彻、设计合理、可操作性强、能够满足本项目需求的得6分；</w:t>
            </w:r>
            <w:r/>
          </w:p>
          <w:p>
            <w:pPr>
              <w:jc w:val="left"/>
              <w:rPr>
                <w:rFonts w:ascii="宋体" w:hAnsi="宋体" w:cs="宋体"/>
                <w:sz w:val="24"/>
                <w:szCs w:val="24"/>
              </w:rPr>
            </w:pPr>
            <w:r>
              <w:rPr>
                <w:rFonts w:hint="eastAsia" w:ascii="宋体" w:hAnsi="宋体" w:cs="宋体"/>
                <w:sz w:val="24"/>
                <w:szCs w:val="24"/>
              </w:rPr>
              <w:t xml:space="preserve">方案包含上述全部内容、描述较详细、项目理解较透彻、设计较合理、可操作性较强、较能够满足本项目需求的得4分；</w:t>
            </w:r>
            <w:r/>
          </w:p>
          <w:p>
            <w:pPr>
              <w:jc w:val="left"/>
              <w:rPr>
                <w:rFonts w:ascii="宋体" w:hAnsi="宋体" w:cs="宋体"/>
                <w:sz w:val="24"/>
                <w:szCs w:val="24"/>
              </w:rPr>
            </w:pPr>
            <w:r>
              <w:rPr>
                <w:rFonts w:hint="eastAsia" w:ascii="宋体" w:hAnsi="宋体" w:cs="宋体"/>
                <w:sz w:val="24"/>
                <w:szCs w:val="24"/>
              </w:rPr>
              <w:t xml:space="preserve">方案有少量缺项、描述不够详细、项目理解一般、设计合理性一般、可操作性不强、不太能够满足本项目需求的得2分；</w:t>
            </w:r>
            <w:r/>
          </w:p>
          <w:p>
            <w:pPr>
              <w:jc w:val="left"/>
              <w:rPr>
                <w:rFonts w:ascii="宋体" w:hAnsi="宋体" w:cs="宋体"/>
                <w:sz w:val="24"/>
                <w:szCs w:val="24"/>
              </w:rPr>
            </w:pPr>
            <w:r>
              <w:rPr>
                <w:rFonts w:hint="eastAsia" w:ascii="宋体" w:hAnsi="宋体" w:cs="宋体"/>
                <w:b/>
                <w:bCs/>
                <w:sz w:val="24"/>
                <w:szCs w:val="24"/>
              </w:rPr>
              <w:t xml:space="preserve">该项未见阐述不得分。</w:t>
            </w:r>
            <w:r/>
          </w:p>
        </w:tc>
      </w:tr>
      <w:tr>
        <w:trPr>
          <w:trHeight w:val="53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培训方案</w:t>
            </w:r>
            <w:r/>
          </w:p>
          <w:p>
            <w:pPr>
              <w:jc w:val="center"/>
              <w:rPr>
                <w:rFonts w:ascii="宋体" w:hAnsi="宋体"/>
                <w:color w:val="000000"/>
                <w:sz w:val="24"/>
                <w:szCs w:val="24"/>
              </w:rPr>
            </w:pPr>
            <w:r>
              <w:rPr>
                <w:rFonts w:hint="eastAsia" w:ascii="宋体" w:hAnsi="宋体" w:cs="宋体"/>
                <w:b/>
                <w:bCs/>
                <w:sz w:val="24"/>
                <w:szCs w:val="24"/>
              </w:rPr>
              <w:t xml:space="preserve">6分</w:t>
            </w:r>
            <w:r/>
          </w:p>
        </w:tc>
        <w:tc>
          <w:tcPr>
            <w:tcBorders>
              <w:top w:val="single" w:color="000000" w:sz="4" w:space="0"/>
              <w:left w:val="none" w:color="000000" w:sz="4" w:space="0"/>
              <w:bottom w:val="single" w:color="000000" w:sz="4" w:space="0"/>
              <w:right w:val="single" w:color="000000" w:sz="4" w:space="0"/>
            </w:tcBorders>
            <w:tcW w:w="6900" w:type="dxa"/>
            <w:textDirection w:val="lrTb"/>
            <w:noWrap w:val="false"/>
          </w:tcPr>
          <w:p>
            <w:pPr>
              <w:jc w:val="left"/>
              <w:rPr>
                <w:rFonts w:ascii="宋体" w:hAnsi="宋体" w:cs="宋体"/>
                <w:sz w:val="24"/>
                <w:szCs w:val="24"/>
              </w:rPr>
            </w:pPr>
            <w:r>
              <w:rPr>
                <w:rFonts w:hint="eastAsia" w:ascii="宋体" w:hAnsi="宋体" w:cs="宋体"/>
                <w:sz w:val="24"/>
                <w:szCs w:val="24"/>
              </w:rPr>
              <w:t xml:space="preserve">根据投标人培训方案是否完善合理,是否符合采购人实际需求,方案包括但不限于培训方式、培训内容及学时安排、针对比赛的培训重点、培训考核要点等内容：</w:t>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内容完善合理，符合采购需求，可操作性强，有专业人员进行现场培训的得6分；</w:t>
            </w:r>
            <w:r/>
          </w:p>
          <w:p>
            <w:pPr>
              <w:jc w:val="left"/>
              <w:rPr>
                <w:rFonts w:ascii="宋体" w:hAnsi="宋体" w:cs="宋体"/>
                <w:sz w:val="24"/>
                <w:szCs w:val="24"/>
              </w:rPr>
            </w:pPr>
            <w:r>
              <w:rPr>
                <w:rFonts w:hint="eastAsia" w:ascii="宋体" w:hAnsi="宋体" w:cs="宋体"/>
                <w:sz w:val="24"/>
                <w:szCs w:val="24"/>
              </w:rPr>
              <w:t xml:space="preserve">内容较完善合理，较符合采购需求，可操作性较强，具备现场培训能力的得4分；</w:t>
            </w:r>
            <w:r/>
          </w:p>
          <w:p>
            <w:pPr>
              <w:jc w:val="left"/>
              <w:rPr>
                <w:rFonts w:ascii="宋体" w:hAnsi="宋体" w:cs="宋体"/>
                <w:sz w:val="24"/>
                <w:szCs w:val="24"/>
              </w:rPr>
            </w:pPr>
            <w:r>
              <w:rPr>
                <w:rFonts w:hint="eastAsia" w:ascii="宋体" w:hAnsi="宋体" w:cs="宋体"/>
                <w:sz w:val="24"/>
                <w:szCs w:val="24"/>
              </w:rPr>
              <w:t xml:space="preserve">内容不够详细，与采购需求存在少量偏差，可操作性不强，不具备现场培训能力的得2分；</w:t>
            </w:r>
            <w:r/>
          </w:p>
          <w:p>
            <w:pPr>
              <w:jc w:val="left"/>
              <w:rPr>
                <w:rFonts w:ascii="宋体" w:hAnsi="宋体" w:cs="宋体"/>
                <w:sz w:val="24"/>
                <w:szCs w:val="24"/>
              </w:rPr>
            </w:pPr>
            <w:r>
              <w:rPr>
                <w:rFonts w:hint="eastAsia" w:ascii="宋体" w:hAnsi="宋体" w:cs="宋体"/>
                <w:b/>
                <w:bCs/>
                <w:sz w:val="24"/>
                <w:szCs w:val="24"/>
              </w:rPr>
              <w:t xml:space="preserve">该项未见阐述不得分。</w:t>
            </w:r>
            <w:r/>
          </w:p>
        </w:tc>
      </w:tr>
      <w:tr>
        <w:trPr>
          <w:trHeight w:val="53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供货方案</w:t>
            </w:r>
            <w:r/>
          </w:p>
          <w:p>
            <w:pPr>
              <w:jc w:val="center"/>
              <w:rPr>
                <w:rFonts w:ascii="宋体" w:hAnsi="宋体"/>
                <w:color w:val="000000"/>
                <w:sz w:val="24"/>
                <w:szCs w:val="24"/>
              </w:rPr>
            </w:pPr>
            <w:r>
              <w:rPr>
                <w:rFonts w:hint="eastAsia" w:ascii="宋体" w:hAnsi="宋体" w:cs="宋体"/>
                <w:b/>
                <w:bCs/>
                <w:sz w:val="24"/>
                <w:szCs w:val="24"/>
              </w:rPr>
              <w:t xml:space="preserve">6分</w:t>
            </w:r>
            <w:r/>
          </w:p>
        </w:tc>
        <w:tc>
          <w:tcPr>
            <w:tcBorders>
              <w:top w:val="single" w:color="000000" w:sz="4" w:space="0"/>
              <w:left w:val="none" w:color="000000" w:sz="4" w:space="0"/>
              <w:bottom w:val="single" w:color="000000" w:sz="4" w:space="0"/>
              <w:right w:val="single" w:color="000000" w:sz="4" w:space="0"/>
            </w:tcBorders>
            <w:tcW w:w="6900" w:type="dxa"/>
            <w:textDirection w:val="lrTb"/>
            <w:noWrap w:val="false"/>
          </w:tcPr>
          <w:p>
            <w:pPr>
              <w:jc w:val="left"/>
              <w:rPr>
                <w:rFonts w:ascii="宋体" w:hAnsi="宋体" w:cs="宋体"/>
                <w:sz w:val="24"/>
                <w:szCs w:val="24"/>
              </w:rPr>
            </w:pPr>
            <w:r>
              <w:rPr>
                <w:rFonts w:hint="eastAsia" w:ascii="宋体" w:hAnsi="宋体" w:cs="宋体"/>
                <w:sz w:val="24"/>
                <w:szCs w:val="24"/>
              </w:rPr>
              <w:t xml:space="preserve">根据投标人提供的供货方案进行评分，方案包括但不限于供货时间、供货及设备安装、货物交接方案、包装与运输方案：</w:t>
            </w:r>
            <w:r/>
          </w:p>
          <w:p>
            <w:pPr>
              <w:jc w:val="left"/>
              <w:rPr>
                <w:rFonts w:ascii="宋体" w:hAnsi="宋体" w:cs="宋体"/>
                <w:sz w:val="24"/>
                <w:szCs w:val="24"/>
                <w:highlight w:val="none"/>
              </w:rPr>
            </w:pPr>
            <w:r>
              <w:rPr>
                <w:rFonts w:hint="eastAsia" w:ascii="宋体" w:hAnsi="宋体" w:cs="宋体"/>
                <w:sz w:val="24"/>
                <w:szCs w:val="24"/>
                <w:highlight w:val="none"/>
              </w:rPr>
              <w:t xml:space="preserve">内容详实，供货方案科学合理，措施可实施性强，优于采购需求的得6分；</w:t>
            </w:r>
            <w:r/>
          </w:p>
          <w:p>
            <w:pPr>
              <w:jc w:val="left"/>
              <w:rPr>
                <w:rFonts w:ascii="宋体" w:hAnsi="宋体" w:cs="宋体"/>
                <w:sz w:val="24"/>
                <w:szCs w:val="24"/>
                <w:highlight w:val="none"/>
              </w:rPr>
            </w:pPr>
            <w:r>
              <w:rPr>
                <w:rFonts w:hint="eastAsia" w:ascii="宋体" w:hAnsi="宋体" w:cs="宋体"/>
                <w:sz w:val="24"/>
                <w:szCs w:val="24"/>
                <w:highlight w:val="none"/>
              </w:rPr>
              <w:t xml:space="preserve">内容详细，措施可实施性一般，满足采购需求的得4分；</w:t>
            </w:r>
            <w:r/>
          </w:p>
          <w:p>
            <w:pPr>
              <w:jc w:val="left"/>
              <w:rPr>
                <w:rFonts w:ascii="宋体" w:hAnsi="宋体" w:cs="宋体"/>
                <w:sz w:val="24"/>
                <w:szCs w:val="24"/>
                <w:highlight w:val="none"/>
              </w:rPr>
            </w:pPr>
            <w:r>
              <w:rPr>
                <w:rFonts w:hint="eastAsia" w:ascii="宋体" w:hAnsi="宋体" w:cs="宋体"/>
                <w:sz w:val="24"/>
                <w:szCs w:val="24"/>
                <w:highlight w:val="none"/>
              </w:rPr>
              <w:t xml:space="preserve">内容一般，供货方案简单，基本满足采购需求的得2分；</w:t>
            </w:r>
            <w:r/>
          </w:p>
          <w:p>
            <w:pPr>
              <w:jc w:val="left"/>
              <w:rPr>
                <w:rFonts w:ascii="宋体" w:hAnsi="宋体" w:cs="宋体"/>
                <w:sz w:val="24"/>
                <w:szCs w:val="24"/>
              </w:rPr>
            </w:pPr>
            <w:r>
              <w:rPr>
                <w:rFonts w:hint="eastAsia" w:ascii="宋体" w:hAnsi="宋体" w:cs="宋体"/>
                <w:b/>
                <w:bCs/>
                <w:sz w:val="24"/>
                <w:szCs w:val="24"/>
              </w:rPr>
              <w:t xml:space="preserve">该项未见阐述不得分。</w:t>
            </w:r>
            <w:r/>
          </w:p>
        </w:tc>
      </w:tr>
      <w:tr>
        <w:trPr>
          <w:trHeight w:val="53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售后服务方案</w:t>
            </w:r>
            <w:r/>
          </w:p>
          <w:p>
            <w:pPr>
              <w:jc w:val="center"/>
              <w:rPr>
                <w:rFonts w:ascii="宋体" w:hAnsi="宋体"/>
                <w:color w:val="000000"/>
                <w:sz w:val="24"/>
                <w:szCs w:val="24"/>
              </w:rPr>
            </w:pPr>
            <w:r>
              <w:rPr>
                <w:rFonts w:hint="eastAsia" w:ascii="宋体" w:hAnsi="宋体" w:cs="宋体"/>
                <w:b/>
                <w:bCs/>
                <w:sz w:val="24"/>
                <w:szCs w:val="24"/>
              </w:rPr>
              <w:t xml:space="preserve">6分</w:t>
            </w:r>
            <w:r/>
          </w:p>
        </w:tc>
        <w:tc>
          <w:tcPr>
            <w:tcBorders>
              <w:top w:val="single" w:color="000000" w:sz="4" w:space="0"/>
              <w:left w:val="none" w:color="000000" w:sz="4" w:space="0"/>
              <w:bottom w:val="single" w:color="000000" w:sz="4" w:space="0"/>
              <w:right w:val="single" w:color="000000" w:sz="4" w:space="0"/>
            </w:tcBorders>
            <w:tcW w:w="6900"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根据投标人制定的售后服务方案进行评分，方案包括服务的可行性和完整性以及服务承诺落实的保障措施等内容：</w:t>
            </w:r>
            <w:r/>
          </w:p>
          <w:p>
            <w:pPr>
              <w:jc w:val="left"/>
              <w:rPr>
                <w:rFonts w:ascii="宋体" w:hAnsi="宋体" w:cs="宋体"/>
                <w:sz w:val="24"/>
                <w:szCs w:val="24"/>
              </w:rPr>
            </w:pPr>
            <w:r>
              <w:rPr>
                <w:rFonts w:hint="eastAsia" w:ascii="宋体" w:hAnsi="宋体" w:cs="宋体"/>
                <w:sz w:val="24"/>
                <w:szCs w:val="24"/>
              </w:rPr>
              <w:t xml:space="preserve">方案详细完整、可行性强、科学合理得6分；</w:t>
            </w:r>
            <w:r/>
          </w:p>
          <w:p>
            <w:pPr>
              <w:jc w:val="left"/>
              <w:rPr>
                <w:rFonts w:ascii="宋体" w:hAnsi="宋体" w:cs="宋体"/>
                <w:sz w:val="24"/>
                <w:szCs w:val="24"/>
              </w:rPr>
            </w:pPr>
            <w:r>
              <w:rPr>
                <w:rFonts w:hint="eastAsia" w:ascii="宋体" w:hAnsi="宋体" w:cs="宋体"/>
                <w:sz w:val="24"/>
                <w:szCs w:val="24"/>
              </w:rPr>
              <w:t xml:space="preserve">方案较详细完整、可行性较强、较科学合理得4分；</w:t>
            </w:r>
            <w:r/>
          </w:p>
          <w:p>
            <w:pPr>
              <w:jc w:val="left"/>
              <w:rPr>
                <w:rFonts w:ascii="宋体" w:hAnsi="宋体" w:cs="宋体"/>
                <w:sz w:val="24"/>
                <w:szCs w:val="24"/>
              </w:rPr>
            </w:pPr>
            <w:r>
              <w:rPr>
                <w:rFonts w:hint="eastAsia" w:ascii="宋体" w:hAnsi="宋体" w:cs="宋体"/>
                <w:sz w:val="24"/>
                <w:szCs w:val="24"/>
              </w:rPr>
              <w:t xml:space="preserve">方案基本完整、可行性一般、合理性一般得2分；</w:t>
            </w:r>
            <w:r/>
          </w:p>
          <w:p>
            <w:pPr>
              <w:jc w:val="left"/>
              <w:rPr>
                <w:rFonts w:ascii="宋体" w:hAnsi="宋体" w:cs="宋体"/>
                <w:sz w:val="24"/>
                <w:szCs w:val="24"/>
              </w:rPr>
            </w:pPr>
            <w:r>
              <w:rPr>
                <w:rFonts w:hint="eastAsia" w:ascii="宋体" w:hAnsi="宋体" w:cs="宋体"/>
                <w:b/>
                <w:bCs/>
                <w:sz w:val="24"/>
                <w:szCs w:val="24"/>
              </w:rPr>
              <w:t xml:space="preserve">该项未见阐述不得分。</w:t>
            </w:r>
            <w:r/>
          </w:p>
        </w:tc>
      </w:tr>
    </w:tbl>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sz w:val="24"/>
          <w:szCs w:val="24"/>
        </w:rPr>
      </w:r>
      <w:r/>
    </w:p>
    <w:p>
      <w:pPr>
        <w:pStyle w:val="1030"/>
        <w:jc w:val="center"/>
        <w:spacing w:before="156" w:after="156" w:line="360" w:lineRule="auto"/>
        <w:rPr>
          <w:rFonts w:ascii="黑体" w:hAnsi="黑体" w:eastAsia="黑体"/>
          <w:b w:val="0"/>
        </w:rPr>
      </w:pPr>
      <w:r/>
      <w:bookmarkStart w:id="15" w:name="_Toc165205799"/>
      <w:r>
        <w:rPr>
          <w:rFonts w:hint="eastAsia" w:ascii="黑体" w:hAnsi="黑体" w:eastAsia="黑体"/>
          <w:b w:val="0"/>
        </w:rPr>
        <w:t xml:space="preserve">第六章  投标文件格式</w:t>
      </w:r>
      <w:bookmarkEnd w:id="1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4、请供应商如实填写联系方式并在评审过程中保持联系方式畅通，评审过程中如联系不上，由供应商承担一切不利后果。</w:t>
      </w:r>
      <w:r/>
    </w:p>
    <w:p>
      <w:pPr>
        <w:pStyle w:val="1064"/>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8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致：江苏省连云港中等专业学校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               </w:t>
      </w:r>
      <w:r>
        <w:rPr>
          <w:rFonts w:hint="eastAsia" w:ascii="宋体" w:hAnsi="宋体"/>
          <w:color w:val="000000"/>
          <w:szCs w:val="24"/>
        </w:rPr>
        <w:t xml:space="preserve">单位：元</w:t>
      </w:r>
      <w:r>
        <w:rPr>
          <w:rFonts w:hint="eastAsia" w:ascii="宋体" w:hAnsi="宋体" w:cs="方正仿宋_GBK"/>
          <w:color w:val="000000"/>
          <w:sz w:val="24"/>
          <w:szCs w:val="24"/>
        </w:rPr>
        <w:t xml:space="preserve">   </w:t>
      </w:r>
      <w:r/>
    </w:p>
    <w:tbl>
      <w:tblPr>
        <w:tblStyle w:val="854"/>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ascii="Times New Roman" w:hAnsi="宋体"/>
          <w:b/>
          <w:bCs/>
          <w:color w:val="000000"/>
          <w:sz w:val="24"/>
          <w:szCs w:val="32"/>
        </w:rPr>
      </w:pPr>
      <w:r>
        <w:rPr>
          <w:rFonts w:hint="eastAsia" w:ascii="Times New Roman" w:hAnsi="宋体"/>
          <w:b/>
          <w:bCs/>
          <w:color w:val="000000"/>
          <w:sz w:val="24"/>
          <w:szCs w:val="32"/>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jc w:val="left"/>
        <w:keepLines/>
        <w:keepNext/>
        <w:spacing w:before="360" w:after="200" w:line="360" w:lineRule="auto"/>
        <w:rPr>
          <w:rFonts w:ascii="Arial" w:hAnsi="Arial" w:cs="Arial"/>
          <w:b/>
          <w:bCs/>
          <w:i/>
          <w:iCs/>
          <w:sz w:val="36"/>
          <w:u w:val="single"/>
        </w:rPr>
        <w:outlineLvl w:val="1"/>
      </w:pPr>
      <w:r>
        <w:rPr>
          <w:rFonts w:hint="eastAsia" w:ascii="Arial" w:hAnsi="Arial" w:cs="Arial"/>
          <w:b/>
          <w:bCs/>
          <w:i/>
          <w:iCs/>
          <w:sz w:val="36"/>
          <w:u w:val="single"/>
        </w:rPr>
        <w:t xml:space="preserve">十四、关于符合本国产品标准的声明函（分包号：**）</w:t>
      </w:r>
      <w:r/>
    </w:p>
    <w:p>
      <w:pPr>
        <w:ind w:firstLine="420"/>
        <w:jc w:val="left"/>
        <w:spacing w:line="0" w:lineRule="atLeast"/>
        <w:rPr>
          <w:rFonts w:ascii="方正魏碑_GBK" w:hAnsi="方正魏碑_GBK" w:eastAsia="方正魏碑_GBK" w:cs="方正魏碑_GBK"/>
          <w:color w:val="ff0000"/>
          <w:sz w:val="24"/>
        </w:rPr>
      </w:pPr>
      <w:r>
        <w:rPr>
          <w:rFonts w:ascii="方正魏碑_GBK" w:hAnsi="方正魏碑_GBK" w:eastAsia="方正魏碑_GBK" w:cs="方正魏碑_GBK"/>
          <w:color w:val="ff0000"/>
          <w:sz w:val="24"/>
        </w:rPr>
      </w:r>
      <w:r/>
    </w:p>
    <w:p>
      <w:pPr>
        <w:ind w:firstLine="420"/>
        <w:jc w:val="left"/>
        <w:spacing w:line="360" w:lineRule="auto"/>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5"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6"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7"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Style w:val="1071"/>
          <w:rFonts w:hint="eastAsia" w:ascii="宋体" w:hAnsi="宋体" w:cs="宋体"/>
          <w:szCs w:val="24"/>
          <w:u w:val="single"/>
          <w:shd w:val="clear" w:color="auto" w:fill="ffffff"/>
        </w:rPr>
        <w:t xml:space="preserve">（产品名称1）</w:t>
      </w:r>
      <w:r>
        <w:rPr>
          <w:rStyle w:val="1071"/>
          <w:rFonts w:hint="eastAsia" w:ascii="宋体" w:hAnsi="宋体" w:cs="宋体"/>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Style w:val="1071"/>
          <w:rFonts w:hint="eastAsia" w:ascii="宋体" w:hAnsi="宋体" w:cs="宋体"/>
          <w:szCs w:val="24"/>
          <w:u w:val="single"/>
          <w:shd w:val="clear" w:color="auto" w:fill="ffffff"/>
        </w:rPr>
        <w:t xml:space="preserve">（厂名）</w:t>
      </w:r>
      <w:r>
        <w:rPr>
          <w:rStyle w:val="1071"/>
          <w:rFonts w:hint="eastAsia" w:ascii="宋体" w:hAnsi="宋体" w:cs="宋体"/>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1071"/>
          <w:rFonts w:hint="eastAsia" w:ascii="宋体" w:hAnsi="宋体" w:cs="宋体"/>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Style w:val="1071"/>
          <w:rFonts w:hint="eastAsia" w:ascii="宋体" w:hAnsi="宋体" w:cs="宋体"/>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Style w:val="1071"/>
          <w:rFonts w:hint="eastAsia" w:ascii="宋体" w:hAnsi="宋体" w:cs="宋体"/>
          <w:szCs w:val="24"/>
          <w:u w:val="single"/>
          <w:shd w:val="clear" w:color="auto" w:fill="ffffff"/>
        </w:rPr>
        <w:t xml:space="preserve">（规定比例）</w:t>
      </w:r>
      <w:r>
        <w:rPr>
          <w:rStyle w:val="1071"/>
          <w:rFonts w:hint="eastAsia" w:ascii="宋体" w:hAnsi="宋体" w:cs="宋体"/>
          <w:szCs w:val="24"/>
          <w:shd w:val="clear" w:color="auto" w:fill="ffffff"/>
          <w:vertAlign w:val="superscript"/>
        </w:rPr>
        <w:t xml:space="preserve">3</w:t>
      </w:r>
      <w:r>
        <w:rPr>
          <w:rFonts w:hint="eastAsia" w:ascii="宋体" w:hAnsi="宋体" w:cs="宋体"/>
          <w:sz w:val="24"/>
          <w:szCs w:val="24"/>
          <w:shd w:val="clear" w:color="auto" w:fill="ffffff"/>
        </w:rPr>
        <w:t xml:space="preserve">。</w:t>
      </w:r>
      <w:r>
        <w:rPr>
          <w:rStyle w:val="1071"/>
          <w:rFonts w:hint="eastAsia" w:ascii="宋体" w:hAnsi="宋体" w:cs="宋体"/>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1071"/>
          <w:rFonts w:hint="eastAsia" w:ascii="宋体" w:hAnsi="宋体" w:cs="宋体"/>
          <w:szCs w:val="24"/>
          <w:u w:val="single"/>
          <w:shd w:val="clear" w:color="auto" w:fill="ffffff"/>
        </w:rPr>
        <w:t xml:space="preserve">（关键组件）</w:t>
      </w:r>
      <w:r>
        <w:rPr>
          <w:rStyle w:val="1071"/>
          <w:rFonts w:hint="eastAsia" w:ascii="宋体" w:hAnsi="宋体" w:cs="宋体"/>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1071"/>
          <w:rFonts w:hint="eastAsia" w:ascii="宋体" w:hAnsi="宋体" w:cs="宋体"/>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1071"/>
          <w:rFonts w:hint="eastAsia" w:ascii="宋体" w:hAnsi="宋体" w:cs="宋体"/>
          <w:szCs w:val="24"/>
          <w:u w:val="single"/>
          <w:shd w:val="clear" w:color="auto" w:fill="ffffff"/>
        </w:rPr>
        <w:t xml:space="preserve">（关键工序）</w:t>
      </w:r>
      <w:r>
        <w:rPr>
          <w:rStyle w:val="1071"/>
          <w:rFonts w:hint="eastAsia" w:ascii="宋体" w:hAnsi="宋体" w:cs="宋体"/>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3600;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Style w:val="1071"/>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1071"/>
          <w:rFonts w:hint="eastAsia" w:ascii="宋体" w:hAnsi="宋体" w:cs="宋体"/>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1071"/>
          <w:rFonts w:hint="eastAsia" w:ascii="宋体" w:hAnsi="宋体" w:cs="宋体"/>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1071"/>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1071"/>
          <w:rFonts w:hint="eastAsia" w:ascii="宋体" w:hAnsi="宋体" w:cs="宋体"/>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1071"/>
          <w:rFonts w:hint="eastAsia" w:ascii="宋体" w:hAnsi="宋体" w:cs="宋体"/>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1071"/>
          <w:rFonts w:hint="eastAsia" w:ascii="宋体" w:hAnsi="宋体" w:cs="宋体"/>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1071"/>
          <w:rFonts w:hint="eastAsia" w:ascii="宋体" w:hAnsi="宋体" w:cs="宋体"/>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1071"/>
          <w:rFonts w:hint="eastAsia" w:ascii="宋体" w:hAnsi="宋体" w:cs="宋体"/>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rPr>
          <w:rFonts w:ascii="宋体" w:hAnsi="宋体" w:cs="宋体"/>
          <w:sz w:val="24"/>
          <w:szCs w:val="24"/>
        </w:rPr>
      </w:pPr>
      <w:r>
        <w:rPr>
          <w:rFonts w:ascii="宋体" w:hAnsi="宋体" w:cs="宋体"/>
          <w:sz w:val="24"/>
          <w:szCs w:val="24"/>
        </w:rPr>
      </w:r>
      <w:r/>
    </w:p>
    <w:p>
      <w:pPr>
        <w:ind w:right="480" w:firstLine="37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__________________</w:t>
      </w:r>
      <w:r/>
    </w:p>
    <w:p>
      <w:pPr>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jc w:val="left"/>
        <w:spacing w:after="150" w:line="27" w:lineRule="atLeast"/>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8.供应商提供虚假《声明函》、虚假证明文件谋取中标的，依照《中华人民共和国政府采购法》等法律法规规定追究相应责任。</w:t>
      </w:r>
      <w:r/>
    </w:p>
    <w:p>
      <w:pPr>
        <w:jc w:val="left"/>
        <w:spacing w:after="150" w:line="27" w:lineRule="atLeast"/>
        <w:shd w:val="clear" w:color="auto" w:fill="ffffff"/>
        <w:widowControl/>
        <w:rPr>
          <w:rFonts w:ascii="宋体" w:hAnsi="宋体"/>
          <w:sz w:val="24"/>
          <w:szCs w:val="24"/>
        </w:rPr>
      </w:pPr>
      <w:r>
        <w:rPr>
          <w:rFonts w:hint="eastAsia" w:ascii="宋体" w:hAnsi="宋体" w:cs="宋体"/>
          <w:color w:val="333333"/>
          <w:sz w:val="24"/>
          <w:szCs w:val="24"/>
          <w:shd w:val="clear" w:color="auto" w:fill="ffffff"/>
        </w:rPr>
        <w:t xml:space="preserve">9.</w:t>
      </w:r>
      <w:r>
        <w:rPr>
          <w:rFonts w:hint="eastAsia" w:ascii="宋体" w:hAnsi="宋体"/>
          <w:sz w:val="24"/>
          <w:szCs w:val="24"/>
        </w:rPr>
        <w:t xml:space="preserve">中标人的</w:t>
      </w:r>
      <w:r>
        <w:rPr>
          <w:rFonts w:hint="eastAsia" w:ascii="宋体" w:hAnsi="宋体" w:cs="宋体"/>
          <w:color w:val="333333"/>
          <w:sz w:val="24"/>
          <w:szCs w:val="24"/>
          <w:shd w:val="clear" w:color="auto" w:fill="ffffff"/>
        </w:rPr>
        <w:t xml:space="preserve">《声明函》或有关证明文件</w:t>
      </w:r>
      <w:r>
        <w:rPr>
          <w:rFonts w:hint="eastAsia" w:ascii="宋体" w:hAnsi="宋体"/>
          <w:sz w:val="24"/>
          <w:szCs w:val="24"/>
        </w:rPr>
        <w:t xml:space="preserve">随中标结果公开，接受社会监督。</w:t>
      </w:r>
      <w:r/>
    </w:p>
    <w:p>
      <w:pPr>
        <w:rPr>
          <w:rFonts w:ascii="宋体" w:hAnsi="宋体" w:cs="宋体"/>
          <w:sz w:val="24"/>
          <w:szCs w:val="24"/>
          <w:highlight w:val="green"/>
        </w:rPr>
      </w:pPr>
      <w:r>
        <w:rPr>
          <w:rFonts w:ascii="宋体" w:hAnsi="宋体" w:cs="宋体"/>
          <w:sz w:val="24"/>
          <w:szCs w:val="24"/>
          <w:highlight w:val="green"/>
        </w:rPr>
      </w:r>
      <w:r/>
    </w:p>
    <w:p>
      <w:pPr>
        <w:jc w:val="left"/>
        <w:keepLines/>
        <w:keepNext/>
        <w:spacing w:before="360" w:after="200" w:line="360" w:lineRule="auto"/>
        <w:rPr>
          <w:rFonts w:ascii="Arial" w:hAnsi="Arial" w:cs="Arial"/>
          <w:i/>
          <w:iCs/>
          <w:sz w:val="36"/>
          <w:u w:val="single"/>
        </w:rPr>
        <w:outlineLvl w:val="1"/>
      </w:pPr>
      <w:r>
        <w:rPr>
          <w:rFonts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16" w:name="_Hlt26955054"/>
      <w:r/>
      <w:bookmarkEnd w:id="16"/>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7" w:name="_Hlt26580838"/>
            <w:r/>
            <w:bookmarkEnd w:id="17"/>
            <w:r/>
            <w:bookmarkStart w:id="18" w:name="_Hlt26782999"/>
            <w:r/>
            <w:bookmarkEnd w:id="18"/>
            <w:r/>
            <w:bookmarkStart w:id="19" w:name="_Hlt26671343"/>
            <w:r/>
            <w:bookmarkEnd w:id="19"/>
            <w:r/>
            <w:bookmarkStart w:id="20" w:name="_Hlt26955064"/>
            <w:r/>
            <w:bookmarkEnd w:id="20"/>
            <w:r/>
            <w:bookmarkStart w:id="21" w:name="_Hlt26955056"/>
            <w:r/>
            <w:bookmarkEnd w:id="21"/>
            <w:r/>
            <w:bookmarkStart w:id="22" w:name="_Hlt26671372"/>
            <w:r/>
            <w:bookmarkEnd w:id="22"/>
            <w:r/>
            <w:bookmarkStart w:id="23" w:name="_Hlt24879081"/>
            <w:r/>
            <w:bookmarkEnd w:id="23"/>
            <w:r/>
            <w:bookmarkStart w:id="24" w:name="_Hlt26609391"/>
            <w:r/>
            <w:bookmarkEnd w:id="2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5" w:name="_Hlt26955066"/>
      <w:r/>
      <w:bookmarkEnd w:id="25"/>
      <w:r/>
      <w:bookmarkStart w:id="26" w:name="_Hlt26609389"/>
      <w:r/>
      <w:bookmarkEnd w:id="26"/>
      <w:r/>
      <w:bookmarkStart w:id="27" w:name="_格式2__法定代表人授权书"/>
      <w:r/>
      <w:bookmarkEnd w:id="27"/>
      <w:r/>
      <w:bookmarkStart w:id="28" w:name="_Hlt26671374"/>
      <w:r/>
      <w:bookmarkEnd w:id="28"/>
      <w:r/>
      <w:r/>
    </w:p>
    <w:p>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ind w:firstLine="480"/>
        <w:spacing w:line="500" w:lineRule="exact"/>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9"/>
        <w:gridCol w:w="2186"/>
      </w:tblGrid>
      <w:tr>
        <w:trPr>
          <w:cantSplit/>
          <w:jc w:val="center"/>
        </w:trPr>
        <w:tc>
          <w:tcPr>
            <w:tcW w:w="76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15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1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28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762"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62"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62"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62"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85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ind w:firstLine="480"/>
        <w:spacing w:line="500" w:lineRule="exact"/>
        <w:rPr>
          <w:rFonts w:ascii="宋体" w:hAnsi="宋体"/>
          <w:strike/>
          <w:color w:val="ff0000"/>
          <w:sz w:val="24"/>
          <w:szCs w:val="24"/>
          <w:highlight w:val="yellow"/>
        </w:rPr>
      </w:pPr>
      <w:r>
        <w:rPr>
          <w:rFonts w:ascii="宋体" w:hAnsi="宋体"/>
          <w:strike/>
          <w:color w:val="ff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spacing w:line="500" w:lineRule="exac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56</w:t>
                          </w:r>
                          <w:r>
                            <w:rPr>
                              <w:lang w:val="zh-CN"/>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56</w:t>
                    </w:r>
                    <w:r>
                      <w:rPr>
                        <w:lang w:val="zh-CN"/>
                      </w:rPr>
                      <w:fldChar w:fldCharType="end"/>
                    </w:r>
                    <w:r/>
                  </w:p>
                  <w:p>
                    <w:r/>
                    <w:r/>
                  </w:p>
                </w:txbxContent>
              </v:textbox>
            </v:shape>
          </w:pict>
        </mc:Fallback>
      </mc:AlternateContent>
    </w:r>
    <w:r/>
  </w:p>
  <w:p>
    <w:pPr>
      <w:pStyle w:val="10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8"/>
  </w:num>
  <w:num w:numId="4">
    <w:abstractNumId w:val="2"/>
  </w:num>
  <w:num w:numId="5">
    <w:abstractNumId w:val="1"/>
  </w:num>
  <w:num w:numId="6">
    <w:abstractNumId w:val="7"/>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53"/>
    <w:link w:val="844"/>
    <w:uiPriority w:val="9"/>
    <w:rPr>
      <w:rFonts w:ascii="Arial" w:hAnsi="Arial" w:eastAsia="Arial" w:cs="Arial"/>
      <w:sz w:val="40"/>
      <w:szCs w:val="40"/>
    </w:rPr>
  </w:style>
  <w:style w:type="character" w:styleId="807">
    <w:name w:val="Heading 2 Char"/>
    <w:basedOn w:val="853"/>
    <w:link w:val="845"/>
    <w:uiPriority w:val="9"/>
    <w:rPr>
      <w:rFonts w:ascii="Arial" w:hAnsi="Arial" w:eastAsia="Arial" w:cs="Arial"/>
      <w:sz w:val="34"/>
    </w:rPr>
  </w:style>
  <w:style w:type="character" w:styleId="808">
    <w:name w:val="Heading 3 Char"/>
    <w:basedOn w:val="853"/>
    <w:link w:val="846"/>
    <w:uiPriority w:val="9"/>
    <w:rPr>
      <w:rFonts w:ascii="Arial" w:hAnsi="Arial" w:eastAsia="Arial" w:cs="Arial"/>
      <w:sz w:val="30"/>
      <w:szCs w:val="30"/>
    </w:rPr>
  </w:style>
  <w:style w:type="character" w:styleId="809">
    <w:name w:val="Heading 4 Char"/>
    <w:basedOn w:val="853"/>
    <w:link w:val="847"/>
    <w:uiPriority w:val="9"/>
    <w:rPr>
      <w:rFonts w:ascii="Arial" w:hAnsi="Arial" w:eastAsia="Arial" w:cs="Arial"/>
      <w:b/>
      <w:bCs/>
      <w:sz w:val="26"/>
      <w:szCs w:val="26"/>
    </w:rPr>
  </w:style>
  <w:style w:type="character" w:styleId="810">
    <w:name w:val="Heading 5 Char"/>
    <w:basedOn w:val="853"/>
    <w:link w:val="848"/>
    <w:uiPriority w:val="9"/>
    <w:rPr>
      <w:rFonts w:ascii="Arial" w:hAnsi="Arial" w:eastAsia="Arial" w:cs="Arial"/>
      <w:b/>
      <w:bCs/>
      <w:sz w:val="24"/>
      <w:szCs w:val="24"/>
    </w:rPr>
  </w:style>
  <w:style w:type="character" w:styleId="811">
    <w:name w:val="Heading 6 Char"/>
    <w:basedOn w:val="853"/>
    <w:link w:val="849"/>
    <w:uiPriority w:val="9"/>
    <w:rPr>
      <w:rFonts w:ascii="Arial" w:hAnsi="Arial" w:eastAsia="Arial" w:cs="Arial"/>
      <w:b/>
      <w:bCs/>
      <w:sz w:val="22"/>
      <w:szCs w:val="22"/>
    </w:rPr>
  </w:style>
  <w:style w:type="character" w:styleId="812">
    <w:name w:val="Heading 7 Char"/>
    <w:basedOn w:val="853"/>
    <w:link w:val="850"/>
    <w:uiPriority w:val="9"/>
    <w:rPr>
      <w:rFonts w:ascii="Arial" w:hAnsi="Arial" w:eastAsia="Arial" w:cs="Arial"/>
      <w:b/>
      <w:bCs/>
      <w:i/>
      <w:iCs/>
      <w:sz w:val="22"/>
      <w:szCs w:val="22"/>
    </w:rPr>
  </w:style>
  <w:style w:type="character" w:styleId="813">
    <w:name w:val="Heading 8 Char"/>
    <w:basedOn w:val="853"/>
    <w:link w:val="851"/>
    <w:uiPriority w:val="9"/>
    <w:rPr>
      <w:rFonts w:ascii="Arial" w:hAnsi="Arial" w:eastAsia="Arial" w:cs="Arial"/>
      <w:i/>
      <w:iCs/>
      <w:sz w:val="22"/>
      <w:szCs w:val="22"/>
    </w:rPr>
  </w:style>
  <w:style w:type="character" w:styleId="814">
    <w:name w:val="Heading 9 Char"/>
    <w:basedOn w:val="853"/>
    <w:link w:val="852"/>
    <w:uiPriority w:val="9"/>
    <w:rPr>
      <w:rFonts w:ascii="Arial" w:hAnsi="Arial" w:eastAsia="Arial" w:cs="Arial"/>
      <w:i/>
      <w:iCs/>
      <w:sz w:val="21"/>
      <w:szCs w:val="21"/>
    </w:rPr>
  </w:style>
  <w:style w:type="character" w:styleId="815">
    <w:name w:val="Title Char"/>
    <w:basedOn w:val="853"/>
    <w:link w:val="874"/>
    <w:uiPriority w:val="10"/>
    <w:rPr>
      <w:sz w:val="48"/>
      <w:szCs w:val="48"/>
    </w:rPr>
  </w:style>
  <w:style w:type="character" w:styleId="816">
    <w:name w:val="Subtitle Char"/>
    <w:basedOn w:val="853"/>
    <w:link w:val="868"/>
    <w:uiPriority w:val="11"/>
    <w:rPr>
      <w:sz w:val="24"/>
      <w:szCs w:val="24"/>
    </w:rPr>
  </w:style>
  <w:style w:type="character" w:styleId="817">
    <w:name w:val="Quote Char"/>
    <w:link w:val="895"/>
    <w:uiPriority w:val="29"/>
    <w:rPr>
      <w:i/>
    </w:rPr>
  </w:style>
  <w:style w:type="character" w:styleId="818">
    <w:name w:val="Intense Quote Char"/>
    <w:link w:val="897"/>
    <w:uiPriority w:val="30"/>
    <w:rPr>
      <w:i/>
    </w:rPr>
  </w:style>
  <w:style w:type="character" w:styleId="819">
    <w:name w:val="Header Char"/>
    <w:basedOn w:val="853"/>
    <w:link w:val="865"/>
    <w:uiPriority w:val="99"/>
  </w:style>
  <w:style w:type="character" w:styleId="820">
    <w:name w:val="Caption Char"/>
    <w:basedOn w:val="856"/>
    <w:link w:val="864"/>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69"/>
    <w:uiPriority w:val="99"/>
    <w:rPr>
      <w:sz w:val="18"/>
    </w:rPr>
  </w:style>
  <w:style w:type="character" w:styleId="841">
    <w:name w:val="Endnote Text Char"/>
    <w:link w:val="862"/>
    <w:uiPriority w:val="99"/>
    <w:rPr>
      <w:sz w:val="20"/>
    </w:rPr>
  </w:style>
  <w:style w:type="paragraph" w:styleId="842">
    <w:name w:val="TOC Heading"/>
    <w:uiPriority w:val="39"/>
    <w:unhideWhenUsed/>
  </w:style>
  <w:style w:type="paragraph" w:styleId="843" w:default="1">
    <w:name w:val="Normal"/>
    <w:next w:val="847"/>
    <w:uiPriority w:val="0"/>
    <w:qFormat/>
    <w:pPr>
      <w:jc w:val="both"/>
      <w:widowControl w:val="off"/>
    </w:pPr>
    <w:rPr>
      <w:rFonts w:ascii="Calibri" w:hAnsi="Calibri" w:eastAsia="宋体" w:cs="Times New Roman"/>
      <w:sz w:val="21"/>
      <w:szCs w:val="22"/>
      <w:lang w:val="en-US" w:eastAsia="zh-CN" w:bidi="ar-SA"/>
    </w:rPr>
  </w:style>
  <w:style w:type="paragraph" w:styleId="844">
    <w:name w:val="Heading 1"/>
    <w:basedOn w:val="843"/>
    <w:next w:val="843"/>
    <w:link w:val="882"/>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83"/>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4"/>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85"/>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86"/>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87"/>
    <w:uiPriority w:val="9"/>
    <w:unhideWhenUsed/>
    <w:qFormat/>
    <w:pPr>
      <w:keepLines/>
      <w:keepNext/>
      <w:spacing w:before="320" w:after="200"/>
      <w:outlineLvl w:val="5"/>
    </w:pPr>
    <w:rPr>
      <w:rFonts w:ascii="Arial" w:hAnsi="Arial" w:eastAsia="Arial" w:cs="Arial"/>
      <w:b/>
      <w:bCs/>
      <w:sz w:val="22"/>
    </w:rPr>
  </w:style>
  <w:style w:type="paragraph" w:styleId="850">
    <w:name w:val="Heading 7"/>
    <w:basedOn w:val="843"/>
    <w:next w:val="843"/>
    <w:link w:val="888"/>
    <w:uiPriority w:val="9"/>
    <w:unhideWhenUsed/>
    <w:qFormat/>
    <w:pPr>
      <w:keepLines/>
      <w:keepNext/>
      <w:spacing w:before="320" w:after="200"/>
      <w:outlineLvl w:val="6"/>
    </w:pPr>
    <w:rPr>
      <w:rFonts w:ascii="Arial" w:hAnsi="Arial" w:eastAsia="Arial" w:cs="Arial"/>
      <w:b/>
      <w:bCs/>
      <w:i/>
      <w:iCs/>
      <w:sz w:val="22"/>
    </w:rPr>
  </w:style>
  <w:style w:type="paragraph" w:styleId="851">
    <w:name w:val="Heading 8"/>
    <w:basedOn w:val="843"/>
    <w:next w:val="843"/>
    <w:link w:val="889"/>
    <w:uiPriority w:val="9"/>
    <w:unhideWhenUsed/>
    <w:qFormat/>
    <w:pPr>
      <w:keepLines/>
      <w:keepNext/>
      <w:spacing w:before="320" w:after="200"/>
      <w:outlineLvl w:val="7"/>
    </w:pPr>
    <w:rPr>
      <w:rFonts w:ascii="Arial" w:hAnsi="Arial" w:eastAsia="Arial" w:cs="Arial"/>
      <w:i/>
      <w:iCs/>
      <w:sz w:val="22"/>
    </w:rPr>
  </w:style>
  <w:style w:type="paragraph" w:styleId="852">
    <w:name w:val="Heading 9"/>
    <w:basedOn w:val="843"/>
    <w:next w:val="843"/>
    <w:link w:val="890"/>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3"/>
    <w:uiPriority w:val="99"/>
    <w:unhideWhenUsed/>
    <w:qFormat/>
    <w:pPr>
      <w:jc w:val="left"/>
    </w:pPr>
  </w:style>
  <w:style w:type="paragraph" w:styleId="858">
    <w:name w:val="toc 5"/>
    <w:basedOn w:val="843"/>
    <w:next w:val="843"/>
    <w:uiPriority w:val="39"/>
    <w:unhideWhenUsed/>
    <w:qFormat/>
    <w:pPr>
      <w:ind w:left="1134"/>
      <w:spacing w:after="57"/>
    </w:pPr>
  </w:style>
  <w:style w:type="paragraph" w:styleId="859">
    <w:name w:val="toc 3"/>
    <w:basedOn w:val="843"/>
    <w:next w:val="843"/>
    <w:uiPriority w:val="39"/>
    <w:unhideWhenUsed/>
    <w:qFormat/>
    <w:pPr>
      <w:ind w:left="567"/>
      <w:spacing w:after="57"/>
    </w:pPr>
  </w:style>
  <w:style w:type="paragraph" w:styleId="860">
    <w:name w:val="toc 8"/>
    <w:basedOn w:val="843"/>
    <w:next w:val="843"/>
    <w:uiPriority w:val="39"/>
    <w:unhideWhenUsed/>
    <w:qFormat/>
    <w:pPr>
      <w:ind w:left="1984"/>
      <w:spacing w:after="57"/>
    </w:pPr>
  </w:style>
  <w:style w:type="paragraph" w:styleId="861">
    <w:name w:val="Date"/>
    <w:basedOn w:val="843"/>
    <w:next w:val="843"/>
    <w:uiPriority w:val="0"/>
    <w:qFormat/>
    <w:rPr>
      <w:sz w:val="24"/>
      <w:szCs w:val="20"/>
    </w:rPr>
  </w:style>
  <w:style w:type="paragraph" w:styleId="862">
    <w:name w:val="endnote text"/>
    <w:basedOn w:val="843"/>
    <w:link w:val="1028"/>
    <w:uiPriority w:val="99"/>
    <w:semiHidden/>
    <w:unhideWhenUsed/>
    <w:qFormat/>
    <w:rPr>
      <w:sz w:val="20"/>
    </w:rPr>
  </w:style>
  <w:style w:type="paragraph" w:styleId="863">
    <w:name w:val="Balloon Text"/>
    <w:basedOn w:val="843"/>
    <w:link w:val="1070"/>
    <w:uiPriority w:val="99"/>
    <w:semiHidden/>
    <w:unhideWhenUsed/>
    <w:qFormat/>
    <w:rPr>
      <w:sz w:val="18"/>
      <w:szCs w:val="18"/>
    </w:rPr>
  </w:style>
  <w:style w:type="paragraph" w:styleId="864">
    <w:name w:val="Footer"/>
    <w:basedOn w:val="843"/>
    <w:link w:val="901"/>
    <w:uiPriority w:val="99"/>
    <w:unhideWhenUsed/>
    <w:qFormat/>
    <w:pPr>
      <w:tabs>
        <w:tab w:val="center" w:pos="7143" w:leader="none"/>
        <w:tab w:val="right" w:pos="14287" w:leader="none"/>
      </w:tabs>
    </w:pPr>
  </w:style>
  <w:style w:type="paragraph" w:styleId="865">
    <w:name w:val="Header"/>
    <w:basedOn w:val="843"/>
    <w:link w:val="899"/>
    <w:uiPriority w:val="99"/>
    <w:unhideWhenUsed/>
    <w:qFormat/>
    <w:pPr>
      <w:tabs>
        <w:tab w:val="center" w:pos="7143" w:leader="none"/>
        <w:tab w:val="right" w:pos="14287" w:leader="none"/>
      </w:tabs>
    </w:pPr>
  </w:style>
  <w:style w:type="paragraph" w:styleId="866">
    <w:name w:val="toc 1"/>
    <w:basedOn w:val="843"/>
    <w:next w:val="843"/>
    <w:uiPriority w:val="39"/>
    <w:unhideWhenUsed/>
    <w:qFormat/>
    <w:pPr>
      <w:spacing w:after="57"/>
    </w:pPr>
  </w:style>
  <w:style w:type="paragraph" w:styleId="867">
    <w:name w:val="toc 4"/>
    <w:basedOn w:val="843"/>
    <w:next w:val="843"/>
    <w:uiPriority w:val="39"/>
    <w:unhideWhenUsed/>
    <w:qFormat/>
    <w:pPr>
      <w:ind w:left="850"/>
      <w:spacing w:after="57"/>
    </w:pPr>
  </w:style>
  <w:style w:type="paragraph" w:styleId="868">
    <w:name w:val="Subtitle"/>
    <w:basedOn w:val="843"/>
    <w:next w:val="843"/>
    <w:link w:val="894"/>
    <w:uiPriority w:val="11"/>
    <w:qFormat/>
    <w:pPr>
      <w:spacing w:before="200" w:after="200"/>
    </w:pPr>
    <w:rPr>
      <w:sz w:val="24"/>
      <w:szCs w:val="24"/>
    </w:rPr>
  </w:style>
  <w:style w:type="paragraph" w:styleId="869">
    <w:name w:val="footnote text"/>
    <w:basedOn w:val="843"/>
    <w:link w:val="1027"/>
    <w:uiPriority w:val="99"/>
    <w:semiHidden/>
    <w:unhideWhenUsed/>
    <w:qFormat/>
    <w:pPr>
      <w:spacing w:after="40"/>
    </w:pPr>
    <w:rPr>
      <w:sz w:val="18"/>
    </w:rPr>
  </w:style>
  <w:style w:type="paragraph" w:styleId="870">
    <w:name w:val="toc 6"/>
    <w:basedOn w:val="843"/>
    <w:next w:val="843"/>
    <w:uiPriority w:val="39"/>
    <w:unhideWhenUsed/>
    <w:qFormat/>
    <w:pPr>
      <w:ind w:left="1417"/>
      <w:spacing w:after="57"/>
    </w:pPr>
  </w:style>
  <w:style w:type="paragraph" w:styleId="871">
    <w:name w:val="table of figures"/>
    <w:basedOn w:val="843"/>
    <w:next w:val="843"/>
    <w:uiPriority w:val="99"/>
    <w:unhideWhenUsed/>
    <w:qFormat/>
  </w:style>
  <w:style w:type="paragraph" w:styleId="872">
    <w:name w:val="toc 2"/>
    <w:basedOn w:val="843"/>
    <w:next w:val="843"/>
    <w:uiPriority w:val="39"/>
    <w:unhideWhenUsed/>
    <w:qFormat/>
    <w:pPr>
      <w:ind w:left="283"/>
      <w:spacing w:after="57"/>
    </w:pPr>
  </w:style>
  <w:style w:type="paragraph" w:styleId="873">
    <w:name w:val="toc 9"/>
    <w:basedOn w:val="843"/>
    <w:next w:val="843"/>
    <w:uiPriority w:val="39"/>
    <w:unhideWhenUsed/>
    <w:qFormat/>
    <w:pPr>
      <w:ind w:left="2268"/>
      <w:spacing w:after="57"/>
    </w:pPr>
  </w:style>
  <w:style w:type="paragraph" w:styleId="874">
    <w:name w:val="Title"/>
    <w:basedOn w:val="843"/>
    <w:next w:val="843"/>
    <w:link w:val="893"/>
    <w:uiPriority w:val="1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53"/>
    <w:uiPriority w:val="22"/>
    <w:qFormat/>
    <w:rPr>
      <w:b/>
    </w:rPr>
  </w:style>
  <w:style w:type="character" w:styleId="877">
    <w:name w:val="endnote reference"/>
    <w:uiPriority w:val="99"/>
    <w:semiHidden/>
    <w:unhideWhenUsed/>
    <w:qFormat/>
    <w:rPr>
      <w:vertAlign w:val="superscript"/>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annotation reference"/>
    <w:basedOn w:val="853"/>
    <w:uiPriority w:val="99"/>
    <w:semiHidden/>
    <w:unhideWhenUsed/>
    <w:qFormat/>
    <w:rPr>
      <w:sz w:val="21"/>
      <w:szCs w:val="21"/>
    </w:rPr>
  </w:style>
  <w:style w:type="character" w:styleId="880">
    <w:name w:val="footnote reference"/>
    <w:uiPriority w:val="99"/>
    <w:unhideWhenUsed/>
    <w:qFormat/>
    <w:rPr>
      <w:vertAlign w:val="superscript"/>
    </w:rPr>
  </w:style>
  <w:style w:type="paragraph" w:styleId="881" w:customStyle="1">
    <w:name w:val="TOC 标题1"/>
    <w:basedOn w:val="844"/>
    <w:next w:val="843"/>
    <w:uiPriority w:val="39"/>
    <w:unhideWhenUsed/>
    <w:qFormat/>
    <w:pPr>
      <w:jc w:val="left"/>
      <w:spacing w:after="0" w:line="276" w:lineRule="auto"/>
      <w:widowControl/>
      <w:outlineLvl w:val="9"/>
    </w:pPr>
    <w:rPr>
      <w:rFonts w:ascii="Cambria" w:hAnsi="Cambria"/>
      <w:color w:val="365f91"/>
      <w:sz w:val="28"/>
      <w:szCs w:val="28"/>
    </w:rPr>
  </w:style>
  <w:style w:type="character" w:styleId="882" w:customStyle="1">
    <w:name w:val="标题 1 Char1"/>
    <w:link w:val="844"/>
    <w:uiPriority w:val="9"/>
    <w:qFormat/>
    <w:rPr>
      <w:rFonts w:ascii="Arial" w:hAnsi="Arial" w:eastAsia="Arial" w:cs="Arial"/>
      <w:sz w:val="40"/>
      <w:szCs w:val="40"/>
    </w:rPr>
  </w:style>
  <w:style w:type="character" w:styleId="883" w:customStyle="1">
    <w:name w:val="标题 2 Char1"/>
    <w:link w:val="845"/>
    <w:uiPriority w:val="9"/>
    <w:qFormat/>
    <w:rPr>
      <w:rFonts w:ascii="Arial" w:hAnsi="Arial" w:eastAsia="Arial" w:cs="Arial"/>
      <w:sz w:val="34"/>
    </w:rPr>
  </w:style>
  <w:style w:type="character" w:styleId="884" w:customStyle="1">
    <w:name w:val="标题 3 Char1"/>
    <w:link w:val="846"/>
    <w:uiPriority w:val="9"/>
    <w:qFormat/>
    <w:rPr>
      <w:rFonts w:ascii="Arial" w:hAnsi="Arial" w:eastAsia="Arial" w:cs="Arial"/>
      <w:sz w:val="30"/>
      <w:szCs w:val="30"/>
    </w:rPr>
  </w:style>
  <w:style w:type="character" w:styleId="885" w:customStyle="1">
    <w:name w:val="标题 4 Char"/>
    <w:link w:val="847"/>
    <w:uiPriority w:val="9"/>
    <w:qFormat/>
    <w:rPr>
      <w:rFonts w:ascii="Arial" w:hAnsi="Arial" w:eastAsia="Arial" w:cs="Arial"/>
      <w:b/>
      <w:bCs/>
      <w:sz w:val="26"/>
      <w:szCs w:val="26"/>
    </w:rPr>
  </w:style>
  <w:style w:type="character" w:styleId="886" w:customStyle="1">
    <w:name w:val="标题 5 Char"/>
    <w:link w:val="848"/>
    <w:uiPriority w:val="9"/>
    <w:qFormat/>
    <w:rPr>
      <w:rFonts w:ascii="Arial" w:hAnsi="Arial" w:eastAsia="Arial" w:cs="Arial"/>
      <w:b/>
      <w:bCs/>
      <w:sz w:val="24"/>
      <w:szCs w:val="24"/>
    </w:rPr>
  </w:style>
  <w:style w:type="character" w:styleId="887" w:customStyle="1">
    <w:name w:val="标题 6 Char"/>
    <w:link w:val="849"/>
    <w:uiPriority w:val="9"/>
    <w:qFormat/>
    <w:rPr>
      <w:rFonts w:ascii="Arial" w:hAnsi="Arial" w:eastAsia="Arial" w:cs="Arial"/>
      <w:b/>
      <w:bCs/>
      <w:sz w:val="22"/>
      <w:szCs w:val="22"/>
    </w:rPr>
  </w:style>
  <w:style w:type="character" w:styleId="888" w:customStyle="1">
    <w:name w:val="标题 7 Char"/>
    <w:link w:val="850"/>
    <w:uiPriority w:val="9"/>
    <w:qFormat/>
    <w:rPr>
      <w:rFonts w:ascii="Arial" w:hAnsi="Arial" w:eastAsia="Arial" w:cs="Arial"/>
      <w:b/>
      <w:bCs/>
      <w:i/>
      <w:iCs/>
      <w:sz w:val="22"/>
      <w:szCs w:val="22"/>
    </w:rPr>
  </w:style>
  <w:style w:type="character" w:styleId="889" w:customStyle="1">
    <w:name w:val="标题 8 Char"/>
    <w:link w:val="851"/>
    <w:uiPriority w:val="9"/>
    <w:qFormat/>
    <w:rPr>
      <w:rFonts w:ascii="Arial" w:hAnsi="Arial" w:eastAsia="Arial" w:cs="Arial"/>
      <w:i/>
      <w:iCs/>
      <w:sz w:val="22"/>
      <w:szCs w:val="22"/>
    </w:rPr>
  </w:style>
  <w:style w:type="character" w:styleId="890" w:customStyle="1">
    <w:name w:val="标题 9 Char"/>
    <w:link w:val="852"/>
    <w:uiPriority w:val="9"/>
    <w:qFormat/>
    <w:rPr>
      <w:rFonts w:ascii="Arial" w:hAnsi="Arial" w:eastAsia="Arial" w:cs="Arial"/>
      <w:i/>
      <w:iCs/>
      <w:sz w:val="21"/>
      <w:szCs w:val="21"/>
    </w:rPr>
  </w:style>
  <w:style w:type="paragraph" w:styleId="891">
    <w:name w:val="List Paragraph"/>
    <w:basedOn w:val="843"/>
    <w:uiPriority w:val="34"/>
    <w:qFormat/>
    <w:pPr>
      <w:contextualSpacing/>
      <w:ind w:left="720"/>
    </w:pPr>
  </w:style>
  <w:style w:type="paragraph" w:styleId="892">
    <w:name w:val="No Spacing"/>
    <w:uiPriority w:val="1"/>
    <w:qFormat/>
    <w:rPr>
      <w:rFonts w:ascii="Times New Roman" w:hAnsi="Times New Roman" w:eastAsia="宋体" w:cs="Times New Roman"/>
      <w:lang w:val="en-US" w:eastAsia="zh-CN" w:bidi="ar-SA"/>
    </w:rPr>
  </w:style>
  <w:style w:type="character" w:styleId="893" w:customStyle="1">
    <w:name w:val="标题 Char"/>
    <w:link w:val="874"/>
    <w:uiPriority w:val="10"/>
    <w:qFormat/>
    <w:rPr>
      <w:sz w:val="48"/>
      <w:szCs w:val="48"/>
    </w:rPr>
  </w:style>
  <w:style w:type="character" w:styleId="894" w:customStyle="1">
    <w:name w:val="副标题 Char"/>
    <w:link w:val="868"/>
    <w:uiPriority w:val="11"/>
    <w:qFormat/>
    <w:rPr>
      <w:sz w:val="24"/>
      <w:szCs w:val="24"/>
    </w:rPr>
  </w:style>
  <w:style w:type="paragraph" w:styleId="895">
    <w:name w:val="Quote"/>
    <w:basedOn w:val="843"/>
    <w:next w:val="843"/>
    <w:link w:val="896"/>
    <w:uiPriority w:val="29"/>
    <w:qFormat/>
    <w:pPr>
      <w:ind w:left="720" w:right="720"/>
    </w:pPr>
    <w:rPr>
      <w:i/>
    </w:rPr>
  </w:style>
  <w:style w:type="character" w:styleId="896" w:customStyle="1">
    <w:name w:val="引用 Char"/>
    <w:link w:val="895"/>
    <w:uiPriority w:val="29"/>
    <w:qFormat/>
    <w:rPr>
      <w:i/>
    </w:rPr>
  </w:style>
  <w:style w:type="paragraph" w:styleId="897">
    <w:name w:val="Intense Quote"/>
    <w:basedOn w:val="843"/>
    <w:next w:val="84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Char"/>
    <w:link w:val="897"/>
    <w:uiPriority w:val="30"/>
    <w:qFormat/>
    <w:rPr>
      <w:i/>
    </w:rPr>
  </w:style>
  <w:style w:type="character" w:styleId="899" w:customStyle="1">
    <w:name w:val="页眉 Char1"/>
    <w:link w:val="865"/>
    <w:uiPriority w:val="99"/>
    <w:qFormat/>
  </w:style>
  <w:style w:type="character" w:styleId="900" w:customStyle="1">
    <w:name w:val="Footer Char"/>
    <w:uiPriority w:val="99"/>
    <w:qFormat/>
  </w:style>
  <w:style w:type="character" w:styleId="901" w:customStyle="1">
    <w:name w:val="页脚 Char1"/>
    <w:link w:val="864"/>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Char"/>
    <w:link w:val="869"/>
    <w:uiPriority w:val="99"/>
    <w:qFormat/>
    <w:rPr>
      <w:sz w:val="18"/>
    </w:rPr>
  </w:style>
  <w:style w:type="character" w:styleId="1028" w:customStyle="1">
    <w:name w:val="尾注文本 Char"/>
    <w:link w:val="862"/>
    <w:uiPriority w:val="99"/>
    <w:qFormat/>
    <w:rPr>
      <w:sz w:val="20"/>
    </w:rPr>
  </w:style>
  <w:style w:type="paragraph" w:styleId="1029" w:customStyle="1">
    <w:name w:val="TOC 标题2"/>
    <w:uiPriority w:val="39"/>
    <w:unhideWhenUsed/>
    <w:qFormat/>
    <w:rPr>
      <w:rFonts w:ascii="Times New Roman" w:hAnsi="Times New Roman" w:eastAsia="宋体" w:cs="Times New Roman"/>
      <w:lang w:val="en-US" w:eastAsia="zh-CN" w:bidi="ar-SA"/>
    </w:rPr>
  </w:style>
  <w:style w:type="paragraph" w:styleId="1030" w:customStyle="1">
    <w:name w:val="标题 11"/>
    <w:basedOn w:val="843"/>
    <w:next w:val="843"/>
    <w:link w:val="1035"/>
    <w:uiPriority w:val="9"/>
    <w:qFormat/>
    <w:pPr>
      <w:keepLines/>
      <w:keepNext/>
      <w:spacing w:before="340" w:after="330" w:line="578" w:lineRule="auto"/>
      <w:outlineLvl w:val="0"/>
    </w:pPr>
    <w:rPr>
      <w:b/>
      <w:bCs/>
      <w:sz w:val="44"/>
      <w:szCs w:val="44"/>
    </w:rPr>
  </w:style>
  <w:style w:type="paragraph" w:styleId="1031" w:customStyle="1">
    <w:name w:val="标题 21"/>
    <w:basedOn w:val="843"/>
    <w:next w:val="843"/>
    <w:link w:val="1036"/>
    <w:uiPriority w:val="9"/>
    <w:qFormat/>
    <w:pPr>
      <w:keepLines/>
      <w:keepNext/>
      <w:spacing w:before="260" w:after="260" w:line="416" w:lineRule="auto"/>
      <w:outlineLvl w:val="1"/>
    </w:pPr>
    <w:rPr>
      <w:rFonts w:ascii="Cambria" w:hAnsi="Cambria"/>
      <w:b/>
      <w:bCs/>
      <w:sz w:val="32"/>
      <w:szCs w:val="32"/>
    </w:rPr>
  </w:style>
  <w:style w:type="paragraph" w:styleId="1032" w:customStyle="1">
    <w:name w:val="标题 31"/>
    <w:basedOn w:val="843"/>
    <w:next w:val="843"/>
    <w:link w:val="1037"/>
    <w:uiPriority w:val="9"/>
    <w:qFormat/>
    <w:pPr>
      <w:keepLines/>
      <w:keepNext/>
      <w:spacing w:before="260" w:after="260" w:line="416" w:lineRule="auto"/>
      <w:outlineLvl w:val="2"/>
    </w:pPr>
    <w:rPr>
      <w:b/>
      <w:bCs/>
      <w:sz w:val="32"/>
      <w:szCs w:val="32"/>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character" w:styleId="1035" w:customStyle="1">
    <w:name w:val="标题 1 Char"/>
    <w:basedOn w:val="1033"/>
    <w:link w:val="1030"/>
    <w:uiPriority w:val="9"/>
    <w:qFormat/>
    <w:rPr>
      <w:b/>
      <w:bCs/>
      <w:sz w:val="44"/>
      <w:szCs w:val="44"/>
    </w:rPr>
  </w:style>
  <w:style w:type="character" w:styleId="1036" w:customStyle="1">
    <w:name w:val="标题 2 Char"/>
    <w:basedOn w:val="1033"/>
    <w:link w:val="1031"/>
    <w:uiPriority w:val="9"/>
    <w:qFormat/>
    <w:rPr>
      <w:rFonts w:ascii="Cambria" w:hAnsi="Cambria" w:eastAsia="宋体" w:cs="Times New Roman"/>
      <w:b/>
      <w:bCs/>
      <w:sz w:val="32"/>
      <w:szCs w:val="32"/>
    </w:rPr>
  </w:style>
  <w:style w:type="character" w:styleId="1037" w:customStyle="1">
    <w:name w:val="标题 3 Char"/>
    <w:basedOn w:val="1033"/>
    <w:link w:val="1032"/>
    <w:uiPriority w:val="9"/>
    <w:qFormat/>
    <w:rPr>
      <w:b/>
      <w:bCs/>
      <w:sz w:val="32"/>
      <w:szCs w:val="32"/>
    </w:rPr>
  </w:style>
  <w:style w:type="paragraph" w:styleId="1038" w:customStyle="1">
    <w:name w:val="文档结构图1"/>
    <w:basedOn w:val="843"/>
    <w:link w:val="1039"/>
    <w:uiPriority w:val="99"/>
    <w:unhideWhenUsed/>
    <w:qFormat/>
    <w:rPr>
      <w:rFonts w:ascii="宋体"/>
      <w:sz w:val="18"/>
      <w:szCs w:val="18"/>
    </w:rPr>
  </w:style>
  <w:style w:type="character" w:styleId="1039" w:customStyle="1">
    <w:name w:val="文档结构图 Char"/>
    <w:basedOn w:val="1033"/>
    <w:link w:val="1038"/>
    <w:uiPriority w:val="99"/>
    <w:semiHidden/>
    <w:qFormat/>
    <w:rPr>
      <w:rFonts w:ascii="宋体" w:eastAsia="宋体"/>
      <w:sz w:val="18"/>
      <w:szCs w:val="18"/>
    </w:rPr>
  </w:style>
  <w:style w:type="paragraph" w:styleId="1040" w:customStyle="1">
    <w:name w:val="批注文字1"/>
    <w:basedOn w:val="843"/>
    <w:link w:val="1041"/>
    <w:uiPriority w:val="0"/>
    <w:qFormat/>
    <w:pPr>
      <w:ind w:firstLine="922"/>
      <w:jc w:val="left"/>
      <w:spacing w:line="360" w:lineRule="auto"/>
    </w:pPr>
    <w:rPr>
      <w:rFonts w:ascii="Times New Roman" w:hAnsi="Times New Roman"/>
      <w:szCs w:val="24"/>
    </w:rPr>
  </w:style>
  <w:style w:type="character" w:styleId="1041" w:customStyle="1">
    <w:name w:val="批注文字 Char"/>
    <w:basedOn w:val="1033"/>
    <w:link w:val="1040"/>
    <w:uiPriority w:val="0"/>
    <w:qFormat/>
    <w:rPr>
      <w:rFonts w:ascii="Times New Roman" w:hAnsi="Times New Roman" w:eastAsia="宋体" w:cs="Times New Roman"/>
      <w:szCs w:val="24"/>
    </w:rPr>
  </w:style>
  <w:style w:type="paragraph" w:styleId="1042" w:customStyle="1">
    <w:name w:val="正文文本1"/>
    <w:basedOn w:val="843"/>
    <w:next w:val="843"/>
    <w:link w:val="1043"/>
    <w:uiPriority w:val="0"/>
    <w:unhideWhenUsed/>
    <w:qFormat/>
    <w:pPr>
      <w:spacing w:after="120"/>
    </w:pPr>
  </w:style>
  <w:style w:type="character" w:styleId="1043" w:customStyle="1">
    <w:name w:val="正文文本 Char"/>
    <w:basedOn w:val="1033"/>
    <w:link w:val="1042"/>
    <w:uiPriority w:val="0"/>
    <w:qFormat/>
    <w:rPr>
      <w:rFonts w:ascii="Calibri" w:hAnsi="Calibri" w:eastAsia="宋体" w:cs="Times New Roman"/>
    </w:rPr>
  </w:style>
  <w:style w:type="paragraph" w:styleId="1044" w:customStyle="1">
    <w:name w:val="正文文本缩进11"/>
    <w:basedOn w:val="843"/>
    <w:link w:val="1045"/>
    <w:uiPriority w:val="0"/>
    <w:qFormat/>
    <w:pPr>
      <w:ind w:left="420"/>
      <w:spacing w:after="120"/>
    </w:pPr>
    <w:rPr>
      <w:rFonts w:ascii="Times New Roman" w:hAnsi="Times New Roman"/>
      <w:szCs w:val="24"/>
    </w:rPr>
  </w:style>
  <w:style w:type="character" w:styleId="1045" w:customStyle="1">
    <w:name w:val="正文文本缩进 Char"/>
    <w:basedOn w:val="1033"/>
    <w:link w:val="1044"/>
    <w:uiPriority w:val="0"/>
    <w:qFormat/>
    <w:rPr>
      <w:rFonts w:ascii="Times New Roman" w:hAnsi="Times New Roman" w:eastAsia="宋体" w:cs="Times New Roman"/>
      <w:szCs w:val="24"/>
    </w:rPr>
  </w:style>
  <w:style w:type="paragraph" w:styleId="1046" w:customStyle="1">
    <w:name w:val="纯文本1"/>
    <w:basedOn w:val="843"/>
    <w:link w:val="1047"/>
    <w:uiPriority w:val="0"/>
    <w:qFormat/>
    <w:rPr>
      <w:rFonts w:ascii="宋体" w:hAnsi="Courier New" w:cs="Courier New"/>
      <w:szCs w:val="21"/>
    </w:rPr>
  </w:style>
  <w:style w:type="character" w:styleId="1047" w:customStyle="1">
    <w:name w:val="纯文本 Char"/>
    <w:basedOn w:val="1033"/>
    <w:link w:val="1046"/>
    <w:uiPriority w:val="0"/>
    <w:qFormat/>
    <w:rPr>
      <w:rFonts w:ascii="宋体" w:hAnsi="Courier New" w:eastAsia="宋体" w:cs="Courier New"/>
      <w:szCs w:val="21"/>
    </w:rPr>
  </w:style>
  <w:style w:type="paragraph" w:styleId="1048" w:customStyle="1">
    <w:name w:val="日期1"/>
    <w:basedOn w:val="843"/>
    <w:next w:val="843"/>
    <w:link w:val="1049"/>
    <w:uiPriority w:val="99"/>
    <w:unhideWhenUsed/>
    <w:qFormat/>
    <w:pPr>
      <w:ind w:left="100"/>
    </w:pPr>
  </w:style>
  <w:style w:type="character" w:styleId="1049" w:customStyle="1">
    <w:name w:val="日期 Char"/>
    <w:basedOn w:val="1033"/>
    <w:link w:val="1048"/>
    <w:uiPriority w:val="99"/>
    <w:semiHidden/>
    <w:qFormat/>
  </w:style>
  <w:style w:type="paragraph" w:styleId="1050" w:customStyle="1">
    <w:name w:val="批注框文本1"/>
    <w:basedOn w:val="843"/>
    <w:link w:val="1051"/>
    <w:uiPriority w:val="99"/>
    <w:unhideWhenUsed/>
    <w:qFormat/>
    <w:rPr>
      <w:sz w:val="18"/>
      <w:szCs w:val="18"/>
    </w:rPr>
  </w:style>
  <w:style w:type="character" w:styleId="1051" w:customStyle="1">
    <w:name w:val="批注框文本 Char"/>
    <w:basedOn w:val="1033"/>
    <w:link w:val="1050"/>
    <w:uiPriority w:val="99"/>
    <w:semiHidden/>
    <w:qFormat/>
    <w:rPr>
      <w:sz w:val="18"/>
      <w:szCs w:val="18"/>
    </w:rPr>
  </w:style>
  <w:style w:type="paragraph" w:styleId="1052" w:customStyle="1">
    <w:name w:val="页脚1"/>
    <w:basedOn w:val="843"/>
    <w:link w:val="1053"/>
    <w:uiPriority w:val="99"/>
    <w:unhideWhenUsed/>
    <w:qFormat/>
    <w:pPr>
      <w:jc w:val="left"/>
      <w:tabs>
        <w:tab w:val="center" w:pos="4153" w:leader="none"/>
        <w:tab w:val="right" w:pos="8306" w:leader="none"/>
      </w:tabs>
    </w:pPr>
    <w:rPr>
      <w:sz w:val="18"/>
      <w:szCs w:val="18"/>
    </w:rPr>
  </w:style>
  <w:style w:type="character" w:styleId="1053" w:customStyle="1">
    <w:name w:val="页脚 Char"/>
    <w:basedOn w:val="1033"/>
    <w:link w:val="1052"/>
    <w:uiPriority w:val="99"/>
    <w:qFormat/>
    <w:rPr>
      <w:sz w:val="18"/>
      <w:szCs w:val="18"/>
    </w:rPr>
  </w:style>
  <w:style w:type="paragraph" w:styleId="1054" w:customStyle="1">
    <w:name w:val="页眉1"/>
    <w:basedOn w:val="843"/>
    <w:link w:val="10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Char"/>
    <w:basedOn w:val="1033"/>
    <w:link w:val="1054"/>
    <w:uiPriority w:val="99"/>
    <w:semiHidden/>
    <w:qFormat/>
    <w:rPr>
      <w:sz w:val="18"/>
      <w:szCs w:val="18"/>
    </w:rPr>
  </w:style>
  <w:style w:type="paragraph" w:styleId="1056" w:customStyle="1">
    <w:name w:val="目录 11"/>
    <w:basedOn w:val="843"/>
    <w:next w:val="843"/>
    <w:uiPriority w:val="39"/>
    <w:unhideWhenUsed/>
    <w:qFormat/>
    <w:pPr>
      <w:jc w:val="center"/>
      <w:tabs>
        <w:tab w:val="right" w:pos="8296" w:leader="dot"/>
      </w:tabs>
    </w:pPr>
    <w:rPr>
      <w:rFonts w:ascii="黑体" w:hAnsi="黑体" w:eastAsia="黑体"/>
      <w:sz w:val="44"/>
      <w:szCs w:val="44"/>
    </w:rPr>
  </w:style>
  <w:style w:type="paragraph" w:styleId="1057" w:customStyle="1">
    <w:name w:val="普通(网站)1"/>
    <w:basedOn w:val="843"/>
    <w:uiPriority w:val="99"/>
    <w:unhideWhenUsed/>
    <w:qFormat/>
    <w:rPr>
      <w:sz w:val="24"/>
    </w:rPr>
  </w:style>
  <w:style w:type="table" w:styleId="1058" w:customStyle="1">
    <w:name w:val="网格型11"/>
    <w:basedOn w:val="1034"/>
    <w:uiPriority w:val="59"/>
    <w:qFormat/>
    <w:tblPr>
      <w:tblCellMar>
        <w:left w:w="0" w:type="dxa"/>
        <w:top w:w="0" w:type="dxa"/>
        <w:right w:w="0" w:type="dxa"/>
        <w:bottom w:w="0" w:type="dxa"/>
      </w:tblCellMar>
    </w:tblPr>
  </w:style>
  <w:style w:type="character" w:styleId="1059" w:customStyle="1">
    <w:name w:val="超链接1"/>
    <w:uiPriority w:val="99"/>
    <w:qFormat/>
    <w:rPr>
      <w:color w:val="0000ff"/>
      <w:u w:val="none"/>
    </w:rPr>
  </w:style>
  <w:style w:type="character" w:styleId="1060" w:customStyle="1">
    <w:name w:val="批注引用1"/>
    <w:uiPriority w:val="0"/>
    <w:qFormat/>
    <w:rPr>
      <w:sz w:val="21"/>
      <w:szCs w:val="21"/>
    </w:rPr>
  </w:style>
  <w:style w:type="paragraph" w:styleId="1061" w:customStyle="1">
    <w:name w:val="正文首行缩进 21"/>
    <w:basedOn w:val="1062"/>
    <w:uiPriority w:val="99"/>
    <w:qFormat/>
    <w:pPr>
      <w:ind w:firstLine="420"/>
    </w:pPr>
  </w:style>
  <w:style w:type="paragraph" w:styleId="1062" w:customStyle="1">
    <w:name w:val="正文文本缩进1"/>
    <w:basedOn w:val="843"/>
    <w:next w:val="1063"/>
    <w:uiPriority w:val="0"/>
    <w:qFormat/>
    <w:pPr>
      <w:ind w:left="420"/>
      <w:spacing w:after="120"/>
    </w:pPr>
    <w:rPr>
      <w:rFonts w:ascii="Times New Roman" w:hAnsi="Times New Roman"/>
      <w:szCs w:val="24"/>
    </w:rPr>
  </w:style>
  <w:style w:type="paragraph" w:styleId="1063" w:customStyle="1">
    <w:name w:val="寄信人地址1"/>
    <w:basedOn w:val="843"/>
    <w:uiPriority w:val="99"/>
    <w:unhideWhenUsed/>
    <w:qFormat/>
    <w:rPr>
      <w:rFonts w:ascii="Arial" w:hAnsi="Arial"/>
    </w:rPr>
  </w:style>
  <w:style w:type="paragraph" w:styleId="1064" w:customStyle="1">
    <w:name w:val="正文首行缩进11"/>
    <w:basedOn w:val="1065"/>
    <w:uiPriority w:val="0"/>
    <w:qFormat/>
    <w:pPr>
      <w:ind w:firstLine="200"/>
      <w:spacing w:line="360" w:lineRule="auto"/>
    </w:pPr>
    <w:rPr>
      <w:rFonts w:ascii="仿宋_GB2312" w:hAnsi="Times New Roman" w:eastAsia="仿宋_GB2312"/>
      <w:sz w:val="30"/>
      <w:szCs w:val="30"/>
    </w:rPr>
  </w:style>
  <w:style w:type="paragraph" w:styleId="1065" w:customStyle="1">
    <w:name w:val="正文文本11"/>
    <w:basedOn w:val="843"/>
    <w:next w:val="843"/>
    <w:uiPriority w:val="0"/>
    <w:qFormat/>
    <w:rPr>
      <w:rFonts w:ascii="楷体_GB2312" w:hAnsi="Arial" w:eastAsia="楷体_GB2312"/>
      <w:sz w:val="28"/>
      <w:szCs w:val="28"/>
      <w:lang w:eastAsia="en-US"/>
    </w:rPr>
  </w:style>
  <w:style w:type="paragraph" w:styleId="10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7" w:customStyle="1">
    <w:name w:val="列出段落1"/>
    <w:basedOn w:val="843"/>
    <w:uiPriority w:val="0"/>
    <w:qFormat/>
    <w:pPr>
      <w:ind w:firstLine="420"/>
    </w:pPr>
    <w:rPr>
      <w:rFonts w:ascii="Times New Roman" w:hAnsi="Times New Roman"/>
      <w:szCs w:val="21"/>
    </w:rPr>
  </w:style>
  <w:style w:type="table" w:styleId="1068" w:customStyle="1">
    <w:name w:val="网格型1"/>
    <w:basedOn w:val="1034"/>
    <w:uiPriority w:val="59"/>
    <w:qFormat/>
    <w:tblPr>
      <w:tblCellMar>
        <w:left w:w="0" w:type="dxa"/>
        <w:top w:w="0" w:type="dxa"/>
        <w:right w:w="0" w:type="dxa"/>
        <w:bottom w:w="0" w:type="dxa"/>
      </w:tblCellMar>
    </w:tblPr>
  </w:style>
  <w:style w:type="paragraph" w:styleId="1069" w:customStyle="1">
    <w:name w:val="无间隔1"/>
    <w:basedOn w:val="843"/>
    <w:uiPriority w:val="0"/>
    <w:qFormat/>
    <w:rPr>
      <w:rFonts w:ascii="Times New Roman" w:hAnsi="Times New Roman"/>
    </w:rPr>
  </w:style>
  <w:style w:type="character" w:styleId="1070" w:customStyle="1">
    <w:name w:val="批注框文本 Char1"/>
    <w:basedOn w:val="853"/>
    <w:link w:val="863"/>
    <w:uiPriority w:val="99"/>
    <w:semiHidden/>
    <w:qFormat/>
    <w:rPr>
      <w:rFonts w:ascii="Calibri" w:hAnsi="Calibri"/>
      <w:sz w:val="18"/>
      <w:szCs w:val="18"/>
    </w:rPr>
  </w:style>
  <w:style w:type="character" w:styleId="1071" w:customStyle="1">
    <w:name w:val="强调1"/>
    <w:uiPriority w:val="0"/>
    <w:qFormat/>
    <w:rPr>
      <w:rFonts w:ascii="Calibri" w:hAnsi="Calibri" w:eastAsia="宋体" w:cs="Times New Roman"/>
      <w:sz w:val="21"/>
      <w:szCs w:val="22"/>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2024年11</dc:description>
  <cp:lastModifiedBy>侍启花</cp:lastModifiedBy>
  <cp:revision>4</cp:revision>
  <dcterms:created xsi:type="dcterms:W3CDTF">2026-09-12T12:27:00Z</dcterms:created>
  <dcterms:modified xsi:type="dcterms:W3CDTF">2026-09-16T09:17:04Z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eyJoZGlkIjoiYjdmOTFiOWQzYTg2N2JkZWFmOWRlY2Q3Yjk2MWY2ZjEiLCJ1c2VySWQiOiIxNTU2NjM2OTI5In0=</vt:lpwstr>
  </property>
  <property fmtid="{D5CDD505-2E9C-101B-9397-08002B2CF9AE}" pid="3" name="KSOProductBuildVer">
    <vt:lpwstr>2052-12.1.0.28505</vt:lpwstr>
  </property>
  <property fmtid="{D5CDD505-2E9C-101B-9397-08002B2CF9AE}" pid="4" name="ICV">
    <vt:lpwstr>88C1EAAD70304918A340C2B9F0E2D1B8_13</vt:lpwstr>
  </property>
</Properties>
</file>