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3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mc:AlternateContent>
          <mc:Choice Requires="wpg">
            <w:drawing>
              <wp:inline xmlns:wp="http://schemas.openxmlformats.org/drawingml/2006/wordprocessingDrawing" distT="0" distB="0" distL="0" distR="0">
                <wp:extent cx="1266825" cy="10096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898828" name=""/>
                        <pic:cNvPicPr>
                          <a:picLocks noChangeAspect="1"/>
                        </pic:cNvPicPr>
                        <pic:nvPr/>
                      </pic:nvPicPr>
                      <pic:blipFill>
                        <a:blip r:embed="rId12"/>
                        <a:stretch/>
                      </pic:blipFill>
                      <pic:spPr bwMode="auto">
                        <a:xfrm>
                          <a:off x="0" y="0"/>
                          <a:ext cx="1266824" cy="1009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8pt;height:79.5pt;mso-wrap-distance-left:0.0pt;mso-wrap-distance-top:0.0pt;mso-wrap-distance-right:0.0pt;mso-wrap-distance-bottom:0.0pt;" stroked="false">
                <v:path textboxrect="0,0,0,0"/>
                <v:imagedata r:id="rId12" o:title=""/>
              </v:shape>
            </w:pict>
          </mc:Fallback>
        </mc:AlternateContent>
      </w:r>
      <w:r>
        <w:rPr>
          <w:rFonts w:ascii="SimSun" w:hAnsi="SimSun" w:eastAsia="SimSun" w:cs="SimSun"/>
          <w:color w:val="000000"/>
          <w:sz w:val="32"/>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144"/>
        </w:rPr>
        <w:t xml:space="preserve">招</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144"/>
        </w:rPr>
        <w:t xml:space="preserve">标</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144"/>
        </w:rPr>
        <w:t xml:space="preserve">文</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144"/>
        </w:rPr>
        <w:t xml:space="preserve">件</w:t>
      </w:r>
      <w:r/>
    </w:p>
    <w:p>
      <w:pPr>
        <w:ind w:left="0" w:right="0" w:firstLine="141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项目名称：医疗处置工作台采购（太行路院区二期）</w:t>
      </w:r>
      <w:r/>
    </w:p>
    <w:p>
      <w:pPr>
        <w:ind w:left="0" w:right="0" w:firstLine="141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项目编号：JSZC-320300-ZJZB-G2026-0132</w:t>
      </w:r>
      <w:r/>
    </w:p>
    <w:p>
      <w:pPr>
        <w:ind w:left="0" w:right="0" w:firstLine="141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 购 人：徐州市中心医院</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采购代理机构：江苏中际招标代理有限公司</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二〇二六年九月</w:t>
      </w:r>
      <w:r/>
    </w:p>
    <w:p>
      <w:pPr>
        <w:shd w:val="nil" w:color="auto"/>
        <w:rPr>
          <w:sz w:val="24"/>
          <w:szCs w:val="24"/>
        </w:rPr>
      </w:pPr>
      <w:r>
        <w:rPr>
          <w:rFonts w:ascii="SimSun" w:hAnsi="SimSun" w:eastAsia="SimSun" w:cs="SimSun"/>
          <w:b/>
          <w:color w:val="000000"/>
          <w:sz w:val="44"/>
          <w:highlight w:val="none"/>
        </w:rPr>
      </w:r>
      <w:r/>
    </w:p>
    <w:p>
      <w:pPr>
        <w:ind w:left="0" w:right="0" w:firstLine="0"/>
        <w:jc w:val="center"/>
        <w:spacing w:before="240" w:after="240"/>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 录</w:t>
      </w:r>
      <w:r/>
    </w:p>
    <w:p>
      <w:pPr>
        <w:ind w:left="0" w:right="0"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line="519" w:lineRule="atLeast"/>
        <w:tabs>
          <w:tab w:val="left" w:pos="8948"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523404695" w:history="1">
        <w:r>
          <w:rPr>
            <w:rStyle w:val="730"/>
            <w:rFonts w:ascii="Calibri" w:hAnsi="Calibri" w:eastAsia="Calibri" w:cs="Calibri"/>
            <w:color w:val="0000ee"/>
            <w:sz w:val="30"/>
            <w:u w:val="single"/>
          </w:rPr>
          <w:t xml:space="preserve">第一章投标邀请</w:t>
        </w:r>
      </w:hyperlink>
      <w:r/>
      <w:r/>
    </w:p>
    <w:p>
      <w:pPr>
        <w:ind w:left="0" w:right="0" w:firstLine="0"/>
        <w:spacing w:before="240" w:after="240" w:line="519" w:lineRule="atLeast"/>
        <w:tabs>
          <w:tab w:val="left" w:pos="8948"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523404696" w:history="1">
        <w:r>
          <w:rPr>
            <w:rStyle w:val="730"/>
            <w:rFonts w:ascii="Calibri" w:hAnsi="Calibri" w:eastAsia="Calibri" w:cs="Calibri"/>
            <w:color w:val="0000ee"/>
            <w:sz w:val="30"/>
            <w:u w:val="single"/>
          </w:rPr>
          <w:t xml:space="preserve">第二章投标人须知</w:t>
        </w:r>
      </w:hyperlink>
      <w:r/>
      <w:r/>
    </w:p>
    <w:p>
      <w:pPr>
        <w:ind w:left="0" w:right="0" w:firstLine="0"/>
        <w:spacing w:before="240" w:after="240" w:line="519" w:lineRule="atLeast"/>
        <w:tabs>
          <w:tab w:val="left" w:pos="8948"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523404697" w:history="1">
        <w:r>
          <w:rPr>
            <w:rStyle w:val="730"/>
            <w:rFonts w:ascii="Calibri" w:hAnsi="Calibri" w:eastAsia="Calibri" w:cs="Calibri"/>
            <w:color w:val="0000ee"/>
            <w:sz w:val="30"/>
            <w:u w:val="single"/>
          </w:rPr>
          <w:t xml:space="preserve">第三章投标资料表</w:t>
        </w:r>
      </w:hyperlink>
      <w:r/>
      <w:r/>
    </w:p>
    <w:p>
      <w:pPr>
        <w:ind w:left="0" w:right="0" w:firstLine="0"/>
        <w:spacing w:before="240" w:after="240" w:line="519" w:lineRule="atLeast"/>
        <w:tabs>
          <w:tab w:val="left" w:pos="8948"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523404698" w:history="1">
        <w:r>
          <w:rPr>
            <w:rStyle w:val="730"/>
            <w:rFonts w:ascii="Calibri" w:hAnsi="Calibri" w:eastAsia="Calibri" w:cs="Calibri"/>
            <w:color w:val="0000ee"/>
            <w:sz w:val="30"/>
            <w:u w:val="single"/>
          </w:rPr>
          <w:t xml:space="preserve">第四章评标标准</w:t>
        </w:r>
      </w:hyperlink>
      <w:r/>
      <w:r/>
    </w:p>
    <w:p>
      <w:pPr>
        <w:ind w:left="0" w:right="0" w:firstLine="0"/>
        <w:spacing w:before="240" w:after="240" w:line="519" w:lineRule="atLeast"/>
        <w:tabs>
          <w:tab w:val="left" w:pos="8948"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523404699" w:history="1">
        <w:r>
          <w:rPr>
            <w:rStyle w:val="730"/>
            <w:rFonts w:ascii="Calibri" w:hAnsi="Calibri" w:eastAsia="Calibri" w:cs="Calibri"/>
            <w:color w:val="0000ee"/>
            <w:sz w:val="30"/>
            <w:u w:val="single"/>
          </w:rPr>
          <w:t xml:space="preserve">第五章拟签订的合同文本</w:t>
        </w:r>
      </w:hyperlink>
      <w:r/>
      <w:r/>
    </w:p>
    <w:p>
      <w:pPr>
        <w:ind w:left="0" w:right="0" w:firstLine="0"/>
        <w:spacing w:before="240" w:after="240" w:line="519" w:lineRule="atLeast"/>
        <w:tabs>
          <w:tab w:val="left" w:pos="8948"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523404700" w:history="1">
        <w:r>
          <w:rPr>
            <w:rStyle w:val="730"/>
            <w:rFonts w:ascii="Calibri" w:hAnsi="Calibri" w:eastAsia="Calibri" w:cs="Calibri"/>
            <w:color w:val="0000ee"/>
            <w:sz w:val="30"/>
            <w:u w:val="single"/>
          </w:rPr>
          <w:t xml:space="preserve">第六章采购需求</w:t>
        </w:r>
      </w:hyperlink>
      <w:r/>
      <w:r/>
    </w:p>
    <w:p>
      <w:pPr>
        <w:ind w:left="0" w:right="0" w:firstLine="0"/>
        <w:spacing w:before="240" w:after="240" w:line="519" w:lineRule="atLeast"/>
        <w:tabs>
          <w:tab w:val="left" w:pos="8948" w:leader="none"/>
        </w:tabs>
        <w:pBdr>
          <w:top w:val="none" w:color="000000" w:sz="4" w:space="0"/>
          <w:left w:val="none" w:color="000000" w:sz="4" w:space="0"/>
          <w:bottom w:val="none" w:color="000000" w:sz="4" w:space="0"/>
          <w:right w:val="none" w:color="000000" w:sz="4" w:space="0"/>
        </w:pBdr>
      </w:pPr>
      <w:r/>
      <w:hyperlink r:id="rId19" w:tooltip="https://jszfcg.jsczt.cn/jszc/onlyoffice/7.2.1-34/web-apps/apps/documenteditor/main/index_loader.html?_dc=7.2.1-34&amp;lang=zh&amp;customer=%20&amp;logo=%20&amp;headerlogo=%2Ffavicon.ico&amp;frameEditorId=iframePage&amp;compact=true&amp;parentOrigin=https://jszfcg.jsczt.cn#_Toc523404701" w:history="1">
        <w:r>
          <w:rPr>
            <w:rStyle w:val="730"/>
            <w:rFonts w:ascii="Calibri" w:hAnsi="Calibri" w:eastAsia="Calibri" w:cs="Calibri"/>
            <w:color w:val="0000ee"/>
            <w:sz w:val="30"/>
            <w:u w:val="single"/>
          </w:rPr>
          <w:t xml:space="preserve">第七章投标文件相关格式</w:t>
        </w:r>
      </w:hyperlink>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徐州市中心医院</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《医疗处置工作台采购（太行路院区二期）》项目招标文件</w:t>
      </w: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1"/>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第一章投标邀请</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江苏中际招标代理有限公司对“医疗处置工作台采购（太行路院区二期）”项目进行公开招标采购，现邀请符合相关条件的供应商投标。</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一、项目名称和项目编号</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（一）项目名称：医疗处置工作台采购（太行路院区二期）</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（二）项目编号：JSZC-320300-ZJZB-G2026-0132</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二、对投标人的资格要求</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详见本项目公开招标公告。</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三、获取招标文件</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（一）潜在投标人访问电子招标投标交易平台的网络地址和方法：</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潜在供应商访问“苏采云”系统的网络地址和方法：“苏采云”系统的网址：http：//jszfcg.jsczt.cn/；或进入江苏政府采购网（网址：http：//www.ccgp-jiangsu.gov.cn/）--办事指南--供应商--供应商进入，点击“苏采云”进入系统。</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（3）“CA数字证书”的获取：</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（二）采购代理机构将数据电文形式的招标文件加载至电子招标投标交易平台，供潜在投标人下载或者查阅。</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（三）售价：免费。  </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四、投标有关信息</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（一）投标截止时间：2026年10月19日北京时间09：30。</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（二）开标时间：2026年10月19日北京时间09：30</w:t>
      </w:r>
      <w:r>
        <w:rPr>
          <w:rFonts w:ascii="SimSun" w:hAnsi="SimSun" w:eastAsia="SimSun" w:cs="SimSun"/>
          <w:color w:val="000000"/>
          <w:sz w:val="28"/>
        </w:rPr>
        <w:t xml:space="preserve">。</w:t>
      </w:r>
      <w:r/>
    </w:p>
    <w:p>
      <w:pPr>
        <w:ind w:left="0" w:right="0" w:firstLine="56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（三）开标地点：“苏采云”系统“开标大厅”或进入江苏政府采购网--办事指南--供应商--供应商进入，点击“苏采云”进入系统“开标大厅”。</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五、采购人</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（一）名称：徐州市中心医院</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（二）地址：徐州市解放路199号</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（三）联系方法：0516-83956095</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（四）采购项目联系人：张老师</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六、采购代理机构</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（一）名称：江苏中际招标代理有限公司。</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（二）地址：徐州市云龙区绿地商务城LOFT领海办公楼5#1906室</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（三）联系方法：0516-83200975 </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（四）采购项目联系人：冯旭、彭翔宇</w:t>
      </w:r>
      <w:r/>
    </w:p>
    <w:p>
      <w:pPr>
        <w:ind w:left="0" w:right="0" w:firstLine="60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第二章投标人须知</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一、总则</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（一）采购人。采购人即指依法进行政府采购的国家机关、事业单位和团体组织。</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（二）政府招标采购方式。政府采购货物或服务（以下简称“货物服务”）的采购人式，分为公开招标和邀请招标。</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（三）采购人在采购货物服务的招标投标活动中，应当贯彻落实“节约能源、保护环境、扶持不发达地区和少数民族地区和促进中小企业发展”等政府采购政策。</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（五）采购人委托采购代理机构代理招标的，采购代理机构必须在采购人委托的范围内依法开展采购活动。</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（六）投标人的资格条件：</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投标人是指响应招标、参加投标竞争的法人、其他组织或者自然人。</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2.投标人授权代表系指法定代表人或受法人委托的受托人。</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（七）投标费用：投标人应承担所有与准备和参加投标有关的费用。无论投标的结果如何，采购代理机构对上述费用不承担任何责任和义务。</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二、招标</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（八）招标文件应包括以下内容：</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第一章，投标邀请；</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第二章，投标人须知；</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第三章，投标资料表；</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第四章，评标标准；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第五章，拟签订的合同文本；</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第六章，采购需求；</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第七章，投标文件相关格式。</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（九）招标文件澄清或者修改：</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2.现场考察以本文件第三章《投标资料表》中的要求为准。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3.开标前答疑会以本文件第三章《投标资料表》中的要求为准。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三、投标</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（十）投标人应当按照招标文件的要求编制投标文件。投标文件应对招标文件提出的要求和条件作出实质性响应。</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（十一）投标文件的语言。投标文件以及投标人与采购代理机构就有关投标的往来函电均应使用本文件第三章《投标资料表》规定的语言书写，否则无效。</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（十二）投标文件的构成：</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1.投标文件的构成以本文件第三章《投标资料表》中的要求为准。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2.投标人应当提交的资格、资信证明文件，以本文件第三章《投标资料表》中的所提要求为准。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（十三）投标函和价格表、商务条件、交货和提供服务的时间：</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1.投标函和价格表的要求见本章（十二）、（十三），格式见本文件第七章《投标文件相关格式》中《投标函》和《开标一览表》。</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2.商务条件以本文件第三章《投标资料表》中的要求为准。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3.交货和提供服务的时间，以本文件第三章《投标资料表》中所提要求为准。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（十四）投标报价要求：</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1.投标人应按照招标文件的要求报出分项价格和总价。</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2.投标人应按照招标文件的要求进行报价，如投标人作出偏离，应在《偏离表》中列出。</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3.采购人不支付报价以外的任何费用。</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4.投标人所报的价格，在合同执行过程中是固定的，不得以任何理由予以变更。投标人提交滑动价格的投标文件，在资格性、符合性检查时按照无效投标处理。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5.投标人只能提交一个投标价格，投标人提交多个价格的投标文件，在资格性、符合性检查时按照无效投标处理。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（十五）投标货币。以本文件第三章《投标资料表》中所提要求为准。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（十六）投标有效期：</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1.投标有效期为开标之日后90天。采购人可以要求对投标有效期延长一次，但该延长期最长不得超过30天。</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3.如果采购人发出要求延长投标有效期的通知，并在投标有效期届满前，没有收到投标人同意的书面通知，则视为该投标人不接受上述延期的要求。</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（十七）投标文件的编制要求和签署要求</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1.投标人应由其法定代表人或法定代表人授权代表在规定的网上投标时间，凭 CA 证书登陆“苏采云”系统在线编制投标文件（电子数据），并在投标截止时间之前上传投标文件。</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2.投标人应对 CA 证书妥善保管，如被他人盗用投标，因此带来的结果均由投标人自行承担。</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3.投标人应当对招标文件提出的要求和条件作出实质性响应，并在电子投标系统逐条应答。</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4.投标人应对要求提供的资格证明文件（如资质证书、资格证书）、技术资料（如白皮书、彩页、手册、检测报告等）扫描上传至投标系统。</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（十八）投标文件的盖章要求：</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投标文件的盖章要求，以本文件第三章《投标资料表》中所提要求为准。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（十九）提交投标文件的截止时间和收到投标文件后注意事项。投标人应在招标文件要求的提交投标文件的截止时间前，将投标文件提交至“苏采云”系统。</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（二十）凡在招标文件要求提交投标文件的截止时间之后送达的投标文件，均为无效投标文件，“苏采云”系统将自动拒收。 各投标人应在规定时间内通过 CA 证书进行网上解密。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（二十二）本项目不允许分包。</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（二十三）投标人应当遵循公平竞争的原则，不得恶意串通，不得妨碍其他投标人的竞争行为，不得损害采购人或者其他投标人的合法权益。</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在评标过程中发现投标人有上述情形的，评标委员会应当认定其投标无效，并书面报告本级财政部门。</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（二十四）有下列情形之一的，其投标无效：</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1.不同投标人的投标文件，由同一单位或者个人编制；</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2.不同投标人委托同一单位或者个人办理投标事宜；</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3.不同投标人的投标文件中，所载明的项目管理成员或联系人为同一人；</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4.不同投标人的投标文件，异常一致或者投标报价呈规律性差异；</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5.不同投标人投标文件内容存在非正常一致、项目组成员出现同一人、投标文件中错误（或异常）一致或雷同、电子文档信息一致或雷同的、投标报价呈规律性差异的；</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6.电子投标文件未按规定期限投标的；</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7.电子投标文件未按招标文件要求签章的；</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8.投标人未在规定时间内解密电子投标文件的；</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9.投标文件未按招标文件规定的内容和要求填写的；没有在投标系统指定位置上传对应文件、材料的；</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10.不具备招标文件中规定的资格要求的；</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11.报价超过招标文件中规定的预算金额或者最高限价的；</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12.投标文件含有采购人不能接受的附加条件的；</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13.法律、法规和招标文件规定的其他无效情形。</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四、开标</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（二十五）开标：</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1.开标时间及地点。开标应当在招标文件确定的提交投标文件截止时间的同一时间公开进行；开标地点应当为招标文件中预先确定的地点。</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2.由电子招标投标交易平台主持，邀请投标人参加。</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3.所有投标单位使用 CA 证书在开标时间时，解密各自投标文件，投标人不足3家的，不得评标。</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4.投标人原因造成投标文件未</w:t>
      </w:r>
      <w:r>
        <w:rPr>
          <w:rFonts w:ascii="SimSun" w:hAnsi="SimSun" w:eastAsia="SimSun" w:cs="SimSun"/>
          <w:color w:val="000000"/>
          <w:sz w:val="28"/>
        </w:rPr>
        <w:t xml:space="preserve">解密的，视为撤销其投标文件;因投标人之外的原因造成投标文件未解密的，视为撤回其投标文件。部分投标文件未解密的，其他投标文件的开标可以继续进行。</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五、评标</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（二十六）公开招标采购项目开标结束后，采购人依法对投标人的资格进行审查。合格投标人不足3家的，不得评标。</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1.评标工作由采购代理机构负责组织，并履行下列职责：</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（1）核对评审专家身份和采购人代表授权函，对评审专家在政府采购活动中的职责履行情况予以记录，并及时将有关违法违规行为向财政部门报告；</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（2）宣布评标纪律；</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（3）公布投标人名单，告知评审专家应当回避的情形；</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（4）组织评标委员会推选评标组长（采购人代表不得担任组长）；</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（5）在评标期间采取必要的通讯管理措施，保证评标活动不受外界干扰；</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（6）根据评标委员会的要求介绍政府采购相关政策法规、招标文件；</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（7）维护评标秩序，监督评标委员会依照招标文件规定的评标程序、方法和标准进行独立评审。及时制止和纠正采购人代表、评审专家的倾向性言论或者违法违规行为；</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（8）核对评标结果，对有《</w:t>
      </w:r>
      <w:hyperlink r:id="rId20" w:tooltip="http://www.caigou2003.com/" w:history="1">
        <w:r>
          <w:rPr>
            <w:rStyle w:val="730"/>
            <w:rFonts w:ascii="SimSun" w:hAnsi="SimSun" w:eastAsia="SimSun" w:cs="SimSun"/>
            <w:color w:val="0000ee"/>
            <w:sz w:val="28"/>
            <w:u w:val="single"/>
          </w:rPr>
          <w:t xml:space="preserve">政府采购</w:t>
        </w:r>
      </w:hyperlink>
      <w:r>
        <w:rPr>
          <w:rFonts w:ascii="SimSun" w:hAnsi="SimSun" w:eastAsia="SimSun" w:cs="SimSun"/>
          <w:color w:val="000000"/>
          <w:sz w:val="28"/>
        </w:rPr>
        <w:t xml:space="preserve">货物和服务招标投标管理办法》第六十四条规定情形的，应要求评标委员会复核或者书面说明理由，评标委员会拒绝的，应予记录并向本级财政部门报告；</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（9）评审工作完成后，按照规定向评审专家支付劳务报酬和异地评审差旅费，不得向评审专家以外的其他人员支付评审劳务报酬； </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（10）处理与评标有关的其他事项。</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2.评标委员会负责具体评标事务，并独立履行下列职责：</w:t>
      </w:r>
      <w:r/>
    </w:p>
    <w:p>
      <w:pPr>
        <w:ind w:left="0" w:right="0" w:firstLine="45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（1）审查、评价投标文件是否符合招标文件的商务、技术等实质性要求；</w:t>
      </w:r>
      <w:r/>
    </w:p>
    <w:p>
      <w:pPr>
        <w:ind w:left="0" w:right="0" w:firstLine="45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（2）要求投标人对投标文件有关事项作出澄清或者说明；</w:t>
      </w:r>
      <w:r/>
    </w:p>
    <w:p>
      <w:pPr>
        <w:ind w:left="0" w:right="0" w:firstLine="45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（3）对投标文件进行比较和评价；</w:t>
      </w:r>
      <w:r/>
    </w:p>
    <w:p>
      <w:pPr>
        <w:ind w:left="0" w:right="0" w:firstLine="45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（4）确定中标候选人名单，以及根据采购人委托直接确定中标人；</w:t>
      </w:r>
      <w:r/>
    </w:p>
    <w:p>
      <w:pPr>
        <w:ind w:left="0" w:right="0" w:firstLine="45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（5）向采购人、采购代理机构或有关部门报告评标中发现的违法行为。</w:t>
      </w:r>
      <w:r/>
    </w:p>
    <w:p>
      <w:pPr>
        <w:ind w:left="0" w:right="0" w:firstLine="45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（二十七）评标方法分为最低评标价法和综合评分法。</w:t>
      </w:r>
      <w:r/>
    </w:p>
    <w:p>
      <w:pPr>
        <w:ind w:left="0" w:right="0" w:firstLine="45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（二十八）评标</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1.评标工作程序：</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（1）投标文件初审。</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①资格性审查。</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②符合性审查。</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（2）澄清有关问题。</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（3）比较与评价。</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（4）推荐中标候选供应商名单。</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（5）编写评审报告（评标报告）。</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2.在评标中，不得改变招标文件中规定的评标标准、方法和中标条件。评标委员会对投标文件响应性的判定，要基于投标文件本身的内容，而不得寻求外部的证据。</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3.采用</w:t>
      </w:r>
      <w:hyperlink r:id="rId21" w:tooltip="http://lilun.caigou2003.com/recijiedu/2365668.html" w:history="1">
        <w:r>
          <w:rPr>
            <w:rStyle w:val="730"/>
            <w:rFonts w:ascii="SimSun" w:hAnsi="SimSun" w:eastAsia="SimSun" w:cs="SimSun"/>
            <w:color w:val="0000ee"/>
            <w:sz w:val="28"/>
            <w:u w:val="single"/>
          </w:rPr>
          <w:t xml:space="preserve">最低评标价法</w:t>
        </w:r>
      </w:hyperlink>
      <w:r>
        <w:rPr>
          <w:rFonts w:ascii="SimSun" w:hAnsi="SimSun" w:eastAsia="SimSun" w:cs="SimSun"/>
          <w:color w:val="000000"/>
          <w:sz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采用</w:t>
      </w:r>
      <w:hyperlink r:id="rId22" w:tooltip="http://lilun.caigou2003.com/recijiedu/2365667.html" w:history="1">
        <w:r>
          <w:rPr>
            <w:rStyle w:val="730"/>
            <w:rFonts w:ascii="SimSun" w:hAnsi="SimSun" w:eastAsia="SimSun" w:cs="SimSun"/>
            <w:color w:val="0000ee"/>
            <w:sz w:val="28"/>
            <w:u w:val="single"/>
          </w:rPr>
          <w:t xml:space="preserve">综合评分法</w:t>
        </w:r>
      </w:hyperlink>
      <w:r>
        <w:rPr>
          <w:rFonts w:ascii="SimSun" w:hAnsi="SimSun" w:eastAsia="SimSun" w:cs="SimSun"/>
          <w:color w:val="000000"/>
          <w:sz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非单一产品采购项目，多家投标人提供的核心产品品牌相同的，按前两款规定处理。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（二十九）投标文件报价出现前后不一致的，按照下列规定修正：</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1.投标文件中开标一览表（报价表）内容与投标文件中相应内容不一致的，以开标一览表（报价表）为准。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2.大写金额和小写金额不一致的，以大写金额为准。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3.单价金额小数点或者百分比有明显错位的，以开标一览表的总价为准，并修改单价。</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4.总价金额与按单价合计金额不一致的，以单价金额计算结果为准。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评标中需要投标人对投标文件澄清或者说明的，应当通过“苏采云”系统交换数据电文。在评标期间，请投标人保持在线。</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（三十）实施政府采购异常低价审查的有关要求：</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1.评审过程中出现下列情形之一的，评审委员会应当启动异常低价投标（响应）审查程序：</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（1）投标（响应）报价低于全部通过符合性审查供应商投标（响应）报价平均值50%的，即投标（响应）报价&lt;全部通过符合性审查供应商投标（响应）报价平均值×50%；</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（2）投标（响应）报价低于通过符合性审查的次低报价供应商投标（响应）报价50%的，即投标（响应）报价&lt;通过符合性审查的次低报价供应商投标（响应）报价×50%；</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（3）投标（响应）报价低于采购项目最高限价（未设定最高限价的采购项目，以采购项目预算金额作为最高限价）45%的，即投标（响应）报价&lt;采购项目最高限价×45%；</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（4）评审（评标）委员会基于专业判断，认为供应商报价过低，有可能影响产品质量或者不能诚信履约的其他情形相关法律法规对供应商报价有规定的，从其规定。</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（三十二）废标条款：</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出现下列情形之一的，应予废标。</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1.符合专业条件的供应商或者对招标文件作实质响应的供应商不足三家的；</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2.出现影响采购公正的违法、违规行为的；</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3.投标人的报价均超过了采购预算，采购人不能支付的；</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4.因重大变故，采购任务取消的。</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六、定标</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（三十三）采购代理机构应当在评标结束后2个工作日内将评标报告送采购人。</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（三十四）采购人应当自收到评标报告之日起5个工作日内，在评标报告确定的中标候选人名单中按顺序确定中标人。</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七、政府采购合同</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（三十六）签订政府采购合同（合同签订方式）：</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采购人不得向中标人提出任何不合理的要求作为签订合同的条件。</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（三十七）采购人与中标人应当根据合同的约定依法履行合同义务。政府采购合同的履行、违约责任和解决争议的方法等，按《中华人民共和国合同法》相关条款执行。</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（三十八）履约保证金：</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要求详见《第三章投标资料表》（三十八）</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（三十九）腐败和欺诈行为：</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1.采购代理机构、采购人、投标人等参与招投标的各方，均应在招标、采购、合同执行等过程中保持廉洁和最高的道德水准。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（1）腐败和欺诈行为的含义：</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②“欺诈行为”系指为了影响招标、采购和合同执行等过程，隐瞒事实真象，给买方、卖方、采购代理机构及他人造成损害的行为，其中包括投标人之间的串通行为。</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（2）如果被推荐的中标人有腐败和欺诈行为，将取消其中标资格。</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（3）如果投标人在任何时候，被法院及政府有关管理部门认定为有腐败和欺诈行为，采购代理机构有权拒绝其投标、取消其中标资格和撤消其已签署的合同。</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八、询问和质疑</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（四十）询问和质疑</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九、电子招标投标交易平台</w:t>
      </w:r>
      <w:r/>
    </w:p>
    <w:p>
      <w:pPr>
        <w:ind w:left="0" w:right="0" w:firstLine="601"/>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（四十一）电子招标投标交易平台（即“苏采云”系统，网址：</w:t>
      </w:r>
      <w:hyperlink r:id="rId23" w:tooltip="http://jszfcg.jsczt.cn/" w:history="1">
        <w:r>
          <w:rPr>
            <w:rStyle w:val="730"/>
            <w:rFonts w:ascii="SimSun" w:hAnsi="SimSun" w:eastAsia="SimSun" w:cs="SimSun"/>
            <w:color w:val="0000ee"/>
            <w:sz w:val="28"/>
            <w:u w:val="none"/>
          </w:rPr>
          <w:t xml:space="preserve">http</w:t>
        </w:r>
        <w:r>
          <w:rPr>
            <w:rStyle w:val="730"/>
            <w:rFonts w:ascii="SimSun" w:hAnsi="SimSun" w:eastAsia="SimSun" w:cs="SimSun"/>
            <w:color w:val="0000ee"/>
            <w:sz w:val="28"/>
            <w:u w:val="single"/>
          </w:rPr>
          <w:t xml:space="preserve">：</w:t>
        </w:r>
        <w:r>
          <w:rPr>
            <w:rStyle w:val="730"/>
            <w:rFonts w:ascii="SimSun" w:hAnsi="SimSun" w:eastAsia="SimSun" w:cs="SimSun"/>
            <w:color w:val="0000ee"/>
            <w:sz w:val="28"/>
            <w:u w:val="none"/>
          </w:rPr>
          <w:t xml:space="preserve">//jszfcg.jsczt.cn/</w:t>
        </w:r>
      </w:hyperlink>
      <w:r>
        <w:rPr>
          <w:rFonts w:ascii="SimSun" w:hAnsi="SimSun" w:eastAsia="SimSun" w:cs="SimSun"/>
          <w:color w:val="000000"/>
          <w:sz w:val="28"/>
        </w:rPr>
        <w:t xml:space="preserve">）相关要求是本招标文件的组成部分。</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第三章投标资料表</w:t>
      </w:r>
      <w:r/>
    </w:p>
    <w:p>
      <w:pPr>
        <w:ind w:left="0" w:right="0" w:firstLine="56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该资料表的条款项号是与《投标人须知》的条款项号相对应的，若有增加的条款，是对《投标人须知》的补充、修改和完善，如果因此而造成矛盾时，应以本资料表为准。</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1"/>
        <w:gridCol w:w="79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本项目采购人：徐州市中心医院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采购人确定的采购项目属性：货物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本项目采购代理机构：江苏中际招标代理有限公司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投标人的资格条件：</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一、符合《中华人民共和国政府采购法》第二十二条的规定。</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w:t>
            </w:r>
            <w:r>
              <w:rPr>
                <w:rFonts w:ascii="SimSun" w:hAnsi="SimSun" w:eastAsia="SimSun" w:cs="SimSun"/>
                <w:b/>
                <w:color w:val="000000"/>
                <w:sz w:val="28"/>
                <w:u w:val="none"/>
              </w:rPr>
              <w:t xml:space="preserve">本项目属于专门面向中小企业采购的项目，供应商提供的货物全部由符合政策要求的中小企业、监狱企业、残疾人福利性单位制造</w:t>
            </w:r>
            <w:r>
              <w:rPr>
                <w:rFonts w:ascii="SimSun" w:hAnsi="SimSun" w:eastAsia="SimSun" w:cs="SimSun"/>
                <w:b/>
                <w:color w:val="000000"/>
                <w:sz w:val="28"/>
              </w:rPr>
              <w:t xml:space="preserve">。</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三、本项目的特定资格要求：</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无。</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同时明确相关事项如下：</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1、本项目不接受联合体参与采购活动。</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2、单位负责人为同一人或者存在直接控股、管理关系的不同供应商，不得参加同一合同项下的政府采购活动。</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3、为本采购项目提供整体设计、规范编制或者项目管理、监理、检测等服务的供应商，不得再参加本采购项目的采购活动。</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4、查询及使用供应商信用记录：</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(1)由采购人查询信用信息。</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(2)查询渠道包括：</w:t>
            </w:r>
            <w:r/>
          </w:p>
          <w:p>
            <w:pPr>
              <w:ind w:left="0" w:right="0" w:firstLine="0"/>
              <w:spacing w:before="200" w:after="200" w:line="439" w:lineRule="atLeast"/>
              <w:tabs>
                <w:tab w:val="left" w:pos="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①“信用中国”网（</w:t>
            </w:r>
            <w:hyperlink r:id="rId24" w:tooltip="http://www.creditchina.gov.cn/" w:history="1">
              <w:r>
                <w:rPr>
                  <w:rStyle w:val="730"/>
                  <w:rFonts w:ascii="Times New Roman" w:hAnsi="Times New Roman" w:eastAsia="Times New Roman" w:cs="Times New Roman"/>
                  <w:color w:val="0000ee"/>
                  <w:sz w:val="28"/>
                  <w:u w:val="single"/>
                </w:rPr>
                <w:t xml:space="preserve">www.creditchina.gov.cn</w:t>
              </w:r>
            </w:hyperlink>
            <w:r>
              <w:rPr>
                <w:rFonts w:ascii="SimSun" w:hAnsi="SimSun" w:eastAsia="SimSun" w:cs="SimSun"/>
                <w:color w:val="000000"/>
                <w:sz w:val="28"/>
              </w:rPr>
              <w:t xml:space="preserve">）；</w:t>
            </w:r>
            <w:r/>
          </w:p>
          <w:p>
            <w:pPr>
              <w:ind w:left="0" w:right="0" w:firstLine="0"/>
              <w:spacing w:before="200" w:after="200" w:line="439" w:lineRule="atLeast"/>
              <w:tabs>
                <w:tab w:val="left" w:pos="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②中国政府采购网（</w:t>
            </w:r>
            <w:hyperlink r:id="rId25" w:tooltip="http://www.ccgp.gov.cn/" w:history="1">
              <w:r>
                <w:rPr>
                  <w:rStyle w:val="730"/>
                  <w:rFonts w:ascii="Times New Roman" w:hAnsi="Times New Roman" w:eastAsia="Times New Roman" w:cs="Times New Roman"/>
                  <w:color w:val="0000ee"/>
                  <w:sz w:val="21"/>
                  <w:u w:val="single"/>
                </w:rPr>
                <w:t xml:space="preserve">www.ccgp.gov.cn</w:t>
              </w:r>
            </w:hyperlink>
            <w:r>
              <w:rPr>
                <w:rFonts w:ascii="SimSun" w:hAnsi="SimSun" w:eastAsia="SimSun" w:cs="SimSun"/>
                <w:color w:val="000000"/>
                <w:sz w:val="28"/>
              </w:rPr>
              <w:t xml:space="preserve">）；</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③“信用江苏”网（www.jscredit.gov.cn）；</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④“信用中国（江苏徐州）”网</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hyperlink r:id="rId26" w:tooltip="http://www.xuzhoucredit.gov.cn/" w:history="1">
              <w:r>
                <w:rPr>
                  <w:rStyle w:val="730"/>
                  <w:rFonts w:ascii="Times New Roman" w:hAnsi="Times New Roman" w:eastAsia="Times New Roman" w:cs="Times New Roman"/>
                  <w:color w:val="0000ee"/>
                  <w:sz w:val="21"/>
                  <w:u w:val="single"/>
                </w:rPr>
                <w:t xml:space="preserve">http</w:t>
              </w:r>
              <w:r>
                <w:rPr>
                  <w:rStyle w:val="730"/>
                  <w:rFonts w:ascii="SimSun" w:hAnsi="SimSun" w:eastAsia="SimSun" w:cs="SimSun"/>
                  <w:color w:val="0000ee"/>
                  <w:sz w:val="21"/>
                  <w:u w:val="none"/>
                </w:rPr>
                <w:t xml:space="preserve">：</w:t>
              </w:r>
              <w:r>
                <w:rPr>
                  <w:rStyle w:val="730"/>
                  <w:rFonts w:ascii="Times New Roman" w:hAnsi="Times New Roman" w:eastAsia="Times New Roman" w:cs="Times New Roman"/>
                  <w:color w:val="0000ee"/>
                  <w:sz w:val="21"/>
                  <w:u w:val="single"/>
                </w:rPr>
                <w:t xml:space="preserve">//www.xuzhoucredit.gov.cn</w:t>
              </w:r>
            </w:hyperlink>
            <w:r>
              <w:rPr>
                <w:rFonts w:ascii="SimSun" w:hAnsi="SimSun" w:eastAsia="SimSun" w:cs="SimSun"/>
                <w:color w:val="000000"/>
                <w:sz w:val="28"/>
              </w:rPr>
              <w:t xml:space="preserve">）；</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(3)截止时点（查询环节）：资格审查结束前。</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(4)信用信息查询记录和证据留存的具体方式：网页截屏打印，与其他采购文件一并保存。</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(5)信用信息的使用规则：</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招标代理服务费由中标人支付，标准不高于《招标代理服务收费标准》（见附件）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自行勘察现场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不安排开标前答疑会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投标文件的语言为中文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(十二)1</w:t>
            </w:r>
            <w:r/>
          </w:p>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投标文件编制要求：</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请按照以下要求（包括但不限于以下要求）制作：</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一、基本目录</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1、《开标一览表》（加盖电子签章，政府采购客户端工具输入报价自动生成）。</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2、《法定代表人授权书》（提供原件的扫描件，格式见招标文件第七章《投标文件相关格式》）。</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3、所投产品的环境标志产品认证证书原件的扫描件（如有）。</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（2）环境标志产品认证证书是否符合要求，采购人评标时查询中国政府采购网（www.ccgp.gov.cn）相关内容后确定。</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4、所投产品的节能产品认证证书原件的扫描件（如有）。</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（2）节能产品认证证书是否符合要求，采购人评标时查询中国政府采购网（www.ccgp.gov.cn）相关内容后确定。</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二、资格条件（1-8必须提供，否则投标无效）</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1、投标人合法有效的法人或者其他组织的营业执照等证明文件，自然人的身份证明，以上证明文件提供原件的扫描件。</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财务状况报告（即提供投标人的本项目开标时间前6个月内任何时间的资产负债表、利润表扫描件各一份，或提供投标人2025年度经审计的财务报告扫描件，或提供投标人的本项目开标时间前6个月内银行出具的资信证明扫描件,或提供财政部门认可的政府采购专业担保机构出具的有效的投标担保函扫描件）。</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3、投标人的本项目开标时间前6个月内任何1个月的依法缴纳税收和社会保障资金的相关材料各一份（依法免税或不需要缴纳社会保障资金的投标人,提供相应文件证明其依法免税或不需要缴纳社会保障资金）。</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4、具备履行合同所必需的设备和专业技术能力的证明材料。即投标文件中提供《具备履行合同所必需的设备和专业技术能力的书面声明》（加盖电子签章，格式见招标文件第七章《投标文件相关格式》）。</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5、投标人参加政府采购活动前3年内在经营活动中没有重大违法记录的书面声明（加盖电子签章，格式见招标文件第七章《投标文件相关格式》）。</w:t>
              <w:br/>
              <w:t xml:space="preserve">6、提供的货物全部由符合政策要求的中小企业制造，提供《中小企业声明函》（加盖电子签章，格式见招标文件第七章《投标文件相关格式》，</w:t>
            </w:r>
            <w:r>
              <w:rPr>
                <w:rFonts w:ascii="SimSun" w:hAnsi="SimSun" w:eastAsia="SimSun" w:cs="SimSun"/>
                <w:b/>
                <w:color w:val="000000"/>
                <w:sz w:val="28"/>
              </w:rPr>
              <w:t xml:space="preserve">如不填写完整或未按要求填写的，视为无效</w:t>
            </w:r>
            <w:r>
              <w:rPr>
                <w:rFonts w:ascii="SimSun" w:hAnsi="SimSun" w:eastAsia="SimSun" w:cs="SimSun"/>
                <w:color w:val="000000"/>
                <w:sz w:val="28"/>
              </w:rPr>
              <w:t xml:space="preserve">）。</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7、投标人关于单位负责人为同一人或者存在直接控股、管理关系的不同供应商，不得参加同一合同项下的政府采购活动的承诺（加盖电子签章，格式见招标文件第七章《投标文件相关格式》）。</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8、投标人不是为本采购项目提供整体设计、规范编制或者项目管理、监理、检测等服务的供应商的书面声明（加盖电子签章，格式见招标文件第七章《投标文件相关格式》）。</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三、符合条件（必须提供，否则投标无效）</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（一）报价</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1、《开标一览表》（政府采购客户端工具输入报价自动生成）。</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2、《分项价格表》（加盖电子签章，格式见本文件第七章《投标文件相关格式》）。</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（二）商务资信</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rPr>
                <w:rFonts w:ascii="SimSun" w:hAnsi="SimSun" w:eastAsia="SimSun" w:cs="SimSun"/>
                <w:color w:val="000000"/>
                <w:sz w:val="28"/>
                <w:u w:val="none"/>
              </w:rPr>
              <w:t xml:space="preserve">《投标函》（加盖电子签章，格式见招标文件第七章《投标文件相关格式》）</w:t>
            </w:r>
            <w:r>
              <w:rPr>
                <w:rFonts w:ascii="SimSun" w:hAnsi="SimSun" w:eastAsia="SimSun" w:cs="SimSun"/>
                <w:color w:val="000000"/>
                <w:sz w:val="28"/>
              </w:rPr>
              <w:t xml:space="preserve">。</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rPr>
                <w:rFonts w:ascii="SimSun" w:hAnsi="SimSun" w:eastAsia="SimSun" w:cs="SimSun"/>
                <w:color w:val="000000"/>
                <w:sz w:val="28"/>
                <w:u w:val="none"/>
              </w:rPr>
              <w:t xml:space="preserve">《法定代表人授权书》（提供原件的扫描件，格式见招标文件第七章《投标文件相关格式》）</w:t>
            </w:r>
            <w:r>
              <w:rPr>
                <w:rFonts w:ascii="SimSun" w:hAnsi="SimSun" w:eastAsia="SimSun" w:cs="SimSun"/>
                <w:color w:val="000000"/>
                <w:sz w:val="28"/>
              </w:rPr>
              <w:t xml:space="preserve">。</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（三）技术响应</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《偏离表》（加盖电子签章，格式见招标文件第七章《投标文件相关格式》）</w:t>
            </w:r>
            <w:r>
              <w:rPr>
                <w:rFonts w:ascii="SimSun" w:hAnsi="SimSun" w:eastAsia="SimSun" w:cs="SimSun"/>
                <w:color w:val="000000"/>
                <w:sz w:val="28"/>
              </w:rPr>
              <w:t xml:space="preserve">。</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四、综合评审评分项</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1、技术规格；</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2、工作方案；</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3、产品质量保证措施；</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4、设计（细化）方案；</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5、售后服务方案；</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6、其他。</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五、其他部分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（一）投标人《关于符合本国产品标准的声明函》（填写完整，加盖电子签章，格式见招标文件第七章《投标文件相关格式》）（请填写完整，如不填写完整或未按要求填写的，视为非本国产品）。</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1、本国产品应当符合以下条件：</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（一）在中国境内生产</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产品应当在中国境内生产，即在中华人民共和国关境内实现从原材料、组件到产品的属性改变。</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属性改变是指经过制造、加工或者组装等工序，产生完全不同于原材料、组件的新产品，并具有新的名称和特征（用途）。属性改变不包括以下细微操作：</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1.为确保产品在运输或者储存期间保持某种状态而进行的操作；</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2.为产品运输或者销售进行的包装或者展示；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3.在产品或者其包装上粘贴或者印刷品牌、标志、标识以及其他用于区别的标记；</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4.简单的上漆、磨光和分装；</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5.其他不属于属性改变的情形。</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（二）在中国境内生产的组件成本占比达到规定比例</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产品在中国境内生产的组件成本占比应当达到规定比例，计算公式为：</w:t>
            </w:r>
            <w:r/>
          </w:p>
          <w:p>
            <w:pPr>
              <w:ind w:left="0" w:right="0" w:firstLine="0"/>
              <w:spacing w:before="20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mc:AlternateContent>
                <mc:Choice Requires="wpg">
                  <w:drawing>
                    <wp:inline xmlns:wp="http://schemas.openxmlformats.org/drawingml/2006/wordprocessingDrawing" distT="0" distB="0" distL="0" distR="0">
                      <wp:extent cx="3467100" cy="523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657898" name=""/>
                              <pic:cNvPicPr>
                                <a:picLocks noChangeAspect="1"/>
                              </pic:cNvPicPr>
                              <pic:nvPr/>
                            </pic:nvPicPr>
                            <pic:blipFill>
                              <a:blip r:embed="rId27"/>
                              <a:stretch/>
                            </pic:blipFill>
                            <pic:spPr bwMode="auto">
                              <a:xfrm>
                                <a:off x="0" y="0"/>
                                <a:ext cx="3467098" cy="5238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3.0pt;height:41.2pt;mso-wrap-distance-left:0.0pt;mso-wrap-distance-top:0.0pt;mso-wrap-distance-right:0.0pt;mso-wrap-distance-bottom:0.0pt;" stroked="false">
                      <v:path textboxrect="0,0,0,0"/>
                      <v:imagedata r:id="rId27" o:title=""/>
                    </v:shape>
                  </w:pict>
                </mc:Fallback>
              </mc:AlternateContent>
            </w:r>
            <w:r>
              <w:rPr>
                <w:rFonts w:ascii="SimSun" w:hAnsi="SimSun" w:eastAsia="SimSun" w:cs="SimSun"/>
                <w:color w:val="000000"/>
                <w:sz w:val="28"/>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ascii="Times New Roman" w:hAnsi="Times New Roman" w:eastAsia="Times New Roman" w:cs="Times New Roman"/>
                <w:sz w:val="20"/>
              </w:rPr>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（三）特定产品的关键组件、关键工序符合相关要求</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对特定产品，在符合本通知第一条第（一）项和第（二）项条件的基础上，应当符合财政部会同有关行业主管部门确定的其关键组件、关键工序在中国境内生产、完成等要求。</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2、本国产品标准的适用范围</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3、对本国产品的支持政策</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政府采购活动中既有本国产品又有非本国产品参与竞争的，依法对本国产品给予价格评审优惠，对本国产品的报价给予20%的价格扣除，用扣除后的价格参与评审。</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具体以《国务院办公厅关于在政府采购中实施本国产品标准及相关政策的通知》（国办发〔2025〕34号）规定为准。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注：中国境内生产的组件成本核算基本规则</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一、产品的一级组件是指直接组成产品的组件。产品的二级组件是指直接组成产品一级组件的组件。一级组件不可分解的，视同二级组件。</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二、二级组件在中国境内生产的，其全部成本计入中国境内生产的组件成本；二级组件不在中国境内生产的，其成本不计入中国境内生产的组件成本。</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三、产品总成本和组件成本以相关会计核算数据、采购合同、进货记录等为基础进行计算。</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四、需要对成本核算规则予以进一步明确的其他有关事项，由财政部会同有关部门另行规定。</w:t>
            </w:r>
            <w:r/>
          </w:p>
          <w:p>
            <w:pPr>
              <w:ind w:left="0" w:right="28"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（二）企业报价折扣证明：无。</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1、投标人应对以上文件的合法性、真实性负责。</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商务条件见：</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一、本文件第四章《评标标准》中《评分细则》。</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交货和提供服务的时间：见本文件第五章《拟签订的合同文本》及或本文件第六章《采购需求》。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本项目不接受超过</w:t>
            </w:r>
            <w:r>
              <w:rPr>
                <w:rFonts w:ascii="SimSun" w:hAnsi="SimSun" w:eastAsia="SimSun" w:cs="SimSun"/>
                <w:b/>
                <w:color w:val="000000"/>
                <w:sz w:val="28"/>
              </w:rPr>
              <w:t xml:space="preserve">238万元人民币（采购项目预算金额）</w:t>
            </w:r>
            <w:r>
              <w:rPr>
                <w:rFonts w:ascii="SimSun" w:hAnsi="SimSun" w:eastAsia="SimSun" w:cs="SimSun"/>
                <w:color w:val="000000"/>
                <w:sz w:val="28"/>
              </w:rPr>
              <w:t xml:space="preserve">的投标报价。报价包括但不限于产品价、税金、运输、装卸、搬运、检验、安装调试、拆除、维护、验收费等全部费用。采购人不再支付报价以外的任何费用。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投标人应当通过“苏采云”系统提交数据电文形式的投标文件（即电子投标）。</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特别说明：通过“苏采云”系统提交政府采购客户端工具导出加密的投标文件（后缀名为zip）。投标文件的大小不得超过苏采云要求！</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(十八)4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见本文件第三章《投标资料表》中(十二)1和(十二)2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投标文件的提交与接收： </w:t>
              <w:br/>
              <w:t xml:space="preserve">1、投标文件提交与接收时间：</w:t>
            </w:r>
            <w:r>
              <w:rPr>
                <w:rFonts w:ascii="SimSun" w:hAnsi="SimSun" w:eastAsia="SimSun" w:cs="SimSun"/>
                <w:b/>
                <w:color w:val="000000"/>
                <w:sz w:val="28"/>
              </w:rPr>
              <w:t xml:space="preserve">提交投标文件截止时间（2026年10月19日09：30）前。</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2、投标文件提交与接收地点：投标人应当通过“苏采云”系统提交数据电文形式的投标文件（即电子投标），“苏采云”系统自动接收。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电子投标文件应由其法定代表人或法定代表人授权代表在规定的网上投标时间内，凭 CA 证书登陆“苏采云”系统在线编制投标文件（电子数据），并在投标截止时间之前上传投标文件。</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开标时间及地点：</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1、开标时间：2026年10月19日09：30（标准时间）</w:t>
            </w:r>
            <w:r>
              <w:rPr>
                <w:rFonts w:ascii="SimSun" w:hAnsi="SimSun" w:eastAsia="SimSun" w:cs="SimSun"/>
                <w:color w:val="000000"/>
                <w:sz w:val="28"/>
              </w:rPr>
              <w:t xml:space="preserve">。</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2、开标地点：“苏采云”系统“开标大厅”或进入江苏政府采购网--办事指南--供应商--供应商进入，点击“苏采云”进入系统“开标大厅”。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所有投标人解密（或解密时间）结束后，“苏采云”系统生成开标记录并向社会公众公布，但依法应当保密的除外。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本项目的评标方法：综合评分法。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(二十八)1</w:t>
            </w:r>
            <w:r/>
          </w:p>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一、推荐中标候选供应商名单。中标候选供应商数量应当根据采购需要确定，但必须按顺序排列中标候选供应商。</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二、采用综合评分法的，按评审后得分由高到低顺序排列。得分相同的，按投标报价由低到高顺序排列。得分且投标报价相同的，按样品得分顺序排列。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（二十九）</w:t>
            </w:r>
            <w:r/>
          </w:p>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1、评标中需要投标人对投标文件澄清或者说明的，应当通过“苏采云”系统交换数据电文。在评标期间，请投标人保持在线。</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采购人与中标、成交供应商应当在中标、成交通知书发出之日起30日内，按照采购文件确定的事项签订政府采购合同。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履约保证金：签订合同前，乙方应向甲方支付成交金额3%的履约保证金，以支票、汇票、本票或者金融机构、担保机构出具的保函等非现金形式缴纳。履约保证金在乙方按合同安装调试完毕，最终验收合格后，经双方书面确认无责任纠纷后无息退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(四十一)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供应商在法定质疑期内一次性提出针对同一采购程序环节的质疑。</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质疑接收人：冯旭;联系电话：0516-83200975；</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办公地址：徐州市云龙区绿地商务城LOFT领海办公楼5#1906室</w:t>
            </w:r>
            <w:r/>
          </w:p>
        </w:tc>
      </w:tr>
      <w:tr>
        <w:trPr>
          <w:trHeight w:val="5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附加说明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3"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1、评标中需要投标人对投标文件澄清或者说明的，应当通过“苏采云”系统交换数据电文。在评标期间，请投标人保持在线。</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4、招标文件中如需“授权代表签字或盖章”，投标人可打印成文档。签字或盖章后再扫描上传，最后再电子签章。</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4、中标人在收到中标通知书时，须向采购代理机构提交《开标一览表》和《分项价格表》的数据文件（WORD格式）。</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本章附件：招标代理服务收费标准</w:t>
      </w:r>
      <w:r>
        <w:rPr>
          <w:rFonts w:ascii="SimSun" w:hAnsi="SimSun" w:eastAsia="SimSun" w:cs="SimSun"/>
          <w:b/>
          <w:color w:val="000000"/>
          <w:sz w:val="30"/>
        </w:rPr>
        <w:t xml:space="preserve">（本标准为自行约定标准）</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64"/>
        <w:gridCol w:w="4191"/>
      </w:tblGrid>
      <w:tr>
        <w:trPr>
          <w:trHeight w:val="60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64" w:type="dxa"/>
            <w:vAlign w:val="center"/>
            <w:textDirection w:val="lrTb"/>
            <w:noWrap w:val="false"/>
          </w:tcPr>
          <w:p>
            <w:pPr>
              <w:ind w:left="0" w:right="0" w:firstLine="0"/>
              <w:jc w:val="center"/>
              <w:spacing w:before="168"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8"/>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191" w:type="dxa"/>
            <w:vAlign w:val="center"/>
            <w:textDirection w:val="lrTb"/>
            <w:noWrap w:val="false"/>
          </w:tcPr>
          <w:p>
            <w:pPr>
              <w:ind w:left="667" w:right="0" w:firstLine="0"/>
              <w:jc w:val="center"/>
              <w:spacing w:before="168"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8"/>
              </w:rPr>
              <w:t xml:space="preserve">费率</w:t>
            </w:r>
            <w:r/>
          </w:p>
        </w:tc>
      </w:tr>
      <w:tr>
        <w:trPr>
          <w:trHeight w:val="5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64" w:type="dxa"/>
            <w:vAlign w:val="center"/>
            <w:textDirection w:val="lrTb"/>
            <w:noWrap w:val="false"/>
          </w:tcPr>
          <w:p>
            <w:pPr>
              <w:ind w:left="0" w:right="0" w:firstLine="0"/>
              <w:jc w:val="center"/>
              <w:spacing w:before="154"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8"/>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91" w:type="dxa"/>
            <w:vAlign w:val="center"/>
            <w:textDirection w:val="lrTb"/>
            <w:noWrap w:val="false"/>
          </w:tcPr>
          <w:p>
            <w:pPr>
              <w:ind w:left="0" w:right="0" w:firstLine="0"/>
              <w:jc w:val="center"/>
              <w:spacing w:before="155"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8"/>
              </w:rPr>
              <w:t xml:space="preserve">5000元</w:t>
            </w:r>
            <w:r/>
          </w:p>
        </w:tc>
      </w:tr>
      <w:tr>
        <w:trPr>
          <w:trHeight w:val="6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64" w:type="dxa"/>
            <w:vAlign w:val="center"/>
            <w:textDirection w:val="lrTb"/>
            <w:noWrap w:val="false"/>
          </w:tcPr>
          <w:p>
            <w:pPr>
              <w:ind w:left="0" w:right="0" w:firstLine="0"/>
              <w:jc w:val="center"/>
              <w:spacing w:before="155"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8"/>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91" w:type="dxa"/>
            <w:vAlign w:val="center"/>
            <w:textDirection w:val="lrTb"/>
            <w:noWrap w:val="false"/>
          </w:tcPr>
          <w:p>
            <w:pPr>
              <w:ind w:left="0" w:right="0" w:firstLine="0"/>
              <w:jc w:val="center"/>
              <w:spacing w:before="236"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8"/>
              </w:rPr>
              <w:t xml:space="preserve">1.6%</w:t>
            </w:r>
            <w:r/>
          </w:p>
        </w:tc>
      </w:tr>
      <w:tr>
        <w:trPr>
          <w:trHeight w:val="6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64" w:type="dxa"/>
            <w:vAlign w:val="center"/>
            <w:textDirection w:val="lrTb"/>
            <w:noWrap w:val="false"/>
          </w:tcPr>
          <w:p>
            <w:pPr>
              <w:ind w:left="0" w:right="0" w:firstLine="0"/>
              <w:jc w:val="center"/>
              <w:spacing w:before="156"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8"/>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91" w:type="dxa"/>
            <w:vAlign w:val="center"/>
            <w:textDirection w:val="lrTb"/>
            <w:noWrap w:val="false"/>
          </w:tcPr>
          <w:p>
            <w:pPr>
              <w:ind w:left="0" w:right="0" w:firstLine="0"/>
              <w:jc w:val="center"/>
              <w:spacing w:before="237"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8"/>
              </w:rPr>
              <w:t xml:space="preserve">1.5%</w:t>
            </w:r>
            <w:r/>
          </w:p>
        </w:tc>
      </w:tr>
      <w:tr>
        <w:trPr>
          <w:trHeight w:val="6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64" w:type="dxa"/>
            <w:vAlign w:val="center"/>
            <w:textDirection w:val="lrTb"/>
            <w:noWrap w:val="false"/>
          </w:tcPr>
          <w:p>
            <w:pPr>
              <w:ind w:left="0" w:right="0" w:firstLine="0"/>
              <w:jc w:val="center"/>
              <w:spacing w:before="167"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91" w:type="dxa"/>
            <w:vAlign w:val="center"/>
            <w:textDirection w:val="lrTb"/>
            <w:noWrap w:val="false"/>
          </w:tcPr>
          <w:p>
            <w:pPr>
              <w:ind w:left="0" w:right="0" w:firstLine="0"/>
              <w:jc w:val="center"/>
              <w:spacing w:before="248"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8"/>
              </w:rPr>
              <w:t xml:space="preserve">1.1%</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64" w:type="dxa"/>
            <w:vAlign w:val="center"/>
            <w:textDirection w:val="lrTb"/>
            <w:noWrap w:val="false"/>
          </w:tcPr>
          <w:p>
            <w:pPr>
              <w:ind w:left="0" w:right="0" w:firstLine="0"/>
              <w:jc w:val="center"/>
              <w:spacing w:before="158"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91"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0.8%</w:t>
            </w:r>
            <w:r/>
          </w:p>
        </w:tc>
      </w:tr>
      <w:tr>
        <w:trPr>
          <w:trHeight w:val="6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64" w:type="dxa"/>
            <w:vAlign w:val="center"/>
            <w:textDirection w:val="lrTb"/>
            <w:noWrap w:val="false"/>
          </w:tcPr>
          <w:p>
            <w:pPr>
              <w:ind w:left="0" w:right="0" w:firstLine="0"/>
              <w:jc w:val="center"/>
              <w:spacing w:before="159"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8"/>
              </w:rPr>
              <w:t xml:space="preserve">5000</w:t>
            </w:r>
            <w:r>
              <w:rPr>
                <w:rFonts w:ascii="SimSun" w:hAnsi="SimSun" w:eastAsia="SimSun" w:cs="SimSun"/>
                <w:color w:val="000000"/>
                <w:spacing w:val="3"/>
                <w:sz w:val="28"/>
              </w:rPr>
              <w:t xml:space="preserve">万元</w:t>
            </w:r>
            <w:r>
              <w:rPr>
                <w:rFonts w:ascii="SimSun" w:hAnsi="SimSun" w:eastAsia="SimSun" w:cs="SimSun"/>
                <w:color w:val="000000"/>
                <w:spacing w:val="5"/>
                <w:sz w:val="28"/>
              </w:rPr>
              <w:t xml:space="preserve">-1亿元(含1亿元)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91" w:type="dxa"/>
            <w:vAlign w:val="center"/>
            <w:textDirection w:val="lrTb"/>
            <w:noWrap w:val="false"/>
          </w:tcPr>
          <w:p>
            <w:pPr>
              <w:ind w:left="0" w:right="0" w:firstLine="0"/>
              <w:jc w:val="center"/>
              <w:spacing w:before="241"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8"/>
              </w:rPr>
              <w:t xml:space="preserve">0.25%</w:t>
            </w:r>
            <w:r/>
          </w:p>
        </w:tc>
      </w:tr>
      <w:tr>
        <w:trPr>
          <w:trHeight w:val="6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64" w:type="dxa"/>
            <w:vAlign w:val="center"/>
            <w:textDirection w:val="lrTb"/>
            <w:noWrap w:val="false"/>
          </w:tcPr>
          <w:p>
            <w:pPr>
              <w:ind w:left="0" w:right="0" w:firstLine="0"/>
              <w:jc w:val="center"/>
              <w:spacing w:before="17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8"/>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91" w:type="dxa"/>
            <w:vAlign w:val="center"/>
            <w:textDirection w:val="lrTb"/>
            <w:noWrap w:val="false"/>
          </w:tcPr>
          <w:p>
            <w:pPr>
              <w:ind w:left="0" w:right="0" w:firstLine="0"/>
              <w:jc w:val="center"/>
              <w:spacing w:before="252"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0.05%</w:t>
            </w:r>
            <w:r/>
          </w:p>
        </w:tc>
      </w:tr>
      <w:tr>
        <w:trPr>
          <w:trHeight w:val="6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64" w:type="dxa"/>
            <w:vAlign w:val="center"/>
            <w:textDirection w:val="lrTb"/>
            <w:noWrap w:val="false"/>
          </w:tcPr>
          <w:p>
            <w:pPr>
              <w:ind w:left="0" w:right="0" w:firstLine="0"/>
              <w:jc w:val="center"/>
              <w:spacing w:before="162"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8"/>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91" w:type="dxa"/>
            <w:vAlign w:val="center"/>
            <w:textDirection w:val="lrTb"/>
            <w:noWrap w:val="false"/>
          </w:tcPr>
          <w:p>
            <w:pPr>
              <w:ind w:left="0" w:right="0" w:firstLine="0"/>
              <w:jc w:val="center"/>
              <w:spacing w:before="243"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0.01%</w:t>
            </w:r>
            <w:r/>
          </w:p>
        </w:tc>
      </w:tr>
      <w:tr>
        <w:trPr>
          <w:trHeight w:val="6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64" w:type="dxa"/>
            <w:vAlign w:val="center"/>
            <w:textDirection w:val="lrTb"/>
            <w:noWrap w:val="false"/>
          </w:tcPr>
          <w:p>
            <w:pPr>
              <w:ind w:left="0" w:right="0" w:firstLine="0"/>
              <w:jc w:val="center"/>
              <w:spacing w:before="164"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8"/>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91" w:type="dxa"/>
            <w:vAlign w:val="center"/>
            <w:textDirection w:val="lrTb"/>
            <w:noWrap w:val="false"/>
          </w:tcPr>
          <w:p>
            <w:pPr>
              <w:ind w:left="0" w:right="0" w:firstLine="0"/>
              <w:jc w:val="center"/>
              <w:spacing w:before="245"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8"/>
              </w:rPr>
              <w:t xml:space="preserve">0.005%</w:t>
            </w:r>
            <w:r/>
          </w:p>
        </w:tc>
      </w:tr>
    </w:tbl>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说明：</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1.按上表计算的收费为代理服务全过程的收费金额。各社会代理机构不再收取采购文件制作售卖费用。</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2.代理服务费按差额定率累进法计算。</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3.代理服务费基准金额(按差额定率累进法计算的)=中标金额(按差额定率累进法计算的)*费率(%)。</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4.代理服务费应收取金额=代理服务费基准金额(按差额定率累进法计算的)的合计数。</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5.定点类等无金额或事先不能计算出价格总额的项目，按中标(成交)金额按100万元计算。</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6.有分包(分标段)的以一个项目计算。</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7.本项目服务费以预算金额人民币238万元为计费基数，按55%的比例收取，最终服务费金额为人民币1.991万元。</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8.账户信息：</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收款人：江苏中际招标代理有限公司</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开户银行：徐州农村商业银行股份有限公司彭园支行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账号：3203020171010000003980</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行号：314303000180</w:t>
      </w:r>
      <w:r/>
    </w:p>
    <w:p>
      <w:pPr>
        <w:numPr>
          <w:ilvl w:val="0"/>
          <w:numId w:val="5"/>
        </w:numPr>
        <w:jc w:val="center"/>
        <w:spacing w:before="240" w:after="240" w:line="519" w:lineRule="atLeast"/>
        <w:pBdr>
          <w:top w:val="none" w:color="000000" w:sz="4" w:space="0"/>
          <w:left w:val="none" w:color="000000" w:sz="4" w:space="0"/>
          <w:bottom w:val="none" w:color="000000" w:sz="4" w:space="0"/>
          <w:right w:val="none" w:color="000000" w:sz="4" w:space="0"/>
        </w:pBdr>
      </w:pPr>
      <w:r>
        <w:br w:type="page" w:clear="all"/>
      </w:r>
      <w:r/>
    </w:p>
    <w:p>
      <w:pPr>
        <w:numPr>
          <w:ilvl w:val="0"/>
          <w:numId w:val="5"/>
        </w:numPr>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评标标准</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08"/>
        <w:gridCol w:w="1245"/>
        <w:gridCol w:w="1245"/>
        <w:gridCol w:w="364"/>
        <w:gridCol w:w="4636"/>
      </w:tblGrid>
      <w:tr>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细化项目及分值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3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  分  依  据</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价格部分（30分）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价格（30分）</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价格分计算，即满足招标文件要求且投标价格最低的投标报价为评标基准价，其价格分为满分30分。其他投标人的价格分按照下列公式计算：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（分值计算结果保留两位小数）</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商务部分</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投标人业绩</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提供投标人2023年1月1日后，投标人为卖方（乙方）（以类似产品购销合同签订时间或中标（成交）通知书时间为准，同一业主不重复计），完成过本次招标类似业绩的，每个有效业绩得2分，最高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注：提供合同扫描件或开具的发票扫描件加盖投标人电子签章。</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vMerge w:val="restart"/>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技术部分（66分）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技术规格</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1.标注“★”的内容为实质性响应指标，如不满足作为无效投标处理。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2.完全满足招标文件“第六章 采购需求”中“采购清单”得12分，每有一项负偏离减1分，扣完为止，本项最高得12分，最低得0分。</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vMerge w:val="restart"/>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工艺</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根据招标文件第六章《采购需求》要求，对成品样品的工艺进行评价：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符合性高：整体造型规整，各部件连接处严密、无毛刺、无缝隙；表面处理均匀细腻（如喷涂、电镀等）；无明显加工痕迹或瑕疵；结构稳固，无明显松动的得5分；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符合性一般：整体造型基本规整，连接处偶有微小缝隙或轻微毛刺；表面处理基本均匀，但有轻微色差或细小瑕疵；结构基本稳固，轻微晃动可接受的得3分，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符合性较低：造型明显歪斜或不规整，连接处缝隙大、毛刺明显；表面处理粗糙，有明显瑕疵、起皮或划痕；结构松动，影响正常使用的得1分。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未提供样品或样品提供不全的本项不得分。本项最高得5分，最低得0分。</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样式</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根据招标文件第六章《采购需求》要求，对样品的样式进行评价：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符合性高：外观设计符合采购需求要求的样式；线条流畅，比例协调；外观平整度好，无凹凸不平；表面无划伤、磕碰、污渍的得5分；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符合性一般：样式基本符合要求；整体外观尚可，但局部存在轻微不平整或微小划痕；细节处理不够精致的得3分；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符合性较低：样式与采购需求存在明显偏差；外观有明显变形、划伤、污渍或拼接不齐；整体视觉效果差的得1分。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未提供样品或样品提供不全的本项不得分。本项最高得5分，最低得0分。</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材质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根据招标文件第六章《采购需求》要求，对样品的材质进行评价：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符合性高：材质符合或优于采购需求要求；手感、质感良好，无明显瑕疵、气泡、变形；边角处理细腻，无毛边、无裂纹的得5分；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符合性一般：材质基本符合要求；存在轻微毛边、细微划痕或轻微磨损；材质质感普通，但无明显质量问题的得3分；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符合性较低：材质与采购需求明显不符；材质廉价、易变形、易褪色；有明显破损、裂纹、毛刺或褪色现象的得1分。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未提供样品或样品提供不全的本项不得分。本项最高得5分，最低得0分。</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实用性、安全性</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根据招标文件第六章《采购需求》要求，对样品的实用性、安全性进行评价：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符合性高：结构稳固，承重、平衡性良好；边角做安全处理（如倒角、圆角）；使用便捷，符合人体工学或实际使用场景；无锐边、无尖锐突出物的得5分；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符合性一般：基本满足使用需求，结构无明显安全隐患；边角处理基本到位，但存在轻微锋利感；使用便捷性一般的得3分；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符合性较低：存在明显安全隐患（如锐边未处理）；使用不便，结构不合理；不符合采购需求中安全性要求的得1分。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未提供样品或样品提供不全的本项不得分。本项最高得5分，最低得0分。</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工作方案（5分）</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结合本项目采购需求编制工作方案，根据投标人编制的工作方案进行评审，包括（①重点、难点的处理措施及合理化建议；②进度保障措施；③运输保障措施；④安装调试措施；⑤增补订单、加急供货应急保障措施。每具有一项前述细化指标内容得1分，最高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有一处内容存在缺陷（缺陷是指：方案表述一般、与项目贴合度一般、内容与实际情况不符、内容与项目无关、内容表述错误、内容前后表述矛盾、内容与项目不匹配、项目信息错误、不符合本项目涉及的相关规范或标准要求等）扣0.5分，每缺少一项内容得0分。</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产品质量保证措施（8分）</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结合本项目采购需求编制产品质量保证措施，根据投标人编制的产品质量保证措施进行评审，包括（1）投标产品原材料的来源（2）产品质量自检方案（3）验收各环节的质量保证措施（4）问题整改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具有一项前述细化指标内容得2分，最高得8分；每有一处内容存在缺陷（缺陷是指：方案表述一般、与项目贴合度一般、内容与实际情况不符、内容与项目无关、内容表述错误、内容前后表述矛盾、内容与项目不匹配、项目信息错误、不符合本项目涉及的相关规范或标准要求等）扣1分，每缺少一项内容得0分。</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延长质保</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在满足招标文件规定的免费质保期基础上不得分，投标人承诺每增加一年免费质保期的加1分，最多加5分，提供承诺书，格式自拟。</w:t>
            </w:r>
            <w:r/>
          </w:p>
        </w:tc>
      </w:tr>
      <w:tr>
        <w:trPr>
          <w:trHeight w:val="396"/>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设计（细化）方案（6分）</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提供的设计（细化）方案情况，包含但不限于①设计优化（细化）方案；②对功能进行详细说明和完善等内容；③根据设计方案做出规范深化制图，提供详细规范的医疗家具结构优化示例，图纸体系详细标明结构、细节、材质、规格、尺寸、效果、性能、安装等工艺，进行综合评分：</w:t>
              <w:br/>
              <w:t xml:space="preserve">每具有一项前述细化指标内容得2分，最高得6分；每有一处内容存在缺陷（缺陷是指：方案表述一般、与项目贴合度一般、内容与实际情况不符、内容与项目无关、内容表述错误、内容前后表述矛盾、内容与项目不匹配、项目信息错误、不符合本项目涉及的相关规范或标</w:t>
            </w:r>
            <w:r>
              <w:rPr>
                <w:rFonts w:ascii="SimSun" w:hAnsi="SimSun" w:eastAsia="SimSun" w:cs="SimSun"/>
                <w:color w:val="000000"/>
                <w:sz w:val="24"/>
              </w:rPr>
              <w:t xml:space="preserve">准要求等）扣1分，每缺少一项内容得0分。</w:t>
            </w:r>
            <w:r/>
          </w:p>
        </w:tc>
      </w:tr>
      <w:tr>
        <w:trPr>
          <w:trHeight w:val="396"/>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结合本项目采购需求编制项目售后服务方案，根据投标供应商编制的售后服务方案进行评审，包括（1）备品备件配置（2）售后服务响应（3）售后服务应急保障措施（4）质保期外的售后服务（5）定期巡检与保养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具有一项前述细化指标内容得2分，最高得10分；每有一处内容存在缺陷（缺陷是指：方案表述一般、与项目贴合度一般、内容与实际情况不符、内容与项目无关、内容表述错误、内容前后表述矛盾、内容与项目不匹配、项目信息错误、不符合本项目涉及的相关规范或标准要求等）扣1分，每缺少一项内容得0分。</w:t>
            </w:r>
            <w:r/>
          </w:p>
        </w:tc>
      </w:tr>
    </w:tbl>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本章说明</w:t>
      </w:r>
      <w:r>
        <w:rPr>
          <w:rFonts w:ascii="SimSun" w:hAnsi="SimSun" w:eastAsia="SimSun" w:cs="SimSun"/>
          <w:color w:val="000000"/>
          <w:sz w:val="30"/>
        </w:rPr>
        <w:t xml:space="preserve">：</w:t>
      </w:r>
      <w:r>
        <w:rPr>
          <w:rFonts w:ascii="SimSun" w:hAnsi="SimSun" w:eastAsia="SimSun" w:cs="SimSun"/>
          <w:color w:val="000000"/>
          <w:sz w:val="28"/>
        </w:rPr>
        <w:t xml:space="preserve">本项目采用综合评分法。</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第五章拟签订的合同文本</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项目名称：医疗处置工作台采购（太行路院区二期）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项目编号：JSZC-320300-ZJZB-G2026-0132</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采购包号：</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成交供应商：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合同签订日期：年月日</w:t>
      </w:r>
      <w:r/>
    </w:p>
    <w:p>
      <w:pPr>
        <w:ind w:left="0" w:right="0" w:firstLine="56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友情提醒：采购人与中标、成交供应商应当在中标、成交通知书发出之日起三十日内，按照采购文件确定的事项签订政府采购合同。</w:t>
      </w:r>
      <w:r/>
    </w:p>
    <w:p>
      <w:pPr>
        <w:ind w:left="0" w:right="0" w:firstLine="56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shd w:val="nil" w:color="auto"/>
        <w:rPr>
          <w:rFonts w:ascii="Times New Roman" w:hAnsi="Times New Roman" w:eastAsia="Times New Roman" w:cs="Times New Roman"/>
          <w:sz w:val="24"/>
          <w:szCs w:val="24"/>
        </w:rPr>
      </w:pPr>
      <w:r>
        <w:rPr>
          <w:rFonts w:ascii="SimSun" w:hAnsi="SimSun" w:eastAsia="SimSun" w:cs="SimSun"/>
          <w:color w:val="000000"/>
          <w:sz w:val="24"/>
          <w:highlight w:val="none"/>
        </w:rPr>
        <w:br w:type="page" w:clear="all"/>
      </w:r>
      <w:r>
        <w:rPr>
          <w:rFonts w:ascii="SimSun" w:hAnsi="SimSun" w:eastAsia="SimSun" w:cs="SimSun"/>
          <w:color w:val="000000"/>
          <w:sz w:val="24"/>
          <w:highlight w:val="none"/>
        </w:rPr>
      </w:r>
      <w:r/>
    </w:p>
    <w:p>
      <w:pPr>
        <w:ind w:left="0" w:right="0" w:firstLine="420"/>
        <w:jc w:val="center"/>
        <w:spacing w:before="0" w:after="0" w:line="51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合同通用条款</w:t>
      </w:r>
      <w:r/>
    </w:p>
    <w:p>
      <w:pPr>
        <w:ind w:left="0" w:right="0" w:firstLine="60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目录</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第一条定义</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第二条合同范围</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第三条价格</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第四条支付</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第五条交货</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第六条包装和标记</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第七条技术资料</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第八条安装</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第九条验收</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第十条售后服务和技术培训</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第十一条索赔</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第十二条不可抗力</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第十三条合同的终止</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第十四条争议的解决</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第十五条适用法律</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第十六条权利保证</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第十七条保密</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第十八条合同生效及其他</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hd w:val="nil" w:color="auto"/>
        <w:rPr>
          <w:rFonts w:ascii="Times New Roman" w:hAnsi="Times New Roman" w:eastAsia="Times New Roman" w:cs="Times New Roman"/>
          <w:sz w:val="24"/>
          <w:szCs w:val="24"/>
        </w:rPr>
      </w:pPr>
      <w:r>
        <w:rPr>
          <w:rFonts w:ascii="SimSun" w:hAnsi="SimSun" w:eastAsia="SimSun" w:cs="SimSun"/>
          <w:color w:val="000000"/>
          <w:sz w:val="24"/>
          <w:highlight w:val="none"/>
        </w:rPr>
        <w:br w:type="page" w:clear="all"/>
      </w:r>
      <w:r>
        <w:rPr>
          <w:rFonts w:ascii="SimSun" w:hAnsi="SimSun" w:eastAsia="SimSun" w:cs="SimSun"/>
          <w:color w:val="000000"/>
          <w:sz w:val="24"/>
          <w:highlight w:val="none"/>
        </w:rPr>
      </w:r>
      <w:r/>
    </w:p>
    <w:p>
      <w:pPr>
        <w:ind w:left="0" w:right="0" w:firstLine="600"/>
        <w:jc w:val="center"/>
        <w:spacing w:before="0" w:after="0" w:line="51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合同通用条款</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第一条定义</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除本合同上下文中另有规定外，下列各词语定义如下：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1.1“买方”见《合同专用条款》。</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1.2“卖方”见《合同专用条款》。</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1.3“工作现场”见《合同专用条款》。</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1.4“合同标的”见合同附件4。</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1.5“技术资料”是指与合同标的的安装、试运行、验收、操作以及维修有关的技术指标、规格、图纸和文件。</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1.6“技术培训”是指在合同标的的安装、试运行、验收、操作、维修以及其他方面卖方给予买方的培训。</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1.7“安装”是指有关合同标的、备件和材料的安装工作。</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1.8“试运行”是指为验明合同标的的技术性能，在安装完毕后对合同标的进行的测试。</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1.10“合同货币”见《合同专用条款》。</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1.11“合同价格”见合同附件4。</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1.12“合同生效日”见《合同协议书》（合同附件1）第5 条。</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1.13“日”是指日历天数。</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1.14“月”是指日历月数。</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合同范围</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2.1买方同意从卖方购买、卖方同意向买方出售和提供的合同标的以及相关售后服务、技术培训和技术资料。</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 价格</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合同总价见《合同专用条款》。</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合同总价是固定价格。</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 支付</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4.1买方应按照《合同专用条款》的规定进行支付。如果卖方未能按照《合同专用条款》的要求提交支付文件，由此产生的所有责任和发生的所有费用，均由卖方承担。</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4.2卖方有义务根据合同的规定向买方支付违约金和/或赔偿金时。</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交货</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5.1交货期限、批次和交货条件见《合同专用条款》。</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5.2交货地点见《合同专用条款》。</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5.3在《合同专用条款》规定的期限内，卖方应将合同号、合同标的的名称、数量、金额、包装件数以及交货的时间以书面方式通知买方。</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5.4卖方应按下列规定交付合同标的：</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5.4.1卖方负责将合同标的送至《合同专用条款》规定的交货地点。</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5.4.2买方出具的收据日期是合同标的的实际交货日期。</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5.5如果卖方未能按照合同规定的交货期限交货，卖方应按《合同专用条款》的规定支付违约金或提供其他救济。</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包装与标记</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6.1除非合同中另有规定，合同标的应保持产品制造企业原包装完好。</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6.2在合同标的的每件包装中都应附有下列单据：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装箱明细单；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质量合格证；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 技术资料。</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技术资料</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技术资料交付的期限和方式见《合同专用条款》。</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 安装</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合同标的的安装期限见《合同专用条款》。</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 验收</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9.1合同标的的试运行、验收见《合同专用条款》。</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9.2如果合同附件2 所规定的所有技术性能在验收中都已经达到，双方应在验收合格后5 日内签署验收书。</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9.3买方派出1-3名技术人员参加项目实施，卖方应积极配合买方派出的1-3名技术人员监督管理。</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 售后服务和技术培训</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10.1售后服务和技术培训见合同附件3。</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 索赔</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卖方替换不符合合同规定的合同标的。</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按质量低劣的程度、买方受损害的程度及损失的数额对合同标的进行降价。</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 拒收合同标的。</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 赔偿由卖方违约引起的其他损失。</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 不可抗力</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 合同的终止</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卖方在合同规定的交货期限后未能按《合同专用条款》中规定的最终期限交付合同标的和/或技术资料；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合同标的未能达到合同附件2 规定的技术性能；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 卖方未能履行合同项下任何其它义务，并且在收到买方违约通知后未能按《合同专用条款》中规定的期限对其违约行为作出补救。</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13.2如果一方破产或发生资不抵债的情况,合同另一方有权在任何时候发出书面通知终止合同。此种情况下合同的终止不妨碍或影响行使任何可能的其它救济手段。</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13.3如果买方认定卖方在投标或执行合同中有腐败或欺诈行为,买方有权在任何时候发出书面通知终止合同。</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A.“腐败行为”系指在招标、采购和合同执行等过程中，为谋求利益、影响相关人员而提供、给予、接受或索取任何有价物的行为。</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B.“欺诈行为”系指为了影响招标、采购和合同执行等过程而隐瞒事实，从而给买方造成损害的行为，其中包括投标人之间的串通行为。</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在买方全部或部分终止合同的情况下，卖方应按《合同专用条款》的规定对买方给予补偿。</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 争议的解决</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因执行本合同所发生的或者与本合同有关的一切争议由合同双方通过友好协商解决，如果不能协商一致，按《合同专用条款》规定的方式解决。</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第十五条 适用法律</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本合同的执行和争议的解决适用中华人民共和国的法律并按中华人民共和国的法律进行解释。</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第十六条权利保证</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16.1卖方应保证买方在使用合同标的时不受第三方提出侵犯其专利权、版权、商标权或其他权利的起诉。一旦出现侵权，卖方承担全部责任。</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第十七条保密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17.2上述秘密，卖方只能用于本合同，而且只能由卖方相应的人员使用；没有必要接触的卖方人员，不得接触。</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17.3卖方应当采取适当有效的方式保护所获取的上述秘密。</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第十八条 合同生效及其他</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本合同在合同协议书（合同附件1）规定的条件全部满足后生效。</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合同双方各自承担与本合同有关的应负税费。</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18.4合同双方除非《合同专用条款》另有规定，所有合同文件及相关的修订和合同双方之间的书面联络，应使用中文书就并按中文解释。</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18.5对本合同的任何补充、增添或修改以书面方式进行。</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18.6没有另一方的事先书面同意，合同任何一方不得将合同项下的任何权利和义务转让给第三方。</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18.8合同条款中的标题和边注仅供参考使用，不应视为合同的一部分，也不影响本文的解释。</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18.9合同构成买方和卖方之间就合同主要内容方面的完整协议，并且取代合同签订前所有关于这方面的通讯、协商、协议(不论是书面的，还是口头的)。</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18.11合同双方之间的一切联络往来应以书面形式按《合同专用条款》中规定的通讯地址发往合同另一方。有关重要事项的传真应及时用挂号信或快件确认。</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center"/>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60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合同专用条款</w:t>
      </w:r>
      <w:r/>
    </w:p>
    <w:p>
      <w:pPr>
        <w:ind w:left="0" w:right="0" w:firstLine="60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购货单位</w:t>
      </w:r>
      <w:r>
        <w:rPr>
          <w:rFonts w:ascii="SimSun" w:hAnsi="SimSun" w:eastAsia="SimSun" w:cs="SimSun"/>
          <w:color w:val="000000"/>
          <w:sz w:val="24"/>
        </w:rPr>
        <w:t xml:space="preserve">：</w:t>
      </w:r>
      <w:r>
        <w:rPr>
          <w:rFonts w:ascii="SimSun" w:hAnsi="SimSun" w:eastAsia="SimSun" w:cs="SimSun"/>
          <w:color w:val="000000"/>
          <w:sz w:val="24"/>
          <w:u w:val="single"/>
        </w:rPr>
        <w:t xml:space="preserve">徐州市中心医院     </w:t>
      </w:r>
      <w:r>
        <w:rPr>
          <w:rFonts w:ascii="SimSun" w:hAnsi="SimSun" w:eastAsia="SimSun" w:cs="SimSun"/>
          <w:color w:val="000000"/>
          <w:sz w:val="24"/>
        </w:rPr>
        <w:t xml:space="preserve">（以下简称买方）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供货单位</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（以下简称卖方）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合同签署地点：</w:t>
      </w:r>
      <w:r>
        <w:rPr>
          <w:rFonts w:ascii="SimSun" w:hAnsi="SimSun" w:eastAsia="SimSun" w:cs="SimSun"/>
          <w:color w:val="000000"/>
          <w:sz w:val="24"/>
        </w:rPr>
        <w:t xml:space="preserve">江苏省徐州市</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根据《中华人民共和国民法典》以及相关法律法规的规定，经双方协商一致，就买方采购卖方设备事宜，双方自愿签订如下合同：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产品名称、种类、规格、数量及价款</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9"/>
        <w:gridCol w:w="1067"/>
        <w:gridCol w:w="1556"/>
        <w:gridCol w:w="1523"/>
        <w:gridCol w:w="603"/>
        <w:gridCol w:w="1441"/>
        <w:gridCol w:w="1498"/>
      </w:tblGrid>
      <w:tr>
        <w:trPr>
          <w:trHeight w:val="36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7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生产厂家名称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rPr>
                <w:rFonts w:ascii="SimSun" w:hAnsi="SimSun" w:eastAsia="SimSun" w:cs="SimSun"/>
                <w:color w:val="000000"/>
                <w:sz w:val="24"/>
              </w:rPr>
              <w:t xml:space="preserve">¥</w:t>
            </w:r>
            <w:r>
              <w:rPr>
                <w:rFonts w:ascii="SimSun" w:hAnsi="SimSun" w:eastAsia="SimSun" w:cs="SimSun"/>
                <w:b/>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9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小计(</w:t>
            </w:r>
            <w:r>
              <w:rPr>
                <w:rFonts w:ascii="SimSun" w:hAnsi="SimSun" w:eastAsia="SimSun" w:cs="SimSun"/>
                <w:color w:val="000000"/>
                <w:sz w:val="24"/>
              </w:rPr>
              <w:t xml:space="preserve">¥</w:t>
            </w:r>
            <w:r>
              <w:rPr>
                <w:rFonts w:ascii="SimSun" w:hAnsi="SimSun" w:eastAsia="SimSun" w:cs="SimSun"/>
                <w:b/>
                <w:color w:val="000000"/>
                <w:sz w:val="24"/>
              </w:rPr>
              <w:t xml:space="preserve">元)</w:t>
            </w:r>
            <w:r/>
          </w:p>
        </w:tc>
      </w:tr>
      <w:tr>
        <w:trPr>
          <w:trHeight w:val="4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7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7"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6"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1"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8"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7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7"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6"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1"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8"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7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7"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6"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1"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8"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79"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7"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6"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3"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1"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8" w:type="dxa"/>
            <w:vAlign w:val="center"/>
            <w:textDirection w:val="lrTb"/>
            <w:noWrap w:val="false"/>
          </w:tcPr>
          <w:p>
            <w:pPr>
              <w:ind w:left="480" w:right="0" w:hanging="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产品详细配置清单等见附件，附件与本合同有同等法律效力。</w:t>
      </w:r>
      <w:r/>
    </w:p>
    <w:p>
      <w:pPr>
        <w:ind w:left="0" w:right="0" w:firstLine="46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交货方式与交货地点 </w:t>
      </w:r>
      <w:r/>
    </w:p>
    <w:p>
      <w:pPr>
        <w:ind w:left="0" w:right="0" w:firstLine="46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1、交货时间：合同生效日后，</w:t>
      </w:r>
      <w:r>
        <w:rPr>
          <w:rFonts w:ascii="SimSun" w:hAnsi="SimSun" w:eastAsia="SimSun" w:cs="SimSun"/>
          <w:color w:val="000000"/>
          <w:sz w:val="24"/>
          <w:u w:val="single"/>
        </w:rPr>
        <w:t xml:space="preserve">     </w:t>
      </w:r>
      <w:r>
        <w:rPr>
          <w:rFonts w:ascii="SimSun" w:hAnsi="SimSun" w:eastAsia="SimSun" w:cs="SimSun"/>
          <w:color w:val="000000"/>
          <w:sz w:val="24"/>
        </w:rPr>
        <w:t xml:space="preserve">日历日内将合同标的全部交付、安装、调试完毕。</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2、卖方负责将产品运至买方指定地点，并承担运输、装卸、安装、税费等一切相关费用。</w:t>
      </w:r>
      <w:r/>
    </w:p>
    <w:p>
      <w:pPr>
        <w:ind w:left="48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安装、调试与验收</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安装的产品，由卖方负责安装和调试工作。产品正常运行后由卖方会同买方相关部门按规定的标准共同组织验收。不需安装的产品由买方组织验收。如果发现数量不足或有质量、技术等问题，卖方应在七日内，按照买方的要求，采取补足、更换或退货等处理措施，并承担由此发生的一切损失和费用。</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付款方式</w:t>
      </w:r>
      <w:r>
        <w:rPr>
          <w:rFonts w:ascii="SimSun" w:hAnsi="SimSun" w:eastAsia="SimSun" w:cs="SimSun"/>
          <w:color w:val="000000"/>
          <w:sz w:val="24"/>
        </w:rPr>
        <w:t xml:space="preserve">（采购资金的支付方式、时间、条件）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本合同总金额为人民币大写金额</w:t>
      </w:r>
      <w:r>
        <w:rPr>
          <w:rFonts w:ascii="SimSun" w:hAnsi="SimSun" w:eastAsia="SimSun" w:cs="SimSun"/>
          <w:b/>
          <w:color w:val="000000"/>
          <w:sz w:val="24"/>
          <w:u w:val="single"/>
        </w:rPr>
        <w:t xml:space="preserve">     </w:t>
      </w:r>
      <w:r>
        <w:rPr>
          <w:rFonts w:ascii="SimSun" w:hAnsi="SimSun" w:eastAsia="SimSun" w:cs="SimSun"/>
          <w:b/>
          <w:color w:val="000000"/>
          <w:sz w:val="24"/>
        </w:rPr>
        <w:t xml:space="preserve">元（小写金额：</w:t>
      </w:r>
      <w:r>
        <w:rPr>
          <w:rFonts w:ascii="SimSun" w:hAnsi="SimSun" w:eastAsia="SimSun" w:cs="SimSun"/>
          <w:b/>
          <w:color w:val="000000"/>
          <w:sz w:val="24"/>
          <w:u w:val="single"/>
        </w:rPr>
        <w:t xml:space="preserve">     </w:t>
      </w:r>
      <w:r>
        <w:rPr>
          <w:rFonts w:ascii="SimSun" w:hAnsi="SimSun" w:eastAsia="SimSun" w:cs="SimSun"/>
          <w:b/>
          <w:color w:val="000000"/>
          <w:sz w:val="24"/>
        </w:rPr>
        <w:t xml:space="preserve">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经双方协商一致，选择以下第</w:t>
      </w:r>
      <w:r>
        <w:rPr>
          <w:rFonts w:ascii="SimSun" w:hAnsi="SimSun" w:eastAsia="SimSun" w:cs="SimSun"/>
          <w:b/>
          <w:color w:val="000000"/>
          <w:sz w:val="24"/>
          <w:u w:val="single"/>
        </w:rPr>
        <w:t xml:space="preserve">   </w:t>
      </w:r>
      <w:r>
        <w:rPr>
          <w:rFonts w:ascii="SimSun" w:hAnsi="SimSun" w:eastAsia="SimSun" w:cs="SimSun"/>
          <w:b/>
          <w:color w:val="000000"/>
          <w:sz w:val="24"/>
        </w:rPr>
        <w:t xml:space="preserve">种付款方式：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付款方式一：提交预付款保函的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6.1合同价款的百分之三十(30%)，即¥（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合同总价的百分之七十(70%)，即¥（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（在签订合同时，如乙方明确表示无需预付款的，甲方可凭最终验收报告，按实际的采购数量进行结算，并一次性支付乙方服务费用。（注：此条符合苏财购〔2020〕52号文件要求））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付款方式二</w:t>
      </w:r>
      <w:r>
        <w:rPr>
          <w:rFonts w:ascii="SimSun" w:hAnsi="SimSun" w:eastAsia="SimSun" w:cs="SimSun"/>
          <w:color w:val="000000"/>
          <w:sz w:val="24"/>
        </w:rPr>
        <w:t xml:space="preserve">：</w:t>
      </w:r>
      <w:r>
        <w:rPr>
          <w:rFonts w:ascii="SimSun" w:hAnsi="SimSun" w:eastAsia="SimSun" w:cs="SimSun"/>
          <w:b/>
          <w:color w:val="000000"/>
          <w:sz w:val="24"/>
        </w:rPr>
        <w:t xml:space="preserve">不提交预付款保函的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6.1合同价款的百分之三十(30%)，即¥（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）元整，在双方签订合同后15日内，由甲方根据审批流程办理政府采购资金结算手续，经审核后符合支付条件的，乙方向甲方开具相应金额的正式发票，甲方收到发票后15日内，将款项支付给乙方。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合同总价的百分之七十(70%)，即¥（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付款方式三：乙方明确表示无需预付款的（注：此条符合苏财购〔2020〕52号文件要求））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合同总价的百分之百(100%)即￥（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），按甲方需求交付完成，达到交付标准，通过验收并经甲方确认后，甲方自收到发票（发票金额为合同总价的100%）后10个工作日内，将资金支付到合同约定的乙方账户。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乙方需提交的申请支付文件包括：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（1）乙方出具的全额正式发票；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合同约定的乙方收款账户：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p>
      <w:pPr>
        <w:ind w:left="0" w:right="0" w:firstLine="480"/>
        <w:jc w:val="both"/>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ind w:left="0" w:right="0" w:firstLine="480"/>
        <w:jc w:val="both"/>
        <w:spacing w:before="0" w:after="0" w:line="85"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6.6</w:t>
      </w:r>
      <w:r>
        <w:rPr>
          <w:rFonts w:ascii="SimSun" w:hAnsi="SimSun" w:eastAsia="SimSun" w:cs="SimSun"/>
          <w:color w:val="000000"/>
          <w:sz w:val="24"/>
          <w:highlight w:val="none"/>
        </w:rPr>
        <w:t xml:space="preserve">签订合同前，乙方应向甲方支付成交金额3%的履约保证金，以支票、汇票、本票或者金融机构、担保机构出具的保函等非现金形式缴纳。履约保证金在乙方按合同安装调试完毕，最终验收合格后，经双方书面确认无责任纠纷后无息退还。</w:t>
      </w:r>
      <w:r>
        <w:rPr>
          <w:rFonts w:ascii="SimSun" w:hAnsi="SimSun" w:eastAsia="SimSun" w:cs="SimSun"/>
          <w:color w:val="000000"/>
          <w:sz w:val="24"/>
          <w:highlight w:val="none"/>
        </w:rPr>
      </w:r>
      <w:r/>
    </w:p>
    <w:p>
      <w:pPr>
        <w:ind w:left="42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质量保证、保修期及服务承诺</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1.卖方保证向买方提供的产品满足中国国家标准和相关行业标准。</w:t>
      </w:r>
      <w:r/>
    </w:p>
    <w:p>
      <w:pPr>
        <w:ind w:left="0" w:right="0" w:firstLine="56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2.产品的保修期（以验收合格日算起）</w:t>
      </w:r>
      <w:r>
        <w:rPr>
          <w:rFonts w:ascii="SimSun" w:hAnsi="SimSun" w:eastAsia="SimSun" w:cs="SimSun"/>
          <w:color w:val="000000"/>
          <w:sz w:val="24"/>
          <w:u w:val="single"/>
        </w:rPr>
        <w:t xml:space="preserve">     </w:t>
      </w:r>
      <w:r>
        <w:rPr>
          <w:rFonts w:ascii="SimSun" w:hAnsi="SimSun" w:eastAsia="SimSun" w:cs="SimSun"/>
          <w:color w:val="000000"/>
          <w:sz w:val="24"/>
        </w:rPr>
        <w:t xml:space="preserve">年，保修期内免费维修。</w:t>
      </w:r>
      <w:r/>
    </w:p>
    <w:p>
      <w:pPr>
        <w:ind w:left="0" w:right="0" w:firstLine="56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3.服务响应时间：</w:t>
      </w:r>
      <w:r>
        <w:rPr>
          <w:rFonts w:ascii="SimSun" w:hAnsi="SimSun" w:eastAsia="SimSun" w:cs="SimSun"/>
          <w:color w:val="000000"/>
          <w:sz w:val="24"/>
          <w:u w:val="single"/>
        </w:rPr>
        <w:t xml:space="preserve">    </w:t>
      </w:r>
      <w:r>
        <w:rPr>
          <w:rFonts w:ascii="SimSun" w:hAnsi="SimSun" w:eastAsia="SimSun" w:cs="SimSun"/>
          <w:color w:val="000000"/>
          <w:sz w:val="24"/>
        </w:rPr>
        <w:t xml:space="preserve">小时，其他承诺：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7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违约责任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1.卖方不能及时提供本合同规定的产品以及应履行的义务，买方在发出违约通知后3日卖方不能纠正时，买方可以终止全部或部分合同。同时，卖方应返还买方所支付款项，并按合同总金额的</w:t>
      </w:r>
      <w:r>
        <w:rPr>
          <w:rFonts w:ascii="SimSun" w:hAnsi="SimSun" w:eastAsia="SimSun" w:cs="SimSun"/>
          <w:color w:val="000000"/>
          <w:sz w:val="24"/>
          <w:u w:val="single"/>
        </w:rPr>
        <w:t xml:space="preserve">百分之十</w:t>
      </w:r>
      <w:r>
        <w:rPr>
          <w:rFonts w:ascii="SimSun" w:hAnsi="SimSun" w:eastAsia="SimSun" w:cs="SimSun"/>
          <w:color w:val="000000"/>
          <w:sz w:val="24"/>
        </w:rPr>
        <w:t xml:space="preserve">向买方支付违约金，并赔偿因此造成的损失。</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2.卖方所供产品如验收不合格，或者品种、型号、规格、花色质量不符合合同规定的，买方有权拒绝付款。根据买方的要求，卖方必须无条件换货或退货，由此引起的一切费用损失由卖方承担。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3.卖方逾期供货，每逾期一日，按合同总金额的千分之一向买方支付违约金。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4.卖方违反质量条款交付产品，卖方应在买方书面通知七日内提供符合约定质量标准的产品，每逾期一日承担合同金额百分之一的违约金。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5.卖方在施工期间应严格遵守 《建筑安装工人安全操作规程》、《中华人民共和国消防条例》和其他相关的法规、规范。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卖方在施工生产过程中违反有关安全操作规程、消防条例和防火规范，导致发生安全或火灾事故，卖方应承担由此产生的一切经济损失；在施工生产过程中，如发生人员伤亡事故，所产生的一切损失，由卖方自行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7.买方未按合同规定的时间和要求提供相应的场地技术资料等，交货日期经双方协商可相应顺延。</w:t>
      </w:r>
      <w:r/>
    </w:p>
    <w:p>
      <w:pPr>
        <w:ind w:left="0" w:right="0" w:firstLine="47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不可抗力</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买方、卖方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left="0" w:right="0" w:firstLine="47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争议解决方法</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甲、卖方双方因履行本合同发生争议时，应友好协商；协商不成时，可向合同签署地的仲裁机构申请仲裁，也可以向合同签署地人民法院提出诉讼。</w:t>
      </w:r>
      <w:r/>
    </w:p>
    <w:p>
      <w:pPr>
        <w:ind w:left="0" w:right="0" w:firstLine="47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合同附件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是合同不可分割的组成部分，与本合同具有同等法律效力。本合同附件包括：供货范围和价格清单、配置清单、技术标准、设备技术说明、售后服务和技术培训、质保期内设备所有备品备件清单、质保期满后供选购的所有备品备件及消耗品清单等。</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w:t>
      </w:r>
      <w:r>
        <w:rPr>
          <w:rFonts w:ascii="SimSun" w:hAnsi="SimSun" w:eastAsia="SimSun" w:cs="SimSun"/>
          <w:color w:val="000000"/>
          <w:sz w:val="24"/>
        </w:rPr>
        <w:t xml:space="preserve"> 买方招标文件、卖方方投标文件及卖方投标最终报价单、承诺等附属内容均为本合同一部分。</w:t>
      </w:r>
      <w:r/>
    </w:p>
    <w:p>
      <w:pPr>
        <w:ind w:left="0" w:right="0" w:firstLine="47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其它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1.本合同未尽事宜，由</w:t>
      </w:r>
      <w:r>
        <w:rPr>
          <w:rFonts w:ascii="SimSun" w:hAnsi="SimSun" w:eastAsia="SimSun" w:cs="SimSun"/>
          <w:b/>
          <w:color w:val="000000"/>
          <w:sz w:val="24"/>
        </w:rPr>
        <w:t xml:space="preserve">买方、</w:t>
      </w:r>
      <w:r>
        <w:rPr>
          <w:rFonts w:ascii="SimSun" w:hAnsi="SimSun" w:eastAsia="SimSun" w:cs="SimSun"/>
          <w:color w:val="000000"/>
          <w:sz w:val="24"/>
        </w:rPr>
        <w:t xml:space="preserve">卖方双方另行签订补充协议，补充协议是本合同的组成部分，与本合同具有同等法律效力。</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2.本合同壹式肆份，买方执叁份，卖方执壹份。自双方签字、盖章之日生效。</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3.合同签署地点：江苏省徐州市</w:t>
      </w:r>
      <w:r/>
    </w:p>
    <w:p>
      <w:pPr>
        <w:ind w:left="-359" w:right="-512" w:firstLine="501"/>
        <w:spacing w:before="300" w:after="3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156"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买方：徐州市中心医院 （盖章）      卖方：（盖章）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w:t>
      </w:r>
      <w:r>
        <w:rPr>
          <w:rFonts w:ascii="SimSun" w:hAnsi="SimSun" w:eastAsia="SimSun" w:cs="SimSun"/>
          <w:color w:val="000000"/>
          <w:sz w:val="24"/>
        </w:rPr>
        <w:t xml:space="preserve">：                       </w:t>
      </w:r>
      <w:r>
        <w:rPr>
          <w:rFonts w:ascii="SimSun" w:hAnsi="SimSun" w:eastAsia="SimSun" w:cs="SimSun"/>
          <w:b/>
          <w:color w:val="000000"/>
          <w:sz w:val="24"/>
        </w:rPr>
        <w:t xml:space="preserve">法定代表人</w:t>
      </w:r>
      <w:r>
        <w:rPr>
          <w:rFonts w:ascii="SimSun" w:hAnsi="SimSun" w:eastAsia="SimSun" w:cs="SimSun"/>
          <w:color w:val="000000"/>
          <w:sz w:val="24"/>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委托代表人</w:t>
      </w:r>
      <w:r>
        <w:rPr>
          <w:rFonts w:ascii="SimSun" w:hAnsi="SimSun" w:eastAsia="SimSun" w:cs="SimSun"/>
          <w:color w:val="000000"/>
          <w:sz w:val="24"/>
        </w:rPr>
        <w:t xml:space="preserve">：                       </w:t>
      </w:r>
      <w:r>
        <w:rPr>
          <w:rFonts w:ascii="SimSun" w:hAnsi="SimSun" w:eastAsia="SimSun" w:cs="SimSun"/>
          <w:b/>
          <w:color w:val="000000"/>
          <w:sz w:val="24"/>
        </w:rPr>
        <w:t xml:space="preserve">委托代表人</w:t>
      </w: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开户银行</w:t>
      </w:r>
      <w:r>
        <w:rPr>
          <w:rFonts w:ascii="SimSun" w:hAnsi="SimSun" w:eastAsia="SimSun" w:cs="SimSun"/>
          <w:color w:val="000000"/>
          <w:sz w:val="24"/>
        </w:rPr>
        <w:t xml:space="preserve">：</w:t>
      </w: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SimSun" w:hAnsi="SimSun" w:eastAsia="SimSun" w:cs="SimSun"/>
          <w:b/>
          <w:color w:val="000000"/>
          <w:sz w:val="24"/>
        </w:rPr>
        <w:t xml:space="preserve">开户银行</w:t>
      </w:r>
      <w:r>
        <w:rPr>
          <w:rFonts w:ascii="SimSun" w:hAnsi="SimSun" w:eastAsia="SimSun" w:cs="SimSun"/>
          <w:color w:val="000000"/>
          <w:sz w:val="24"/>
        </w:rPr>
        <w:t xml:space="preserve">：</w:t>
      </w:r>
      <w:r>
        <w:rPr>
          <w:rFonts w:ascii="SimSun" w:hAnsi="SimSun" w:eastAsia="SimSun" w:cs="SimSun"/>
          <w:b/>
          <w:color w:val="000000"/>
          <w:sz w:val="24"/>
        </w:rPr>
        <w:t xml:space="preserve">  </w:t>
      </w: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帐号</w:t>
      </w:r>
      <w:r>
        <w:rPr>
          <w:rFonts w:ascii="SimSun" w:hAnsi="SimSun" w:eastAsia="SimSun" w:cs="SimSun"/>
          <w:color w:val="000000"/>
          <w:sz w:val="24"/>
        </w:rPr>
        <w:t xml:space="preserve">：</w:t>
      </w:r>
      <w:r>
        <w:rPr>
          <w:rFonts w:ascii="SimSun" w:hAnsi="SimSun" w:eastAsia="SimSun" w:cs="SimSun"/>
          <w:b/>
          <w:color w:val="000000"/>
          <w:sz w:val="24"/>
        </w:rPr>
        <w:t xml:space="preserve">                        帐号</w:t>
      </w:r>
      <w:r>
        <w:rPr>
          <w:rFonts w:ascii="SimSun" w:hAnsi="SimSun" w:eastAsia="SimSun" w:cs="SimSun"/>
          <w:color w:val="000000"/>
          <w:sz w:val="24"/>
        </w:rPr>
        <w:t xml:space="preserve">：</w:t>
      </w:r>
      <w:r>
        <w:rPr>
          <w:rFonts w:ascii="SimSun" w:hAnsi="SimSun" w:eastAsia="SimSun" w:cs="SimSun"/>
          <w:b/>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w:t>
      </w:r>
      <w:r>
        <w:rPr>
          <w:rFonts w:ascii="SimSun" w:hAnsi="SimSun" w:eastAsia="SimSun" w:cs="SimSun"/>
          <w:color w:val="000000"/>
          <w:sz w:val="24"/>
        </w:rPr>
        <w:t xml:space="preserve">：年月日</w:t>
      </w:r>
      <w:r>
        <w:rPr>
          <w:rFonts w:ascii="SimSun" w:hAnsi="SimSun" w:eastAsia="SimSun" w:cs="SimSun"/>
          <w:b/>
          <w:color w:val="000000"/>
          <w:sz w:val="24"/>
        </w:rPr>
        <w:t xml:space="preserve">日期</w:t>
      </w:r>
      <w:r>
        <w:rPr>
          <w:rFonts w:ascii="SimSun" w:hAnsi="SimSun" w:eastAsia="SimSun" w:cs="SimSun"/>
          <w:color w:val="000000"/>
          <w:sz w:val="24"/>
        </w:rPr>
        <w:t xml:space="preserve">：年月日</w:t>
      </w:r>
      <w:r/>
    </w:p>
    <w:p>
      <w:pPr>
        <w:ind w:left="0" w:right="0" w:firstLine="600"/>
        <w:jc w:val="center"/>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60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w:t>
      </w:r>
      <w:r/>
    </w:p>
    <w:p>
      <w:pPr>
        <w:ind w:left="0" w:right="0" w:firstLine="56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目录</w:t>
      </w:r>
      <w:r/>
    </w:p>
    <w:p>
      <w:pPr>
        <w:ind w:left="0" w:right="0" w:firstLine="56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合同附件1：合同协议书</w:t>
      </w:r>
      <w:r/>
    </w:p>
    <w:p>
      <w:pPr>
        <w:ind w:left="0" w:right="0" w:firstLine="56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合同附件2：技术规格和技术性能</w:t>
      </w:r>
      <w:r/>
    </w:p>
    <w:p>
      <w:pPr>
        <w:ind w:left="0" w:right="0" w:firstLine="56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(要求见招标文件第六章《采购需求》；合同见卖方投标文件。)</w:t>
      </w:r>
      <w:r/>
    </w:p>
    <w:p>
      <w:pPr>
        <w:ind w:left="0" w:right="0" w:firstLine="56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合同附件3：售后服务和技术培训</w:t>
      </w:r>
      <w:r/>
    </w:p>
    <w:p>
      <w:pPr>
        <w:ind w:left="0" w:right="0" w:firstLine="56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(要求见招标文件第六章《采购需求》；合同见卖方投标文件。)</w:t>
      </w:r>
      <w:r/>
    </w:p>
    <w:p>
      <w:pPr>
        <w:ind w:left="0" w:right="0" w:firstLine="56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合同附件4：供货范围和价格清单</w:t>
      </w:r>
      <w:r/>
    </w:p>
    <w:p>
      <w:pPr>
        <w:ind w:left="0" w:right="0" w:firstLine="56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(要求见招标文件第七章《投标文件相关格式》中《开标一览表》和《分项价格表》；合同见卖方投标文件。)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70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270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270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270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合同附件1：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合同协议书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合同编号：____________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签字日期：____________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签字地点：____________ </w:t>
      </w:r>
      <w:r/>
    </w:p>
    <w:p>
      <w:pPr>
        <w:ind w:left="0" w:right="0" w:firstLine="4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59"/>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（买方名称）（以下简称“买方”）已接受</w:t>
      </w:r>
      <w:r>
        <w:rPr>
          <w:rFonts w:ascii="SimSun" w:hAnsi="SimSun" w:eastAsia="SimSun" w:cs="SimSun"/>
          <w:color w:val="000000"/>
          <w:sz w:val="24"/>
          <w:u w:val="single"/>
        </w:rPr>
        <w:t xml:space="preserve">        </w:t>
      </w:r>
      <w:r>
        <w:rPr>
          <w:rFonts w:ascii="SimSun" w:hAnsi="SimSun" w:eastAsia="SimSun" w:cs="SimSun"/>
          <w:color w:val="000000"/>
          <w:sz w:val="24"/>
        </w:rPr>
        <w:t xml:space="preserve">（卖方名称）（以下简称“卖方”）对（项目名称：医疗处置工作台采购（太行路院区二期））（项目编号</w:t>
      </w:r>
      <w:r>
        <w:rPr>
          <w:rFonts w:ascii="SimSun" w:hAnsi="SimSun" w:eastAsia="SimSun" w:cs="SimSun"/>
          <w:color w:val="000000"/>
          <w:sz w:val="24"/>
          <w:u w:val="none"/>
        </w:rPr>
        <w:t xml:space="preserve">：</w:t>
      </w:r>
      <w:r>
        <w:rPr>
          <w:rFonts w:ascii="SimSun" w:hAnsi="SimSun" w:eastAsia="SimSun" w:cs="SimSun"/>
          <w:color w:val="000000"/>
          <w:sz w:val="24"/>
        </w:rPr>
        <w:t xml:space="preserve">JSZC-320300-ZJZB-G2026-0132）的投标。买方和卖方共同达成如下协议。</w:t>
      </w:r>
      <w:r/>
    </w:p>
    <w:p>
      <w:pPr>
        <w:ind w:left="0" w:right="0" w:firstLine="359"/>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1.本合同协议书中的词语和术语的含义与合同条款中定义的相同。</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以下文件应构成买方和卖方之间达成的合同。若各文件之间存在含糊不清或互相冲突之处，优先顺序应按下列文件顺序解释。</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合同协议书</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中标通知书</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合同专用条款</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合同通用条款</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除合同附件1外的合同附件</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其他文件</w:t>
      </w:r>
      <w:r/>
    </w:p>
    <w:p>
      <w:pPr>
        <w:ind w:left="0" w:right="0" w:firstLine="5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考虑到买方将按照本合同向卖方支付合同价款，卖方在此保证按照合同的规定向买方提供合同标的、技术资料、售后服务及技术培训。</w:t>
      </w:r>
      <w:r/>
    </w:p>
    <w:p>
      <w:pPr>
        <w:ind w:left="0" w:right="0" w:firstLine="5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考虑到卖方将按合同规定提供合同标的、技术资料、售后服务及技术培训，买方在此保证按照合同规定的时间和方式向卖方支付合同价款。</w:t>
      </w:r>
      <w:r/>
    </w:p>
    <w:p>
      <w:pPr>
        <w:ind w:left="0" w:right="0" w:firstLine="5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本合同在下列条件全部满足后生效，生效日期以下列条件全部满足的最晚日期为准：双方加盖公章或合同专用章；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合同一式</w:t>
      </w:r>
      <w:r>
        <w:rPr>
          <w:rFonts w:ascii="SimSun" w:hAnsi="SimSun" w:eastAsia="SimSun" w:cs="SimSun"/>
          <w:color w:val="000000"/>
          <w:sz w:val="24"/>
          <w:u w:val="single"/>
        </w:rPr>
        <w:t xml:space="preserve">  </w:t>
      </w:r>
      <w:r>
        <w:rPr>
          <w:rFonts w:ascii="SimSun" w:hAnsi="SimSun" w:eastAsia="SimSun" w:cs="SimSun"/>
          <w:color w:val="000000"/>
          <w:sz w:val="24"/>
        </w:rPr>
        <w:t xml:space="preserve">份，具有同等法律效力，买方</w:t>
      </w:r>
      <w:r>
        <w:rPr>
          <w:rFonts w:ascii="SimSun" w:hAnsi="SimSun" w:eastAsia="SimSun" w:cs="SimSun"/>
          <w:color w:val="000000"/>
          <w:sz w:val="24"/>
          <w:u w:val="single"/>
        </w:rPr>
        <w:t xml:space="preserve">  </w:t>
      </w:r>
      <w:r>
        <w:rPr>
          <w:rFonts w:ascii="SimSun" w:hAnsi="SimSun" w:eastAsia="SimSun" w:cs="SimSun"/>
          <w:color w:val="000000"/>
          <w:sz w:val="24"/>
        </w:rPr>
        <w:t xml:space="preserve">份，卖方</w:t>
      </w:r>
      <w:r>
        <w:rPr>
          <w:rFonts w:ascii="SimSun" w:hAnsi="SimSun" w:eastAsia="SimSun" w:cs="SimSun"/>
          <w:color w:val="000000"/>
          <w:sz w:val="24"/>
          <w:u w:val="single"/>
        </w:rPr>
        <w:t xml:space="preserve">  </w:t>
      </w:r>
      <w:r>
        <w:rPr>
          <w:rFonts w:ascii="SimSun" w:hAnsi="SimSun" w:eastAsia="SimSun" w:cs="SimSun"/>
          <w:color w:val="000000"/>
          <w:sz w:val="24"/>
        </w:rPr>
        <w:t xml:space="preserve">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7.本合同其他未尽事宜及与采购文件有矛盾之处，以采购文件[项目编号：JSZC-320300-ZJZB-G2026-0132]为准。</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买方和卖方由其正式授权代表于上述所写日期和地点签订本合同。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买方（签章）：____________________________________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法定代表人或授权代表（签名）： ____________________ </w:t>
      </w:r>
      <w:r/>
    </w:p>
    <w:p>
      <w:pPr>
        <w:ind w:left="0" w:right="0" w:firstLine="3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卖方（签章）： ____________________________________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法定代表人或授权代表（签名）： ____________________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第六章采购需求</w:t>
      </w:r>
      <w:r/>
    </w:p>
    <w:p>
      <w:pPr>
        <w:ind w:left="0" w:right="0" w:firstLine="601"/>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一、说明</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1、医疗处置工作台采购（太行路院区二期）。</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2、本项目采购的是非进口产品。</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3、本项目不允许分包。</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4、本项目核心产品为：下柜（含抽屉）。</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5、供货期：合同签订之日起30日历天内供货并安装完毕。</w:t>
      </w:r>
      <w:r/>
    </w:p>
    <w:p>
      <w:pPr>
        <w:ind w:left="0" w:right="0" w:firstLine="601"/>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二、采购项目预算金额</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本项目采购预算金额为人民币238万元。本项目采用“综合单价固定、预估总价评标、实际数量据实结算”方式。</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应按采购清单中的预估数量填报综合单价并计算投标总价。按预估数量计算的投标总价不得超过人民币238万元，超过者投标无效。中标综合单价在合同执行期内固定不变，不因实际采购数量、供货批次、运输距离、市场价格变化等调整。但国家税率调整的，按不含税单价不变、税额相应调整的原则执行。</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投标总价仅作为评标价格及预算控制使用，不作为合同固定总价</w:t>
      </w:r>
      <w:r>
        <w:rPr>
          <w:rFonts w:ascii="SimSun" w:hAnsi="SimSun" w:eastAsia="SimSun" w:cs="SimSun"/>
          <w:color w:val="000000"/>
          <w:sz w:val="28"/>
        </w:rPr>
        <w:t xml:space="preserve">。合同最终结算金额按实际验收合格数量乘以中标综合单价计算，结算总额不超过本项目预算金额人民币238万元。</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综合单价包括但不限于产品价、税金、运输、装卸、搬运、检验、安装调试、拆除、维护、验收费等全部费用。采购人不再支付综合单价及合同约定调整以外的任何费用。</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三、采购清单</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7"/>
        <w:gridCol w:w="1769"/>
        <w:gridCol w:w="1434"/>
        <w:gridCol w:w="956"/>
        <w:gridCol w:w="4439"/>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参考</w:t>
            </w:r>
            <w:r>
              <w:rPr>
                <w:rFonts w:ascii="SimSun" w:hAnsi="SimSun" w:eastAsia="SimSun" w:cs="SimSun"/>
                <w:color w:val="000000"/>
                <w:sz w:val="28"/>
              </w:rPr>
              <w:t xml:space="preserve">规格组成（长*宽*高）m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预估数量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材质及工艺要求</w:t>
            </w:r>
            <w:r/>
          </w:p>
        </w:tc>
      </w:tr>
      <w:tr>
        <w:trPr>
          <w:trHeight w:val="1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上柜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0.8（L）×0.35×0.6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321米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1、主体材质：柜体、门板采用厚度≥1.0mm优质电解钢板制作，踢脚线部分采用厚度≥1.0mm304不锈钢板制作；上柜玻璃厚度≥4mm。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2、台面：台面采用医用级复合亚克力人造石，材料厚度≥12mm。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3、表面处理：采用环保室内型环氧树脂静电粉末喷涂，表面涂层具有环保、防锈、耐腐蚀、绝缘性高、附着力强、耐摩擦等技术特点。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五金配置：锁具采用叶片转舌锁，锁体材质为锌合金，锁芯叶片为钢板，钥匙材质为钢板，表面常规镀光亮铬处理；导轨采用医用走珠导轨，抽拉自如，抽屉内能放置30kg负载重量，导轨需在高温+50℃,低温-30℃能正常使用且不渗油；铰链采用缓冲铰链等。导轨带阻尼，缓冲自闭，静音防夹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5、工艺配置：整体采用电阻焊接工艺，无外露焊点，抽屉面板、门板采用双层防尘工艺设计，抽屉及门板配嵌入式标签卡槽，柜体内有可调节层板。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6、配置脚踏带缓降功能的垃圾收纳装置。处置柜ABS垃圾盖板通过不同颜色、标识可以区分医疗废物和非医疗废物，所有的垃圾桶选用电解钢板静电喷涂定制，垃圾桶配备垃圾袋固定卡扣装置。</w:t>
            </w:r>
            <w:r/>
          </w:p>
        </w:tc>
      </w:tr>
      <w:tr>
        <w:trPr>
          <w:trHeight w:val="1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中部背架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0.8（L）×0.35×0.55</w:t>
            </w:r>
            <w:r/>
          </w:p>
        </w:tc>
        <w:tc>
          <w:tcPr>
            <w:vMerge w:val="continue"/>
            <w:textDirection w:val="lrTb"/>
            <w:noWrap w:val="false"/>
          </w:tcPr>
          <w:p>
            <w:r/>
            <w:r/>
          </w:p>
        </w:tc>
        <w:tc>
          <w:tcPr>
            <w:vMerge w:val="continue"/>
            <w:textDirection w:val="lrTb"/>
            <w:noWrap w:val="false"/>
          </w:tcPr>
          <w:p>
            <w:r/>
            <w:r/>
          </w:p>
        </w:tc>
      </w:tr>
      <w:tr>
        <w:trPr>
          <w:trHeight w:val="1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8"/>
              </w:rPr>
              <w:t xml:space="preserve">3</w:t>
            </w:r>
            <w:r>
              <w:rPr>
                <w:rFonts w:ascii="SimSun" w:hAnsi="SimSun" w:eastAsia="SimSun" w:cs="SimSun"/>
                <w:b/>
                <w:color w:val="000000"/>
                <w:sz w:val="28"/>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下柜（含抽屉）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0.8（L）×0.6×0.85</w:t>
            </w:r>
            <w:r/>
          </w:p>
        </w:tc>
        <w:tc>
          <w:tcPr>
            <w:vMerge w:val="continue"/>
            <w:textDirection w:val="lrTb"/>
            <w:noWrap w:val="false"/>
          </w:tcPr>
          <w:p>
            <w:r/>
            <w:r/>
          </w:p>
        </w:tc>
        <w:tc>
          <w:tcPr>
            <w:vMerge w:val="continue"/>
            <w:textDirection w:val="lrTb"/>
            <w:noWrap w:val="false"/>
          </w:tcPr>
          <w:p>
            <w:r/>
            <w:r/>
          </w:p>
        </w:tc>
      </w:tr>
      <w:tr>
        <w:trPr>
          <w:trHeight w:val="1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上柜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0.8（L）×0.35×0.6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105米</w:t>
            </w:r>
            <w:r/>
          </w:p>
        </w:tc>
        <w:tc>
          <w:tcPr>
            <w:vMerge w:val="continue"/>
            <w:textDirection w:val="lrTb"/>
            <w:noWrap w:val="false"/>
          </w:tcPr>
          <w:p>
            <w:r/>
            <w:r/>
          </w:p>
        </w:tc>
      </w:tr>
      <w:tr>
        <w:trPr>
          <w:trHeight w:val="1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中部背架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0.8（L）×0.35×0.55</w:t>
            </w:r>
            <w:r/>
          </w:p>
        </w:tc>
        <w:tc>
          <w:tcPr>
            <w:vMerge w:val="continue"/>
            <w:textDirection w:val="lrTb"/>
            <w:noWrap w:val="false"/>
          </w:tcPr>
          <w:p>
            <w:r/>
            <w:r/>
          </w:p>
        </w:tc>
        <w:tc>
          <w:tcPr>
            <w:vMerge w:val="continue"/>
            <w:textDirection w:val="lrTb"/>
            <w:noWrap w:val="false"/>
          </w:tcPr>
          <w:p>
            <w:r/>
            <w:r/>
          </w:p>
        </w:tc>
      </w:tr>
      <w:tr>
        <w:trPr>
          <w:trHeight w:val="19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下柜（不含抽屉，含脚踩垃圾桶）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0.8（L）×0.6×0.85</w:t>
            </w:r>
            <w:r/>
          </w:p>
        </w:tc>
        <w:tc>
          <w:tcPr>
            <w:vMerge w:val="continue"/>
            <w:textDirection w:val="lrTb"/>
            <w:noWrap w:val="false"/>
          </w:tcPr>
          <w:p>
            <w:r/>
            <w:r/>
          </w:p>
        </w:tc>
        <w:tc>
          <w:tcPr>
            <w:vMerge w:val="continue"/>
            <w:textDirection w:val="lrTb"/>
            <w:noWrap w:val="false"/>
          </w:tcPr>
          <w:p>
            <w:r/>
            <w:r/>
          </w:p>
        </w:tc>
      </w:tr>
      <w:tr>
        <w:trPr>
          <w:trHeight w:val="1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单下柜（含脚踩垃圾桶）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1（L）×0.6×0.85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77米</w:t>
            </w:r>
            <w:r/>
          </w:p>
        </w:tc>
        <w:tc>
          <w:tcPr>
            <w:vMerge w:val="continue"/>
            <w:textDirection w:val="lrTb"/>
            <w:noWrap w:val="false"/>
          </w:tcPr>
          <w:p>
            <w:r/>
            <w:r/>
          </w:p>
        </w:tc>
      </w:tr>
      <w:tr>
        <w:trPr>
          <w:trHeight w:val="1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废液处置槽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定制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1个</w:t>
            </w:r>
            <w:r/>
          </w:p>
        </w:tc>
        <w:tc>
          <w:tcPr>
            <w:vMerge w:val="continue"/>
            <w:textDirection w:val="lrTb"/>
            <w:noWrap w:val="false"/>
          </w:tcPr>
          <w:p>
            <w:r/>
            <w:r/>
          </w:p>
        </w:tc>
      </w:tr>
      <w:tr>
        <w:trPr>
          <w:trHeight w:val="10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洗手槽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0.55（L）×0.4×0.21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73个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采用304不锈钢拉丝大单槽，配备ABS防臭下水S软管及有关配件。</w:t>
            </w:r>
            <w:r/>
          </w:p>
        </w:tc>
      </w:tr>
      <w:tr>
        <w:trPr>
          <w:trHeight w:val="7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高嘴水龙头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常规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73个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1、鹅颈式水龙头。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2、主体采用黄铜或不锈钢，表面抗菌、耐含氯消毒剂擦拭。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3、总高≥500mm，出水嘴距台面≥400mm，鹅颈可360°旋转。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4、陶瓷阀芯，具备防虹吸功能。</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亚克力挡水板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定制（与</w:t>
            </w:r>
            <w:r>
              <w:rPr>
                <w:rFonts w:ascii="SimSun" w:hAnsi="SimSun" w:eastAsia="SimSun" w:cs="SimSun"/>
                <w:color w:val="000000"/>
                <w:sz w:val="28"/>
              </w:rPr>
              <w:t xml:space="preserve">洗手槽配套</w:t>
            </w:r>
            <w:r>
              <w:rPr>
                <w:rFonts w:ascii="SimSun" w:hAnsi="SimSun" w:eastAsia="SimSun" w:cs="SimSun"/>
                <w:color w:val="000000"/>
                <w:sz w:val="28"/>
                <w:highlight w:val="whit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73个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1、规格尺寸：挡板高度≥500mm，宽度与洗手槽台面及靠墙侧尺寸匹配，厚度≥8mm。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2、材质：采用医用级亚克力板，表面光滑无孔隙，易清洁消毒。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3、耐消毒剂性能：须耐受含氯消毒剂、75%酒精等常用消毒剂擦拭，无开裂、变形、变色。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4、安装：安装牢固无晃动。</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辅材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清单中“预估数量”仅为招标阶段参考数量，不作为最终实际采购量的承诺，也不构成最小采购量承诺。最终结算数量以采购人经审计确认的实际下达订单、书面通知及验收合格数量为准。采购人不承诺最小采购量，亦不对预估数量与实际数量之间的差异承担法律责任。投标人应充分考虑数量变更风险。</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2、中标综合单价在合同执行期内固定不变，不因实际采购数量、供货批次、运输距离、市场价格、政策变化等调整。但国家税率调整的，按不含税单价不变、税额相应调整的原则执行。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3、实际结算金额 = Σ（经采购人验收合格的实际数量 × 中标综合单价）。结算总额不超过本项目预算金额人民币238万元。达到预算金额后，采购人有权停止下达订单。</w:t>
      </w:r>
      <w:r/>
    </w:p>
    <w:p>
      <w:pPr>
        <w:ind w:left="0" w:right="0" w:firstLine="56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4、采购清单中的规格尺寸为参考尺寸，实际规格以采购人确认的图纸、现场测量及订单为准。</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5、按延米计价的柜体类产品，实际长度按延米计量；实际高度、深度与参考尺寸偏差在±10%以内的，综合单价不变；超出±10%的，结算单价按以下公式调整：</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结算单价 = 中标综合单价 ×（实际高度 ÷ 参考高度）×（实际深度 ÷ 参考深度）。</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调整系数保留小数点后两位，第三位四舍五入。</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6、按个计价的产品，其综合单价已包含定制尺寸差异风险；除采购人要求改变材质、功能或超出原定制范围外，不因尺寸小幅变化调整。</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7、辅材按批包干报价，已包含完成本项目所需的全部辅助材料，不因数量增减另行结算。</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8、产品涉及以下配件的，相关技术要求：</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（1）一体折弯拉手、叶片转舌锁（推荐品牌：百隆、海蒂诗、海福乐或同档次其他品牌）。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（2）五金铰链、滑轨（推荐品牌：百隆、海蒂诗、海福乐或同档次其他品牌）。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（3）医用复合亚克力人造石台面（推荐品牌：杜邦、富美家、客乐思或同档次其他品牌）。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（4）水龙头及上下水配件（推荐品牌：九牧、惠达、箭牌或同档次其他品牌）。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（5）所有板材（品牌推荐：宝钢、鞍钢、首钢或同档次其他品牌）。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9、上述涉及品牌表述的，投标产品质量应参照或相当于推荐品牌，并无任何指向性。</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10、★投标产品（详见采购清单）不接受缺漏</w:t>
      </w:r>
      <w:r>
        <w:rPr>
          <w:rFonts w:ascii="SimSun" w:hAnsi="SimSun" w:eastAsia="SimSun" w:cs="SimSun"/>
          <w:b/>
          <w:color w:val="000000"/>
          <w:sz w:val="28"/>
        </w:rPr>
        <w:t xml:space="preserve">（只需提供承诺函,格式自拟（必须提供，否则按无效响应处理））</w:t>
      </w:r>
      <w:r>
        <w:rPr>
          <w:rFonts w:ascii="SimSun" w:hAnsi="SimSun" w:eastAsia="SimSun" w:cs="SimSun"/>
          <w:color w:val="000000"/>
          <w:sz w:val="28"/>
        </w:rPr>
        <w:t xml:space="preserve">。</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11、★投标时需提供深化设计(包括但不限于：货物结构、立面和效果图、设计说明)</w:t>
      </w:r>
      <w:r>
        <w:rPr>
          <w:rFonts w:ascii="SimSun" w:hAnsi="SimSun" w:eastAsia="SimSun" w:cs="SimSun"/>
          <w:b/>
          <w:color w:val="000000"/>
          <w:sz w:val="28"/>
        </w:rPr>
        <w:t xml:space="preserve">（只需提供承诺函,格式自拟（必须提供，否则按无效响应处理））</w:t>
      </w:r>
      <w:r>
        <w:rPr>
          <w:rFonts w:ascii="SimSun" w:hAnsi="SimSun" w:eastAsia="SimSun" w:cs="SimSun"/>
          <w:color w:val="000000"/>
          <w:sz w:val="28"/>
        </w:rPr>
        <w:t xml:space="preserve">。</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12、★因现场上下水位置在安装洗手槽时有可能会出现偏差，投标人应自行连接，上下水材料由投标人自行准备，并承担相应费用</w:t>
      </w:r>
      <w:r>
        <w:rPr>
          <w:rFonts w:ascii="SimSun" w:hAnsi="SimSun" w:eastAsia="SimSun" w:cs="SimSun"/>
          <w:b/>
          <w:color w:val="000000"/>
          <w:sz w:val="28"/>
        </w:rPr>
        <w:t xml:space="preserve">（只需提供承诺函,格式自拟（必须提供，否则按无效响应处理））</w:t>
      </w:r>
      <w:r>
        <w:rPr>
          <w:rFonts w:ascii="SimSun" w:hAnsi="SimSun" w:eastAsia="SimSun" w:cs="SimSun"/>
          <w:color w:val="000000"/>
          <w:sz w:val="28"/>
        </w:rPr>
        <w:t xml:space="preserve">。</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13、★相关建筑垃圾由中标单位负责清运</w:t>
      </w:r>
      <w:r>
        <w:rPr>
          <w:rFonts w:ascii="SimSun" w:hAnsi="SimSun" w:eastAsia="SimSun" w:cs="SimSun"/>
          <w:b/>
          <w:color w:val="000000"/>
          <w:sz w:val="28"/>
        </w:rPr>
        <w:t xml:space="preserve">（只需提供承诺函,格式自拟（必须提供，否则按无效响应处理））</w:t>
      </w:r>
      <w:r>
        <w:rPr>
          <w:rFonts w:ascii="SimSun" w:hAnsi="SimSun" w:eastAsia="SimSun" w:cs="SimSun"/>
          <w:color w:val="000000"/>
          <w:sz w:val="28"/>
        </w:rPr>
        <w:t xml:space="preserve">。</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投标人如中标，在签订合同后需出具所有产品的现场渲染效果图纸、安装图纸。经采购人确认后，进行制作安装。颜色由采购人指定（投标人须在合同签订后供货前提供具备法定资质的第三检测机构出具的（所投产品的单品或产品主材料）有效的检测报告。 若中标人提供的检测报告无效或不符合本项目采购文件要求，采购人将解除合同且中标人必须承担由此给采购人造成的损失和承担法律责任。）</w:t>
      </w:r>
      <w:r>
        <w:rPr>
          <w:rFonts w:ascii="SimSun" w:hAnsi="SimSun" w:eastAsia="SimSun" w:cs="SimSun"/>
          <w:b/>
          <w:color w:val="000000"/>
          <w:sz w:val="28"/>
        </w:rPr>
        <w:t xml:space="preserve">（只需提供承诺函,格式自拟（必须提供，否则按无效响应处理））</w:t>
      </w:r>
      <w:r>
        <w:rPr>
          <w:rFonts w:ascii="SimSun" w:hAnsi="SimSun" w:eastAsia="SimSun" w:cs="SimSun"/>
          <w:color w:val="000000"/>
          <w:sz w:val="28"/>
        </w:rPr>
        <w:t xml:space="preserve">。</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15本需求中提出的材质及工艺要求仅为参考，如招标文件无明确限制，投标人可以进行优化，提供满足用户实际需要的更优（或者性能实质上不低于的）技术方案或者设备配置。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为鼓励不同品牌的充分竞争，如某设备的某技术参数或要求属于个别品牌专有，则该技术参数及要求不具有限制性，投标人可对该参数或要求进行适当调整，并应当说明调整的理由，且此调整须经评委会审核认可；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17、为有助于投标人选择投标产品，投标人可以选择性能不低于采购需求要求的产品，但投标时应当提供有关技术证明资料，未提供的可能导致投标无效。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中标人必须确保整体通过用户方及有关主管部门验收,所发生的验收费用由中标人承担；投标人应自行踏勘现场，如投标人因未及时踏勘现场而导致的报价缺项漏项废标、或中标后无法完工，投标人自行承担一切后果；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19、深化设计与生产：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（1）中标人在满足材质、使用、功能等要求的前提下按室内装饰设计要求设计，先提供相关色板，供采购人选择，确定颜色、款式后进行样品设计，提供相关样品后经采购人认可后再按采购量加工生产。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（2）各种货物的采购数量和款式，采购人根据现场的实际情况，有权对所有货物的数量、尺寸和款式增加或减少，最终以采购人需求实际的安装数量为准，结算也以实际安装数量经医院审计后结算。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本次采购的医疗家具以绿色环保材料为主要基本材料制造，生产供货商需说明家具在生产制作加工过程中，所采用的主要材料及配件的名称及制造厂家，并提供家具主要图纸及主要剖面图、五金件、辅材分析单等相应技术说明。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①投标人在合同签订后供货前提供的检测报告上的名称与要求中所对应的名称不同但内容实质与招标文件参数要求相符的视作等同。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②本采购需求中引用的所有国家标准、行业标准及相关规范，若在投标截止日前发布或实施最新版本，也予以认可，投标人所投产品及提供的证明文件需符合该最新版本要求。 </w:t>
      </w:r>
      <w:r/>
    </w:p>
    <w:p>
      <w:pPr>
        <w:ind w:left="0" w:right="0" w:firstLine="601"/>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四、报价要求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（1）投标人应仔细阅读招标文件，了解拟投标的全部内容。投标人的投标报价应是招标文件所确定的招标范围内全部内容的价格体现。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按预估数量计算的投标总价不得超过最高限价人民币238万元。投标报价包括但不限于本项目全部货物及所需主材、附件、辅材的购置费、人工费、机械费、管理费、包装费、运输费、保险费、安装调试费、二次搬运及垂直运输费、水电移位费、总承包服务费、水电费、措施费、售后服务费、培训费、维保费、办公费、差旅费、过程验收、检测费、成品保护费、保洁费、垃圾处置费、资料费、各种税费、利润及完成项目应有的全部费用。上述费用均已分摊计入各子目综合单价，不因实际采购数量增减另行计取。除按实际验收合格数量乘以中标综合单价结算外，</w:t>
      </w:r>
      <w:r>
        <w:rPr>
          <w:rFonts w:ascii="SimSun" w:hAnsi="SimSun" w:eastAsia="SimSun" w:cs="SimSun"/>
          <w:color w:val="000000"/>
          <w:sz w:val="28"/>
        </w:rPr>
        <w:t xml:space="preserve">采购后期不再追加任何费用，结算总额不超过人民币238万元。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人可先到施工现场踏勘以充分了解本项目位置、情况、道路、储存空间、装卸限制及任何其他足以影响投标报价的情况，任何因忽视或误解工地情况而导致的索赔或工期延长申请将不被批准。不论投标人是否踏勘现场，在施工过程中，现场如有变动（除采购人提出的变更除外），所发生的一切费用由中标人自行承担。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（4）本招标项目中部分货物有内嵌电器开关插座洞口预留开口（具体数量中标后与采购人沟通后确定，此部分含在投标报价内，中标后不再调整价格）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（5）在项目实施过程中，如出现设计变更减少工程量，或采购人取消或暂缓部分内容，中标人须无条件执行采购人的此类指令，同时也不得要求采购人赔偿“合同履行后预期可得利益”损失。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中标人在合同服务期内，实施的本次招标范围内的全部工作内容需满足采购人的项目整体计划安排。存在降效、大面积集中施工等现象发生的可能，投标人需谨慎考虑列入投标报价。以及与总承包单位、其他专业工程施工单位在施工时的配合及交叉施工的降效或可能存在的返工费用（包括但不限于侧边收口、二次修补、打胶等）。与本项目有关的一切费用（相关部门的检测、过程验收、资料的整理等），投标人在投标时充分考虑上述工作量，所涉及的费用含在本次投标报价中。采购人不再另行支付该项费用。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（7）中标人须无条件配合装修装饰、医用净化、智能化、消防等专业相关设备、管线、面板的开孔及修复工作，相关费用请投标人自行考虑计入投标报价内，后期不予调整。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本项目在施工过程中可能涉及到的开孔、与其他工程交叉施工、保洁、垃圾清理（垃圾清扫及运至场内指定地点，垃圾清运及外运由中标人负责，费用均包含在投标报价中。分割施工面、项目分阶段实施、分期交付等相关一切费用均含在投标人投标报价中，投标人自行考虑综合报价，中标以后不再调整。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采购人在签订合同之前有权对中标人进行考察，如发现在本次招投标过程中有弄虚作假行为，将取消其中标资格。请各位投标人本着诚实信用的原则进行投标，如有弄虚作假一律取消资格，并报主管部门按相关管理规定依法严重处理。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（10）参加本项目投标的投标人不得挂靠、转包，否则清除出场。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（11）中标人必须负责采购人项目的全过程相关审查、过程验收、监督等的一切与有关部门之间的对接、协调工作，并承担相应费用。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最终采购数量及结算以实际验收合格数量为准，中标综合单价不做调整；尺寸超出±10%的，按本需求备注第5条调整结算单价。结算总额不超过本项目预算金额人民币238万元，达到预算金额后采购人有权停止下达订单。 </w:t>
      </w:r>
      <w:r/>
    </w:p>
    <w:p>
      <w:pPr>
        <w:ind w:left="0" w:right="0" w:firstLine="601"/>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五、人员培训要求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货物安装、调试、验收合格后，中标人应对采购人的相关人员进行免费现场培训。培训内容包括基本操作、保养维修、常见故障及解决办法等。 </w:t>
      </w:r>
      <w:r/>
    </w:p>
    <w:p>
      <w:pPr>
        <w:ind w:left="0" w:right="0" w:firstLine="601"/>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六、货物质量及售后服务要求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1、中标人提供的货物必须是全新、原装、合格正品，完全符合国家规定的质量标准和厂方的标准，货物完好，配件齐全。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2、采购人有权监督、检查、检验中标人的货物质量及安装质量进度，整改方案须经采购人认可后方能实施，中标人应把货物质量放在首位，加强技术管理和质量保证，严格认真地执行技术标准和规范。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中标人在供货安装中如发生质量事故（责任由中标人全部承担），应及时报告采购人。做到及时查清事故原因，分清事故责任，并采取有效的补救措施。一般质量事故的处理方案应送采购人共同研究实施；重大质量事故的处理按国家相关条例执行。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4、保修及售后服务：质保期至少为 60 个月， 质保期从货物验收合格后算起。质保期内的所有费用均已包含在投标报价中。所有货物的质保服务方式均为中标人上门服务，即由中标人派人到货物使用现场维修，由此产生的一切费用均由中标人自行承担。质保期内中标人须每半年对所供货物实行包修、包换、包维护保养。质保期内在非人为因素情况下，一切维修换件保养费用和备品备件均由中标人免费提供。质保期满后，中标人应提供优先的有偿售后服务且主要配件、易损件应为原厂零配件等。若国家和/或生产厂家对本项目所涉及货物的质保期的规定高于本项目的要</w:t>
      </w:r>
      <w:r>
        <w:rPr>
          <w:rFonts w:ascii="SimSun" w:hAnsi="SimSun" w:eastAsia="SimSun" w:cs="SimSun"/>
          <w:color w:val="000000"/>
          <w:sz w:val="28"/>
        </w:rPr>
        <w:t xml:space="preserve">求，应按国家和/或生产厂家的规定执行。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5、维修响应速度：中标人提供固定的、长久的售后服务联系电话及联系人。质保期内一旦设备发生故障，而采购人无法自行排除时，故障响应时间不超过 1小时，在接到采购人通知后 24 小时内派员上门，并在 48 小时内解决问题。如果需要更换配件的，要求更换的配件跟被更换的品牌、类型相一致或者是同类同档次的替代品，后者需征得用户方管理人员同意，并及时提供备品备件和维修工具。质保期结束前免费对系统进行一次系统测试，并提供一次测试报告。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6、中标人应在质保期后10年内，有足够的备用件替换，以确保设备在无须更换关键器件的条件下能够连续正常运作而又不降低设备的可靠性。 </w:t>
      </w:r>
      <w:r/>
    </w:p>
    <w:p>
      <w:pPr>
        <w:ind w:left="0" w:right="0" w:firstLine="601"/>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七、验收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1、验收以招标文件和技术文件、投标文件、合同及安装技术要求、样品为依据。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在所有货物安装完成且场地清理保洁完毕后由中标人向采购人提出书面验收申请报告，并且提供主要货物的出厂合格证书（或报告）、检测报告等完整的技术档案资料。由中标人、采购人或有争议时由第三方检测部门共同验收并出具验收确认书，验收交付前的保管安全责任由中标人承担。检验中被破坏的合格货物价款由采购人承担，若因中标人所供货物的原因导致验收不合格，整改费用由中标人支付。 若中标人未能按照上述要求履行的，导致无法及时验收的，则须由中标人承担一切责任。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验收时采购人将中标人中标后供货前提供的样品（含原材料、构配件和货物成品）与到场货物进行符合性检查，若到场货物原材料、构配件及工艺与样品不符，采购人可要求退货且按规定扣除合同款，中标人拒不整改的将解除合同并承担由此给采购人带来的损失和承担法律责任。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4、符合验收条件的，由采购人组织有关部门按照国家、地方有关规范、标准及设计要求进行验收。验收后中标人应按照验收中提出的意见整改。</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5、整改完毕且复验合格后将本项目货物交给采购人使用，完成日期以通过复验日期为准。</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采购人在中标人送货、安装、调试后对货物服务进行检查验收，如果发现数量不足或有质量、技术等问题，中标人应负责根据合同及采购人的要求采取补足或更换等处理措施，并承担由此发生的一切损失和费用。验收合格后，采购人在验收单上签字并加盖单位公章。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在本合同货物的使用期内，如果发现中标人交付的本合同的货物质量、性能和规格与本合同约定不符，或证明其有缺陷，包括潜在的缺陷或使用不合适的原材料等，采购人有权申请本合同货物安装使用地的法定检验机构检验，并根据检验证书及质量保证条款向中标人提出索赔。在合同履行各个阶段所发生的索赔协商期内，中标人应继续履行合同，不得中止。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8、中标人应负责因自身供货安装对采购人房屋及设施前工序造成损坏的修复工作（包括但不限于道路、梯间、外墙等）。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9、如中标人不能按合同交货时间提供合格货物，采购人有权要求投标人赔偿或解除合同。</w:t>
      </w:r>
      <w:r/>
    </w:p>
    <w:p>
      <w:pPr>
        <w:ind w:left="0" w:right="0" w:firstLine="601"/>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八、样品</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1、投标人在投标时应按招标文件中材质及工艺要求提供做工优良的样品。每个品种样品只允许提供1种。</w:t>
      </w:r>
      <w:r>
        <w:rPr>
          <w:rFonts w:ascii="SimSun" w:hAnsi="SimSun" w:eastAsia="SimSun" w:cs="SimSun"/>
          <w:b/>
          <w:color w:val="000000"/>
          <w:sz w:val="28"/>
        </w:rPr>
        <w:t xml:space="preserve">如不提供样品或样品不全，则样品评分项整体不得分。</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2、本项目递交样品的参数性能与投标文件所述不一致的，投标人应承担样品被评委全部否定的风险，一旦被否定，则样品整体不得分。递交的样品仅作为评分使用，不作为资格性、符合性审查的依据。</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3、样品接收时间：2026年10月19日7:00—9:30（北京时间）。9:30截止时间一到，不再接收任何样品。</w:t>
      </w:r>
      <w:r>
        <w:rPr>
          <w:rFonts w:ascii="SimSun" w:hAnsi="SimSun" w:eastAsia="SimSun" w:cs="SimSun"/>
          <w:b/>
          <w:color w:val="000000"/>
          <w:sz w:val="28"/>
        </w:rPr>
        <w:t xml:space="preserve">未在截止时间前送达并完成组装、就位的，则样品整体不得分。</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（1）样品接收地点：江苏中际招标代理有限公司地下停车场指定区域（地址：江苏省徐州市云龙区绿地领海5号楼地下停车场，具体请电话联系）。</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样品接收方式：仅接受现场送达。投标人须自行安排车辆、人员，在截止时间前将样品运输至指定地点，并完成搬运、组装、就位。采购代理机构仅提供样品存放场地，不提供搬运、装卸、组装、电源、照明、工具、人员、保管、看护等任何服务。</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（3）送交样品联系人（采购代理机构指定接收人）：彭翔宇，联系电话：18105219788。</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人应自行踏勘样品接收地点，确认地下停车场限高、限宽、转弯半径、卸货区域、停车条件等实际情况，选择合适运输车辆。因车辆超高、超宽、无法进入地下停车场、无法卸货、物流延迟、组装延误等导致未能在截止时间前完成样品送达及组装、就位的，采购人、采购代理机构不承担任何责任，相关后果由投标人自行承担。</w:t>
      </w:r>
      <w:r>
        <w:rPr>
          <w:rFonts w:ascii="SimSun" w:hAnsi="SimSun" w:eastAsia="SimSun" w:cs="SimSun"/>
          <w:b/>
          <w:color w:val="000000"/>
          <w:sz w:val="28"/>
        </w:rPr>
        <w:t xml:space="preserve">本项目样品不接受邮寄。</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5、本项目样品不作统一遮盖。投标人应在样品上粘贴统一格式标签，注明项目编号、样品名称、投标人名称。</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6、样品完成组装、就位后，投标人不得在样品存放地点逗留。因样品接收截止时间与开标时间衔接，投标人应自行合理安排人员，确保样品送达、组装、就位与“苏采云”系统开标互不影响。</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中标人的所有样品由采购人封存（中标人负责免费运送至采购人指定地点）作为验收依据。未中标的投标人提供的样品应在评标结果公示结束后七个工作日内由投标人自行取回，逾期未取回的，视为放弃样品，由采购人自行处理，采购代理机构不承担保管责任。</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8、样品品种提供要求：</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提供宽度不少于0.8米的整体医疗处置工作台上、中、下柜（下柜（含抽屉））体</w:t>
      </w:r>
      <w:r>
        <w:rPr>
          <w:rFonts w:ascii="SimSun" w:hAnsi="SimSun" w:eastAsia="SimSun" w:cs="SimSun"/>
          <w:b/>
          <w:color w:val="000000"/>
          <w:sz w:val="28"/>
        </w:rPr>
        <w:t xml:space="preserve">成品</w:t>
      </w:r>
      <w:r>
        <w:rPr>
          <w:rFonts w:ascii="SimSun" w:hAnsi="SimSun" w:eastAsia="SimSun" w:cs="SimSun"/>
          <w:color w:val="000000"/>
          <w:sz w:val="28"/>
        </w:rPr>
        <w:t xml:space="preserve">1套。</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另需单独提供：洗手槽1个、高嘴水龙头1个、亚克力挡水板1套、垃圾处置脚踏组件1套、阻尼铰链1套、静音滑轨1套、垃圾桶1个。</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9、样品宽度尺寸不得少于0.8米，否则视为未提供样品处理，样品评分项整体不得分。</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10、投标人自行承担人为或非人为样品运输、搬运、组装、摆放、看护、撤场及评审期间可能发生的损坏、灭失、变形、污染等风险，采购人、采购代理机构不承担任何责任。</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本项目样品不接受任何提前接收的理由。接收时间开始前，样品接收地点不开放。投标人不得以任何理由提前将样品运送至样品接收地点。指定区域内在接收时间开始前出现的任何样品，均视为投标人提前放置，采购代理机构有权将其移出指定区域，由此造成的一切损失由投标人自行承担；同时，该样品视为未在规定时间内送达，样品评分项整体不得分。</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样品接收后至样品撤场前，采购代理机构仅提供存放场地，不承担保管、看护、防盗等责任。样品在存放期间发生损坏、灭失、污染、变形等，采购人、采购代理机构不承担任何责任。投标人应自行评估样品存放风险，并自行采取必要的防护措施。</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投标人应提前踏勘运输路线，合理安排运输车辆、出发时间及备用方案，确保在样品接收截止时间前将样品送达指定地点并完成组装、就位。因交通拥堵、交通管制、货车限行、车辆无法进入、停车困难、卸货延误等任何因素，导致样品未能在截止时间前送达或完成组装、就位的，采购人、采购代理机构不承担任何责任，由此产生的一切后果由投标人自行承担。</w:t>
      </w:r>
      <w:r/>
    </w:p>
    <w:p>
      <w:pPr>
        <w:ind w:left="0" w:right="0" w:firstLine="601"/>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九、其他要求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根据国家《强制性产品认证管理规定》、《认证认可条例》的相关规定。投标人所投产品如需要强制认证的，应在供货时提供国家认可的认证机构颁发的在有效期内的《中国国家强制性产品认证证书》扫描件报送采购人。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2、相关产品符合医院院内感染控制要求，环保要求。符合医院的特殊要求。满足不同服务、不同工作对象对医用家具使用功能的要求。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3、本次招标对应的设施物品需按采购人在签订采购合同时提供的设计图纸进行配套施工安装。如不能按照相关位置及参数进行施工，产生造成的费用由中标人负责。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4、中标人提供的货物，必须符合招标文件及其投标文件规定的要求，如有不符，采购人可以无条件退货，造成的损失由中标人承担。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5、采购人如需要进行产品的抽检，抽检费用由中标人承担，此费用已包含在投标报价中。抽检结果如与合同中要求不符，中标人须承担由此发生的一切损失和费用，并承担相应的法律责任。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6、中标人、供货人名称必须一致，否则作违约处理，其履约保证金不予退还。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中标人必须按照招标文件及其投标文件规定的时间要求完成供货和施工，如未按期完成，每延期一天，按该批次订单金额的1‰扣款，累计不超过该批次订单金额的10%，因此造成的任何损失和损伤，一切责任由中标人负责。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8、采购人提供卸货地点、场地、供电（水）点及排水点等合适的工作环境及配置给中标人，以保证中标人交货、安装进程及产品质量不受影响。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9、材料要求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所有主要材料原厂生产须提供原厂产品；且经采购人、跟踪审计单位认可后方可施工。投标报价中必须按照规定格式注明材料、设备的规格、品牌、生产厂家（产地）；投标文件中须明确注明所投材料、设备的品牌产地等相关内容。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（2）货物在批量生产前须按采购人要求提供样品（含原材料、构配件和货物成品）送采购人确认后方可批量生产，否则采购人拒绝接受及验收直至解除合同并承担由此给采购人造成的损失和承担法律责任。 </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11、在供货周期内，中标人按采购人通知时间和指定地点（楼层）分批次供货及安装等。 </w:t>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第七章投标文件相关格式</w:t>
      </w:r>
      <w:r/>
    </w:p>
    <w:p>
      <w:pPr>
        <w:ind w:left="0" w:right="0" w:firstLine="64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一、投标函格式</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w:t>
      </w:r>
      <w:r>
        <w:rPr>
          <w:rFonts w:ascii="SimSun" w:hAnsi="SimSun" w:eastAsia="SimSun" w:cs="SimSun"/>
          <w:color w:val="000000"/>
          <w:sz w:val="28"/>
          <w:u w:val="single"/>
        </w:rPr>
        <w:t xml:space="preserve"> 江苏中际招标代理有限公司</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w:t>
      </w:r>
      <w:r>
        <w:rPr>
          <w:rFonts w:ascii="SimSun" w:hAnsi="SimSun" w:eastAsia="SimSun" w:cs="SimSun"/>
          <w:color w:val="000000"/>
          <w:sz w:val="28"/>
          <w:u w:val="single"/>
        </w:rPr>
        <w:t xml:space="preserve">          </w:t>
      </w:r>
      <w:r>
        <w:rPr>
          <w:rFonts w:ascii="SimSun" w:hAnsi="SimSun" w:eastAsia="SimSun" w:cs="SimSun"/>
          <w:color w:val="000000"/>
          <w:sz w:val="28"/>
        </w:rPr>
        <w:t xml:space="preserve">项目[项目编号：JSZC-320300-ZJZB-G2026-0132]招标文件，</w:t>
      </w:r>
      <w:r>
        <w:rPr>
          <w:rFonts w:ascii="SimSun" w:hAnsi="SimSun" w:eastAsia="SimSun" w:cs="SimSun"/>
          <w:color w:val="000000"/>
          <w:sz w:val="28"/>
          <w:u w:val="single"/>
        </w:rPr>
        <w:t xml:space="preserve">         </w:t>
      </w:r>
      <w:r>
        <w:rPr>
          <w:rFonts w:ascii="SimSun" w:hAnsi="SimSun" w:eastAsia="SimSun" w:cs="SimSun"/>
          <w:color w:val="000000"/>
          <w:sz w:val="28"/>
        </w:rPr>
        <w:t xml:space="preserve">(姓名)代表我方</w:t>
      </w:r>
      <w:r>
        <w:rPr>
          <w:rFonts w:ascii="SimSun" w:hAnsi="SimSun" w:eastAsia="SimSun" w:cs="SimSun"/>
          <w:color w:val="000000"/>
          <w:sz w:val="28"/>
          <w:u w:val="single"/>
        </w:rPr>
        <w:t xml:space="preserve">           </w:t>
      </w:r>
      <w:r>
        <w:rPr>
          <w:rFonts w:ascii="SimSun" w:hAnsi="SimSun" w:eastAsia="SimSun" w:cs="SimSun"/>
          <w:color w:val="000000"/>
          <w:sz w:val="28"/>
        </w:rPr>
        <w:t xml:space="preserve">（投标人的名称）全权处理本次投标的有关事宜。</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据此函，投标人承诺并同意如下： </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1.投标人唯一投标报价见《开标一览表》。</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2.投标人将按招标文件的规定履行合同责任和义务。</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3.投标人已详细审查全部招标文件，包括第[插入编号] [补遗书][如果有的话]。投标人完全理解并同意放弃对这方面有不明及误解的权力。</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4.投标有效期为开标之日后90天。</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5.投标人同意提供按照贵方可能要求的与其投标有关的一切数据或资料，完全理解贵方不一定接受最低价的投标或收到的任何投标。</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6.投标人同意在授予合同后，按照有关规定支付公证费(如有)。</w:t>
      </w:r>
      <w:r/>
    </w:p>
    <w:p>
      <w:pPr>
        <w:ind w:left="0" w:right="29"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7.江苏中际招标代理有限公司有权将我单位本项目的《开标一览表》和《分项价格表》予以公示，公示的方式由江苏中际招标代理有限公司确定。</w:t>
      </w:r>
      <w:r/>
    </w:p>
    <w:p>
      <w:pPr>
        <w:ind w:left="0" w:right="29"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 与本投标有关的一切正式往来信函请寄：</w:t>
      </w:r>
      <w:r/>
    </w:p>
    <w:p>
      <w:pPr>
        <w:ind w:left="0" w:right="0" w:firstLine="12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 </w:t>
      </w:r>
      <w:r/>
    </w:p>
    <w:p>
      <w:pPr>
        <w:ind w:left="0" w:right="0" w:firstLine="12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电话： </w:t>
      </w:r>
      <w:r/>
    </w:p>
    <w:p>
      <w:pPr>
        <w:ind w:left="0" w:right="0" w:firstLine="12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移动电话：</w:t>
      </w:r>
      <w:r/>
    </w:p>
    <w:p>
      <w:pPr>
        <w:ind w:left="0" w:right="0" w:firstLine="12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传真： </w:t>
      </w:r>
      <w:r/>
    </w:p>
    <w:p>
      <w:pPr>
        <w:ind w:left="0" w:right="0" w:firstLine="27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SimSun" w:hAnsi="SimSun" w:eastAsia="SimSun" w:cs="SimSun"/>
          <w:color w:val="000000"/>
          <w:sz w:val="28"/>
          <w:u w:val="single"/>
        </w:rPr>
        <w:t xml:space="preserve">           </w:t>
      </w:r>
      <w:r>
        <w:rPr>
          <w:rFonts w:ascii="SimSun" w:hAnsi="SimSun" w:eastAsia="SimSun" w:cs="SimSun"/>
          <w:color w:val="000000"/>
          <w:sz w:val="28"/>
        </w:rPr>
        <w:t xml:space="preserve">（电子签章）</w:t>
      </w:r>
      <w:r/>
    </w:p>
    <w:p>
      <w:pPr>
        <w:ind w:left="0" w:right="0" w:firstLine="45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64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二、开标一览表格式</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项目名称：医疗处置工作台采购（太行路院区二期） </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项目编号：JSZC-320300-ZJZB-G2026-0132</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货币单位：人民币元</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详见苏采云系统中的格式。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7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15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SimSun" w:hAnsi="SimSun" w:eastAsia="SimSun" w:cs="SimSun"/>
          <w:color w:val="000000"/>
          <w:sz w:val="28"/>
          <w:u w:val="single"/>
        </w:rPr>
        <w:t xml:space="preserve">           </w:t>
      </w:r>
      <w:r>
        <w:rPr>
          <w:rFonts w:ascii="SimSun" w:hAnsi="SimSun" w:eastAsia="SimSun" w:cs="SimSun"/>
          <w:color w:val="000000"/>
          <w:sz w:val="28"/>
        </w:rPr>
        <w:t xml:space="preserve">（电子签章）</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95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9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三、分项价格表格式</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项目名称：医疗处置工作台采购（太行路院区二期）  </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项目编号：JSZC-320300-ZJZB-G2026-0132</w:t>
      </w:r>
      <w:r/>
    </w:p>
    <w:p>
      <w:pPr>
        <w:ind w:left="0" w:right="0" w:firstLine="600"/>
        <w:jc w:val="right"/>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货币单位：人民币元</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1"/>
        <w:gridCol w:w="868"/>
        <w:gridCol w:w="1720"/>
        <w:gridCol w:w="2120"/>
        <w:gridCol w:w="861"/>
        <w:gridCol w:w="848"/>
        <w:gridCol w:w="850"/>
        <w:gridCol w:w="1526"/>
      </w:tblGrid>
      <w:tr>
        <w:trPr>
          <w:trHeight w:val="666"/>
        </w:trPr>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名称</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7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品牌、规格、型号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产品制造企业名称（全称）</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数量</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5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总价</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1"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2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20"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5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2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1"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2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20"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5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2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1"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2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20"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5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2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1"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2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20"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5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2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48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1"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2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20"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5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2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35"/>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269"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总价合计（即《开标一览表》中的“总价”）</w:t>
            </w:r>
            <w:r/>
          </w:p>
        </w:tc>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085"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285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5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SimSun" w:hAnsi="SimSun" w:eastAsia="SimSun" w:cs="SimSun"/>
          <w:color w:val="000000"/>
          <w:sz w:val="28"/>
          <w:u w:val="single"/>
        </w:rPr>
        <w:t xml:space="preserve">           </w:t>
      </w:r>
      <w:r>
        <w:rPr>
          <w:rFonts w:ascii="SimSun" w:hAnsi="SimSun" w:eastAsia="SimSun" w:cs="SimSun"/>
          <w:color w:val="000000"/>
          <w:sz w:val="28"/>
        </w:rPr>
        <w:t xml:space="preserve">（电子签章）</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9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①如果不提供详细分项报价的，将视为没有实质性响应招标文件。</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②投标人对以上数据的真实性负责。</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江苏中际招标代理有限公司有权将以上内容进行公示。</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四、偏离表格式</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项目名称：医疗处置工作台采购（太行路院区二期）</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项目编号：JSZC-320300-ZJZB-G2026-0132</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1404"/>
        <w:gridCol w:w="1476"/>
        <w:gridCol w:w="1620"/>
        <w:gridCol w:w="2475"/>
        <w:gridCol w:w="1305"/>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招标文件的要求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投标文件中的内容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（正/负/无）偏离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5"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5"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5"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5"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5"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5"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p>
    <w:p>
      <w:pPr>
        <w:ind w:left="0" w:right="0" w:firstLine="56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w:t>
      </w:r>
      <w:r>
        <w:rPr>
          <w:rFonts w:ascii="SimSun" w:hAnsi="SimSun" w:eastAsia="SimSun" w:cs="SimSun"/>
          <w:color w:val="000000"/>
          <w:sz w:val="28"/>
        </w:rPr>
        <w:t xml:space="preserve">：投标人的投标文件中的内容与招标文件（含招标文件的澄清或者修改的内容）的要求不同时，逐条列在偏离表中，否则将认为投标人接受招标文件的要求。</w:t>
      </w:r>
      <w:r/>
    </w:p>
    <w:p>
      <w:pPr>
        <w:ind w:left="0" w:right="0" w:firstLine="285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SimSun" w:hAnsi="SimSun" w:eastAsia="SimSun" w:cs="SimSun"/>
          <w:color w:val="000000"/>
          <w:sz w:val="28"/>
          <w:u w:val="single"/>
        </w:rPr>
        <w:t xml:space="preserve">           </w:t>
      </w:r>
      <w:r>
        <w:rPr>
          <w:rFonts w:ascii="SimSun" w:hAnsi="SimSun" w:eastAsia="SimSun" w:cs="SimSun"/>
          <w:color w:val="000000"/>
          <w:sz w:val="28"/>
        </w:rPr>
        <w:t xml:space="preserve">（电子签章）</w:t>
      </w:r>
      <w:r/>
    </w:p>
    <w:p>
      <w:pPr>
        <w:ind w:left="0" w:right="0" w:firstLine="60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color w:val="000000"/>
          <w:sz w:val="28"/>
        </w:rPr>
        <w:t xml:space="preserve"> </w:t>
      </w:r>
      <w:r>
        <w:rPr>
          <w:sz w:val="24"/>
        </w:rPr>
      </w:r>
      <w:r/>
    </w:p>
    <w:p>
      <w:pPr>
        <w:ind w:left="0" w:right="0" w:firstLine="39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五、法定代表人授权书格式</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rPr>
          <w:rFonts w:ascii="SimSun" w:hAnsi="SimSun" w:eastAsia="SimSun" w:cs="SimSun"/>
          <w:color w:val="000000"/>
          <w:sz w:val="28"/>
        </w:rPr>
        <w:t xml:space="preserve">委托人：</w:t>
      </w:r>
      <w:r>
        <w:rPr>
          <w:sz w:val="24"/>
        </w:rPr>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法定代表人（负责人）：职务：</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统一社会信用代码：</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受托人：性别：男（女）</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年龄：岁民族：族</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职务：</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身份证号：</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受托人联系电话：</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兹委托（）全权代表我企业（公司）参与（医疗处置工作台采购（太行路院区二期））（项目编号：JSZC-320300-ZJZB-G2026-0132）的招、投标活动及签订合同。（）以我企业（公司）名义所为的法律行为及签署的文件，我企业（公司）均予以认可。有关法律责任均由我企业（公司）承担。（）无转委托权。委托期限自年月日起至年月日止。</w:t>
      </w:r>
      <w:r/>
    </w:p>
    <w:p>
      <w:pPr>
        <w:ind w:left="0" w:right="0" w:firstLine="63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特此授权委托。</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委托人（盖章）：</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受托人（签字或盖章）：</w:t>
      </w:r>
      <w:r/>
    </w:p>
    <w:p>
      <w:pPr>
        <w:ind w:left="0" w:right="600" w:firstLine="615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 </w:t>
      </w:r>
      <w:r/>
    </w:p>
    <w:p>
      <w:pPr>
        <w:ind w:left="0" w:right="0" w:firstLine="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(受托人身份证复印件附后)</w:t>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六、具备履行合同所必需的设备和专业技术能力的书面声明（附证明材料扫描件）格式（投标人可自行拟定）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供应商郑重声明：投标人具备履行合同（项目名称：医疗处置工作台采购（太行路院区二期），项目编号：JSZC-320300-ZJZB-G2026-0132）所必需的设备和专业技术能力，具体为：</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设备：</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1、（证明材料扫描件附后）</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专业技术能力：</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1、（证明材料扫描件附后）</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特此声明。</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供应商对上述声明的真实性负责。如有虚假，将依法承担相应责任。</w:t>
      </w:r>
      <w:r/>
    </w:p>
    <w:p>
      <w:pPr>
        <w:ind w:left="0" w:right="29"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29"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29"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SimSun" w:hAnsi="SimSun" w:eastAsia="SimSun" w:cs="SimSun"/>
          <w:color w:val="000000"/>
          <w:sz w:val="28"/>
          <w:u w:val="single"/>
        </w:rPr>
        <w:t xml:space="preserve">        </w:t>
      </w:r>
      <w:r>
        <w:rPr>
          <w:rFonts w:ascii="SimSun" w:hAnsi="SimSun" w:eastAsia="SimSun" w:cs="SimSun"/>
          <w:color w:val="000000"/>
          <w:sz w:val="28"/>
        </w:rPr>
        <w:t xml:space="preserve">（电子签章）：</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日期：年月日</w:t>
      </w:r>
      <w:r/>
    </w:p>
    <w:p>
      <w:pPr>
        <w:ind w:left="0" w:right="0" w:firstLine="447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7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7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7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00" w:after="10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七、中小企业声明函格式</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项目名称：医疗处置工作台采购（太行路院区二期）</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项目编号：JSZC-320300-ZJZB-G2026-0132</w:t>
      </w:r>
      <w:r>
        <w:rPr>
          <w:rFonts w:ascii="SimSun" w:hAnsi="SimSun" w:eastAsia="SimSun" w:cs="SimSun"/>
          <w:b/>
          <w:color w:val="000000"/>
          <w:sz w:val="28"/>
          <w:u w:val="single"/>
        </w:rPr>
        <w:t xml:space="preserve"> </w:t>
      </w:r>
      <w:r/>
    </w:p>
    <w:p>
      <w:pPr>
        <w:ind w:left="0" w:right="0" w:firstLine="56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本公司</w:t>
      </w:r>
      <w:r>
        <w:rPr>
          <w:rFonts w:ascii="SimSun" w:hAnsi="SimSun" w:eastAsia="SimSun" w:cs="SimSun"/>
          <w:color w:val="000000"/>
          <w:sz w:val="28"/>
          <w:u w:val="single"/>
        </w:rPr>
        <w:t xml:space="preserve">         </w:t>
      </w:r>
      <w:r>
        <w:rPr>
          <w:rFonts w:ascii="SimSun" w:hAnsi="SimSun" w:eastAsia="SimSun" w:cs="SimSun"/>
          <w:color w:val="000000"/>
          <w:sz w:val="28"/>
        </w:rPr>
        <w:t xml:space="preserve">（联合体）郑重声明，根据《政府采购促进中小企业发展管理办法》（财库 (2020)46号）的规定，本公司（联合体）参加徐州市中心医院的医疗处置工作台采购（太行路院区二期）活动，提供的货物全部由符合政策要求的中小企业制造。相关企业的具体情况如下：</w:t>
        <w:tab/>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rPr>
          <w:rFonts w:ascii="Times New Roman" w:hAnsi="Times New Roman" w:eastAsia="Times New Roman" w:cs="Times New Roman"/>
          <w:color w:val="000000"/>
          <w:sz w:val="28"/>
        </w:rPr>
        <w:t xml:space="preserve">（</w:t>
      </w:r>
      <w:r>
        <w:rPr>
          <w:rFonts w:ascii="SimSun" w:hAnsi="SimSun" w:eastAsia="SimSun" w:cs="SimSun"/>
          <w:color w:val="000000"/>
          <w:sz w:val="28"/>
          <w:u w:val="single"/>
        </w:rPr>
        <w:t xml:space="preserve">  上柜 </w:t>
      </w:r>
      <w:r>
        <w:rPr>
          <w:rFonts w:ascii="Times New Roman" w:hAnsi="Times New Roman" w:eastAsia="Times New Roman" w:cs="Times New Roman"/>
          <w:color w:val="000000"/>
          <w:sz w:val="28"/>
        </w:rPr>
        <w:t xml:space="preserve">），属于（工业）行业；制造商为（</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u w:val="single"/>
        </w:rPr>
        <w:t xml:space="preserve">企业名称</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rPr>
        <w:t xml:space="preserve">），从业人员</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人，营业收入为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万元，资产总额为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万元，属于（□中型企业、□小型企业、□微型企业，</w:t>
      </w:r>
      <w:r>
        <w:rPr>
          <w:rFonts w:ascii="Times New Roman" w:hAnsi="Times New Roman" w:eastAsia="Times New Roman" w:cs="Times New Roman"/>
          <w:b/>
          <w:color w:val="000000"/>
          <w:sz w:val="28"/>
        </w:rPr>
        <w:t xml:space="preserve">请勾选！</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rPr>
          <w:rFonts w:ascii="Times New Roman" w:hAnsi="Times New Roman" w:eastAsia="Times New Roman" w:cs="Times New Roman"/>
          <w:color w:val="000000"/>
          <w:sz w:val="28"/>
        </w:rPr>
        <w:t xml:space="preserve">（</w:t>
      </w:r>
      <w:r>
        <w:rPr>
          <w:rFonts w:ascii="SimSun" w:hAnsi="SimSun" w:eastAsia="SimSun" w:cs="SimSun"/>
          <w:color w:val="000000"/>
          <w:sz w:val="28"/>
          <w:u w:val="single"/>
        </w:rPr>
        <w:t xml:space="preserve"> 中部背架 </w:t>
      </w:r>
      <w:r>
        <w:rPr>
          <w:rFonts w:ascii="Times New Roman" w:hAnsi="Times New Roman" w:eastAsia="Times New Roman" w:cs="Times New Roman"/>
          <w:color w:val="000000"/>
          <w:sz w:val="28"/>
        </w:rPr>
        <w:t xml:space="preserve">），属于（工业）行业；制造商为（</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u w:val="single"/>
        </w:rPr>
        <w:t xml:space="preserve">企业名称</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rPr>
        <w:t xml:space="preserve">），从业人员</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人，营业收入为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万元，资产总额为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万元，属于（□中型企业、□小型企业、□微型企业，</w:t>
      </w:r>
      <w:r>
        <w:rPr>
          <w:rFonts w:ascii="Times New Roman" w:hAnsi="Times New Roman" w:eastAsia="Times New Roman" w:cs="Times New Roman"/>
          <w:b/>
          <w:color w:val="000000"/>
          <w:sz w:val="28"/>
        </w:rPr>
        <w:t xml:space="preserve">请勾选！</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w:t>
      </w:r>
      <w:r>
        <w:rPr>
          <w:rFonts w:ascii="Times New Roman" w:hAnsi="Times New Roman" w:eastAsia="Times New Roman" w:cs="Times New Roman"/>
          <w:color w:val="000000"/>
          <w:sz w:val="28"/>
        </w:rPr>
        <w:t xml:space="preserve">（</w:t>
      </w:r>
      <w:r>
        <w:rPr>
          <w:rFonts w:ascii="SimSun" w:hAnsi="SimSun" w:eastAsia="SimSun" w:cs="SimSun"/>
          <w:color w:val="000000"/>
          <w:sz w:val="28"/>
          <w:u w:val="single"/>
        </w:rPr>
        <w:t xml:space="preserve"> 下柜（含抽屉） </w:t>
      </w:r>
      <w:r>
        <w:rPr>
          <w:rFonts w:ascii="Times New Roman" w:hAnsi="Times New Roman" w:eastAsia="Times New Roman" w:cs="Times New Roman"/>
          <w:color w:val="000000"/>
          <w:sz w:val="28"/>
        </w:rPr>
        <w:t xml:space="preserve">），属于（工业）行业；制造商为（</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u w:val="single"/>
        </w:rPr>
        <w:t xml:space="preserve">企业名称</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rPr>
        <w:t xml:space="preserve">），从业人员</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人，营业收入为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万元，资产总额为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万元，属于（□中型企业、□小型企业、□微型企业，</w:t>
      </w:r>
      <w:r>
        <w:rPr>
          <w:rFonts w:ascii="Times New Roman" w:hAnsi="Times New Roman" w:eastAsia="Times New Roman" w:cs="Times New Roman"/>
          <w:b/>
          <w:color w:val="000000"/>
          <w:sz w:val="28"/>
        </w:rPr>
        <w:t xml:space="preserve">请勾选！</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w:t>
      </w:r>
      <w:r>
        <w:rPr>
          <w:rFonts w:ascii="Times New Roman" w:hAnsi="Times New Roman" w:eastAsia="Times New Roman" w:cs="Times New Roman"/>
          <w:color w:val="000000"/>
          <w:sz w:val="28"/>
        </w:rPr>
        <w:t xml:space="preserve">（</w:t>
      </w:r>
      <w:r>
        <w:rPr>
          <w:rFonts w:ascii="SimSun" w:hAnsi="SimSun" w:eastAsia="SimSun" w:cs="SimSun"/>
          <w:color w:val="000000"/>
          <w:sz w:val="28"/>
          <w:u w:val="single"/>
        </w:rPr>
        <w:t xml:space="preserve">  上柜 </w:t>
      </w:r>
      <w:r>
        <w:rPr>
          <w:rFonts w:ascii="Times New Roman" w:hAnsi="Times New Roman" w:eastAsia="Times New Roman" w:cs="Times New Roman"/>
          <w:color w:val="000000"/>
          <w:sz w:val="28"/>
        </w:rPr>
        <w:t xml:space="preserve">），属于（工业）行业；制造商为（</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u w:val="single"/>
        </w:rPr>
        <w:t xml:space="preserve">企业名称</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rPr>
        <w:t xml:space="preserve">），从业人员</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人，营业收入为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万元，资产总额为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万元，属于（□中型企业、□小型企业、□微型企业，</w:t>
      </w:r>
      <w:r>
        <w:rPr>
          <w:rFonts w:ascii="Times New Roman" w:hAnsi="Times New Roman" w:eastAsia="Times New Roman" w:cs="Times New Roman"/>
          <w:b/>
          <w:color w:val="000000"/>
          <w:sz w:val="28"/>
        </w:rPr>
        <w:t xml:space="preserve">请勾选！</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w:t>
      </w:r>
      <w:r>
        <w:rPr>
          <w:rFonts w:ascii="Times New Roman" w:hAnsi="Times New Roman" w:eastAsia="Times New Roman" w:cs="Times New Roman"/>
          <w:color w:val="000000"/>
          <w:sz w:val="28"/>
        </w:rPr>
        <w:t xml:space="preserve">（</w:t>
      </w:r>
      <w:r>
        <w:rPr>
          <w:rFonts w:ascii="SimSun" w:hAnsi="SimSun" w:eastAsia="SimSun" w:cs="SimSun"/>
          <w:color w:val="000000"/>
          <w:sz w:val="28"/>
          <w:u w:val="single"/>
        </w:rPr>
        <w:t xml:space="preserve"> 中部背架 </w:t>
      </w:r>
      <w:r>
        <w:rPr>
          <w:rFonts w:ascii="Times New Roman" w:hAnsi="Times New Roman" w:eastAsia="Times New Roman" w:cs="Times New Roman"/>
          <w:color w:val="000000"/>
          <w:sz w:val="28"/>
        </w:rPr>
        <w:t xml:space="preserve">），属于（工业）行业；制造商为（</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u w:val="single"/>
        </w:rPr>
        <w:t xml:space="preserve">企业名称</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rPr>
        <w:t xml:space="preserve">），从业人员</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人，营业收入为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万元，资产总额为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万元，属于（□中型企业、□小型企业、□微型企业，</w:t>
      </w:r>
      <w:r>
        <w:rPr>
          <w:rFonts w:ascii="Times New Roman" w:hAnsi="Times New Roman" w:eastAsia="Times New Roman" w:cs="Times New Roman"/>
          <w:b/>
          <w:color w:val="000000"/>
          <w:sz w:val="28"/>
        </w:rPr>
        <w:t xml:space="preserve">请勾选！</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w:t>
      </w:r>
      <w:r>
        <w:rPr>
          <w:rFonts w:ascii="Times New Roman" w:hAnsi="Times New Roman" w:eastAsia="Times New Roman" w:cs="Times New Roman"/>
          <w:color w:val="000000"/>
          <w:sz w:val="28"/>
        </w:rPr>
        <w:t xml:space="preserve">（</w:t>
      </w:r>
      <w:r>
        <w:rPr>
          <w:rFonts w:ascii="SimSun" w:hAnsi="SimSun" w:eastAsia="SimSun" w:cs="SimSun"/>
          <w:color w:val="000000"/>
          <w:sz w:val="28"/>
          <w:u w:val="single"/>
        </w:rPr>
        <w:t xml:space="preserve"> 下柜（不含抽屉，含脚踩垃圾桶） </w:t>
      </w:r>
      <w:r>
        <w:rPr>
          <w:rFonts w:ascii="Times New Roman" w:hAnsi="Times New Roman" w:eastAsia="Times New Roman" w:cs="Times New Roman"/>
          <w:color w:val="000000"/>
          <w:sz w:val="28"/>
        </w:rPr>
        <w:t xml:space="preserve">），属于（工业）行业；制造商为（</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u w:val="single"/>
        </w:rPr>
        <w:t xml:space="preserve">企业名称</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rPr>
        <w:t xml:space="preserve">），从业人员</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人，营业收入为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万元，资产总额为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万元，属于（□中型企业、□小型企业、□微型企业，</w:t>
      </w:r>
      <w:r>
        <w:rPr>
          <w:rFonts w:ascii="Times New Roman" w:hAnsi="Times New Roman" w:eastAsia="Times New Roman" w:cs="Times New Roman"/>
          <w:b/>
          <w:color w:val="000000"/>
          <w:sz w:val="28"/>
        </w:rPr>
        <w:t xml:space="preserve">请勾选！</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w:t>
      </w:r>
      <w:r>
        <w:rPr>
          <w:rFonts w:ascii="Times New Roman" w:hAnsi="Times New Roman" w:eastAsia="Times New Roman" w:cs="Times New Roman"/>
          <w:color w:val="000000"/>
          <w:sz w:val="28"/>
        </w:rPr>
        <w:t xml:space="preserve">（</w:t>
      </w:r>
      <w:r>
        <w:rPr>
          <w:rFonts w:ascii="SimSun" w:hAnsi="SimSun" w:eastAsia="SimSun" w:cs="SimSun"/>
          <w:color w:val="000000"/>
          <w:sz w:val="28"/>
          <w:u w:val="single"/>
        </w:rPr>
        <w:t xml:space="preserve"> 单下柜（含脚踩垃圾桶） </w:t>
      </w:r>
      <w:r>
        <w:rPr>
          <w:rFonts w:ascii="Times New Roman" w:hAnsi="Times New Roman" w:eastAsia="Times New Roman" w:cs="Times New Roman"/>
          <w:color w:val="000000"/>
          <w:sz w:val="28"/>
        </w:rPr>
        <w:t xml:space="preserve">），属于（工业）行业；制造商为（</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u w:val="single"/>
        </w:rPr>
        <w:t xml:space="preserve">企业名称</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rPr>
        <w:t xml:space="preserve">），从业人员</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人，营业收入为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万元，资产总额为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万元，属于（□中型企业、□小型企业、□微型企业，</w:t>
      </w:r>
      <w:r>
        <w:rPr>
          <w:rFonts w:ascii="Times New Roman" w:hAnsi="Times New Roman" w:eastAsia="Times New Roman" w:cs="Times New Roman"/>
          <w:b/>
          <w:color w:val="000000"/>
          <w:sz w:val="28"/>
        </w:rPr>
        <w:t xml:space="preserve">请勾选！</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w:t>
      </w:r>
      <w:r>
        <w:rPr>
          <w:rFonts w:ascii="Times New Roman" w:hAnsi="Times New Roman" w:eastAsia="Times New Roman" w:cs="Times New Roman"/>
          <w:color w:val="000000"/>
          <w:sz w:val="28"/>
        </w:rPr>
        <w:t xml:space="preserve">（</w:t>
      </w:r>
      <w:r>
        <w:rPr>
          <w:rFonts w:ascii="SimSun" w:hAnsi="SimSun" w:eastAsia="SimSun" w:cs="SimSun"/>
          <w:color w:val="000000"/>
          <w:sz w:val="28"/>
          <w:u w:val="single"/>
        </w:rPr>
        <w:t xml:space="preserve"> 废液处置槽 </w:t>
      </w:r>
      <w:r>
        <w:rPr>
          <w:rFonts w:ascii="Times New Roman" w:hAnsi="Times New Roman" w:eastAsia="Times New Roman" w:cs="Times New Roman"/>
          <w:color w:val="000000"/>
          <w:sz w:val="28"/>
        </w:rPr>
        <w:t xml:space="preserve">），属于（工业）行业；制造商为（</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u w:val="single"/>
        </w:rPr>
        <w:t xml:space="preserve">企业名称</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rPr>
        <w:t xml:space="preserve">），从业人员</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人，营业收入为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万元，资产总额为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万元，属于（□中型企业、□小型企业、□微型企业，</w:t>
      </w:r>
      <w:r>
        <w:rPr>
          <w:rFonts w:ascii="Times New Roman" w:hAnsi="Times New Roman" w:eastAsia="Times New Roman" w:cs="Times New Roman"/>
          <w:b/>
          <w:color w:val="000000"/>
          <w:sz w:val="28"/>
        </w:rPr>
        <w:t xml:space="preserve">请勾选！</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w:t>
      </w:r>
      <w:r>
        <w:rPr>
          <w:rFonts w:ascii="Times New Roman" w:hAnsi="Times New Roman" w:eastAsia="Times New Roman" w:cs="Times New Roman"/>
          <w:color w:val="000000"/>
          <w:sz w:val="28"/>
        </w:rPr>
        <w:t xml:space="preserve">（</w:t>
      </w:r>
      <w:r>
        <w:rPr>
          <w:rFonts w:ascii="SimSun" w:hAnsi="SimSun" w:eastAsia="SimSun" w:cs="SimSun"/>
          <w:color w:val="000000"/>
          <w:sz w:val="28"/>
          <w:u w:val="single"/>
        </w:rPr>
        <w:t xml:space="preserve"> 洗手槽 </w:t>
      </w:r>
      <w:r>
        <w:rPr>
          <w:rFonts w:ascii="Times New Roman" w:hAnsi="Times New Roman" w:eastAsia="Times New Roman" w:cs="Times New Roman"/>
          <w:color w:val="000000"/>
          <w:sz w:val="28"/>
        </w:rPr>
        <w:t xml:space="preserve">），属于（工业）行业；制造商为（</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u w:val="single"/>
        </w:rPr>
        <w:t xml:space="preserve">企业名称</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rPr>
        <w:t xml:space="preserve">），从业人员</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人，营业收入为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万元，资产总额为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万元，属于（□中型企业、□小型企业、□微型企业，</w:t>
      </w:r>
      <w:r>
        <w:rPr>
          <w:rFonts w:ascii="Times New Roman" w:hAnsi="Times New Roman" w:eastAsia="Times New Roman" w:cs="Times New Roman"/>
          <w:b/>
          <w:color w:val="000000"/>
          <w:sz w:val="28"/>
        </w:rPr>
        <w:t xml:space="preserve">请勾选！</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w:t>
      </w:r>
      <w:r>
        <w:rPr>
          <w:rFonts w:ascii="Times New Roman" w:hAnsi="Times New Roman" w:eastAsia="Times New Roman" w:cs="Times New Roman"/>
          <w:color w:val="000000"/>
          <w:sz w:val="28"/>
        </w:rPr>
        <w:t xml:space="preserve">（</w:t>
      </w:r>
      <w:r>
        <w:rPr>
          <w:rFonts w:ascii="SimSun" w:hAnsi="SimSun" w:eastAsia="SimSun" w:cs="SimSun"/>
          <w:color w:val="000000"/>
          <w:sz w:val="28"/>
          <w:u w:val="single"/>
        </w:rPr>
        <w:t xml:space="preserve"> 高嘴水龙头 </w:t>
      </w:r>
      <w:r>
        <w:rPr>
          <w:rFonts w:ascii="Times New Roman" w:hAnsi="Times New Roman" w:eastAsia="Times New Roman" w:cs="Times New Roman"/>
          <w:color w:val="000000"/>
          <w:sz w:val="28"/>
        </w:rPr>
        <w:t xml:space="preserve">），属于（工业）行业；制造商为（</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u w:val="single"/>
        </w:rPr>
        <w:t xml:space="preserve">企业名称</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rPr>
        <w:t xml:space="preserve">），从业人员</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人，营业收入为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万元，资产总额为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万元，属于（□中型企业、□小型企业、□微型企业，</w:t>
      </w:r>
      <w:r>
        <w:rPr>
          <w:rFonts w:ascii="Times New Roman" w:hAnsi="Times New Roman" w:eastAsia="Times New Roman" w:cs="Times New Roman"/>
          <w:b/>
          <w:color w:val="000000"/>
          <w:sz w:val="28"/>
        </w:rPr>
        <w:t xml:space="preserve">请勾选！</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w:t>
      </w:r>
      <w:r>
        <w:rPr>
          <w:rFonts w:ascii="Times New Roman" w:hAnsi="Times New Roman" w:eastAsia="Times New Roman" w:cs="Times New Roman"/>
          <w:color w:val="000000"/>
          <w:sz w:val="28"/>
        </w:rPr>
        <w:t xml:space="preserve">（</w:t>
      </w:r>
      <w:r>
        <w:rPr>
          <w:rFonts w:ascii="SimSun" w:hAnsi="SimSun" w:eastAsia="SimSun" w:cs="SimSun"/>
          <w:color w:val="000000"/>
          <w:sz w:val="28"/>
          <w:u w:val="single"/>
        </w:rPr>
        <w:t xml:space="preserve"> 亚克力挡水板 </w:t>
      </w:r>
      <w:r>
        <w:rPr>
          <w:rFonts w:ascii="Times New Roman" w:hAnsi="Times New Roman" w:eastAsia="Times New Roman" w:cs="Times New Roman"/>
          <w:color w:val="000000"/>
          <w:sz w:val="28"/>
        </w:rPr>
        <w:t xml:space="preserve">），属于（工业）行业；制造商为（</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u w:val="single"/>
        </w:rPr>
        <w:t xml:space="preserve">企业名称</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rPr>
        <w:t xml:space="preserve">），从业人员</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人，营业收入为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万元，资产总额为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万元，属于（□中型企业、□小型企业、□微型企业，</w:t>
      </w:r>
      <w:r>
        <w:rPr>
          <w:rFonts w:ascii="Times New Roman" w:hAnsi="Times New Roman" w:eastAsia="Times New Roman" w:cs="Times New Roman"/>
          <w:b/>
          <w:color w:val="000000"/>
          <w:sz w:val="28"/>
        </w:rPr>
        <w:t xml:space="preserve">请勾选！</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w:t>
      </w:r>
      <w:r>
        <w:rPr>
          <w:rFonts w:ascii="Times New Roman" w:hAnsi="Times New Roman" w:eastAsia="Times New Roman" w:cs="Times New Roman"/>
          <w:color w:val="000000"/>
          <w:sz w:val="28"/>
        </w:rPr>
        <w:t xml:space="preserve">（</w:t>
      </w:r>
      <w:r>
        <w:rPr>
          <w:rFonts w:ascii="SimSun" w:hAnsi="SimSun" w:eastAsia="SimSun" w:cs="SimSun"/>
          <w:color w:val="000000"/>
          <w:sz w:val="28"/>
          <w:u w:val="single"/>
        </w:rPr>
        <w:t xml:space="preserve"> 辅材 </w:t>
      </w:r>
      <w:r>
        <w:rPr>
          <w:rFonts w:ascii="Times New Roman" w:hAnsi="Times New Roman" w:eastAsia="Times New Roman" w:cs="Times New Roman"/>
          <w:color w:val="000000"/>
          <w:sz w:val="28"/>
        </w:rPr>
        <w:t xml:space="preserve">），属于（工业）行业；制造商为（</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u w:val="single"/>
        </w:rPr>
        <w:t xml:space="preserve">企业名称</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rPr>
        <w:t xml:space="preserve">），从业人员</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人，营业收入为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万元，资产总额为</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万元，属于（□中型企业、□小型企业、□微型企业，</w:t>
      </w:r>
      <w:r>
        <w:rPr>
          <w:rFonts w:ascii="Times New Roman" w:hAnsi="Times New Roman" w:eastAsia="Times New Roman" w:cs="Times New Roman"/>
          <w:b/>
          <w:color w:val="000000"/>
          <w:sz w:val="28"/>
        </w:rPr>
        <w:t xml:space="preserve">请勾选！</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以上企业，不属于大企业的分支机构，不存在控股股东为大企业的情形，也不存在与大企业的负责人为同一人的情形。</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本企业对上述声明内容的真实性负责。如有虚假，将依法承担相应责任。</w:t>
      </w:r>
      <w:r/>
    </w:p>
    <w:p>
      <w:pPr>
        <w:ind w:left="0" w:right="0" w:firstLine="480"/>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企业名称（供应商名称）（电子签章）： </w:t>
      </w:r>
      <w:r/>
    </w:p>
    <w:p>
      <w:pPr>
        <w:ind w:left="0" w:right="48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日期：年月日</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注：本项目采购的货物属于工业。</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p>
      <w:pPr>
        <w:numPr>
          <w:ilvl w:val="0"/>
          <w:numId w:val="6"/>
        </w:numP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从业人员、营业收入、资产总额填报上一年度数据，无上一年度数据的新成立企业可不填报。</w:t>
      </w:r>
      <w:r/>
    </w:p>
    <w:p>
      <w:pPr>
        <w:numPr>
          <w:ilvl w:val="0"/>
          <w:numId w:val="6"/>
        </w:numP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《中小企业声明函》查询渠道参考工业和信息化部发布的中小企业规模自测小程序。</w:t>
        <w:br/>
      </w:r>
      <w:r/>
    </w:p>
    <w:p>
      <w:pPr>
        <w:shd w:val="nil" w:color="auto"/>
        <w:rPr>
          <w:sz w:val="24"/>
          <w:szCs w:val="24"/>
        </w:rPr>
      </w:pPr>
      <w:r>
        <w:rPr>
          <w:rFonts w:ascii="SimSun" w:hAnsi="SimSun" w:eastAsia="SimSun" w:cs="SimSun"/>
          <w:color w:val="000000"/>
          <w:sz w:val="30"/>
          <w:highlight w:val="none"/>
        </w:rPr>
        <w:br w:type="page" w:clear="all"/>
      </w:r>
      <w:r>
        <w:rPr>
          <w:rFonts w:ascii="SimSun" w:hAnsi="SimSun" w:eastAsia="SimSun" w:cs="SimSun"/>
          <w:color w:val="000000"/>
          <w:sz w:val="30"/>
          <w:highlight w:val="none"/>
        </w:rPr>
      </w:r>
      <w:r/>
    </w:p>
    <w:p>
      <w:pPr>
        <w:ind w:left="0" w:right="0" w:firstLine="600"/>
        <w:spacing w:before="240" w:after="240" w:line="479" w:lineRule="atLeast"/>
        <w:rPr>
          <w:rFonts w:ascii="SimSun" w:hAnsi="SimSun" w:eastAsia="SimSun" w:cs="SimSun"/>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八、残疾人福利性单位声明函格式</w:t>
      </w:r>
      <w:r/>
    </w:p>
    <w:p>
      <w:pPr>
        <w:ind w:left="0" w:right="0" w:firstLine="624"/>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0" w:firstLine="624"/>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项目名称：医疗处置工作台采购（太行路院区二期） </w:t>
      </w:r>
      <w:r/>
    </w:p>
    <w:p>
      <w:pPr>
        <w:ind w:left="0" w:right="0" w:firstLine="624"/>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项目编号：JSZC-320300-ZJZB-G2026-0132</w:t>
      </w:r>
      <w:r/>
    </w:p>
    <w:p>
      <w:pPr>
        <w:ind w:left="0" w:right="0" w:firstLine="624"/>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本单位郑重声明，根据《财政部 民政部 中国残疾人联合会关于促进残疾人就业政府采购政策的通知》（财库</w:t>
      </w:r>
      <w:r>
        <w:rPr>
          <w:rFonts w:ascii="SimSun" w:hAnsi="SimSun" w:eastAsia="SimSun" w:cs="SimSun"/>
          <w:color w:val="000000"/>
          <w:sz w:val="28"/>
        </w:rPr>
        <w:t xml:space="preserve">〔2017〕141</w:t>
      </w:r>
      <w:r>
        <w:rPr>
          <w:rFonts w:ascii="SimSun" w:hAnsi="SimSun" w:eastAsia="SimSun" w:cs="SimSun"/>
          <w:color w:val="000000"/>
          <w:spacing w:val="6"/>
          <w:sz w:val="28"/>
        </w:rPr>
        <w:t xml:space="preserve">号）的规定，本单位为符合条件的残疾人福利性单位，且本单位参加</w:t>
      </w:r>
      <w:r>
        <w:rPr>
          <w:rFonts w:ascii="SimSun" w:hAnsi="SimSun" w:eastAsia="SimSun" w:cs="SimSun"/>
          <w:color w:val="000000"/>
          <w:spacing w:val="6"/>
          <w:sz w:val="28"/>
          <w:u w:val="single"/>
        </w:rPr>
        <w:t xml:space="preserve">          </w:t>
      </w:r>
      <w:r>
        <w:rPr>
          <w:rFonts w:ascii="SimSun" w:hAnsi="SimSun" w:eastAsia="SimSun" w:cs="SimSun"/>
          <w:color w:val="000000"/>
          <w:spacing w:val="6"/>
          <w:sz w:val="28"/>
        </w:rPr>
        <w:t xml:space="preserve">单位的</w:t>
      </w:r>
      <w:r>
        <w:rPr>
          <w:rFonts w:ascii="SimSun" w:hAnsi="SimSun" w:eastAsia="SimSun" w:cs="SimSun"/>
          <w:color w:val="000000"/>
          <w:spacing w:val="6"/>
          <w:sz w:val="28"/>
          <w:u w:val="single"/>
        </w:rPr>
        <w:t xml:space="preserve">       </w:t>
      </w:r>
      <w:r>
        <w:rPr>
          <w:rFonts w:ascii="SimSun" w:hAnsi="SimSun" w:eastAsia="SimSun" w:cs="SimSun"/>
          <w:color w:val="000000"/>
          <w:spacing w:val="6"/>
          <w:sz w:val="28"/>
        </w:rPr>
        <w:t xml:space="preserve">项目采购活动提供本单位制造的货物（由本单位承担工程/提供服务），或者提供其他残疾人福利性单位制造的货物（不包括使用非残疾人福利性单位注册商标的货物）。</w:t>
      </w:r>
      <w:r/>
    </w:p>
    <w:p>
      <w:pPr>
        <w:ind w:left="0" w:right="0" w:firstLine="624"/>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本单位对上述声明的真实性负责。如有虚假，将依法承担相应责任。</w:t>
      </w:r>
      <w:r/>
    </w:p>
    <w:p>
      <w:pPr>
        <w:ind w:left="0" w:right="0" w:firstLine="624"/>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624"/>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255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SimSun" w:hAnsi="SimSun" w:eastAsia="SimSun" w:cs="SimSun"/>
          <w:color w:val="000000"/>
          <w:sz w:val="28"/>
          <w:u w:val="single"/>
        </w:rPr>
        <w:t xml:space="preserve">           </w:t>
      </w:r>
      <w:r>
        <w:rPr>
          <w:rFonts w:ascii="SimSun" w:hAnsi="SimSun" w:eastAsia="SimSun" w:cs="SimSun"/>
          <w:color w:val="000000"/>
          <w:sz w:val="28"/>
        </w:rPr>
        <w:t xml:space="preserve">（电子签章）</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5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5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45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九、投标人参加政府采购活动前3年内在经营活动中没有重大违法记录的书面声明格式</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1"/>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单位在参加医疗处置工作台采购（太行路院区二期）（项目编号：JSZC-320300-ZJZB-G2026-0132）政府采购活动前3年内，在经营活动中没有重大违法记录。重大违法记录是指因违法经营受到刑事处罚或者责令停产停业、吊销许可证或者执照、较大数额罚款等行政处罚。</w:t>
      </w:r>
      <w:r/>
    </w:p>
    <w:p>
      <w:pPr>
        <w:ind w:left="0" w:right="0" w:firstLine="601"/>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我单位对上述声明的真实性负责。如有虚假，将依法承担相应责任。</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285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SimSun" w:hAnsi="SimSun" w:eastAsia="SimSun" w:cs="SimSun"/>
          <w:color w:val="000000"/>
          <w:sz w:val="28"/>
          <w:u w:val="single"/>
        </w:rPr>
        <w:t xml:space="preserve">           </w:t>
      </w:r>
      <w:r>
        <w:rPr>
          <w:rFonts w:ascii="SimSun" w:hAnsi="SimSun" w:eastAsia="SimSun" w:cs="SimSun"/>
          <w:color w:val="000000"/>
          <w:sz w:val="28"/>
        </w:rPr>
        <w:t xml:space="preserve">（电子签章）</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5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95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十、投标人相关承诺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项目名称：医疗处置工作台采购（太行路院区二期）</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项目编号：JSZC-320300-ZJZB-G2026-0132</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我单位承诺：</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如有参与同一合同项下政府采购活动的投标人与我单位存在负责人为同一人的情况或者存在直接控股、管理关系，我单位不再参加该同一合同项下的政府采购活动。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我单位对上述承诺负责，并依法承担相应责任。</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SimSun" w:hAnsi="SimSun" w:eastAsia="SimSun" w:cs="SimSun"/>
          <w:color w:val="000000"/>
          <w:sz w:val="28"/>
          <w:u w:val="single"/>
        </w:rPr>
        <w:t xml:space="preserve">      </w:t>
      </w:r>
      <w:r>
        <w:rPr>
          <w:rFonts w:ascii="SimSun" w:hAnsi="SimSun" w:eastAsia="SimSun" w:cs="SimSun"/>
          <w:color w:val="000000"/>
          <w:sz w:val="28"/>
        </w:rPr>
        <w:t xml:space="preserve">（电子签章）</w:t>
      </w:r>
      <w:r/>
    </w:p>
    <w:p>
      <w:pPr>
        <w:ind w:left="0" w:right="0" w:firstLine="45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十一、投标人书面声明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项目名称：医疗处置工作台采购（太行路院区二期）</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项目编号：JSZC-320300-ZJZB-G2026-0132</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我单位不是为本采购项目提供整体设计、规范编制或者项目管理、监理、检测等服务的供应商。</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特此声明。</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我单位对上述声明的真实性负责。如有虚假，将依法承担相应责任。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SimSun" w:hAnsi="SimSun" w:eastAsia="SimSun" w:cs="SimSun"/>
          <w:color w:val="000000"/>
          <w:sz w:val="28"/>
          <w:u w:val="single"/>
        </w:rPr>
        <w:t xml:space="preserve">      </w:t>
      </w:r>
      <w:r>
        <w:rPr>
          <w:rFonts w:ascii="SimSun" w:hAnsi="SimSun" w:eastAsia="SimSun" w:cs="SimSun"/>
          <w:color w:val="000000"/>
          <w:sz w:val="28"/>
        </w:rPr>
        <w:t xml:space="preserve">（电子签章）</w:t>
      </w:r>
      <w:r/>
    </w:p>
    <w:p>
      <w:pPr>
        <w:ind w:left="0" w:right="0" w:firstLine="45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color w:val="000000"/>
          <w:sz w:val="30"/>
        </w:rPr>
        <w:t xml:space="preserve">十二、关于符合本国产品标准的声明函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rPr>
          <w:rFonts w:ascii="SimSun" w:hAnsi="SimSun" w:eastAsia="SimSun" w:cs="SimSun"/>
          <w:color w:val="000000"/>
          <w:sz w:val="30"/>
        </w:rPr>
        <w:t xml:space="preserve">（上柜）1，生产厂为（厂名）2，厂址为（生产厂址）。（上柜）的中国境内生产的组件成本占比≥（规定比例）3。（上柜）的（关键组件）4在中国境内生产。（上柜）的（关键工序）5在中国境内完成</w:t>
      </w:r>
      <w:r>
        <w:rPr>
          <w:rFonts w:ascii="SimSun" w:hAnsi="SimSun" w:eastAsia="SimSun" w:cs="SimSun"/>
          <w:color w:val="000000"/>
          <w:sz w:val="28"/>
        </w:rPr>
        <w:t xml:space="preserve">；</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中部背架）1，生产厂为（厂名）2，厂址为（生产厂址）。（中部背架）的中国境内生产的组件成本占比≥（规定比例）3。（中部背架）的（关键组件）4在中国境内生产。（中部背架）的（关键工序）5在中国境内完成</w:t>
      </w:r>
      <w:r>
        <w:rPr>
          <w:rFonts w:ascii="SimSun" w:hAnsi="SimSun" w:eastAsia="SimSun" w:cs="SimSun"/>
          <w:color w:val="000000"/>
          <w:sz w:val="28"/>
        </w:rPr>
        <w:t xml:space="preserve">；</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w:t>
      </w:r>
      <w:r>
        <w:rPr>
          <w:rFonts w:ascii="SimSun" w:hAnsi="SimSun" w:eastAsia="SimSun" w:cs="SimSun"/>
          <w:color w:val="000000"/>
          <w:sz w:val="30"/>
        </w:rPr>
        <w:t xml:space="preserve">（下柜（含抽屉））1，生产厂为（厂名）2，厂址为（生产厂址）。（下柜（含抽屉））的中国境内生产的组件成本占比≥（规定比例）3。（下柜（含抽屉））的（关键组件）4在中国境内生产。（下柜（含抽屉））的（关键工序）5在中国境内完成</w:t>
      </w:r>
      <w:r>
        <w:rPr>
          <w:rFonts w:ascii="SimSun" w:hAnsi="SimSun" w:eastAsia="SimSun" w:cs="SimSun"/>
          <w:color w:val="000000"/>
          <w:sz w:val="28"/>
        </w:rPr>
        <w:t xml:space="preserve">；</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4.（上柜）1，生产厂为（厂名）2，厂址为（生产厂址）。（上柜）的中国境内生产的组件成本占比≥（规定比例）3。（上柜）的（关键组件）4在中国境内生产。（上柜）的（关键工序）5在中国境内完成</w:t>
      </w:r>
      <w:r>
        <w:rPr>
          <w:rFonts w:ascii="SimSun" w:hAnsi="SimSun" w:eastAsia="SimSun" w:cs="SimSun"/>
          <w:color w:val="000000"/>
          <w:sz w:val="28"/>
        </w:rPr>
        <w:t xml:space="preserve">；</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w:t>
      </w:r>
      <w:r>
        <w:rPr>
          <w:rFonts w:ascii="SimSun" w:hAnsi="SimSun" w:eastAsia="SimSun" w:cs="SimSun"/>
          <w:color w:val="000000"/>
          <w:sz w:val="30"/>
        </w:rPr>
        <w:t xml:space="preserve">（中部背架）1，生产厂为（厂名）2，厂址为（生产厂址）。（中部背架）的中国境内生产的组件成本占比≥（规定比例）3。（中部背架）的（关键组件）4在中国境内生产。（中部背架）的（关键工序）5在中国境内完成</w:t>
      </w:r>
      <w:r>
        <w:rPr>
          <w:rFonts w:ascii="SimSun" w:hAnsi="SimSun" w:eastAsia="SimSun" w:cs="SimSun"/>
          <w:color w:val="000000"/>
          <w:sz w:val="28"/>
        </w:rPr>
        <w:t xml:space="preserve">；</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6.（下柜（不含抽屉，含脚踩垃圾桶））1，生产厂为（厂名）2，厂址为（生产厂址）。（下柜（不含抽屉，含脚踩垃圾桶））的中国境内生产的组件成本占比≥（规定比例）3。（下柜（不含抽屉，含脚踩垃圾桶））的（关键组件）4在中国境内生产。（下柜（不含抽屉，含脚踩垃圾桶））的（关键工序）5在中国境内完成</w:t>
      </w:r>
      <w:r>
        <w:rPr>
          <w:rFonts w:ascii="SimSun" w:hAnsi="SimSun" w:eastAsia="SimSun" w:cs="SimSun"/>
          <w:color w:val="000000"/>
          <w:sz w:val="28"/>
        </w:rPr>
        <w:t xml:space="preserve">；</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w:t>
      </w:r>
      <w:r>
        <w:rPr>
          <w:rFonts w:ascii="SimSun" w:hAnsi="SimSun" w:eastAsia="SimSun" w:cs="SimSun"/>
          <w:color w:val="000000"/>
          <w:sz w:val="30"/>
        </w:rPr>
        <w:t xml:space="preserve">（单下柜（含脚踩垃圾桶））1，生产厂为（厂名）2，厂址为（生产厂址）。（单下柜（含脚踩垃圾桶））的中国境内生产的组件成本占比≥（规定比例）3。（单下柜（含脚踩垃圾桶））的（关键组件）4在中国境内生产。（单下柜（含脚踩垃圾桶））的（关键工序）5在中国境内完成</w:t>
      </w:r>
      <w:r>
        <w:rPr>
          <w:rFonts w:ascii="SimSun" w:hAnsi="SimSun" w:eastAsia="SimSun" w:cs="SimSun"/>
          <w:color w:val="000000"/>
          <w:sz w:val="28"/>
        </w:rPr>
        <w:t xml:space="preserve">；</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8.（废液处置槽）1，生产厂为（厂名）2，厂址为（生产厂址）。（废液处置槽）的中国境内生产的组件成本占比≥（规定比例）3。（废液处置槽）的（关键组件）4在中国境内生产。（废液处置槽）的（关键工序）5在中国境内完成</w:t>
      </w:r>
      <w:r>
        <w:rPr>
          <w:rFonts w:ascii="SimSun" w:hAnsi="SimSun" w:eastAsia="SimSun" w:cs="SimSun"/>
          <w:color w:val="000000"/>
          <w:sz w:val="28"/>
        </w:rPr>
        <w:t xml:space="preserve">；</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w:t>
      </w:r>
      <w:r>
        <w:rPr>
          <w:rFonts w:ascii="SimSun" w:hAnsi="SimSun" w:eastAsia="SimSun" w:cs="SimSun"/>
          <w:color w:val="000000"/>
          <w:sz w:val="30"/>
        </w:rPr>
        <w:t xml:space="preserve">（洗手槽）1，生产厂为（厂名）2，厂址为（生产厂址）。（洗手槽）的中国境内生产的组件成本占比≥（规定比例）3。（洗手槽）的（关键组件）4在中国境内生产。（洗手槽）的（关键工序）5在中国境内完成</w:t>
      </w:r>
      <w:r>
        <w:rPr>
          <w:rFonts w:ascii="SimSun" w:hAnsi="SimSun" w:eastAsia="SimSun" w:cs="SimSun"/>
          <w:color w:val="000000"/>
          <w:sz w:val="28"/>
        </w:rPr>
        <w:t xml:space="preserve">；</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10.（高嘴水龙头）1，生产厂为（厂名）2，厂址为（生产厂址）。（高嘴水龙头）的中国境内生产的组件成本占比≥（规定比例）3。（高嘴水龙头）的（关键组件）4在中国境内生产。（高嘴水龙头）的（关键工序）5在中国境内完成</w:t>
      </w:r>
      <w:r>
        <w:rPr>
          <w:rFonts w:ascii="SimSun" w:hAnsi="SimSun" w:eastAsia="SimSun" w:cs="SimSun"/>
          <w:color w:val="000000"/>
          <w:sz w:val="28"/>
        </w:rPr>
        <w:t xml:space="preserve">；</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w:t>
      </w:r>
      <w:r>
        <w:rPr>
          <w:rFonts w:ascii="SimSun" w:hAnsi="SimSun" w:eastAsia="SimSun" w:cs="SimSun"/>
          <w:color w:val="000000"/>
          <w:sz w:val="30"/>
        </w:rPr>
        <w:t xml:space="preserve">（亚克力挡水板）1，生产厂为（厂名）2，厂址为（生产厂址）。（亚克力挡水板）的中国境内生产的组件成本占比≥（规定比例）3。（亚克力挡水板）的（关键组件）4在中国境内生产。（亚克力挡水板）的（关键工序）5在中国境内完成</w:t>
      </w:r>
      <w:r>
        <w:rPr>
          <w:rFonts w:ascii="SimSun" w:hAnsi="SimSun" w:eastAsia="SimSun" w:cs="SimSun"/>
          <w:color w:val="000000"/>
          <w:sz w:val="28"/>
        </w:rPr>
        <w:t xml:space="preserve">；</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12.（辅材）1，生产厂为（厂名）2，厂址为（生产厂址）。（辅材）的中国境内生产的组件成本占比≥（规定比例）3。（辅材）的（关键组件）4在中国境内生产。（辅材）的（关键工序）5在中国境内完成</w:t>
      </w:r>
      <w:r>
        <w:rPr>
          <w:rFonts w:ascii="SimSun" w:hAnsi="SimSun" w:eastAsia="SimSun" w:cs="SimSun"/>
          <w:color w:val="000000"/>
          <w:sz w:val="28"/>
        </w:rPr>
        <w:t xml:space="preserve">；</w:t>
      </w:r>
      <w:r/>
    </w:p>
    <w:p>
      <w:pPr>
        <w:ind w:left="420" w:right="0" w:firstLine="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本公司（单位）对上述声明内容的真实性负责。如有虚假，愿承担相应法律责任。</w:t>
      </w:r>
      <w:r/>
    </w:p>
    <w:p>
      <w:pPr>
        <w:ind w:left="0" w:right="0" w:firstLine="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p>
    <w:p>
      <w:pPr>
        <w:ind w:left="0" w:right="0" w:firstLine="0"/>
        <w:jc w:val="right"/>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公司（单位）名称（电子签章）：　</w:t>
      </w:r>
      <w:r/>
    </w:p>
    <w:p>
      <w:pPr>
        <w:ind w:left="0" w:right="0" w:firstLine="0"/>
        <w:jc w:val="right"/>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日期：　     年　  月　  日         </w:t>
      </w:r>
      <w:r/>
    </w:p>
    <w:p>
      <w:pPr>
        <w:ind w:left="0" w:right="0" w:firstLine="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1.产品如有型号，请在“产品名称”栏一并填写。</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2.生产厂名与厂址应与生产厂营业执照载明的相关信息保持一致。</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3.该产品的中国境内生产的组件成本占比相关要求实施前，“规定比例”栏可不填，下同。</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4.该产品的关键组件要求实施前，“关键组件”栏可不填，下同。</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5.该产品的关键工序要求实施前，“关键工序”栏可不填，下同。</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6.《声明函》中标注“</w:t>
      </w:r>
      <w:r>
        <w:rPr>
          <w:rFonts w:ascii="SimSun" w:hAnsi="SimSun" w:eastAsia="SimSun" w:cs="SimSun"/>
          <w:color w:val="000000"/>
          <w:sz w:val="28"/>
          <w:u w:val="single"/>
        </w:rPr>
        <w:t xml:space="preserve">  / </w:t>
      </w:r>
      <w:r>
        <w:rPr>
          <w:rFonts w:ascii="SimSun" w:hAnsi="SimSun" w:eastAsia="SimSun" w:cs="SimSun"/>
          <w:color w:val="000000"/>
          <w:sz w:val="28"/>
        </w:rPr>
        <w:t xml:space="preserve">”的地方无需填写。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附件</w:t>
      </w:r>
      <w:r/>
    </w:p>
    <w:p>
      <w:pPr>
        <w:ind w:left="0" w:right="0" w:firstLine="0"/>
        <w:jc w:val="center"/>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中国境内生产的组件成本核算基本规则</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一、产品的一级组件是指直接组成产品的组件。产品的二级组件是指直接组成产品一级组件的组件。一级组件不可分解的，视同二级组件。</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二、二级组件在中国境内生产的，其全部成本计入中国境内生产的组件成本；二级组件不在中国境内生产的，其成本不计入中国境内生产的组件成本。</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三、产品总成本和组件成本以相关会计核算数据、采购合同、进货记录等为基础进行计算。</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四、需要对成本核算规则予以进一步明确的其他有关事项，由财政部会同有关部门另行规定。</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十三、预付款保函支付条款模板</w:t>
      </w:r>
      <w:r/>
    </w:p>
    <w:p>
      <w:pPr>
        <w:ind w:left="0" w:right="0" w:firstLine="605"/>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符合条件一：提交预付款保函的</w:t>
      </w:r>
      <w:r/>
    </w:p>
    <w:p>
      <w:pPr>
        <w:ind w:left="0" w:right="0" w:firstLine="60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（1）合同签订且乙方向甲方出具预付款保函后</w:t>
      </w:r>
      <w:r>
        <w:rPr>
          <w:rFonts w:ascii="SimSun" w:hAnsi="SimSun" w:eastAsia="SimSun" w:cs="SimSun"/>
          <w:color w:val="000000"/>
          <w:sz w:val="28"/>
          <w:u w:val="single"/>
        </w:rPr>
        <w:t xml:space="preserve">    </w:t>
      </w:r>
      <w:r>
        <w:rPr>
          <w:rFonts w:ascii="SimSun" w:hAnsi="SimSun" w:eastAsia="SimSun" w:cs="SimSun"/>
          <w:color w:val="000000"/>
          <w:sz w:val="28"/>
        </w:rPr>
        <w:t xml:space="preserve">个工作日内，甲方应支付合同价款的百分之</w:t>
      </w:r>
      <w:r>
        <w:rPr>
          <w:rFonts w:ascii="SimSun" w:hAnsi="SimSun" w:eastAsia="SimSun" w:cs="SimSun"/>
          <w:color w:val="000000"/>
          <w:sz w:val="28"/>
          <w:u w:val="single"/>
        </w:rPr>
        <w:t xml:space="preserve">        XX（    XX%），</w:t>
      </w:r>
      <w:r>
        <w:rPr>
          <w:rFonts w:ascii="SimSun" w:hAnsi="SimSun" w:eastAsia="SimSun" w:cs="SimSun"/>
          <w:color w:val="000000"/>
          <w:sz w:val="28"/>
        </w:rPr>
        <w:t xml:space="preserve">小写￥</w:t>
      </w:r>
      <w:r>
        <w:rPr>
          <w:rFonts w:ascii="SimSun" w:hAnsi="SimSun" w:eastAsia="SimSun" w:cs="SimSun"/>
          <w:color w:val="000000"/>
          <w:sz w:val="28"/>
          <w:u w:val="single"/>
        </w:rPr>
        <w:t xml:space="preserve">      </w:t>
      </w:r>
      <w:r>
        <w:rPr>
          <w:rFonts w:ascii="SimSun" w:hAnsi="SimSun" w:eastAsia="SimSun" w:cs="SimSun"/>
          <w:color w:val="000000"/>
          <w:sz w:val="28"/>
        </w:rPr>
        <w:t xml:space="preserve">大写：人民币</w:t>
      </w:r>
      <w:r>
        <w:rPr>
          <w:rFonts w:ascii="SimSun" w:hAnsi="SimSun" w:eastAsia="SimSun" w:cs="SimSun"/>
          <w:color w:val="000000"/>
          <w:sz w:val="28"/>
          <w:u w:val="single"/>
        </w:rPr>
        <w:t xml:space="preserve">          </w:t>
      </w:r>
      <w:r>
        <w:rPr>
          <w:rFonts w:ascii="SimSun" w:hAnsi="SimSun" w:eastAsia="SimSun" w:cs="SimSun"/>
          <w:color w:val="000000"/>
          <w:sz w:val="28"/>
        </w:rPr>
        <w:t xml:space="preserve">。</w:t>
      </w:r>
      <w:r/>
    </w:p>
    <w:p>
      <w:pPr>
        <w:ind w:left="140" w:right="0" w:firstLine="60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乙方需提交的支付文件：乙方出具的全额正式发票。</w:t>
        <w:br/>
        <w:t xml:space="preserve">（2）验收合格后</w:t>
      </w:r>
      <w:r>
        <w:rPr>
          <w:rFonts w:ascii="SimSun" w:hAnsi="SimSun" w:eastAsia="SimSun" w:cs="SimSun"/>
          <w:color w:val="000000"/>
          <w:sz w:val="28"/>
          <w:u w:val="single"/>
        </w:rPr>
        <w:t xml:space="preserve">   </w:t>
      </w:r>
      <w:r>
        <w:rPr>
          <w:rFonts w:ascii="SimSun" w:hAnsi="SimSun" w:eastAsia="SimSun" w:cs="SimSun"/>
          <w:color w:val="000000"/>
          <w:sz w:val="28"/>
        </w:rPr>
        <w:t xml:space="preserve">个工作日内，甲方应支付合同价款的百分之</w:t>
      </w:r>
      <w:r>
        <w:rPr>
          <w:rFonts w:ascii="SimSun" w:hAnsi="SimSun" w:eastAsia="SimSun" w:cs="SimSun"/>
          <w:color w:val="000000"/>
          <w:sz w:val="28"/>
          <w:u w:val="single"/>
        </w:rPr>
        <w:t xml:space="preserve">XX（    XX%），</w:t>
      </w:r>
      <w:r>
        <w:rPr>
          <w:rFonts w:ascii="SimSun" w:hAnsi="SimSun" w:eastAsia="SimSun" w:cs="SimSun"/>
          <w:color w:val="000000"/>
          <w:sz w:val="28"/>
        </w:rPr>
        <w:t xml:space="preserve">小写￥</w:t>
      </w:r>
      <w:r>
        <w:rPr>
          <w:rFonts w:ascii="SimSun" w:hAnsi="SimSun" w:eastAsia="SimSun" w:cs="SimSun"/>
          <w:color w:val="000000"/>
          <w:sz w:val="28"/>
          <w:u w:val="single"/>
        </w:rPr>
        <w:t xml:space="preserve">      </w:t>
      </w:r>
      <w:r>
        <w:rPr>
          <w:rFonts w:ascii="SimSun" w:hAnsi="SimSun" w:eastAsia="SimSun" w:cs="SimSun"/>
          <w:color w:val="000000"/>
          <w:sz w:val="28"/>
        </w:rPr>
        <w:t xml:space="preserve">大写：人民币</w:t>
      </w:r>
      <w:r>
        <w:rPr>
          <w:rFonts w:ascii="SimSun" w:hAnsi="SimSun" w:eastAsia="SimSun" w:cs="SimSun"/>
          <w:color w:val="000000"/>
          <w:sz w:val="28"/>
          <w:u w:val="single"/>
        </w:rPr>
        <w:t xml:space="preserve">          </w:t>
      </w:r>
      <w:r>
        <w:rPr>
          <w:rFonts w:ascii="SimSun" w:hAnsi="SimSun" w:eastAsia="SimSun" w:cs="SimSun"/>
          <w:color w:val="000000"/>
          <w:sz w:val="28"/>
        </w:rPr>
        <w:t xml:space="preserve">。</w:t>
      </w:r>
      <w:r/>
    </w:p>
    <w:p>
      <w:pPr>
        <w:ind w:left="0" w:right="0" w:firstLine="605"/>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p>
    <w:p>
      <w:pPr>
        <w:ind w:left="0" w:right="0" w:firstLine="605"/>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符合条件二：不提交预付款保函的</w:t>
      </w:r>
      <w:r/>
    </w:p>
    <w:p>
      <w:pPr>
        <w:ind w:left="0" w:right="0" w:firstLine="60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（1）合同签订后</w:t>
      </w:r>
      <w:r>
        <w:rPr>
          <w:rFonts w:ascii="SimSun" w:hAnsi="SimSun" w:eastAsia="SimSun" w:cs="SimSun"/>
          <w:color w:val="000000"/>
          <w:sz w:val="28"/>
          <w:u w:val="single"/>
        </w:rPr>
        <w:t xml:space="preserve">   </w:t>
      </w:r>
      <w:r>
        <w:rPr>
          <w:rFonts w:ascii="SimSun" w:hAnsi="SimSun" w:eastAsia="SimSun" w:cs="SimSun"/>
          <w:color w:val="000000"/>
          <w:sz w:val="28"/>
        </w:rPr>
        <w:t xml:space="preserve">个工作日内，甲方应支付合同价款的百分之</w:t>
      </w:r>
      <w:r>
        <w:rPr>
          <w:rFonts w:ascii="SimSun" w:hAnsi="SimSun" w:eastAsia="SimSun" w:cs="SimSun"/>
          <w:color w:val="000000"/>
          <w:sz w:val="28"/>
          <w:u w:val="single"/>
        </w:rPr>
        <w:t xml:space="preserve">XX（    XX%），</w:t>
      </w:r>
      <w:r>
        <w:rPr>
          <w:rFonts w:ascii="SimSun" w:hAnsi="SimSun" w:eastAsia="SimSun" w:cs="SimSun"/>
          <w:color w:val="000000"/>
          <w:sz w:val="28"/>
        </w:rPr>
        <w:t xml:space="preserve">小写￥</w:t>
      </w:r>
      <w:r>
        <w:rPr>
          <w:rFonts w:ascii="SimSun" w:hAnsi="SimSun" w:eastAsia="SimSun" w:cs="SimSun"/>
          <w:color w:val="000000"/>
          <w:sz w:val="28"/>
          <w:u w:val="single"/>
        </w:rPr>
        <w:t xml:space="preserve">      </w:t>
      </w:r>
      <w:r>
        <w:rPr>
          <w:rFonts w:ascii="SimSun" w:hAnsi="SimSun" w:eastAsia="SimSun" w:cs="SimSun"/>
          <w:color w:val="000000"/>
          <w:sz w:val="28"/>
        </w:rPr>
        <w:t xml:space="preserve">大写：人民币</w:t>
      </w:r>
      <w:r>
        <w:rPr>
          <w:rFonts w:ascii="SimSun" w:hAnsi="SimSun" w:eastAsia="SimSun" w:cs="SimSun"/>
          <w:color w:val="000000"/>
          <w:sz w:val="28"/>
          <w:u w:val="single"/>
        </w:rPr>
        <w:t xml:space="preserve">          </w:t>
      </w:r>
      <w:r>
        <w:rPr>
          <w:rFonts w:ascii="SimSun" w:hAnsi="SimSun" w:eastAsia="SimSun" w:cs="SimSun"/>
          <w:color w:val="000000"/>
          <w:sz w:val="28"/>
        </w:rPr>
        <w:t xml:space="preserve">。</w:t>
      </w:r>
      <w:r/>
    </w:p>
    <w:p>
      <w:pPr>
        <w:ind w:left="140" w:right="0" w:firstLine="60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乙方需提交的支付文件：乙方出具的全额正式发票。</w:t>
      </w:r>
      <w:r/>
    </w:p>
    <w:p>
      <w:pPr>
        <w:ind w:left="140" w:right="0" w:firstLine="60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（2）验收合格后</w:t>
      </w:r>
      <w:r>
        <w:rPr>
          <w:rFonts w:ascii="SimSun" w:hAnsi="SimSun" w:eastAsia="SimSun" w:cs="SimSun"/>
          <w:color w:val="000000"/>
          <w:sz w:val="28"/>
          <w:u w:val="single"/>
        </w:rPr>
        <w:t xml:space="preserve">   </w:t>
      </w:r>
      <w:r>
        <w:rPr>
          <w:rFonts w:ascii="SimSun" w:hAnsi="SimSun" w:eastAsia="SimSun" w:cs="SimSun"/>
          <w:color w:val="000000"/>
          <w:sz w:val="28"/>
        </w:rPr>
        <w:t xml:space="preserve">个工作日内，甲方应支付合同价款的百分之</w:t>
      </w:r>
      <w:r>
        <w:rPr>
          <w:rFonts w:ascii="SimSun" w:hAnsi="SimSun" w:eastAsia="SimSun" w:cs="SimSun"/>
          <w:color w:val="000000"/>
          <w:sz w:val="28"/>
          <w:u w:val="single"/>
        </w:rPr>
        <w:t xml:space="preserve">XX（    XX%），</w:t>
      </w:r>
      <w:r>
        <w:rPr>
          <w:rFonts w:ascii="SimSun" w:hAnsi="SimSun" w:eastAsia="SimSun" w:cs="SimSun"/>
          <w:color w:val="000000"/>
          <w:sz w:val="28"/>
        </w:rPr>
        <w:t xml:space="preserve">小写￥</w:t>
      </w:r>
      <w:r>
        <w:rPr>
          <w:rFonts w:ascii="SimSun" w:hAnsi="SimSun" w:eastAsia="SimSun" w:cs="SimSun"/>
          <w:color w:val="000000"/>
          <w:sz w:val="28"/>
          <w:u w:val="single"/>
        </w:rPr>
        <w:t xml:space="preserve">      </w:t>
      </w:r>
      <w:r>
        <w:rPr>
          <w:rFonts w:ascii="SimSun" w:hAnsi="SimSun" w:eastAsia="SimSun" w:cs="SimSun"/>
          <w:color w:val="000000"/>
          <w:sz w:val="28"/>
        </w:rPr>
        <w:t xml:space="preserve">大写：人民币</w:t>
      </w:r>
      <w:r>
        <w:rPr>
          <w:rFonts w:ascii="SimSun" w:hAnsi="SimSun" w:eastAsia="SimSun" w:cs="SimSun"/>
          <w:color w:val="000000"/>
          <w:sz w:val="28"/>
          <w:u w:val="single"/>
        </w:rPr>
        <w:t xml:space="preserve">          </w:t>
      </w:r>
      <w:r>
        <w:rPr>
          <w:rFonts w:ascii="SimSun" w:hAnsi="SimSun" w:eastAsia="SimSun" w:cs="SimSun"/>
          <w:color w:val="000000"/>
          <w:sz w:val="28"/>
        </w:rPr>
        <w:t xml:space="preserve">。</w:t>
      </w:r>
      <w:r/>
    </w:p>
    <w:p>
      <w:pPr>
        <w:ind w:left="0" w:right="0" w:firstLine="605"/>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p>
    <w:p>
      <w:pPr>
        <w:ind w:left="140" w:right="0" w:firstLine="605"/>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w:t>
      </w:r>
      <w:r/>
    </w:p>
    <w:p>
      <w:pPr>
        <w:ind w:left="140" w:right="0" w:firstLine="60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1、付款条件一中，出具预付款保函后支付的合同款应当与保函金额一致。</w:t>
      </w:r>
      <w:r/>
    </w:p>
    <w:p>
      <w:pPr>
        <w:ind w:left="140" w:right="0" w:firstLine="60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2、付款条件二中，预付款比例设定应符合《关于做好政府采购支持企业发展有关事项的通知》(苏财购〔2020〕52号)要求。</w:t>
      </w:r>
      <w:r/>
    </w:p>
    <w:p>
      <w:r/>
      <w:r/>
    </w:p>
    <w:sectPr>
      <w:headerReference w:type="default" r:id="rId9"/>
      <w:footerReference w:type="default" r:id="rId10"/>
      <w:footerReference w:type="even" r:id="rId11"/>
      <w:footnotePr/>
      <w:endnotePr/>
      <w:type w:val="nextPage"/>
      <w:pgSz w:w="11906" w:h="16838"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SimSun">
    <w:panose1 w:val="02010600030101010101"/>
  </w:font>
  <w:font w:name="微软雅黑 Light">
    <w:panose1 w:val="020B0502040204020203"/>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libri Light">
    <w:panose1 w:val="020F0302020204030204"/>
  </w:font>
  <w:font w:name="Cambria">
    <w:panose1 w:val="02040503050406030204"/>
  </w:font>
  <w:font w:name="Courier New">
    <w:panose1 w:val="02070309020205020404"/>
  </w:font>
  <w:font w:name="黑体">
    <w:panose1 w:val="02010609060101010101"/>
  </w:font>
  <w:font w:name="HYa4gj">
    <w:panose1 w:val="020B0503020202020204"/>
  </w:font>
  <w:font w:name="仿宋_GB2312">
    <w:panose1 w:val="02010609060101010101"/>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993"/>
      </w:rPr>
      <w:framePr w:wrap="around" w:vAnchor="text" w:hAnchor="margin" w:xAlign="center" w:y="1"/>
    </w:pPr>
    <w:r>
      <w:fldChar w:fldCharType="begin"/>
    </w:r>
    <w:r>
      <w:rPr>
        <w:rStyle w:val="993"/>
      </w:rPr>
      <w:instrText xml:space="preserve">PAGE  </w:instrText>
    </w:r>
    <w:r>
      <w:fldChar w:fldCharType="separate"/>
    </w:r>
    <w:r>
      <w:rPr>
        <w:rStyle w:val="993"/>
      </w:rPr>
      <w:t xml:space="preserve">1</w:t>
    </w:r>
    <w:r>
      <w:fldChar w:fldCharType="end"/>
    </w:r>
    <w:r/>
  </w:p>
  <w:p>
    <w:pPr>
      <w:pStyle w:val="10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993"/>
      </w:rPr>
      <w:framePr w:wrap="around" w:vAnchor="text" w:hAnchor="margin" w:xAlign="center" w:y="1"/>
    </w:pPr>
    <w:r>
      <w:fldChar w:fldCharType="begin"/>
    </w:r>
    <w:r>
      <w:rPr>
        <w:rStyle w:val="993"/>
      </w:rPr>
      <w:instrText xml:space="preserve">PAGE  </w:instrText>
    </w:r>
    <w:r>
      <w:fldChar w:fldCharType="end"/>
    </w:r>
    <w:r/>
  </w:p>
  <w:p>
    <w:pPr>
      <w:pStyle w:val="10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069"/>
      <w:isLgl w:val="false"/>
      <w:suff w:val="tab"/>
      <w:lvlText w:val="%1."/>
      <w:lvlJc w:val="left"/>
      <w:pPr>
        <w:ind w:left="425" w:hanging="425"/>
      </w:pPr>
    </w:lvl>
    <w:lvl w:ilvl="1">
      <w:start w:val="1"/>
      <w:numFmt w:val="decimal"/>
      <w:pStyle w:val="1070"/>
      <w:isLgl w:val="false"/>
      <w:suff w:val="tab"/>
      <w:lvlText w:val="%1.%2."/>
      <w:lvlJc w:val="left"/>
      <w:pPr>
        <w:ind w:left="567" w:hanging="567"/>
      </w:pPr>
    </w:lvl>
    <w:lvl w:ilvl="2">
      <w:start w:val="1"/>
      <w:numFmt w:val="decimal"/>
      <w:pStyle w:val="1071"/>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2">
    <w:multiLevelType w:val="hybridMultilevel"/>
    <w:lvl w:ilvl="0">
      <w:start w:val="1"/>
      <w:numFmt w:val="bullet"/>
      <w:pStyle w:val="771"/>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1074"/>
    <w:uiPriority w:val="0"/>
    <w:qFormat/>
    <w:rPr>
      <w:rFonts w:hint="default" w:ascii="Times New Roman" w:hAnsi="Times New Roman" w:eastAsia="宋体" w:cs="Times New Roman"/>
      <w:lang w:val="en-US" w:eastAsia="zh-CN" w:bidi="ar-SA"/>
    </w:rPr>
  </w:style>
  <w:style w:type="paragraph" w:styleId="691">
    <w:name w:val="Heading 1"/>
    <w:basedOn w:val="690"/>
    <w:next w:val="69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index 5"/>
    <w:basedOn w:val="690"/>
    <w:next w:val="690"/>
    <w:uiPriority w:val="0"/>
    <w:qFormat/>
    <w:pPr>
      <w:ind w:left="798"/>
      <w:jc w:val="left"/>
    </w:pPr>
    <w:rPr>
      <w:rFonts w:ascii="Calibri" w:hAnsi="Calibri"/>
    </w:rPr>
  </w:style>
  <w:style w:type="paragraph" w:styleId="705">
    <w:name w:val="Body Text"/>
    <w:basedOn w:val="690"/>
    <w:next w:val="706"/>
    <w:uiPriority w:val="99"/>
    <w:semiHidden/>
    <w:qFormat/>
    <w:pPr>
      <w:spacing w:after="120"/>
    </w:pPr>
    <w:rPr>
      <w:sz w:val="24"/>
      <w:szCs w:val="24"/>
    </w:rPr>
  </w:style>
  <w:style w:type="paragraph" w:styleId="706">
    <w:name w:val="Body Text First Indent"/>
    <w:basedOn w:val="705"/>
    <w:next w:val="690"/>
    <w:uiPriority w:val="0"/>
    <w:unhideWhenUsed/>
    <w:qFormat/>
    <w:pPr>
      <w:ind w:firstLine="498"/>
    </w:pPr>
    <w:rPr>
      <w:rFonts w:ascii="Times New Roman" w:hAnsi="Times New Roman" w:eastAsia="宋体" w:cs="Times New Roman"/>
      <w:sz w:val="24"/>
      <w:szCs w:val="20"/>
    </w:rPr>
  </w:style>
  <w:style w:type="paragraph" w:styleId="707">
    <w:name w:val="Body Text Indent"/>
    <w:basedOn w:val="690"/>
    <w:uiPriority w:val="99"/>
    <w:qFormat/>
    <w:pPr>
      <w:ind w:left="420"/>
      <w:spacing w:after="120"/>
    </w:pPr>
  </w:style>
  <w:style w:type="paragraph" w:styleId="708">
    <w:name w:val="Block Text"/>
    <w:basedOn w:val="690"/>
    <w:uiPriority w:val="99"/>
    <w:unhideWhenUsed/>
    <w:qFormat/>
    <w:pPr>
      <w:ind w:left="-359" w:right="-512" w:firstLine="501"/>
    </w:pPr>
    <w:rPr>
      <w:rFonts w:ascii="仿宋_GB2312" w:eastAsia="仿宋_GB2312"/>
      <w:sz w:val="30"/>
    </w:rPr>
  </w:style>
  <w:style w:type="paragraph" w:styleId="709">
    <w:name w:val="toc 5"/>
    <w:basedOn w:val="690"/>
    <w:next w:val="690"/>
    <w:uiPriority w:val="39"/>
    <w:unhideWhenUsed/>
    <w:qFormat/>
    <w:pPr>
      <w:ind w:left="1134" w:right="0" w:firstLine="0"/>
      <w:spacing w:after="57"/>
    </w:pPr>
  </w:style>
  <w:style w:type="paragraph" w:styleId="710">
    <w:name w:val="toc 3"/>
    <w:basedOn w:val="690"/>
    <w:next w:val="690"/>
    <w:uiPriority w:val="39"/>
    <w:unhideWhenUsed/>
    <w:qFormat/>
    <w:pPr>
      <w:ind w:left="567" w:right="0" w:firstLine="0"/>
      <w:spacing w:after="57"/>
    </w:pPr>
  </w:style>
  <w:style w:type="paragraph" w:styleId="711">
    <w:name w:val="Plain Text"/>
    <w:basedOn w:val="690"/>
    <w:uiPriority w:val="0"/>
    <w:qFormat/>
    <w:rPr>
      <w:rFonts w:ascii="宋体" w:hAnsi="Courier New"/>
      <w:szCs w:val="20"/>
    </w:rPr>
  </w:style>
  <w:style w:type="paragraph" w:styleId="712">
    <w:name w:val="toc 8"/>
    <w:basedOn w:val="690"/>
    <w:next w:val="690"/>
    <w:uiPriority w:val="39"/>
    <w:unhideWhenUsed/>
    <w:qFormat/>
    <w:pPr>
      <w:ind w:left="1984" w:right="0" w:firstLine="0"/>
      <w:spacing w:after="57"/>
    </w:pPr>
  </w:style>
  <w:style w:type="paragraph" w:styleId="713">
    <w:name w:val="endnote text"/>
    <w:basedOn w:val="690"/>
    <w:uiPriority w:val="99"/>
    <w:semiHidden/>
    <w:unhideWhenUsed/>
    <w:qFormat/>
    <w:pPr>
      <w:spacing w:after="0" w:line="240" w:lineRule="auto"/>
    </w:pPr>
    <w:rPr>
      <w:sz w:val="20"/>
    </w:rPr>
  </w:style>
  <w:style w:type="paragraph" w:styleId="714">
    <w:name w:val="Footer"/>
    <w:basedOn w:val="690"/>
    <w:uiPriority w:val="99"/>
    <w:unhideWhenUsed/>
    <w:qFormat/>
    <w:pPr>
      <w:spacing w:after="0" w:line="240" w:lineRule="auto"/>
      <w:tabs>
        <w:tab w:val="center" w:pos="7143" w:leader="none"/>
        <w:tab w:val="right" w:pos="14287" w:leader="none"/>
      </w:tabs>
    </w:pPr>
  </w:style>
  <w:style w:type="paragraph" w:styleId="715">
    <w:name w:val="Header"/>
    <w:basedOn w:val="690"/>
    <w:uiPriority w:val="99"/>
    <w:unhideWhenUsed/>
    <w:qFormat/>
    <w:pPr>
      <w:spacing w:after="0" w:line="240" w:lineRule="auto"/>
      <w:tabs>
        <w:tab w:val="center" w:pos="7143" w:leader="none"/>
        <w:tab w:val="right" w:pos="14287" w:leader="none"/>
      </w:tabs>
    </w:pPr>
  </w:style>
  <w:style w:type="paragraph" w:styleId="716">
    <w:name w:val="toc 1"/>
    <w:basedOn w:val="690"/>
    <w:next w:val="690"/>
    <w:uiPriority w:val="39"/>
    <w:unhideWhenUsed/>
    <w:qFormat/>
    <w:pPr>
      <w:ind w:left="0" w:right="0" w:firstLine="0"/>
      <w:spacing w:after="57"/>
    </w:pPr>
  </w:style>
  <w:style w:type="paragraph" w:styleId="717">
    <w:name w:val="toc 4"/>
    <w:basedOn w:val="690"/>
    <w:next w:val="690"/>
    <w:uiPriority w:val="39"/>
    <w:unhideWhenUsed/>
    <w:qFormat/>
    <w:pPr>
      <w:ind w:left="850" w:right="0" w:firstLine="0"/>
      <w:spacing w:after="57"/>
    </w:pPr>
  </w:style>
  <w:style w:type="paragraph" w:styleId="718">
    <w:name w:val="Subtitle"/>
    <w:basedOn w:val="690"/>
    <w:next w:val="690"/>
    <w:uiPriority w:val="11"/>
    <w:qFormat/>
    <w:pPr>
      <w:spacing w:before="200" w:after="200"/>
    </w:pPr>
    <w:rPr>
      <w:sz w:val="24"/>
      <w:szCs w:val="24"/>
    </w:rPr>
  </w:style>
  <w:style w:type="paragraph" w:styleId="719">
    <w:name w:val="footnote text"/>
    <w:basedOn w:val="690"/>
    <w:uiPriority w:val="99"/>
    <w:semiHidden/>
    <w:unhideWhenUsed/>
    <w:qFormat/>
    <w:pPr>
      <w:spacing w:after="40" w:line="240" w:lineRule="auto"/>
    </w:pPr>
    <w:rPr>
      <w:sz w:val="18"/>
    </w:rPr>
  </w:style>
  <w:style w:type="paragraph" w:styleId="720">
    <w:name w:val="toc 6"/>
    <w:basedOn w:val="690"/>
    <w:next w:val="690"/>
    <w:uiPriority w:val="39"/>
    <w:unhideWhenUsed/>
    <w:qFormat/>
    <w:pPr>
      <w:ind w:left="1417" w:right="0" w:firstLine="0"/>
      <w:spacing w:after="57"/>
    </w:pPr>
  </w:style>
  <w:style w:type="paragraph" w:styleId="721">
    <w:name w:val="table of figures"/>
    <w:basedOn w:val="690"/>
    <w:next w:val="690"/>
    <w:uiPriority w:val="99"/>
    <w:unhideWhenUsed/>
    <w:qFormat/>
    <w:pPr>
      <w:spacing w:after="0" w:afterAutospacing="0"/>
    </w:pPr>
  </w:style>
  <w:style w:type="paragraph" w:styleId="722">
    <w:name w:val="toc 2"/>
    <w:basedOn w:val="690"/>
    <w:next w:val="690"/>
    <w:uiPriority w:val="39"/>
    <w:unhideWhenUsed/>
    <w:qFormat/>
    <w:pPr>
      <w:ind w:left="283" w:right="0" w:firstLine="0"/>
      <w:spacing w:after="57"/>
    </w:pPr>
  </w:style>
  <w:style w:type="paragraph" w:styleId="723">
    <w:name w:val="toc 9"/>
    <w:basedOn w:val="690"/>
    <w:next w:val="690"/>
    <w:uiPriority w:val="39"/>
    <w:unhideWhenUsed/>
    <w:qFormat/>
    <w:pPr>
      <w:ind w:left="2268" w:right="0" w:firstLine="0"/>
      <w:spacing w:after="57"/>
    </w:pPr>
  </w:style>
  <w:style w:type="paragraph" w:styleId="724">
    <w:name w:val="Body Text 2"/>
    <w:basedOn w:val="690"/>
    <w:uiPriority w:val="99"/>
    <w:qFormat/>
    <w:rPr>
      <w:rFonts w:eastAsia="仿宋_GB2312"/>
      <w:color w:val="000000"/>
    </w:rPr>
  </w:style>
  <w:style w:type="paragraph" w:styleId="725">
    <w:name w:val="Normal (Web)"/>
    <w:basedOn w:val="690"/>
    <w:uiPriority w:val="0"/>
    <w:qFormat/>
    <w:pPr>
      <w:jc w:val="left"/>
      <w:spacing w:before="100" w:beforeAutospacing="1" w:after="100" w:afterAutospacing="1"/>
      <w:widowControl/>
    </w:pPr>
    <w:rPr>
      <w:rFonts w:ascii="宋体" w:hAnsi="宋体" w:cs="宋体"/>
      <w:sz w:val="24"/>
    </w:rPr>
  </w:style>
  <w:style w:type="paragraph" w:styleId="726">
    <w:name w:val="Title"/>
    <w:basedOn w:val="722"/>
    <w:next w:val="690"/>
    <w:uiPriority w:val="10"/>
    <w:qFormat/>
    <w:pPr>
      <w:contextualSpacing/>
      <w:spacing w:before="300" w:after="200"/>
    </w:pPr>
    <w:rPr>
      <w:sz w:val="48"/>
      <w:szCs w:val="48"/>
    </w:rPr>
  </w:style>
  <w:style w:type="paragraph" w:styleId="727">
    <w:name w:val="Body Text First Indent 2"/>
    <w:basedOn w:val="707"/>
    <w:next w:val="690"/>
    <w:uiPriority w:val="99"/>
    <w:qFormat/>
    <w:pPr>
      <w:ind w:left="0" w:firstLine="420"/>
      <w:spacing w:after="0" w:line="360" w:lineRule="auto"/>
    </w:pPr>
    <w:rPr>
      <w:rFonts w:ascii="宋体" w:hAnsi="宋体"/>
    </w:rPr>
  </w:style>
  <w:style w:type="table" w:styleId="7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endnote reference"/>
    <w:uiPriority w:val="99"/>
    <w:semiHidden/>
    <w:unhideWhenUsed/>
    <w:qFormat/>
    <w:rPr>
      <w:vertAlign w:val="superscript"/>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footnote reference"/>
    <w:uiPriority w:val="99"/>
    <w:unhideWhenUsed/>
    <w:qFormat/>
    <w:rPr>
      <w:vertAlign w:val="superscript"/>
    </w:rPr>
  </w:style>
  <w:style w:type="paragraph" w:styleId="732" w:customStyle="1">
    <w:name w:val="标题 21"/>
    <w:basedOn w:val="733"/>
    <w:next w:val="734"/>
    <w:link w:val="979"/>
    <w:uiPriority w:val="0"/>
    <w:qFormat/>
    <w:pPr>
      <w:keepLines/>
      <w:keepNext/>
      <w:spacing w:before="260" w:after="260" w:line="416" w:lineRule="auto"/>
      <w:outlineLvl w:val="1"/>
    </w:pPr>
    <w:rPr>
      <w:rFonts w:ascii="Cambria" w:hAnsi="Cambria"/>
      <w:b/>
      <w:bCs/>
      <w:sz w:val="32"/>
      <w:szCs w:val="32"/>
    </w:rPr>
  </w:style>
  <w:style w:type="paragraph" w:styleId="733" w:customStyle="1">
    <w:name w:val="正文1"/>
    <w:basedOn w:val="734"/>
    <w:next w:val="735"/>
    <w:link w:val="8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4" w:customStyle="1">
    <w:name w:val="正文11"/>
    <w:next w:val="7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5" w:customStyle="1">
    <w:name w:val="脚注文本1"/>
    <w:basedOn w:val="733"/>
    <w:next w:val="736"/>
    <w:uiPriority w:val="0"/>
    <w:qFormat/>
    <w:pPr>
      <w:jc w:val="left"/>
    </w:pPr>
    <w:rPr>
      <w:rFonts w:ascii="宋体" w:eastAsia="Times New Roman"/>
      <w:sz w:val="18"/>
      <w:szCs w:val="18"/>
    </w:rPr>
  </w:style>
  <w:style w:type="paragraph" w:styleId="736" w:customStyle="1">
    <w:name w:val="索引 51"/>
    <w:basedOn w:val="733"/>
    <w:next w:val="733"/>
    <w:uiPriority w:val="0"/>
    <w:qFormat/>
    <w:pPr>
      <w:ind w:left="798"/>
      <w:jc w:val="left"/>
    </w:pPr>
    <w:rPr>
      <w:rFonts w:ascii="Calibri" w:hAnsi="Calibri"/>
    </w:rPr>
  </w:style>
  <w:style w:type="paragraph" w:styleId="737" w:customStyle="1">
    <w:name w:val="正文111"/>
    <w:next w:val="7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8" w:customStyle="1">
    <w:name w:val="正文文本缩进1"/>
    <w:basedOn w:val="733"/>
    <w:next w:val="739"/>
    <w:link w:val="1014"/>
    <w:uiPriority w:val="0"/>
    <w:qFormat/>
    <w:pPr>
      <w:ind w:left="420"/>
      <w:spacing w:after="120"/>
    </w:pPr>
    <w:rPr>
      <w:rFonts w:ascii="Calibri" w:hAnsi="Calibri"/>
    </w:rPr>
  </w:style>
  <w:style w:type="paragraph" w:styleId="739" w:customStyle="1">
    <w:name w:val="寄信人地址1"/>
    <w:basedOn w:val="734"/>
    <w:uiPriority w:val="0"/>
    <w:qFormat/>
    <w:rPr>
      <w:rFonts w:ascii="Arial" w:hAnsi="Arial"/>
    </w:rPr>
  </w:style>
  <w:style w:type="paragraph" w:styleId="740" w:customStyle="1">
    <w:name w:val="文本块1"/>
    <w:basedOn w:val="733"/>
    <w:next w:val="741"/>
    <w:uiPriority w:val="0"/>
    <w:qFormat/>
    <w:pPr>
      <w:ind w:left="420" w:right="33"/>
      <w:jc w:val="left"/>
    </w:pPr>
    <w:rPr>
      <w:sz w:val="24"/>
      <w:szCs w:val="20"/>
    </w:rPr>
  </w:style>
  <w:style w:type="paragraph" w:styleId="741" w:customStyle="1">
    <w:name w:val="标题 41"/>
    <w:basedOn w:val="742"/>
    <w:next w:val="734"/>
    <w:link w:val="982"/>
    <w:uiPriority w:val="0"/>
    <w:qFormat/>
    <w:pPr>
      <w:keepLines/>
      <w:keepNext/>
      <w:spacing w:before="280" w:after="290" w:line="376" w:lineRule="auto"/>
      <w:outlineLvl w:val="3"/>
    </w:pPr>
    <w:rPr>
      <w:rFonts w:ascii="Cambria" w:hAnsi="Cambria"/>
      <w:b/>
      <w:bCs/>
      <w:sz w:val="28"/>
      <w:szCs w:val="28"/>
    </w:rPr>
  </w:style>
  <w:style w:type="paragraph" w:styleId="742" w:customStyle="1">
    <w:name w:val="正文12"/>
    <w:next w:val="743"/>
    <w:uiPriority w:val="0"/>
    <w:qFormat/>
    <w:pPr>
      <w:jc w:val="both"/>
      <w:widowControl w:val="off"/>
    </w:pPr>
    <w:rPr>
      <w:rFonts w:hint="default" w:ascii="Calibri" w:hAnsi="Calibri" w:eastAsia="Calibri" w:cs="Times New Roman"/>
      <w:sz w:val="21"/>
      <w:szCs w:val="24"/>
      <w:lang w:val="en-US" w:eastAsia="zh-CN" w:bidi="ar-SA"/>
    </w:rPr>
  </w:style>
  <w:style w:type="paragraph" w:styleId="743" w:customStyle="1">
    <w:name w:val="无间隔1"/>
    <w:uiPriority w:val="0"/>
    <w:qFormat/>
    <w:rPr>
      <w:rFonts w:hint="default" w:ascii="Calibri" w:hAnsi="Calibri" w:eastAsia="宋体" w:cs="Times New Roman"/>
      <w:sz w:val="22"/>
      <w:lang w:val="en-US" w:eastAsia="zh-CN" w:bidi="ar-SA"/>
    </w:rPr>
  </w:style>
  <w:style w:type="paragraph" w:styleId="744" w:customStyle="1">
    <w:name w:val="目录 11"/>
    <w:basedOn w:val="742"/>
    <w:next w:val="742"/>
    <w:uiPriority w:val="0"/>
    <w:qFormat/>
  </w:style>
  <w:style w:type="paragraph" w:styleId="745" w:customStyle="1">
    <w:name w:val="表格文字"/>
    <w:basedOn w:val="707"/>
    <w:next w:val="705"/>
    <w:uiPriority w:val="99"/>
    <w:qFormat/>
    <w:pPr>
      <w:ind w:firstLine="0"/>
      <w:spacing w:before="25" w:after="25"/>
    </w:pPr>
    <w:rPr>
      <w:bCs/>
      <w:spacing w:val="10"/>
    </w:rPr>
  </w:style>
  <w:style w:type="paragraph" w:styleId="746" w:customStyle="1">
    <w:name w:val="文本块11"/>
    <w:basedOn w:val="742"/>
    <w:uiPriority w:val="99"/>
    <w:unhideWhenUsed/>
    <w:qFormat/>
    <w:pPr>
      <w:ind w:left="-359" w:right="-512" w:firstLine="501"/>
    </w:pPr>
    <w:rPr>
      <w:rFonts w:ascii="仿宋_GB2312" w:eastAsia="仿宋_GB2312"/>
      <w:sz w:val="30"/>
    </w:rPr>
  </w:style>
  <w:style w:type="paragraph" w:styleId="747" w:customStyle="1">
    <w:name w:val="脚注文本11"/>
    <w:basedOn w:val="690"/>
    <w:next w:val="748"/>
    <w:link w:val="760"/>
    <w:uiPriority w:val="99"/>
    <w:unhideWhenUsed/>
    <w:qFormat/>
    <w:pPr>
      <w:spacing w:after="40"/>
    </w:pPr>
    <w:rPr>
      <w:sz w:val="18"/>
    </w:rPr>
  </w:style>
  <w:style w:type="paragraph" w:styleId="748" w:customStyle="1">
    <w:name w:val="索引 511"/>
    <w:basedOn w:val="690"/>
    <w:next w:val="690"/>
    <w:uiPriority w:val="0"/>
    <w:qFormat/>
    <w:pPr>
      <w:ind w:left="798"/>
    </w:pPr>
    <w:rPr>
      <w:rFonts w:ascii="Calibri" w:hAnsi="Calibri"/>
    </w:rPr>
  </w:style>
  <w:style w:type="paragraph" w:styleId="749" w:customStyle="1">
    <w:name w:val="标题 111"/>
    <w:next w:val="690"/>
    <w:link w:val="761"/>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50" w:customStyle="1">
    <w:name w:val="标题 211"/>
    <w:basedOn w:val="690"/>
    <w:next w:val="690"/>
    <w:uiPriority w:val="0"/>
    <w:qFormat/>
    <w:pPr>
      <w:keepLines/>
      <w:keepNext/>
      <w:spacing w:before="260" w:after="260" w:line="416" w:lineRule="auto"/>
      <w:outlineLvl w:val="1"/>
    </w:pPr>
    <w:rPr>
      <w:rFonts w:ascii="Calibri Light" w:hAnsi="Calibri Light"/>
      <w:b/>
      <w:bCs/>
      <w:sz w:val="24"/>
      <w:szCs w:val="32"/>
    </w:rPr>
  </w:style>
  <w:style w:type="paragraph" w:styleId="751" w:customStyle="1">
    <w:name w:val="标题 311"/>
    <w:next w:val="690"/>
    <w:link w:val="762"/>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52" w:customStyle="1">
    <w:name w:val="标题 411"/>
    <w:next w:val="690"/>
    <w:link w:val="763"/>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53" w:customStyle="1">
    <w:name w:val="标题 511"/>
    <w:next w:val="690"/>
    <w:link w:val="764"/>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54" w:customStyle="1">
    <w:name w:val="标题 61"/>
    <w:next w:val="690"/>
    <w:link w:val="765"/>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55" w:customStyle="1">
    <w:name w:val="标题 711"/>
    <w:next w:val="690"/>
    <w:link w:val="766"/>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56" w:customStyle="1">
    <w:name w:val="标题 81"/>
    <w:next w:val="690"/>
    <w:link w:val="767"/>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57" w:customStyle="1">
    <w:name w:val="标题 91"/>
    <w:next w:val="690"/>
    <w:link w:val="768"/>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58" w:customStyle="1">
    <w:name w:val="默认段落字体11"/>
    <w:link w:val="690"/>
    <w:uiPriority w:val="1"/>
    <w:unhideWhenUsed/>
    <w:qFormat/>
  </w:style>
  <w:style w:type="table" w:styleId="759" w:customStyle="1">
    <w:name w:val="普通表格11"/>
    <w:uiPriority w:val="99"/>
    <w:unhideWhenUsed/>
    <w:qFormat/>
    <w:tblPr/>
  </w:style>
  <w:style w:type="character" w:styleId="760" w:customStyle="1">
    <w:name w:val="脚注文本 字符"/>
    <w:link w:val="747"/>
    <w:uiPriority w:val="99"/>
    <w:qFormat/>
    <w:rPr>
      <w:sz w:val="18"/>
    </w:rPr>
  </w:style>
  <w:style w:type="character" w:styleId="761" w:customStyle="1">
    <w:name w:val="标题 1 字符1"/>
    <w:link w:val="749"/>
    <w:uiPriority w:val="9"/>
    <w:qFormat/>
    <w:rPr>
      <w:rFonts w:ascii="Arial" w:hAnsi="Arial" w:eastAsia="Arial" w:cs="Arial"/>
      <w:sz w:val="40"/>
      <w:szCs w:val="40"/>
    </w:rPr>
  </w:style>
  <w:style w:type="character" w:styleId="762" w:customStyle="1">
    <w:name w:val="标题 3 字符1"/>
    <w:link w:val="751"/>
    <w:uiPriority w:val="9"/>
    <w:qFormat/>
    <w:rPr>
      <w:rFonts w:ascii="Arial" w:hAnsi="Arial" w:eastAsia="Arial" w:cs="Arial"/>
      <w:sz w:val="30"/>
      <w:szCs w:val="30"/>
    </w:rPr>
  </w:style>
  <w:style w:type="character" w:styleId="763" w:customStyle="1">
    <w:name w:val="标题 4 字符2"/>
    <w:link w:val="752"/>
    <w:uiPriority w:val="9"/>
    <w:qFormat/>
    <w:rPr>
      <w:rFonts w:ascii="Arial" w:hAnsi="Arial" w:eastAsia="Arial" w:cs="Arial"/>
      <w:b/>
      <w:bCs/>
      <w:sz w:val="26"/>
      <w:szCs w:val="26"/>
    </w:rPr>
  </w:style>
  <w:style w:type="character" w:styleId="764" w:customStyle="1">
    <w:name w:val="标题 5 字符1"/>
    <w:link w:val="753"/>
    <w:uiPriority w:val="9"/>
    <w:qFormat/>
    <w:rPr>
      <w:rFonts w:ascii="Arial" w:hAnsi="Arial" w:eastAsia="Arial" w:cs="Arial"/>
      <w:b/>
      <w:bCs/>
      <w:sz w:val="24"/>
      <w:szCs w:val="24"/>
    </w:rPr>
  </w:style>
  <w:style w:type="character" w:styleId="765" w:customStyle="1">
    <w:name w:val="标题 6 字符"/>
    <w:link w:val="754"/>
    <w:uiPriority w:val="9"/>
    <w:qFormat/>
    <w:rPr>
      <w:rFonts w:ascii="Arial" w:hAnsi="Arial" w:eastAsia="Arial" w:cs="Arial"/>
      <w:b/>
      <w:bCs/>
      <w:sz w:val="22"/>
      <w:szCs w:val="22"/>
    </w:rPr>
  </w:style>
  <w:style w:type="character" w:styleId="766" w:customStyle="1">
    <w:name w:val="标题 7 字符1"/>
    <w:link w:val="755"/>
    <w:uiPriority w:val="9"/>
    <w:qFormat/>
    <w:rPr>
      <w:rFonts w:ascii="Arial" w:hAnsi="Arial" w:eastAsia="Arial" w:cs="Arial"/>
      <w:b/>
      <w:bCs/>
      <w:i/>
      <w:iCs/>
      <w:sz w:val="22"/>
      <w:szCs w:val="22"/>
    </w:rPr>
  </w:style>
  <w:style w:type="character" w:styleId="767" w:customStyle="1">
    <w:name w:val="标题 8 字符"/>
    <w:link w:val="756"/>
    <w:uiPriority w:val="9"/>
    <w:qFormat/>
    <w:rPr>
      <w:rFonts w:ascii="Arial" w:hAnsi="Arial" w:eastAsia="Arial" w:cs="Arial"/>
      <w:i/>
      <w:iCs/>
      <w:sz w:val="22"/>
      <w:szCs w:val="22"/>
    </w:rPr>
  </w:style>
  <w:style w:type="character" w:styleId="768" w:customStyle="1">
    <w:name w:val="标题 9 字符"/>
    <w:link w:val="757"/>
    <w:uiPriority w:val="9"/>
    <w:qFormat/>
    <w:rPr>
      <w:rFonts w:ascii="Arial" w:hAnsi="Arial" w:eastAsia="Arial" w:cs="Arial"/>
      <w:i/>
      <w:iCs/>
      <w:sz w:val="21"/>
      <w:szCs w:val="21"/>
    </w:rPr>
  </w:style>
  <w:style w:type="paragraph" w:styleId="769" w:customStyle="1">
    <w:name w:val="目录 71"/>
    <w:next w:val="690"/>
    <w:uiPriority w:val="39"/>
    <w:unhideWhenUsed/>
    <w:qFormat/>
    <w:pPr>
      <w:ind w:left="1701"/>
      <w:spacing w:after="57"/>
    </w:pPr>
    <w:rPr>
      <w:rFonts w:hint="default" w:ascii="Times New Roman" w:hAnsi="Times New Roman" w:eastAsia="宋体" w:cs="Times New Roman"/>
      <w:lang w:val="en-US" w:eastAsia="zh-CN" w:bidi="ar-SA"/>
    </w:rPr>
  </w:style>
  <w:style w:type="paragraph" w:styleId="770" w:customStyle="1">
    <w:name w:val="题注1"/>
    <w:next w:val="690"/>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71" w:customStyle="1">
    <w:name w:val="列表项目符号1"/>
    <w:basedOn w:val="690"/>
    <w:uiPriority w:val="99"/>
    <w:unhideWhenUsed/>
    <w:qFormat/>
    <w:pPr>
      <w:numPr>
        <w:ilvl w:val="0"/>
        <w:numId w:val="1"/>
      </w:numPr>
    </w:pPr>
  </w:style>
  <w:style w:type="paragraph" w:styleId="772" w:customStyle="1">
    <w:name w:val="批注文字11"/>
    <w:basedOn w:val="690"/>
    <w:uiPriority w:val="0"/>
    <w:unhideWhenUsed/>
    <w:qFormat/>
  </w:style>
  <w:style w:type="paragraph" w:styleId="773" w:customStyle="1">
    <w:name w:val="正文文本11"/>
    <w:basedOn w:val="690"/>
    <w:next w:val="690"/>
    <w:uiPriority w:val="99"/>
    <w:unhideWhenUsed/>
    <w:qFormat/>
    <w:pPr>
      <w:spacing w:after="120"/>
    </w:pPr>
    <w:rPr>
      <w:szCs w:val="24"/>
    </w:rPr>
  </w:style>
  <w:style w:type="paragraph" w:styleId="774" w:customStyle="1">
    <w:name w:val="目录 51"/>
    <w:next w:val="690"/>
    <w:uiPriority w:val="39"/>
    <w:unhideWhenUsed/>
    <w:qFormat/>
    <w:pPr>
      <w:ind w:left="1134"/>
      <w:spacing w:after="57"/>
    </w:pPr>
    <w:rPr>
      <w:rFonts w:hint="default" w:ascii="Times New Roman" w:hAnsi="Times New Roman" w:eastAsia="宋体" w:cs="Times New Roman"/>
      <w:lang w:val="en-US" w:eastAsia="zh-CN" w:bidi="ar-SA"/>
    </w:rPr>
  </w:style>
  <w:style w:type="paragraph" w:styleId="775" w:customStyle="1">
    <w:name w:val="目录 31"/>
    <w:next w:val="690"/>
    <w:uiPriority w:val="39"/>
    <w:unhideWhenUsed/>
    <w:qFormat/>
    <w:pPr>
      <w:ind w:left="567"/>
      <w:spacing w:after="57"/>
    </w:pPr>
    <w:rPr>
      <w:rFonts w:hint="default" w:ascii="Times New Roman" w:hAnsi="Times New Roman" w:eastAsia="宋体" w:cs="Times New Roman"/>
      <w:lang w:val="en-US" w:eastAsia="zh-CN" w:bidi="ar-SA"/>
    </w:rPr>
  </w:style>
  <w:style w:type="paragraph" w:styleId="776" w:customStyle="1">
    <w:name w:val="纯文本11"/>
    <w:basedOn w:val="690"/>
    <w:uiPriority w:val="0"/>
    <w:qFormat/>
    <w:rPr>
      <w:rFonts w:ascii="宋体" w:hAnsi="Courier New"/>
    </w:rPr>
  </w:style>
  <w:style w:type="paragraph" w:styleId="777" w:customStyle="1">
    <w:name w:val="目录 81"/>
    <w:next w:val="690"/>
    <w:uiPriority w:val="39"/>
    <w:unhideWhenUsed/>
    <w:qFormat/>
    <w:pPr>
      <w:ind w:left="1984"/>
      <w:spacing w:after="57"/>
    </w:pPr>
    <w:rPr>
      <w:rFonts w:hint="default" w:ascii="Times New Roman" w:hAnsi="Times New Roman" w:eastAsia="宋体" w:cs="Times New Roman"/>
      <w:lang w:val="en-US" w:eastAsia="zh-CN" w:bidi="ar-SA"/>
    </w:rPr>
  </w:style>
  <w:style w:type="paragraph" w:styleId="778" w:customStyle="1">
    <w:name w:val="尾注文本1"/>
    <w:link w:val="779"/>
    <w:uiPriority w:val="99"/>
    <w:unhideWhenUsed/>
    <w:qFormat/>
    <w:rPr>
      <w:rFonts w:hint="default" w:ascii="Times New Roman" w:hAnsi="Times New Roman" w:eastAsia="宋体" w:cs="Times New Roman"/>
      <w:lang w:val="en-US" w:eastAsia="zh-CN" w:bidi="ar-SA"/>
    </w:rPr>
  </w:style>
  <w:style w:type="character" w:styleId="779" w:customStyle="1">
    <w:name w:val="尾注文本 字符"/>
    <w:link w:val="778"/>
    <w:uiPriority w:val="99"/>
    <w:qFormat/>
    <w:rPr>
      <w:sz w:val="20"/>
    </w:rPr>
  </w:style>
  <w:style w:type="paragraph" w:styleId="780" w:customStyle="1">
    <w:name w:val="批注框文本11"/>
    <w:basedOn w:val="690"/>
    <w:link w:val="781"/>
    <w:uiPriority w:val="99"/>
    <w:unhideWhenUsed/>
    <w:qFormat/>
    <w:rPr>
      <w:sz w:val="18"/>
      <w:szCs w:val="18"/>
    </w:rPr>
  </w:style>
  <w:style w:type="character" w:styleId="781" w:customStyle="1">
    <w:name w:val="批注框文本 字符1"/>
    <w:link w:val="780"/>
    <w:uiPriority w:val="99"/>
    <w:semiHidden/>
    <w:qFormat/>
    <w:rPr>
      <w:sz w:val="18"/>
      <w:szCs w:val="18"/>
    </w:rPr>
  </w:style>
  <w:style w:type="paragraph" w:styleId="782" w:customStyle="1">
    <w:name w:val="页脚11"/>
    <w:basedOn w:val="690"/>
    <w:link w:val="783"/>
    <w:uiPriority w:val="99"/>
    <w:unhideWhenUsed/>
    <w:qFormat/>
    <w:pPr>
      <w:tabs>
        <w:tab w:val="center" w:pos="7143" w:leader="none"/>
        <w:tab w:val="right" w:pos="14287" w:leader="none"/>
      </w:tabs>
    </w:pPr>
  </w:style>
  <w:style w:type="character" w:styleId="783" w:customStyle="1">
    <w:name w:val="页脚 字符1"/>
    <w:link w:val="782"/>
    <w:uiPriority w:val="99"/>
    <w:qFormat/>
  </w:style>
  <w:style w:type="paragraph" w:styleId="784" w:customStyle="1">
    <w:name w:val="页眉11"/>
    <w:link w:val="785"/>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785" w:customStyle="1">
    <w:name w:val="页眉 字符1"/>
    <w:link w:val="784"/>
    <w:uiPriority w:val="99"/>
    <w:qFormat/>
  </w:style>
  <w:style w:type="paragraph" w:styleId="786" w:customStyle="1">
    <w:name w:val="目录 1111"/>
    <w:next w:val="690"/>
    <w:uiPriority w:val="39"/>
    <w:unhideWhenUsed/>
    <w:qFormat/>
    <w:pPr>
      <w:spacing w:after="57"/>
    </w:pPr>
    <w:rPr>
      <w:rFonts w:hint="default" w:ascii="Times New Roman" w:hAnsi="Times New Roman" w:eastAsia="宋体" w:cs="Times New Roman"/>
      <w:lang w:val="en-US" w:eastAsia="zh-CN" w:bidi="ar-SA"/>
    </w:rPr>
  </w:style>
  <w:style w:type="paragraph" w:styleId="787" w:customStyle="1">
    <w:name w:val="目录 41"/>
    <w:next w:val="690"/>
    <w:uiPriority w:val="39"/>
    <w:unhideWhenUsed/>
    <w:qFormat/>
    <w:pPr>
      <w:ind w:left="850"/>
      <w:spacing w:after="57"/>
    </w:pPr>
    <w:rPr>
      <w:rFonts w:hint="default" w:ascii="Times New Roman" w:hAnsi="Times New Roman" w:eastAsia="宋体" w:cs="Times New Roman"/>
      <w:lang w:val="en-US" w:eastAsia="zh-CN" w:bidi="ar-SA"/>
    </w:rPr>
  </w:style>
  <w:style w:type="paragraph" w:styleId="788" w:customStyle="1">
    <w:name w:val="副标题1"/>
    <w:link w:val="789"/>
    <w:uiPriority w:val="11"/>
    <w:qFormat/>
    <w:pPr>
      <w:spacing w:before="200" w:after="200"/>
    </w:pPr>
    <w:rPr>
      <w:rFonts w:hint="default" w:ascii="Times New Roman" w:hAnsi="Times New Roman" w:eastAsia="宋体" w:cs="Times New Roman"/>
      <w:sz w:val="24"/>
      <w:szCs w:val="24"/>
      <w:lang w:val="en-US" w:eastAsia="zh-CN" w:bidi="ar-SA"/>
    </w:rPr>
  </w:style>
  <w:style w:type="character" w:styleId="789" w:customStyle="1">
    <w:name w:val="副标题 字符"/>
    <w:link w:val="788"/>
    <w:uiPriority w:val="11"/>
    <w:qFormat/>
    <w:rPr>
      <w:sz w:val="24"/>
      <w:szCs w:val="24"/>
    </w:rPr>
  </w:style>
  <w:style w:type="paragraph" w:styleId="790" w:customStyle="1">
    <w:name w:val="目录 61"/>
    <w:next w:val="690"/>
    <w:uiPriority w:val="39"/>
    <w:unhideWhenUsed/>
    <w:qFormat/>
    <w:pPr>
      <w:ind w:left="1417"/>
      <w:spacing w:after="57"/>
    </w:pPr>
    <w:rPr>
      <w:rFonts w:hint="default" w:ascii="Times New Roman" w:hAnsi="Times New Roman" w:eastAsia="宋体" w:cs="Times New Roman"/>
      <w:lang w:val="en-US" w:eastAsia="zh-CN" w:bidi="ar-SA"/>
    </w:rPr>
  </w:style>
  <w:style w:type="paragraph" w:styleId="791" w:customStyle="1">
    <w:name w:val="图表目录1"/>
    <w:next w:val="690"/>
    <w:uiPriority w:val="99"/>
    <w:unhideWhenUsed/>
    <w:qFormat/>
    <w:rPr>
      <w:rFonts w:hint="default" w:ascii="Times New Roman" w:hAnsi="Times New Roman" w:eastAsia="宋体" w:cs="Times New Roman"/>
      <w:lang w:val="en-US" w:eastAsia="zh-CN" w:bidi="ar-SA"/>
    </w:rPr>
  </w:style>
  <w:style w:type="paragraph" w:styleId="792" w:customStyle="1">
    <w:name w:val="目录 21"/>
    <w:next w:val="690"/>
    <w:uiPriority w:val="39"/>
    <w:unhideWhenUsed/>
    <w:qFormat/>
    <w:pPr>
      <w:ind w:left="283"/>
      <w:spacing w:after="57"/>
    </w:pPr>
    <w:rPr>
      <w:rFonts w:hint="default" w:ascii="Times New Roman" w:hAnsi="Times New Roman" w:eastAsia="宋体" w:cs="Times New Roman"/>
      <w:lang w:val="en-US" w:eastAsia="zh-CN" w:bidi="ar-SA"/>
    </w:rPr>
  </w:style>
  <w:style w:type="paragraph" w:styleId="793" w:customStyle="1">
    <w:name w:val="目录 91"/>
    <w:next w:val="690"/>
    <w:uiPriority w:val="39"/>
    <w:unhideWhenUsed/>
    <w:qFormat/>
    <w:pPr>
      <w:ind w:left="2268"/>
      <w:spacing w:after="57"/>
    </w:pPr>
    <w:rPr>
      <w:rFonts w:hint="default" w:ascii="Times New Roman" w:hAnsi="Times New Roman" w:eastAsia="宋体" w:cs="Times New Roman"/>
      <w:lang w:val="en-US" w:eastAsia="zh-CN" w:bidi="ar-SA"/>
    </w:rPr>
  </w:style>
  <w:style w:type="paragraph" w:styleId="794" w:customStyle="1">
    <w:name w:val="普通(网站)11"/>
    <w:basedOn w:val="690"/>
    <w:uiPriority w:val="99"/>
    <w:qFormat/>
    <w:pPr>
      <w:spacing w:before="100" w:beforeAutospacing="1" w:after="100" w:afterAutospacing="1"/>
    </w:pPr>
    <w:rPr>
      <w:rFonts w:ascii="宋体" w:hAnsi="宋体" w:cs="宋体"/>
      <w:sz w:val="24"/>
      <w:szCs w:val="24"/>
    </w:rPr>
  </w:style>
  <w:style w:type="paragraph" w:styleId="795" w:customStyle="1">
    <w:name w:val="标题1"/>
    <w:next w:val="690"/>
    <w:link w:val="796"/>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796" w:customStyle="1">
    <w:name w:val="标题 字符"/>
    <w:link w:val="795"/>
    <w:uiPriority w:val="10"/>
    <w:qFormat/>
    <w:rPr>
      <w:sz w:val="48"/>
      <w:szCs w:val="48"/>
    </w:rPr>
  </w:style>
  <w:style w:type="paragraph" w:styleId="797" w:customStyle="1">
    <w:name w:val="正文首行缩进11"/>
    <w:basedOn w:val="773"/>
    <w:uiPriority w:val="99"/>
    <w:unhideWhenUsed/>
    <w:qFormat/>
    <w:pPr>
      <w:ind w:firstLine="420"/>
    </w:pPr>
    <w:rPr>
      <w:szCs w:val="22"/>
    </w:rPr>
  </w:style>
  <w:style w:type="table" w:styleId="798" w:customStyle="1">
    <w:name w:val="网格型12"/>
    <w:uiPriority w:val="59"/>
    <w:qFormat/>
    <w:tblPr/>
  </w:style>
  <w:style w:type="character" w:styleId="799" w:customStyle="1">
    <w:name w:val="尾注引用1"/>
    <w:link w:val="690"/>
    <w:uiPriority w:val="99"/>
    <w:unhideWhenUsed/>
    <w:qFormat/>
    <w:rPr>
      <w:vertAlign w:val="superscript"/>
    </w:rPr>
  </w:style>
  <w:style w:type="character" w:styleId="800" w:customStyle="1">
    <w:name w:val="超链接11"/>
    <w:link w:val="690"/>
    <w:uiPriority w:val="99"/>
    <w:unhideWhenUsed/>
    <w:qFormat/>
    <w:rPr>
      <w:color w:val="0000ff"/>
      <w:u w:val="single"/>
    </w:rPr>
  </w:style>
  <w:style w:type="character" w:styleId="801" w:customStyle="1">
    <w:name w:val="脚注引用1"/>
    <w:link w:val="690"/>
    <w:uiPriority w:val="99"/>
    <w:unhideWhenUsed/>
    <w:qFormat/>
    <w:rPr>
      <w:vertAlign w:val="superscript"/>
    </w:rPr>
  </w:style>
  <w:style w:type="table" w:styleId="802" w:customStyle="1">
    <w:name w:val="Plain Table 1"/>
    <w:basedOn w:val="759"/>
    <w:uiPriority w:val="59"/>
    <w:qFormat/>
    <w:pPr>
      <w:spacing w:after="0" w:line="240" w:lineRule="auto"/>
    </w:pPr>
    <w:tblPr/>
  </w:style>
  <w:style w:type="table" w:styleId="803" w:customStyle="1">
    <w:name w:val="Plain Table 2"/>
    <w:basedOn w:val="759"/>
    <w:uiPriority w:val="59"/>
    <w:qFormat/>
    <w:pPr>
      <w:spacing w:after="0" w:line="240" w:lineRule="auto"/>
    </w:pPr>
    <w:tblPr/>
  </w:style>
  <w:style w:type="table" w:styleId="804" w:customStyle="1">
    <w:name w:val="Plain Table 3"/>
    <w:basedOn w:val="759"/>
    <w:uiPriority w:val="99"/>
    <w:qFormat/>
    <w:pPr>
      <w:spacing w:after="0" w:line="240" w:lineRule="auto"/>
    </w:pPr>
    <w:tblPr/>
  </w:style>
  <w:style w:type="table" w:styleId="805" w:customStyle="1">
    <w:name w:val="Plain Table 4"/>
    <w:basedOn w:val="759"/>
    <w:uiPriority w:val="99"/>
    <w:qFormat/>
    <w:pPr>
      <w:spacing w:after="0" w:line="240" w:lineRule="auto"/>
    </w:pPr>
    <w:tblPr/>
  </w:style>
  <w:style w:type="table" w:styleId="806" w:customStyle="1">
    <w:name w:val="Plain Table 5"/>
    <w:basedOn w:val="759"/>
    <w:uiPriority w:val="99"/>
    <w:qFormat/>
    <w:pPr>
      <w:spacing w:after="0" w:line="240" w:lineRule="auto"/>
    </w:pPr>
    <w:tblPr/>
  </w:style>
  <w:style w:type="table" w:styleId="807" w:customStyle="1">
    <w:name w:val="Grid Table 1 Light"/>
    <w:basedOn w:val="759"/>
    <w:uiPriority w:val="99"/>
    <w:qFormat/>
    <w:pPr>
      <w:spacing w:after="0" w:line="240" w:lineRule="auto"/>
    </w:pPr>
    <w:tblPr/>
  </w:style>
  <w:style w:type="table" w:styleId="808" w:customStyle="1">
    <w:name w:val="Grid Table 2"/>
    <w:basedOn w:val="759"/>
    <w:uiPriority w:val="99"/>
    <w:qFormat/>
    <w:pPr>
      <w:spacing w:after="0" w:line="240" w:lineRule="auto"/>
    </w:pPr>
    <w:tblPr/>
  </w:style>
  <w:style w:type="table" w:styleId="809" w:customStyle="1">
    <w:name w:val="Grid Table 3"/>
    <w:basedOn w:val="759"/>
    <w:uiPriority w:val="99"/>
    <w:qFormat/>
    <w:pPr>
      <w:spacing w:after="0" w:line="240" w:lineRule="auto"/>
    </w:pPr>
    <w:tblPr/>
  </w:style>
  <w:style w:type="table" w:styleId="810" w:customStyle="1">
    <w:name w:val="Grid Table 4"/>
    <w:basedOn w:val="759"/>
    <w:uiPriority w:val="59"/>
    <w:qFormat/>
    <w:pPr>
      <w:spacing w:after="0" w:line="240" w:lineRule="auto"/>
    </w:pPr>
    <w:tblPr/>
  </w:style>
  <w:style w:type="table" w:styleId="811" w:customStyle="1">
    <w:name w:val="Grid Table 5 Dark"/>
    <w:basedOn w:val="759"/>
    <w:uiPriority w:val="99"/>
    <w:qFormat/>
    <w:pPr>
      <w:spacing w:after="0" w:line="240" w:lineRule="auto"/>
    </w:pPr>
    <w:tblPr/>
  </w:style>
  <w:style w:type="table" w:styleId="812" w:customStyle="1">
    <w:name w:val="Grid Table 6 Colorful"/>
    <w:basedOn w:val="759"/>
    <w:uiPriority w:val="99"/>
    <w:qFormat/>
    <w:pPr>
      <w:spacing w:after="0" w:line="240" w:lineRule="auto"/>
    </w:pPr>
    <w:tblPr/>
  </w:style>
  <w:style w:type="table" w:styleId="813" w:customStyle="1">
    <w:name w:val="Grid Table 7 Colorful"/>
    <w:basedOn w:val="759"/>
    <w:uiPriority w:val="99"/>
    <w:qFormat/>
    <w:pPr>
      <w:spacing w:after="0" w:line="240" w:lineRule="auto"/>
    </w:pPr>
    <w:tblPr/>
  </w:style>
  <w:style w:type="table" w:styleId="814" w:customStyle="1">
    <w:name w:val="List Table 1 Light"/>
    <w:basedOn w:val="759"/>
    <w:uiPriority w:val="99"/>
    <w:qFormat/>
    <w:pPr>
      <w:spacing w:after="0" w:line="240" w:lineRule="auto"/>
    </w:pPr>
    <w:tblPr/>
  </w:style>
  <w:style w:type="table" w:styleId="815" w:customStyle="1">
    <w:name w:val="List Table 2"/>
    <w:basedOn w:val="759"/>
    <w:uiPriority w:val="99"/>
    <w:qFormat/>
    <w:pPr>
      <w:spacing w:after="0" w:line="240" w:lineRule="auto"/>
    </w:pPr>
    <w:tblPr/>
  </w:style>
  <w:style w:type="table" w:styleId="816" w:customStyle="1">
    <w:name w:val="List Table 3"/>
    <w:basedOn w:val="759"/>
    <w:uiPriority w:val="99"/>
    <w:qFormat/>
    <w:pPr>
      <w:spacing w:after="0" w:line="240" w:lineRule="auto"/>
    </w:pPr>
    <w:tblPr/>
  </w:style>
  <w:style w:type="table" w:styleId="817" w:customStyle="1">
    <w:name w:val="List Table 4"/>
    <w:basedOn w:val="759"/>
    <w:uiPriority w:val="99"/>
    <w:qFormat/>
    <w:pPr>
      <w:spacing w:after="0" w:line="240" w:lineRule="auto"/>
    </w:pPr>
    <w:tblPr/>
  </w:style>
  <w:style w:type="table" w:styleId="818" w:customStyle="1">
    <w:name w:val="List Table 5 Dark"/>
    <w:basedOn w:val="759"/>
    <w:uiPriority w:val="99"/>
    <w:qFormat/>
    <w:pPr>
      <w:spacing w:after="0" w:line="240" w:lineRule="auto"/>
    </w:pPr>
    <w:tblPr/>
  </w:style>
  <w:style w:type="table" w:styleId="819" w:customStyle="1">
    <w:name w:val="List Table 6 Colorful"/>
    <w:basedOn w:val="759"/>
    <w:uiPriority w:val="99"/>
    <w:qFormat/>
    <w:pPr>
      <w:spacing w:after="0" w:line="240" w:lineRule="auto"/>
    </w:pPr>
    <w:tblPr/>
  </w:style>
  <w:style w:type="table" w:styleId="820" w:customStyle="1">
    <w:name w:val="List Table 7 Colorful"/>
    <w:basedOn w:val="759"/>
    <w:uiPriority w:val="99"/>
    <w:qFormat/>
    <w:pPr>
      <w:spacing w:after="0" w:line="240" w:lineRule="auto"/>
    </w:pPr>
    <w:tblPr/>
  </w:style>
  <w:style w:type="paragraph" w:styleId="821" w:customStyle="1">
    <w:name w:val="TOC Heading"/>
    <w:uiPriority w:val="39"/>
    <w:unhideWhenUsed/>
    <w:qFormat/>
    <w:rPr>
      <w:rFonts w:hint="default" w:ascii="Times New Roman" w:hAnsi="Times New Roman" w:eastAsia="宋体" w:cs="Times New Roman"/>
    </w:rPr>
  </w:style>
  <w:style w:type="paragraph" w:styleId="822" w:customStyle="1">
    <w:name w:val="目录 111"/>
    <w:basedOn w:val="690"/>
    <w:next w:val="737"/>
    <w:uiPriority w:val="39"/>
    <w:unhideWhenUsed/>
    <w:qFormat/>
    <w:pPr>
      <w:spacing w:after="100" w:line="259" w:lineRule="auto"/>
    </w:pPr>
    <w:rPr>
      <w:rFonts w:ascii="Calibri" w:hAnsi="Calibri"/>
      <w:sz w:val="22"/>
      <w:szCs w:val="22"/>
    </w:rPr>
  </w:style>
  <w:style w:type="character" w:styleId="823" w:customStyle="1">
    <w:name w:val="页眉 Char"/>
    <w:link w:val="733"/>
    <w:uiPriority w:val="0"/>
    <w:qFormat/>
    <w:rPr>
      <w:sz w:val="18"/>
      <w:szCs w:val="18"/>
    </w:rPr>
  </w:style>
  <w:style w:type="paragraph" w:styleId="824" w:customStyle="1">
    <w:name w:val="正文文本1"/>
    <w:basedOn w:val="734"/>
    <w:next w:val="733"/>
    <w:link w:val="825"/>
    <w:uiPriority w:val="0"/>
    <w:qFormat/>
    <w:pPr>
      <w:spacing w:after="120"/>
    </w:pPr>
    <w:rPr>
      <w:rFonts w:ascii="Calibri" w:hAnsi="Calibri"/>
    </w:rPr>
  </w:style>
  <w:style w:type="character" w:styleId="825" w:customStyle="1">
    <w:name w:val="正文文本 字符"/>
    <w:link w:val="824"/>
    <w:uiPriority w:val="0"/>
    <w:qFormat/>
    <w:rPr>
      <w:rFonts w:ascii="Calibri" w:hAnsi="Calibri"/>
      <w:sz w:val="21"/>
      <w:szCs w:val="24"/>
    </w:rPr>
  </w:style>
  <w:style w:type="character" w:styleId="826" w:customStyle="1">
    <w:name w:val="Heading 1 Char"/>
    <w:basedOn w:val="758"/>
    <w:link w:val="690"/>
    <w:uiPriority w:val="9"/>
    <w:qFormat/>
    <w:rPr>
      <w:rFonts w:ascii="Arial" w:hAnsi="Arial" w:eastAsia="Arial" w:cs="Arial"/>
      <w:sz w:val="40"/>
      <w:szCs w:val="40"/>
    </w:rPr>
  </w:style>
  <w:style w:type="character" w:styleId="827" w:customStyle="1">
    <w:name w:val="Heading 3 Char"/>
    <w:basedOn w:val="758"/>
    <w:link w:val="690"/>
    <w:uiPriority w:val="9"/>
    <w:qFormat/>
    <w:rPr>
      <w:rFonts w:ascii="Arial" w:hAnsi="Arial" w:eastAsia="Arial" w:cs="Arial"/>
      <w:sz w:val="30"/>
      <w:szCs w:val="30"/>
    </w:rPr>
  </w:style>
  <w:style w:type="character" w:styleId="828" w:customStyle="1">
    <w:name w:val="Heading 4 Char"/>
    <w:basedOn w:val="758"/>
    <w:link w:val="690"/>
    <w:uiPriority w:val="9"/>
    <w:qFormat/>
    <w:rPr>
      <w:rFonts w:ascii="Arial" w:hAnsi="Arial" w:eastAsia="Arial" w:cs="Arial"/>
      <w:b/>
      <w:bCs/>
      <w:sz w:val="26"/>
      <w:szCs w:val="26"/>
    </w:rPr>
  </w:style>
  <w:style w:type="character" w:styleId="829" w:customStyle="1">
    <w:name w:val="Heading 5 Char"/>
    <w:basedOn w:val="758"/>
    <w:link w:val="690"/>
    <w:uiPriority w:val="9"/>
    <w:qFormat/>
    <w:rPr>
      <w:rFonts w:ascii="Arial" w:hAnsi="Arial" w:eastAsia="Arial" w:cs="Arial"/>
      <w:b/>
      <w:bCs/>
      <w:sz w:val="24"/>
      <w:szCs w:val="24"/>
    </w:rPr>
  </w:style>
  <w:style w:type="character" w:styleId="830" w:customStyle="1">
    <w:name w:val="Heading 6 Char"/>
    <w:basedOn w:val="758"/>
    <w:link w:val="690"/>
    <w:uiPriority w:val="9"/>
    <w:qFormat/>
    <w:rPr>
      <w:rFonts w:ascii="Arial" w:hAnsi="Arial" w:eastAsia="Arial" w:cs="Arial"/>
      <w:b/>
      <w:bCs/>
      <w:sz w:val="22"/>
      <w:szCs w:val="22"/>
    </w:rPr>
  </w:style>
  <w:style w:type="character" w:styleId="831" w:customStyle="1">
    <w:name w:val="Heading 7 Char"/>
    <w:basedOn w:val="758"/>
    <w:link w:val="690"/>
    <w:uiPriority w:val="9"/>
    <w:qFormat/>
    <w:rPr>
      <w:rFonts w:ascii="Arial" w:hAnsi="Arial" w:eastAsia="Arial" w:cs="Arial"/>
      <w:b/>
      <w:bCs/>
      <w:i/>
      <w:iCs/>
      <w:sz w:val="22"/>
      <w:szCs w:val="22"/>
    </w:rPr>
  </w:style>
  <w:style w:type="character" w:styleId="832" w:customStyle="1">
    <w:name w:val="Heading 8 Char"/>
    <w:basedOn w:val="758"/>
    <w:link w:val="690"/>
    <w:uiPriority w:val="9"/>
    <w:qFormat/>
    <w:rPr>
      <w:rFonts w:ascii="Arial" w:hAnsi="Arial" w:eastAsia="Arial" w:cs="Arial"/>
      <w:i/>
      <w:iCs/>
      <w:sz w:val="22"/>
      <w:szCs w:val="22"/>
    </w:rPr>
  </w:style>
  <w:style w:type="character" w:styleId="833" w:customStyle="1">
    <w:name w:val="Heading 9 Char"/>
    <w:basedOn w:val="758"/>
    <w:link w:val="690"/>
    <w:uiPriority w:val="9"/>
    <w:qFormat/>
    <w:rPr>
      <w:rFonts w:ascii="Arial" w:hAnsi="Arial" w:eastAsia="Arial" w:cs="Arial"/>
      <w:i/>
      <w:iCs/>
      <w:sz w:val="21"/>
      <w:szCs w:val="21"/>
    </w:rPr>
  </w:style>
  <w:style w:type="character" w:styleId="834" w:customStyle="1">
    <w:name w:val="Title Char"/>
    <w:basedOn w:val="758"/>
    <w:link w:val="690"/>
    <w:uiPriority w:val="10"/>
    <w:qFormat/>
    <w:rPr>
      <w:sz w:val="48"/>
      <w:szCs w:val="48"/>
    </w:rPr>
  </w:style>
  <w:style w:type="character" w:styleId="835" w:customStyle="1">
    <w:name w:val="Subtitle Char"/>
    <w:basedOn w:val="758"/>
    <w:link w:val="690"/>
    <w:uiPriority w:val="11"/>
    <w:qFormat/>
    <w:rPr>
      <w:sz w:val="24"/>
      <w:szCs w:val="24"/>
    </w:rPr>
  </w:style>
  <w:style w:type="character" w:styleId="836" w:customStyle="1">
    <w:name w:val="Quote Char"/>
    <w:link w:val="690"/>
    <w:uiPriority w:val="29"/>
    <w:qFormat/>
    <w:rPr>
      <w:i/>
    </w:rPr>
  </w:style>
  <w:style w:type="character" w:styleId="837" w:customStyle="1">
    <w:name w:val="Intense Quote Char"/>
    <w:link w:val="690"/>
    <w:uiPriority w:val="30"/>
    <w:qFormat/>
    <w:rPr>
      <w:i/>
    </w:rPr>
  </w:style>
  <w:style w:type="character" w:styleId="838" w:customStyle="1">
    <w:name w:val="Header Char"/>
    <w:basedOn w:val="758"/>
    <w:link w:val="690"/>
    <w:uiPriority w:val="99"/>
    <w:qFormat/>
  </w:style>
  <w:style w:type="character" w:styleId="839" w:customStyle="1">
    <w:name w:val="Caption Char"/>
    <w:link w:val="690"/>
    <w:uiPriority w:val="99"/>
    <w:qFormat/>
  </w:style>
  <w:style w:type="character" w:styleId="840" w:customStyle="1">
    <w:name w:val="Footnote Text Char"/>
    <w:link w:val="690"/>
    <w:uiPriority w:val="99"/>
    <w:qFormat/>
    <w:rPr>
      <w:sz w:val="18"/>
    </w:rPr>
  </w:style>
  <w:style w:type="character" w:styleId="841" w:customStyle="1">
    <w:name w:val="Endnote Text Char"/>
    <w:link w:val="690"/>
    <w:uiPriority w:val="99"/>
    <w:qFormat/>
    <w:rPr>
      <w:sz w:val="20"/>
    </w:rPr>
  </w:style>
  <w:style w:type="paragraph" w:styleId="842" w:customStyle="1">
    <w:name w:val="TOC 标题1"/>
    <w:uiPriority w:val="39"/>
    <w:unhideWhenUsed/>
    <w:qFormat/>
    <w:rPr>
      <w:rFonts w:hint="default" w:ascii="Calibri" w:hAnsi="Calibri" w:eastAsia="宋体" w:cs="Times New Roman"/>
      <w:lang w:val="en-US" w:eastAsia="zh-CN" w:bidi="ar-SA"/>
    </w:rPr>
  </w:style>
  <w:style w:type="character" w:styleId="843" w:customStyle="1">
    <w:name w:val="Heading 2 Char"/>
    <w:link w:val="690"/>
    <w:uiPriority w:val="9"/>
    <w:qFormat/>
    <w:rPr>
      <w:rFonts w:ascii="Arial" w:hAnsi="Arial" w:eastAsia="Arial" w:cs="Arial"/>
      <w:sz w:val="34"/>
    </w:rPr>
  </w:style>
  <w:style w:type="paragraph" w:styleId="844">
    <w:name w:val="List Paragraph"/>
    <w:basedOn w:val="690"/>
    <w:uiPriority w:val="99"/>
    <w:qFormat/>
    <w:pPr>
      <w:contextualSpacing/>
      <w:ind w:left="720"/>
      <w:tabs>
        <w:tab w:val="left" w:pos="502" w:leader="none"/>
      </w:tabs>
    </w:pPr>
  </w:style>
  <w:style w:type="paragraph" w:styleId="845">
    <w:name w:val="No Spacing"/>
    <w:uiPriority w:val="1"/>
    <w:qFormat/>
    <w:rPr>
      <w:rFonts w:hint="default" w:ascii="Times New Roman" w:hAnsi="Times New Roman" w:eastAsia="宋体" w:cs="Times New Roman"/>
      <w:lang w:val="en-US" w:eastAsia="zh-CN" w:bidi="ar-SA"/>
    </w:rPr>
  </w:style>
  <w:style w:type="paragraph" w:styleId="846">
    <w:name w:val="Quote"/>
    <w:link w:val="847"/>
    <w:uiPriority w:val="29"/>
    <w:qFormat/>
    <w:pPr>
      <w:ind w:left="720" w:right="720"/>
    </w:pPr>
    <w:rPr>
      <w:rFonts w:hint="default" w:ascii="Times New Roman" w:hAnsi="Times New Roman" w:eastAsia="宋体" w:cs="Times New Roman"/>
      <w:i/>
      <w:lang w:val="en-US" w:eastAsia="zh-CN" w:bidi="ar-SA"/>
    </w:rPr>
  </w:style>
  <w:style w:type="character" w:styleId="847" w:customStyle="1">
    <w:name w:val="引用 字符"/>
    <w:link w:val="846"/>
    <w:uiPriority w:val="29"/>
    <w:qFormat/>
    <w:rPr>
      <w:i/>
    </w:rPr>
  </w:style>
  <w:style w:type="paragraph" w:styleId="848">
    <w:name w:val="Intense Quote"/>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49" w:customStyle="1">
    <w:name w:val="明显引用 字符"/>
    <w:link w:val="848"/>
    <w:uiPriority w:val="30"/>
    <w:qFormat/>
    <w:rPr>
      <w:i/>
    </w:rPr>
  </w:style>
  <w:style w:type="character" w:styleId="850" w:customStyle="1">
    <w:name w:val="Footer Char"/>
    <w:link w:val="690"/>
    <w:uiPriority w:val="99"/>
    <w:qFormat/>
  </w:style>
  <w:style w:type="table" w:styleId="851" w:customStyle="1">
    <w:name w:val="Table Grid Light"/>
    <w:uiPriority w:val="59"/>
    <w:qFormat/>
    <w:tblPr/>
  </w:style>
  <w:style w:type="table" w:styleId="852" w:customStyle="1">
    <w:name w:val="无格式表格 11"/>
    <w:uiPriority w:val="59"/>
    <w:qFormat/>
    <w:tblPr/>
  </w:style>
  <w:style w:type="table" w:styleId="853" w:customStyle="1">
    <w:name w:val="无格式表格 21"/>
    <w:uiPriority w:val="59"/>
    <w:qFormat/>
    <w:tblPr/>
  </w:style>
  <w:style w:type="table" w:styleId="854" w:customStyle="1">
    <w:name w:val="无格式表格 31"/>
    <w:uiPriority w:val="99"/>
    <w:qFormat/>
    <w:tblPr/>
  </w:style>
  <w:style w:type="table" w:styleId="855" w:customStyle="1">
    <w:name w:val="无格式表格 41"/>
    <w:uiPriority w:val="99"/>
    <w:qFormat/>
    <w:tblPr/>
  </w:style>
  <w:style w:type="table" w:styleId="856" w:customStyle="1">
    <w:name w:val="无格式表格 51"/>
    <w:uiPriority w:val="99"/>
    <w:qFormat/>
    <w:tblPr/>
  </w:style>
  <w:style w:type="table" w:styleId="857" w:customStyle="1">
    <w:name w:val="网格表 1 浅色1"/>
    <w:uiPriority w:val="99"/>
    <w:qFormat/>
    <w:tblPr/>
  </w:style>
  <w:style w:type="table" w:styleId="858" w:customStyle="1">
    <w:name w:val="Grid Table 1 Light - Accent 1"/>
    <w:uiPriority w:val="99"/>
    <w:qFormat/>
    <w:tblPr/>
  </w:style>
  <w:style w:type="table" w:styleId="859" w:customStyle="1">
    <w:name w:val="Grid Table 1 Light - Accent 2"/>
    <w:uiPriority w:val="99"/>
    <w:qFormat/>
    <w:tblPr/>
  </w:style>
  <w:style w:type="table" w:styleId="860" w:customStyle="1">
    <w:name w:val="Grid Table 1 Light - Accent 3"/>
    <w:uiPriority w:val="99"/>
    <w:qFormat/>
    <w:tblPr/>
  </w:style>
  <w:style w:type="table" w:styleId="861" w:customStyle="1">
    <w:name w:val="Grid Table 1 Light - Accent 4"/>
    <w:uiPriority w:val="99"/>
    <w:qFormat/>
    <w:tblPr/>
  </w:style>
  <w:style w:type="table" w:styleId="862" w:customStyle="1">
    <w:name w:val="Grid Table 1 Light - Accent 5"/>
    <w:uiPriority w:val="99"/>
    <w:qFormat/>
    <w:tblPr/>
  </w:style>
  <w:style w:type="table" w:styleId="863" w:customStyle="1">
    <w:name w:val="Grid Table 1 Light - Accent 6"/>
    <w:uiPriority w:val="99"/>
    <w:qFormat/>
    <w:tblPr/>
  </w:style>
  <w:style w:type="table" w:styleId="864" w:customStyle="1">
    <w:name w:val="网格表 21"/>
    <w:uiPriority w:val="99"/>
    <w:qFormat/>
    <w:tblPr/>
  </w:style>
  <w:style w:type="table" w:styleId="865" w:customStyle="1">
    <w:name w:val="Grid Table 2 - Accent 1"/>
    <w:uiPriority w:val="99"/>
    <w:qFormat/>
    <w:tblPr/>
  </w:style>
  <w:style w:type="table" w:styleId="866" w:customStyle="1">
    <w:name w:val="Grid Table 2 - Accent 2"/>
    <w:uiPriority w:val="99"/>
    <w:qFormat/>
    <w:tblPr/>
  </w:style>
  <w:style w:type="table" w:styleId="867" w:customStyle="1">
    <w:name w:val="Grid Table 2 - Accent 3"/>
    <w:uiPriority w:val="99"/>
    <w:qFormat/>
    <w:tblPr/>
  </w:style>
  <w:style w:type="table" w:styleId="868" w:customStyle="1">
    <w:name w:val="Grid Table 2 - Accent 4"/>
    <w:uiPriority w:val="99"/>
    <w:qFormat/>
    <w:tblPr/>
  </w:style>
  <w:style w:type="table" w:styleId="869" w:customStyle="1">
    <w:name w:val="Grid Table 2 - Accent 5"/>
    <w:uiPriority w:val="99"/>
    <w:qFormat/>
    <w:tblPr/>
  </w:style>
  <w:style w:type="table" w:styleId="870" w:customStyle="1">
    <w:name w:val="Grid Table 2 - Accent 6"/>
    <w:uiPriority w:val="99"/>
    <w:qFormat/>
    <w:tblPr/>
  </w:style>
  <w:style w:type="table" w:styleId="871" w:customStyle="1">
    <w:name w:val="网格表 31"/>
    <w:uiPriority w:val="99"/>
    <w:qFormat/>
    <w:tblPr/>
  </w:style>
  <w:style w:type="table" w:styleId="872" w:customStyle="1">
    <w:name w:val="Grid Table 3 - Accent 1"/>
    <w:uiPriority w:val="99"/>
    <w:qFormat/>
    <w:tblPr/>
  </w:style>
  <w:style w:type="table" w:styleId="873" w:customStyle="1">
    <w:name w:val="Grid Table 3 - Accent 2"/>
    <w:uiPriority w:val="99"/>
    <w:qFormat/>
    <w:tblPr/>
  </w:style>
  <w:style w:type="table" w:styleId="874" w:customStyle="1">
    <w:name w:val="Grid Table 3 - Accent 3"/>
    <w:uiPriority w:val="99"/>
    <w:qFormat/>
    <w:tblPr/>
  </w:style>
  <w:style w:type="table" w:styleId="875" w:customStyle="1">
    <w:name w:val="Grid Table 3 - Accent 4"/>
    <w:uiPriority w:val="99"/>
    <w:qFormat/>
    <w:tblPr/>
  </w:style>
  <w:style w:type="table" w:styleId="876" w:customStyle="1">
    <w:name w:val="Grid Table 3 - Accent 5"/>
    <w:uiPriority w:val="99"/>
    <w:qFormat/>
    <w:tblPr/>
  </w:style>
  <w:style w:type="table" w:styleId="877" w:customStyle="1">
    <w:name w:val="Grid Table 3 - Accent 6"/>
    <w:uiPriority w:val="99"/>
    <w:qFormat/>
    <w:tblPr/>
  </w:style>
  <w:style w:type="table" w:styleId="878" w:customStyle="1">
    <w:name w:val="网格表 41"/>
    <w:uiPriority w:val="59"/>
    <w:qFormat/>
    <w:tblPr/>
  </w:style>
  <w:style w:type="table" w:styleId="879" w:customStyle="1">
    <w:name w:val="Grid Table 4 - Accent 1"/>
    <w:uiPriority w:val="59"/>
    <w:qFormat/>
    <w:tblPr/>
  </w:style>
  <w:style w:type="table" w:styleId="880" w:customStyle="1">
    <w:name w:val="Grid Table 4 - Accent 2"/>
    <w:uiPriority w:val="59"/>
    <w:qFormat/>
    <w:tblPr/>
  </w:style>
  <w:style w:type="table" w:styleId="881" w:customStyle="1">
    <w:name w:val="Grid Table 4 - Accent 3"/>
    <w:uiPriority w:val="59"/>
    <w:qFormat/>
    <w:tblPr/>
  </w:style>
  <w:style w:type="table" w:styleId="882" w:customStyle="1">
    <w:name w:val="Grid Table 4 - Accent 4"/>
    <w:uiPriority w:val="59"/>
    <w:qFormat/>
    <w:tblPr/>
  </w:style>
  <w:style w:type="table" w:styleId="883" w:customStyle="1">
    <w:name w:val="Grid Table 4 - Accent 5"/>
    <w:uiPriority w:val="59"/>
    <w:qFormat/>
    <w:tblPr/>
  </w:style>
  <w:style w:type="table" w:styleId="884" w:customStyle="1">
    <w:name w:val="Grid Table 4 - Accent 6"/>
    <w:uiPriority w:val="59"/>
    <w:qFormat/>
    <w:tblPr/>
  </w:style>
  <w:style w:type="table" w:styleId="885" w:customStyle="1">
    <w:name w:val="网格表 5 深色1"/>
    <w:uiPriority w:val="99"/>
    <w:qFormat/>
    <w:tblPr/>
  </w:style>
  <w:style w:type="table" w:styleId="886" w:customStyle="1">
    <w:name w:val="Grid Table 5 Dark- Accent 1"/>
    <w:uiPriority w:val="99"/>
    <w:qFormat/>
    <w:tblPr/>
  </w:style>
  <w:style w:type="table" w:styleId="887" w:customStyle="1">
    <w:name w:val="Grid Table 5 Dark - Accent 2"/>
    <w:uiPriority w:val="99"/>
    <w:qFormat/>
    <w:tblPr/>
  </w:style>
  <w:style w:type="table" w:styleId="888" w:customStyle="1">
    <w:name w:val="Grid Table 5 Dark - Accent 3"/>
    <w:uiPriority w:val="99"/>
    <w:qFormat/>
    <w:tblPr/>
  </w:style>
  <w:style w:type="table" w:styleId="889" w:customStyle="1">
    <w:name w:val="Grid Table 5 Dark- Accent 4"/>
    <w:uiPriority w:val="99"/>
    <w:qFormat/>
    <w:tblPr/>
  </w:style>
  <w:style w:type="table" w:styleId="890" w:customStyle="1">
    <w:name w:val="Grid Table 5 Dark - Accent 5"/>
    <w:uiPriority w:val="99"/>
    <w:qFormat/>
    <w:tblPr/>
  </w:style>
  <w:style w:type="table" w:styleId="891" w:customStyle="1">
    <w:name w:val="Grid Table 5 Dark - Accent 6"/>
    <w:uiPriority w:val="99"/>
    <w:qFormat/>
    <w:tblPr/>
  </w:style>
  <w:style w:type="table" w:styleId="892" w:customStyle="1">
    <w:name w:val="网格表 6 彩色1"/>
    <w:uiPriority w:val="99"/>
    <w:qFormat/>
    <w:tblPr/>
  </w:style>
  <w:style w:type="table" w:styleId="893" w:customStyle="1">
    <w:name w:val="Grid Table 6 Colorful - Accent 1"/>
    <w:uiPriority w:val="99"/>
    <w:qFormat/>
    <w:tblPr/>
  </w:style>
  <w:style w:type="table" w:styleId="894" w:customStyle="1">
    <w:name w:val="Grid Table 6 Colorful - Accent 2"/>
    <w:uiPriority w:val="99"/>
    <w:qFormat/>
    <w:tblPr/>
  </w:style>
  <w:style w:type="table" w:styleId="895" w:customStyle="1">
    <w:name w:val="Grid Table 6 Colorful - Accent 3"/>
    <w:uiPriority w:val="99"/>
    <w:qFormat/>
    <w:tblPr/>
  </w:style>
  <w:style w:type="table" w:styleId="896" w:customStyle="1">
    <w:name w:val="Grid Table 6 Colorful - Accent 4"/>
    <w:uiPriority w:val="99"/>
    <w:qFormat/>
    <w:tblPr/>
  </w:style>
  <w:style w:type="table" w:styleId="897" w:customStyle="1">
    <w:name w:val="Grid Table 6 Colorful - Accent 5"/>
    <w:uiPriority w:val="99"/>
    <w:qFormat/>
    <w:tblPr/>
  </w:style>
  <w:style w:type="table" w:styleId="898" w:customStyle="1">
    <w:name w:val="Grid Table 6 Colorful - Accent 6"/>
    <w:uiPriority w:val="99"/>
    <w:qFormat/>
    <w:tblPr/>
  </w:style>
  <w:style w:type="table" w:styleId="899" w:customStyle="1">
    <w:name w:val="网格表 7 彩色1"/>
    <w:uiPriority w:val="99"/>
    <w:qFormat/>
    <w:tblPr/>
  </w:style>
  <w:style w:type="table" w:styleId="900" w:customStyle="1">
    <w:name w:val="Grid Table 7 Colorful - Accent 1"/>
    <w:uiPriority w:val="99"/>
    <w:qFormat/>
    <w:tblPr/>
  </w:style>
  <w:style w:type="table" w:styleId="901" w:customStyle="1">
    <w:name w:val="Grid Table 7 Colorful - Accent 2"/>
    <w:uiPriority w:val="99"/>
    <w:qFormat/>
    <w:tblPr/>
  </w:style>
  <w:style w:type="table" w:styleId="902" w:customStyle="1">
    <w:name w:val="Grid Table 7 Colorful - Accent 3"/>
    <w:uiPriority w:val="99"/>
    <w:qFormat/>
    <w:tblPr/>
  </w:style>
  <w:style w:type="table" w:styleId="903" w:customStyle="1">
    <w:name w:val="Grid Table 7 Colorful - Accent 4"/>
    <w:uiPriority w:val="99"/>
    <w:qFormat/>
    <w:tblPr/>
  </w:style>
  <w:style w:type="table" w:styleId="904" w:customStyle="1">
    <w:name w:val="Grid Table 7 Colorful - Accent 5"/>
    <w:uiPriority w:val="99"/>
    <w:qFormat/>
    <w:tblPr/>
  </w:style>
  <w:style w:type="table" w:styleId="905" w:customStyle="1">
    <w:name w:val="Grid Table 7 Colorful - Accent 6"/>
    <w:uiPriority w:val="99"/>
    <w:qFormat/>
    <w:tblPr/>
  </w:style>
  <w:style w:type="table" w:styleId="906" w:customStyle="1">
    <w:name w:val="清单表 1 浅色1"/>
    <w:uiPriority w:val="99"/>
    <w:qFormat/>
    <w:tblPr/>
  </w:style>
  <w:style w:type="table" w:styleId="907" w:customStyle="1">
    <w:name w:val="List Table 1 Light - Accent 1"/>
    <w:uiPriority w:val="99"/>
    <w:qFormat/>
    <w:tblPr/>
  </w:style>
  <w:style w:type="table" w:styleId="908" w:customStyle="1">
    <w:name w:val="List Table 1 Light - Accent 2"/>
    <w:uiPriority w:val="99"/>
    <w:qFormat/>
    <w:tblPr/>
  </w:style>
  <w:style w:type="table" w:styleId="909" w:customStyle="1">
    <w:name w:val="List Table 1 Light - Accent 3"/>
    <w:uiPriority w:val="99"/>
    <w:qFormat/>
    <w:tblPr/>
  </w:style>
  <w:style w:type="table" w:styleId="910" w:customStyle="1">
    <w:name w:val="List Table 1 Light - Accent 4"/>
    <w:uiPriority w:val="99"/>
    <w:qFormat/>
    <w:tblPr/>
  </w:style>
  <w:style w:type="table" w:styleId="911" w:customStyle="1">
    <w:name w:val="List Table 1 Light - Accent 5"/>
    <w:uiPriority w:val="99"/>
    <w:qFormat/>
    <w:tblPr/>
  </w:style>
  <w:style w:type="table" w:styleId="912" w:customStyle="1">
    <w:name w:val="List Table 1 Light - Accent 6"/>
    <w:uiPriority w:val="99"/>
    <w:qFormat/>
    <w:tblPr/>
  </w:style>
  <w:style w:type="table" w:styleId="913" w:customStyle="1">
    <w:name w:val="清单表 21"/>
    <w:uiPriority w:val="99"/>
    <w:qFormat/>
    <w:tblPr/>
  </w:style>
  <w:style w:type="table" w:styleId="914" w:customStyle="1">
    <w:name w:val="List Table 2 - Accent 1"/>
    <w:uiPriority w:val="99"/>
    <w:qFormat/>
    <w:tblPr/>
  </w:style>
  <w:style w:type="table" w:styleId="915" w:customStyle="1">
    <w:name w:val="List Table 2 - Accent 2"/>
    <w:uiPriority w:val="99"/>
    <w:qFormat/>
    <w:tblPr/>
  </w:style>
  <w:style w:type="table" w:styleId="916" w:customStyle="1">
    <w:name w:val="List Table 2 - Accent 3"/>
    <w:uiPriority w:val="99"/>
    <w:qFormat/>
    <w:tblPr/>
  </w:style>
  <w:style w:type="table" w:styleId="917" w:customStyle="1">
    <w:name w:val="List Table 2 - Accent 4"/>
    <w:uiPriority w:val="99"/>
    <w:qFormat/>
    <w:tblPr/>
  </w:style>
  <w:style w:type="table" w:styleId="918" w:customStyle="1">
    <w:name w:val="List Table 2 - Accent 5"/>
    <w:uiPriority w:val="99"/>
    <w:qFormat/>
    <w:tblPr/>
  </w:style>
  <w:style w:type="table" w:styleId="919" w:customStyle="1">
    <w:name w:val="List Table 2 - Accent 6"/>
    <w:uiPriority w:val="99"/>
    <w:qFormat/>
    <w:tblPr/>
  </w:style>
  <w:style w:type="table" w:styleId="920" w:customStyle="1">
    <w:name w:val="清单表 31"/>
    <w:uiPriority w:val="99"/>
    <w:qFormat/>
    <w:tblPr/>
  </w:style>
  <w:style w:type="table" w:styleId="921" w:customStyle="1">
    <w:name w:val="List Table 3 - Accent 1"/>
    <w:uiPriority w:val="99"/>
    <w:qFormat/>
    <w:tblPr/>
  </w:style>
  <w:style w:type="table" w:styleId="922" w:customStyle="1">
    <w:name w:val="List Table 3 - Accent 2"/>
    <w:uiPriority w:val="99"/>
    <w:qFormat/>
    <w:tblPr/>
  </w:style>
  <w:style w:type="table" w:styleId="923" w:customStyle="1">
    <w:name w:val="List Table 3 - Accent 3"/>
    <w:uiPriority w:val="99"/>
    <w:qFormat/>
    <w:tblPr/>
  </w:style>
  <w:style w:type="table" w:styleId="924" w:customStyle="1">
    <w:name w:val="List Table 3 - Accent 4"/>
    <w:uiPriority w:val="99"/>
    <w:qFormat/>
    <w:tblPr/>
  </w:style>
  <w:style w:type="table" w:styleId="925" w:customStyle="1">
    <w:name w:val="List Table 3 - Accent 5"/>
    <w:uiPriority w:val="99"/>
    <w:qFormat/>
    <w:tblPr/>
  </w:style>
  <w:style w:type="table" w:styleId="926" w:customStyle="1">
    <w:name w:val="List Table 3 - Accent 6"/>
    <w:uiPriority w:val="99"/>
    <w:qFormat/>
    <w:tblPr/>
  </w:style>
  <w:style w:type="table" w:styleId="927" w:customStyle="1">
    <w:name w:val="清单表 41"/>
    <w:uiPriority w:val="99"/>
    <w:qFormat/>
    <w:tblPr/>
  </w:style>
  <w:style w:type="table" w:styleId="928" w:customStyle="1">
    <w:name w:val="List Table 4 - Accent 1"/>
    <w:uiPriority w:val="99"/>
    <w:qFormat/>
    <w:tblPr/>
  </w:style>
  <w:style w:type="table" w:styleId="929" w:customStyle="1">
    <w:name w:val="List Table 4 - Accent 2"/>
    <w:uiPriority w:val="99"/>
    <w:qFormat/>
    <w:tblPr/>
  </w:style>
  <w:style w:type="table" w:styleId="930" w:customStyle="1">
    <w:name w:val="List Table 4 - Accent 3"/>
    <w:uiPriority w:val="99"/>
    <w:qFormat/>
    <w:tblPr/>
  </w:style>
  <w:style w:type="table" w:styleId="931" w:customStyle="1">
    <w:name w:val="List Table 4 - Accent 4"/>
    <w:uiPriority w:val="99"/>
    <w:qFormat/>
    <w:tblPr/>
  </w:style>
  <w:style w:type="table" w:styleId="932" w:customStyle="1">
    <w:name w:val="List Table 4 - Accent 5"/>
    <w:uiPriority w:val="99"/>
    <w:qFormat/>
    <w:tblPr/>
  </w:style>
  <w:style w:type="table" w:styleId="933" w:customStyle="1">
    <w:name w:val="List Table 4 - Accent 6"/>
    <w:uiPriority w:val="99"/>
    <w:qFormat/>
    <w:tblPr/>
  </w:style>
  <w:style w:type="table" w:styleId="934" w:customStyle="1">
    <w:name w:val="清单表 5 深色1"/>
    <w:uiPriority w:val="99"/>
    <w:qFormat/>
    <w:tblPr/>
  </w:style>
  <w:style w:type="table" w:styleId="935" w:customStyle="1">
    <w:name w:val="List Table 5 Dark - Accent 1"/>
    <w:uiPriority w:val="99"/>
    <w:qFormat/>
    <w:tblPr/>
  </w:style>
  <w:style w:type="table" w:styleId="936" w:customStyle="1">
    <w:name w:val="List Table 5 Dark - Accent 2"/>
    <w:uiPriority w:val="99"/>
    <w:qFormat/>
    <w:tblPr/>
  </w:style>
  <w:style w:type="table" w:styleId="937" w:customStyle="1">
    <w:name w:val="List Table 5 Dark - Accent 3"/>
    <w:uiPriority w:val="99"/>
    <w:qFormat/>
    <w:tblPr/>
  </w:style>
  <w:style w:type="table" w:styleId="938" w:customStyle="1">
    <w:name w:val="List Table 5 Dark - Accent 4"/>
    <w:uiPriority w:val="99"/>
    <w:qFormat/>
    <w:tblPr/>
  </w:style>
  <w:style w:type="table" w:styleId="939" w:customStyle="1">
    <w:name w:val="List Table 5 Dark - Accent 5"/>
    <w:uiPriority w:val="99"/>
    <w:qFormat/>
    <w:tblPr/>
  </w:style>
  <w:style w:type="table" w:styleId="940" w:customStyle="1">
    <w:name w:val="List Table 5 Dark - Accent 6"/>
    <w:uiPriority w:val="99"/>
    <w:qFormat/>
    <w:tblPr/>
  </w:style>
  <w:style w:type="table" w:styleId="941" w:customStyle="1">
    <w:name w:val="清单表 6 彩色1"/>
    <w:uiPriority w:val="99"/>
    <w:qFormat/>
    <w:tblPr/>
  </w:style>
  <w:style w:type="table" w:styleId="942" w:customStyle="1">
    <w:name w:val="List Table 6 Colorful - Accent 1"/>
    <w:uiPriority w:val="99"/>
    <w:qFormat/>
    <w:tblPr/>
  </w:style>
  <w:style w:type="table" w:styleId="943" w:customStyle="1">
    <w:name w:val="List Table 6 Colorful - Accent 2"/>
    <w:uiPriority w:val="99"/>
    <w:qFormat/>
    <w:tblPr/>
  </w:style>
  <w:style w:type="table" w:styleId="944" w:customStyle="1">
    <w:name w:val="List Table 6 Colorful - Accent 3"/>
    <w:uiPriority w:val="99"/>
    <w:qFormat/>
    <w:tblPr/>
  </w:style>
  <w:style w:type="table" w:styleId="945" w:customStyle="1">
    <w:name w:val="List Table 6 Colorful - Accent 4"/>
    <w:uiPriority w:val="99"/>
    <w:qFormat/>
    <w:tblPr/>
  </w:style>
  <w:style w:type="table" w:styleId="946" w:customStyle="1">
    <w:name w:val="List Table 6 Colorful - Accent 5"/>
    <w:uiPriority w:val="99"/>
    <w:qFormat/>
    <w:tblPr/>
  </w:style>
  <w:style w:type="table" w:styleId="947" w:customStyle="1">
    <w:name w:val="List Table 6 Colorful - Accent 6"/>
    <w:uiPriority w:val="99"/>
    <w:qFormat/>
    <w:tblPr/>
  </w:style>
  <w:style w:type="table" w:styleId="948" w:customStyle="1">
    <w:name w:val="清单表 7 彩色1"/>
    <w:uiPriority w:val="99"/>
    <w:qFormat/>
    <w:tblPr/>
  </w:style>
  <w:style w:type="table" w:styleId="949" w:customStyle="1">
    <w:name w:val="List Table 7 Colorful - Accent 1"/>
    <w:uiPriority w:val="99"/>
    <w:qFormat/>
    <w:tblPr/>
  </w:style>
  <w:style w:type="table" w:styleId="950" w:customStyle="1">
    <w:name w:val="List Table 7 Colorful - Accent 2"/>
    <w:uiPriority w:val="99"/>
    <w:qFormat/>
    <w:tblPr/>
  </w:style>
  <w:style w:type="table" w:styleId="951" w:customStyle="1">
    <w:name w:val="List Table 7 Colorful - Accent 3"/>
    <w:uiPriority w:val="99"/>
    <w:qFormat/>
    <w:tblPr/>
  </w:style>
  <w:style w:type="table" w:styleId="952" w:customStyle="1">
    <w:name w:val="List Table 7 Colorful - Accent 4"/>
    <w:uiPriority w:val="99"/>
    <w:qFormat/>
    <w:tblPr/>
  </w:style>
  <w:style w:type="table" w:styleId="953" w:customStyle="1">
    <w:name w:val="List Table 7 Colorful - Accent 5"/>
    <w:uiPriority w:val="99"/>
    <w:qFormat/>
    <w:tblPr/>
  </w:style>
  <w:style w:type="table" w:styleId="954" w:customStyle="1">
    <w:name w:val="List Table 7 Colorful - Accent 6"/>
    <w:uiPriority w:val="99"/>
    <w:qFormat/>
    <w:tblPr/>
  </w:style>
  <w:style w:type="table" w:styleId="955" w:customStyle="1">
    <w:name w:val="Lined - Accent"/>
    <w:uiPriority w:val="99"/>
    <w:qFormat/>
    <w:rPr>
      <w:color w:val="404040"/>
    </w:rPr>
    <w:tblPr/>
  </w:style>
  <w:style w:type="table" w:styleId="956" w:customStyle="1">
    <w:name w:val="Lined - Accent 1"/>
    <w:uiPriority w:val="99"/>
    <w:qFormat/>
    <w:rPr>
      <w:color w:val="404040"/>
    </w:rPr>
    <w:tblPr/>
  </w:style>
  <w:style w:type="table" w:styleId="957" w:customStyle="1">
    <w:name w:val="Lined - Accent 2"/>
    <w:uiPriority w:val="99"/>
    <w:qFormat/>
    <w:rPr>
      <w:color w:val="404040"/>
    </w:rPr>
    <w:tblPr/>
  </w:style>
  <w:style w:type="table" w:styleId="958" w:customStyle="1">
    <w:name w:val="Lined - Accent 3"/>
    <w:uiPriority w:val="99"/>
    <w:qFormat/>
    <w:rPr>
      <w:color w:val="404040"/>
    </w:rPr>
    <w:tblPr/>
  </w:style>
  <w:style w:type="table" w:styleId="959" w:customStyle="1">
    <w:name w:val="Lined - Accent 4"/>
    <w:uiPriority w:val="99"/>
    <w:qFormat/>
    <w:rPr>
      <w:color w:val="404040"/>
    </w:rPr>
    <w:tblPr/>
  </w:style>
  <w:style w:type="table" w:styleId="960" w:customStyle="1">
    <w:name w:val="Lined - Accent 5"/>
    <w:uiPriority w:val="99"/>
    <w:qFormat/>
    <w:rPr>
      <w:color w:val="404040"/>
    </w:rPr>
    <w:tblPr/>
  </w:style>
  <w:style w:type="table" w:styleId="961" w:customStyle="1">
    <w:name w:val="Lined - Accent 6"/>
    <w:uiPriority w:val="99"/>
    <w:qFormat/>
    <w:rPr>
      <w:color w:val="404040"/>
    </w:rPr>
    <w:tblPr/>
  </w:style>
  <w:style w:type="table" w:styleId="962" w:customStyle="1">
    <w:name w:val="Bordered &amp; Lined - Accent"/>
    <w:uiPriority w:val="99"/>
    <w:qFormat/>
    <w:rPr>
      <w:color w:val="404040"/>
    </w:rPr>
    <w:tblPr/>
  </w:style>
  <w:style w:type="table" w:styleId="963" w:customStyle="1">
    <w:name w:val="Bordered &amp; Lined - Accent 1"/>
    <w:uiPriority w:val="99"/>
    <w:qFormat/>
    <w:rPr>
      <w:color w:val="404040"/>
    </w:rPr>
    <w:tblPr/>
  </w:style>
  <w:style w:type="table" w:styleId="964" w:customStyle="1">
    <w:name w:val="Bordered &amp; Lined - Accent 2"/>
    <w:uiPriority w:val="99"/>
    <w:qFormat/>
    <w:rPr>
      <w:color w:val="404040"/>
    </w:rPr>
    <w:tblPr/>
  </w:style>
  <w:style w:type="table" w:styleId="965" w:customStyle="1">
    <w:name w:val="Bordered &amp; Lined - Accent 3"/>
    <w:uiPriority w:val="99"/>
    <w:qFormat/>
    <w:rPr>
      <w:color w:val="404040"/>
    </w:rPr>
    <w:tblPr/>
  </w:style>
  <w:style w:type="table" w:styleId="966" w:customStyle="1">
    <w:name w:val="Bordered &amp; Lined - Accent 4"/>
    <w:uiPriority w:val="99"/>
    <w:qFormat/>
    <w:rPr>
      <w:color w:val="404040"/>
    </w:rPr>
    <w:tblPr/>
  </w:style>
  <w:style w:type="table" w:styleId="967" w:customStyle="1">
    <w:name w:val="Bordered &amp; Lined - Accent 5"/>
    <w:uiPriority w:val="99"/>
    <w:qFormat/>
    <w:rPr>
      <w:color w:val="404040"/>
    </w:rPr>
    <w:tblPr/>
  </w:style>
  <w:style w:type="table" w:styleId="968" w:customStyle="1">
    <w:name w:val="Bordered &amp; Lined - Accent 6"/>
    <w:uiPriority w:val="99"/>
    <w:qFormat/>
    <w:rPr>
      <w:color w:val="404040"/>
    </w:rPr>
    <w:tblPr/>
  </w:style>
  <w:style w:type="table" w:styleId="969" w:customStyle="1">
    <w:name w:val="Bordered"/>
    <w:uiPriority w:val="99"/>
    <w:qFormat/>
    <w:tblPr/>
  </w:style>
  <w:style w:type="table" w:styleId="970" w:customStyle="1">
    <w:name w:val="Bordered - Accent 1"/>
    <w:uiPriority w:val="99"/>
    <w:qFormat/>
    <w:tblPr/>
  </w:style>
  <w:style w:type="table" w:styleId="971" w:customStyle="1">
    <w:name w:val="Bordered - Accent 2"/>
    <w:uiPriority w:val="99"/>
    <w:qFormat/>
    <w:tblPr/>
  </w:style>
  <w:style w:type="table" w:styleId="972" w:customStyle="1">
    <w:name w:val="Bordered - Accent 3"/>
    <w:uiPriority w:val="99"/>
    <w:qFormat/>
    <w:tblPr/>
  </w:style>
  <w:style w:type="table" w:styleId="973" w:customStyle="1">
    <w:name w:val="Bordered - Accent 4"/>
    <w:uiPriority w:val="99"/>
    <w:qFormat/>
    <w:tblPr/>
  </w:style>
  <w:style w:type="table" w:styleId="974" w:customStyle="1">
    <w:name w:val="Bordered - Accent 5"/>
    <w:uiPriority w:val="99"/>
    <w:qFormat/>
    <w:tblPr/>
  </w:style>
  <w:style w:type="table" w:styleId="975" w:customStyle="1">
    <w:name w:val="Bordered - Accent 6"/>
    <w:uiPriority w:val="99"/>
    <w:qFormat/>
    <w:tblPr/>
  </w:style>
  <w:style w:type="paragraph" w:styleId="976" w:customStyle="1">
    <w:name w:val="TOC 标题11"/>
    <w:uiPriority w:val="39"/>
    <w:unhideWhenUsed/>
    <w:qFormat/>
    <w:rPr>
      <w:rFonts w:hint="default" w:ascii="Times New Roman" w:hAnsi="Times New Roman" w:eastAsia="宋体" w:cs="Times New Roman"/>
      <w:lang w:val="en-US" w:eastAsia="zh-CN" w:bidi="ar-SA"/>
    </w:rPr>
  </w:style>
  <w:style w:type="paragraph" w:styleId="977" w:customStyle="1">
    <w:name w:val="标题 11"/>
    <w:basedOn w:val="733"/>
    <w:next w:val="733"/>
    <w:link w:val="978"/>
    <w:uiPriority w:val="0"/>
    <w:qFormat/>
    <w:pPr>
      <w:jc w:val="center"/>
      <w:keepLines/>
      <w:keepNext/>
      <w:spacing w:line="578" w:lineRule="auto"/>
      <w:outlineLvl w:val="0"/>
    </w:pPr>
    <w:rPr>
      <w:rFonts w:eastAsia="新宋体"/>
      <w:b/>
      <w:bCs/>
      <w:sz w:val="30"/>
      <w:szCs w:val="44"/>
    </w:rPr>
  </w:style>
  <w:style w:type="character" w:styleId="978" w:customStyle="1">
    <w:name w:val="标题 1 字符"/>
    <w:link w:val="977"/>
    <w:uiPriority w:val="0"/>
    <w:qFormat/>
    <w:rPr>
      <w:rFonts w:eastAsia="新宋体"/>
      <w:b/>
      <w:bCs/>
      <w:sz w:val="30"/>
      <w:szCs w:val="44"/>
    </w:rPr>
  </w:style>
  <w:style w:type="character" w:styleId="979" w:customStyle="1">
    <w:name w:val="标题 2 字符1"/>
    <w:link w:val="732"/>
    <w:uiPriority w:val="0"/>
    <w:qFormat/>
    <w:rPr>
      <w:rFonts w:ascii="Cambria" w:hAnsi="Cambria"/>
      <w:b/>
      <w:bCs/>
      <w:sz w:val="32"/>
      <w:szCs w:val="32"/>
    </w:rPr>
  </w:style>
  <w:style w:type="paragraph" w:styleId="980" w:customStyle="1">
    <w:name w:val="标题 31"/>
    <w:basedOn w:val="733"/>
    <w:next w:val="733"/>
    <w:link w:val="981"/>
    <w:uiPriority w:val="0"/>
    <w:qFormat/>
    <w:pPr>
      <w:keepLines/>
      <w:keepNext/>
      <w:spacing w:before="260" w:after="260" w:line="416" w:lineRule="auto"/>
      <w:outlineLvl w:val="2"/>
    </w:pPr>
    <w:rPr>
      <w:b/>
      <w:bCs/>
      <w:sz w:val="32"/>
      <w:szCs w:val="32"/>
    </w:rPr>
  </w:style>
  <w:style w:type="character" w:styleId="981" w:customStyle="1">
    <w:name w:val="标题 3 字符"/>
    <w:link w:val="980"/>
    <w:uiPriority w:val="0"/>
    <w:semiHidden/>
    <w:qFormat/>
    <w:rPr>
      <w:b/>
      <w:bCs/>
      <w:sz w:val="32"/>
      <w:szCs w:val="32"/>
    </w:rPr>
  </w:style>
  <w:style w:type="character" w:styleId="982" w:customStyle="1">
    <w:name w:val="标题 4 字符1"/>
    <w:link w:val="741"/>
    <w:uiPriority w:val="0"/>
    <w:semiHidden/>
    <w:qFormat/>
    <w:rPr>
      <w:rFonts w:ascii="Cambria" w:hAnsi="Cambria"/>
      <w:b/>
      <w:bCs/>
      <w:sz w:val="28"/>
      <w:szCs w:val="28"/>
    </w:rPr>
  </w:style>
  <w:style w:type="paragraph" w:styleId="983" w:customStyle="1">
    <w:name w:val="标题 51"/>
    <w:basedOn w:val="733"/>
    <w:next w:val="733"/>
    <w:link w:val="984"/>
    <w:uiPriority w:val="0"/>
    <w:qFormat/>
    <w:pPr>
      <w:keepLines/>
      <w:keepNext/>
      <w:spacing w:before="280" w:after="290" w:line="376" w:lineRule="auto"/>
      <w:outlineLvl w:val="4"/>
    </w:pPr>
    <w:rPr>
      <w:b/>
      <w:bCs/>
      <w:sz w:val="28"/>
      <w:szCs w:val="28"/>
    </w:rPr>
  </w:style>
  <w:style w:type="character" w:styleId="984" w:customStyle="1">
    <w:name w:val="标题 5 字符"/>
    <w:link w:val="983"/>
    <w:uiPriority w:val="0"/>
    <w:semiHidden/>
    <w:qFormat/>
    <w:rPr>
      <w:b/>
      <w:bCs/>
      <w:sz w:val="28"/>
      <w:szCs w:val="28"/>
    </w:rPr>
  </w:style>
  <w:style w:type="paragraph" w:styleId="985" w:customStyle="1">
    <w:name w:val="标题 71"/>
    <w:basedOn w:val="733"/>
    <w:next w:val="733"/>
    <w:link w:val="986"/>
    <w:uiPriority w:val="0"/>
    <w:qFormat/>
    <w:pPr>
      <w:keepLines/>
      <w:keepNext/>
      <w:spacing w:before="240" w:after="64" w:line="320" w:lineRule="auto"/>
      <w:outlineLvl w:val="6"/>
    </w:pPr>
    <w:rPr>
      <w:rFonts w:ascii="Calibri" w:hAnsi="Calibri"/>
      <w:b/>
      <w:bCs/>
      <w:sz w:val="24"/>
    </w:rPr>
  </w:style>
  <w:style w:type="character" w:styleId="986" w:customStyle="1">
    <w:name w:val="标题 7 字符"/>
    <w:link w:val="985"/>
    <w:uiPriority w:val="0"/>
    <w:semiHidden/>
    <w:qFormat/>
    <w:rPr>
      <w:rFonts w:ascii="Calibri" w:hAnsi="Calibri"/>
      <w:b/>
      <w:bCs/>
      <w:sz w:val="24"/>
      <w:szCs w:val="24"/>
    </w:rPr>
  </w:style>
  <w:style w:type="character" w:styleId="987" w:customStyle="1">
    <w:name w:val="默认段落字体1"/>
    <w:link w:val="690"/>
    <w:uiPriority w:val="0"/>
    <w:semiHidden/>
    <w:qFormat/>
  </w:style>
  <w:style w:type="table" w:styleId="988" w:customStyle="1">
    <w:name w:val="普通表格1"/>
    <w:uiPriority w:val="0"/>
    <w:semiHidden/>
    <w:qFormat/>
    <w:tblPr/>
  </w:style>
  <w:style w:type="character" w:styleId="989" w:customStyle="1">
    <w:name w:val="超链接1"/>
    <w:link w:val="690"/>
    <w:uiPriority w:val="0"/>
    <w:qFormat/>
    <w:rPr>
      <w:color w:val="0000ff"/>
      <w:u w:val="single"/>
    </w:rPr>
  </w:style>
  <w:style w:type="character" w:styleId="990" w:customStyle="1">
    <w:name w:val="批注引用1"/>
    <w:link w:val="690"/>
    <w:uiPriority w:val="0"/>
    <w:qFormat/>
    <w:rPr>
      <w:sz w:val="21"/>
      <w:szCs w:val="21"/>
    </w:rPr>
  </w:style>
  <w:style w:type="character" w:styleId="991" w:customStyle="1">
    <w:name w:val="强调1"/>
    <w:link w:val="690"/>
    <w:uiPriority w:val="0"/>
    <w:qFormat/>
    <w:rPr>
      <w:i/>
    </w:rPr>
  </w:style>
  <w:style w:type="character" w:styleId="992" w:customStyle="1">
    <w:name w:val="要点1"/>
    <w:link w:val="690"/>
    <w:uiPriority w:val="0"/>
    <w:qFormat/>
    <w:rPr>
      <w:b/>
      <w:bCs/>
    </w:rPr>
  </w:style>
  <w:style w:type="character" w:styleId="993" w:customStyle="1">
    <w:name w:val="页码1"/>
    <w:link w:val="690"/>
    <w:uiPriority w:val="0"/>
    <w:qFormat/>
  </w:style>
  <w:style w:type="character" w:styleId="994" w:customStyle="1">
    <w:name w:val="日期 Char"/>
    <w:link w:val="690"/>
    <w:uiPriority w:val="0"/>
    <w:semiHidden/>
    <w:qFormat/>
  </w:style>
  <w:style w:type="character" w:styleId="995" w:customStyle="1">
    <w:name w:val="标题 4 Char"/>
    <w:link w:val="690"/>
    <w:uiPriority w:val="0"/>
    <w:semiHidden/>
    <w:qFormat/>
    <w:rPr>
      <w:rFonts w:ascii="Cambria" w:hAnsi="Cambria" w:eastAsia="宋体"/>
      <w:b/>
      <w:bCs/>
      <w:sz w:val="28"/>
      <w:szCs w:val="28"/>
    </w:rPr>
  </w:style>
  <w:style w:type="character" w:styleId="996" w:customStyle="1">
    <w:name w:val="批注框文本 字符"/>
    <w:link w:val="997"/>
    <w:uiPriority w:val="0"/>
    <w:qFormat/>
    <w:rPr>
      <w:sz w:val="18"/>
      <w:szCs w:val="18"/>
    </w:rPr>
  </w:style>
  <w:style w:type="paragraph" w:styleId="997" w:customStyle="1">
    <w:name w:val="批注框文本1"/>
    <w:basedOn w:val="733"/>
    <w:link w:val="996"/>
    <w:uiPriority w:val="0"/>
    <w:qFormat/>
    <w:rPr>
      <w:sz w:val="18"/>
      <w:szCs w:val="18"/>
    </w:rPr>
  </w:style>
  <w:style w:type="character" w:styleId="998" w:customStyle="1">
    <w:name w:val="正文文本首行缩进 字符"/>
    <w:link w:val="690"/>
    <w:uiPriority w:val="99"/>
    <w:qFormat/>
  </w:style>
  <w:style w:type="character" w:styleId="999" w:customStyle="1">
    <w:name w:val="批注框文本 Char"/>
    <w:link w:val="690"/>
    <w:uiPriority w:val="0"/>
    <w:semiHidden/>
    <w:qFormat/>
    <w:rPr>
      <w:sz w:val="18"/>
      <w:szCs w:val="18"/>
    </w:rPr>
  </w:style>
  <w:style w:type="character" w:styleId="1000" w:customStyle="1">
    <w:name w:val="标题 1 Char"/>
    <w:link w:val="690"/>
    <w:uiPriority w:val="0"/>
    <w:qFormat/>
    <w:rPr>
      <w:b/>
      <w:bCs/>
      <w:sz w:val="44"/>
      <w:szCs w:val="44"/>
    </w:rPr>
  </w:style>
  <w:style w:type="character" w:styleId="1001" w:customStyle="1">
    <w:name w:val="批注主题 字符"/>
    <w:link w:val="1002"/>
    <w:uiPriority w:val="0"/>
    <w:qFormat/>
    <w:rPr>
      <w:b/>
      <w:bCs/>
      <w:sz w:val="21"/>
      <w:szCs w:val="24"/>
    </w:rPr>
  </w:style>
  <w:style w:type="paragraph" w:styleId="1002" w:customStyle="1">
    <w:name w:val="批注主题1"/>
    <w:basedOn w:val="1003"/>
    <w:next w:val="1003"/>
    <w:link w:val="1001"/>
    <w:uiPriority w:val="0"/>
    <w:qFormat/>
    <w:rPr>
      <w:b/>
      <w:bCs/>
    </w:rPr>
  </w:style>
  <w:style w:type="paragraph" w:styleId="1003" w:customStyle="1">
    <w:name w:val="批注文字1"/>
    <w:basedOn w:val="733"/>
    <w:link w:val="1004"/>
    <w:uiPriority w:val="0"/>
    <w:qFormat/>
    <w:pPr>
      <w:jc w:val="left"/>
    </w:pPr>
  </w:style>
  <w:style w:type="character" w:styleId="1004" w:customStyle="1">
    <w:name w:val="批注文字 字符"/>
    <w:link w:val="1003"/>
    <w:uiPriority w:val="0"/>
    <w:qFormat/>
    <w:rPr>
      <w:sz w:val="21"/>
      <w:szCs w:val="24"/>
    </w:rPr>
  </w:style>
  <w:style w:type="character" w:styleId="1005" w:customStyle="1">
    <w:name w:val="页眉 字符"/>
    <w:link w:val="1006"/>
    <w:uiPriority w:val="0"/>
    <w:qFormat/>
    <w:rPr>
      <w:sz w:val="18"/>
      <w:szCs w:val="18"/>
    </w:rPr>
  </w:style>
  <w:style w:type="paragraph" w:styleId="1006" w:customStyle="1">
    <w:name w:val="页眉1"/>
    <w:basedOn w:val="733"/>
    <w:link w:val="1005"/>
    <w:uiPriority w:val="0"/>
    <w:qFormat/>
    <w:pPr>
      <w:jc w:val="center"/>
      <w:tabs>
        <w:tab w:val="center" w:pos="4153" w:leader="none"/>
        <w:tab w:val="right" w:pos="8306" w:leader="none"/>
      </w:tabs>
      <w:pBdr>
        <w:bottom w:val="single" w:color="000000" w:sz="6" w:space="1"/>
      </w:pBdr>
    </w:pPr>
    <w:rPr>
      <w:sz w:val="18"/>
      <w:szCs w:val="18"/>
    </w:rPr>
  </w:style>
  <w:style w:type="character" w:styleId="1007" w:customStyle="1">
    <w:name w:val="标题 4 字符"/>
    <w:link w:val="690"/>
    <w:uiPriority w:val="0"/>
    <w:semiHidden/>
    <w:qFormat/>
    <w:rPr>
      <w:rFonts w:ascii="等线 Light" w:hAnsi="等线 Light" w:eastAsia="等线 Light"/>
      <w:b/>
      <w:bCs/>
      <w:sz w:val="28"/>
      <w:szCs w:val="28"/>
    </w:rPr>
  </w:style>
  <w:style w:type="character" w:styleId="1008" w:customStyle="1">
    <w:name w:val="纯文本 Char"/>
    <w:link w:val="690"/>
    <w:uiPriority w:val="0"/>
    <w:qFormat/>
    <w:rPr>
      <w:rFonts w:ascii="宋体" w:hAnsi="Courier New" w:eastAsia="宋体"/>
      <w:sz w:val="21"/>
      <w:szCs w:val="21"/>
    </w:rPr>
  </w:style>
  <w:style w:type="character" w:styleId="1009" w:customStyle="1">
    <w:name w:val="apple-converted-space"/>
    <w:link w:val="690"/>
    <w:uiPriority w:val="0"/>
    <w:qFormat/>
  </w:style>
  <w:style w:type="character" w:styleId="1010" w:customStyle="1">
    <w:name w:val="正文缩进 字符"/>
    <w:link w:val="1011"/>
    <w:uiPriority w:val="0"/>
    <w:qFormat/>
    <w:rPr>
      <w:sz w:val="21"/>
      <w:szCs w:val="24"/>
      <w:lang w:bidi="ar-SA"/>
    </w:rPr>
  </w:style>
  <w:style w:type="paragraph" w:styleId="1011" w:customStyle="1">
    <w:name w:val="正文缩进1"/>
    <w:basedOn w:val="733"/>
    <w:link w:val="1010"/>
    <w:uiPriority w:val="0"/>
    <w:qFormat/>
    <w:pPr>
      <w:ind w:firstLine="420"/>
    </w:pPr>
  </w:style>
  <w:style w:type="character" w:styleId="1012" w:customStyle="1">
    <w:name w:val="文档结构图 字符1"/>
    <w:link w:val="1013"/>
    <w:uiPriority w:val="0"/>
    <w:qFormat/>
    <w:rPr>
      <w:rFonts w:ascii="宋体" w:hAnsi="Calibri"/>
      <w:sz w:val="18"/>
      <w:szCs w:val="18"/>
    </w:rPr>
  </w:style>
  <w:style w:type="paragraph" w:styleId="1013" w:customStyle="1">
    <w:name w:val="文档结构图1"/>
    <w:basedOn w:val="733"/>
    <w:link w:val="1012"/>
    <w:uiPriority w:val="0"/>
    <w:qFormat/>
    <w:rPr>
      <w:rFonts w:ascii="宋体" w:hAnsi="Calibri"/>
      <w:sz w:val="18"/>
      <w:szCs w:val="18"/>
    </w:rPr>
  </w:style>
  <w:style w:type="character" w:styleId="1014" w:customStyle="1">
    <w:name w:val="正文文本缩进 字符"/>
    <w:link w:val="738"/>
    <w:uiPriority w:val="0"/>
    <w:qFormat/>
    <w:rPr>
      <w:rFonts w:ascii="Calibri" w:hAnsi="Calibri"/>
      <w:sz w:val="21"/>
      <w:szCs w:val="24"/>
    </w:rPr>
  </w:style>
  <w:style w:type="character" w:styleId="1015" w:customStyle="1">
    <w:name w:val="纯文本 字符"/>
    <w:link w:val="1016"/>
    <w:uiPriority w:val="0"/>
    <w:qFormat/>
    <w:rPr>
      <w:rFonts w:ascii="宋体" w:hAnsi="Courier New"/>
      <w:sz w:val="21"/>
    </w:rPr>
  </w:style>
  <w:style w:type="paragraph" w:styleId="1016" w:customStyle="1">
    <w:name w:val="纯文本1"/>
    <w:basedOn w:val="733"/>
    <w:link w:val="1015"/>
    <w:uiPriority w:val="0"/>
    <w:qFormat/>
    <w:rPr>
      <w:rFonts w:ascii="宋体" w:hAnsi="Courier New"/>
      <w:sz w:val="20"/>
      <w:szCs w:val="20"/>
    </w:rPr>
  </w:style>
  <w:style w:type="character" w:styleId="1017" w:customStyle="1">
    <w:name w:val="日期 字符"/>
    <w:link w:val="1018"/>
    <w:uiPriority w:val="0"/>
    <w:qFormat/>
    <w:rPr>
      <w:rFonts w:eastAsia="仿宋_GB2312"/>
      <w:sz w:val="28"/>
    </w:rPr>
  </w:style>
  <w:style w:type="paragraph" w:styleId="1018" w:customStyle="1">
    <w:name w:val="日期1"/>
    <w:basedOn w:val="733"/>
    <w:next w:val="733"/>
    <w:link w:val="1017"/>
    <w:uiPriority w:val="0"/>
    <w:qFormat/>
    <w:rPr>
      <w:rFonts w:eastAsia="仿宋_GB2312"/>
      <w:sz w:val="28"/>
      <w:szCs w:val="20"/>
    </w:rPr>
  </w:style>
  <w:style w:type="character" w:styleId="1019" w:customStyle="1">
    <w:name w:val="正文文本缩进 2 字符"/>
    <w:link w:val="1020"/>
    <w:uiPriority w:val="0"/>
    <w:qFormat/>
    <w:rPr>
      <w:rFonts w:ascii="仿宋_GB2312" w:eastAsia="仿宋_GB2312"/>
      <w:sz w:val="24"/>
      <w:szCs w:val="24"/>
      <w:lang w:bidi="ar-SA"/>
    </w:rPr>
  </w:style>
  <w:style w:type="paragraph" w:styleId="1020" w:customStyle="1">
    <w:name w:val="正文文本缩进 21"/>
    <w:basedOn w:val="733"/>
    <w:link w:val="1019"/>
    <w:uiPriority w:val="0"/>
    <w:qFormat/>
    <w:pPr>
      <w:ind w:firstLine="475"/>
      <w:spacing w:line="10" w:lineRule="atLeast"/>
    </w:pPr>
    <w:rPr>
      <w:rFonts w:ascii="仿宋_GB2312" w:eastAsia="仿宋_GB2312"/>
      <w:sz w:val="24"/>
    </w:rPr>
  </w:style>
  <w:style w:type="character" w:styleId="1021" w:customStyle="1">
    <w:name w:val="页脚 字符"/>
    <w:link w:val="1022"/>
    <w:uiPriority w:val="0"/>
    <w:qFormat/>
    <w:rPr>
      <w:sz w:val="18"/>
      <w:szCs w:val="18"/>
    </w:rPr>
  </w:style>
  <w:style w:type="paragraph" w:styleId="1022" w:customStyle="1">
    <w:name w:val="页脚1"/>
    <w:basedOn w:val="733"/>
    <w:link w:val="1021"/>
    <w:uiPriority w:val="0"/>
    <w:qFormat/>
    <w:pPr>
      <w:jc w:val="left"/>
      <w:tabs>
        <w:tab w:val="center" w:pos="4153" w:leader="none"/>
        <w:tab w:val="right" w:pos="8306" w:leader="none"/>
      </w:tabs>
    </w:pPr>
    <w:rPr>
      <w:sz w:val="18"/>
      <w:szCs w:val="18"/>
    </w:rPr>
  </w:style>
  <w:style w:type="character" w:styleId="1023" w:customStyle="1">
    <w:name w:val="正文首行缩进 字符"/>
    <w:link w:val="1024"/>
    <w:uiPriority w:val="0"/>
    <w:qFormat/>
    <w:rPr>
      <w:rFonts w:ascii="仿宋_GB2312" w:hAnsi="Times New Roman" w:eastAsia="仿宋_GB2312"/>
      <w:sz w:val="30"/>
      <w:szCs w:val="30"/>
    </w:rPr>
  </w:style>
  <w:style w:type="paragraph" w:styleId="1024" w:customStyle="1">
    <w:name w:val="正文首行缩进1"/>
    <w:basedOn w:val="824"/>
    <w:link w:val="1023"/>
    <w:uiPriority w:val="0"/>
    <w:qFormat/>
    <w:pPr>
      <w:ind w:firstLine="420"/>
    </w:pPr>
    <w:rPr>
      <w:rFonts w:ascii="仿宋_GB2312" w:hAnsi="Times New Roman" w:eastAsia="仿宋_GB2312"/>
      <w:sz w:val="30"/>
      <w:szCs w:val="30"/>
    </w:rPr>
  </w:style>
  <w:style w:type="character" w:styleId="1025" w:customStyle="1">
    <w:name w:val="正文首行缩进 2 字符1"/>
    <w:link w:val="1026"/>
    <w:uiPriority w:val="0"/>
    <w:qFormat/>
  </w:style>
  <w:style w:type="paragraph" w:styleId="1026" w:customStyle="1">
    <w:name w:val="正文首行缩进 21"/>
    <w:basedOn w:val="738"/>
    <w:link w:val="1025"/>
    <w:uiPriority w:val="0"/>
    <w:qFormat/>
    <w:pPr>
      <w:ind w:firstLine="420"/>
    </w:pPr>
    <w:rPr>
      <w:rFonts w:ascii="Times New Roman" w:hAnsi="Times New Roman"/>
    </w:rPr>
  </w:style>
  <w:style w:type="character" w:styleId="1027" w:customStyle="1">
    <w:name w:val="标题 2 字符"/>
    <w:link w:val="690"/>
    <w:uiPriority w:val="0"/>
    <w:semiHidden/>
    <w:qFormat/>
    <w:rPr>
      <w:rFonts w:ascii="等线 Light" w:hAnsi="等线 Light" w:eastAsia="等线 Light"/>
      <w:b/>
      <w:bCs/>
      <w:sz w:val="32"/>
      <w:szCs w:val="32"/>
    </w:rPr>
  </w:style>
  <w:style w:type="character" w:styleId="1028" w:customStyle="1">
    <w:name w:val="批注文字 Char"/>
    <w:link w:val="690"/>
    <w:uiPriority w:val="0"/>
    <w:qFormat/>
    <w:rPr>
      <w:rFonts w:ascii="Times New Roman" w:hAnsi="Times New Roman"/>
      <w:sz w:val="21"/>
    </w:rPr>
  </w:style>
  <w:style w:type="character" w:styleId="1029" w:customStyle="1">
    <w:name w:val="正文首行缩进 2 字符"/>
    <w:link w:val="1030"/>
    <w:uiPriority w:val="0"/>
    <w:qFormat/>
    <w:rPr>
      <w:sz w:val="21"/>
      <w:szCs w:val="24"/>
    </w:rPr>
  </w:style>
  <w:style w:type="paragraph" w:styleId="1030" w:customStyle="1">
    <w:name w:val="_Style 63"/>
    <w:basedOn w:val="738"/>
    <w:next w:val="733"/>
    <w:link w:val="1029"/>
    <w:uiPriority w:val="0"/>
    <w:qFormat/>
    <w:pPr>
      <w:ind w:firstLine="420"/>
    </w:pPr>
    <w:rPr>
      <w:rFonts w:ascii="Times New Roman" w:hAnsi="Times New Roman"/>
    </w:rPr>
  </w:style>
  <w:style w:type="character" w:styleId="1031" w:customStyle="1">
    <w:name w:val="标书正文 Char1"/>
    <w:link w:val="1032"/>
    <w:uiPriority w:val="0"/>
    <w:qFormat/>
    <w:rPr>
      <w:color w:val="000000"/>
      <w:sz w:val="22"/>
      <w:szCs w:val="28"/>
      <w:lang w:eastAsia="en-US"/>
    </w:rPr>
  </w:style>
  <w:style w:type="paragraph" w:styleId="1032" w:customStyle="1">
    <w:name w:val="标书正文"/>
    <w:basedOn w:val="733"/>
    <w:link w:val="1031"/>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33" w:customStyle="1">
    <w:name w:val="font01"/>
    <w:link w:val="690"/>
    <w:uiPriority w:val="0"/>
    <w:qFormat/>
    <w:rPr>
      <w:rFonts w:ascii="仿宋" w:hAnsi="仿宋" w:eastAsia="仿宋"/>
      <w:color w:val="000000"/>
      <w:sz w:val="20"/>
      <w:szCs w:val="20"/>
      <w:u w:val="none"/>
    </w:rPr>
  </w:style>
  <w:style w:type="character" w:styleId="1034" w:customStyle="1">
    <w:name w:val="标题 3 Char"/>
    <w:link w:val="690"/>
    <w:uiPriority w:val="0"/>
    <w:qFormat/>
    <w:rPr>
      <w:rFonts w:ascii="Arial" w:hAnsi="Arial" w:eastAsia="宋体"/>
      <w:b/>
      <w:sz w:val="32"/>
      <w:szCs w:val="20"/>
    </w:rPr>
  </w:style>
  <w:style w:type="character" w:styleId="1035" w:customStyle="1">
    <w:name w:val="批注主题 Char"/>
    <w:link w:val="690"/>
    <w:uiPriority w:val="0"/>
    <w:semiHidden/>
    <w:qFormat/>
    <w:rPr>
      <w:rFonts w:ascii="Times New Roman" w:hAnsi="Times New Roman"/>
      <w:b/>
      <w:bCs/>
      <w:sz w:val="21"/>
    </w:rPr>
  </w:style>
  <w:style w:type="character" w:styleId="1036" w:customStyle="1">
    <w:name w:val="font41"/>
    <w:link w:val="690"/>
    <w:uiPriority w:val="0"/>
    <w:qFormat/>
    <w:rPr>
      <w:rFonts w:ascii="Symbol" w:hAnsi="Symbol"/>
      <w:color w:val="000000"/>
      <w:sz w:val="20"/>
      <w:szCs w:val="20"/>
      <w:u w:val="none"/>
    </w:rPr>
  </w:style>
  <w:style w:type="character" w:styleId="1037" w:customStyle="1">
    <w:name w:val="文档结构图 Char"/>
    <w:link w:val="690"/>
    <w:uiPriority w:val="0"/>
    <w:semiHidden/>
    <w:qFormat/>
    <w:rPr>
      <w:rFonts w:ascii="宋体"/>
      <w:sz w:val="18"/>
      <w:szCs w:val="18"/>
    </w:rPr>
  </w:style>
  <w:style w:type="character" w:styleId="1038" w:customStyle="1">
    <w:name w:val="文档结构图 字符"/>
    <w:link w:val="690"/>
    <w:uiPriority w:val="0"/>
    <w:qFormat/>
    <w:rPr>
      <w:rFonts w:ascii="Microsoft YaHei UI" w:eastAsia="Microsoft YaHei UI"/>
      <w:sz w:val="18"/>
      <w:szCs w:val="18"/>
    </w:rPr>
  </w:style>
  <w:style w:type="character" w:styleId="1039" w:customStyle="1">
    <w:name w:val="正文文本 Char"/>
    <w:link w:val="690"/>
    <w:uiPriority w:val="0"/>
    <w:qFormat/>
    <w:rPr>
      <w:sz w:val="21"/>
      <w:szCs w:val="24"/>
    </w:rPr>
  </w:style>
  <w:style w:type="character" w:styleId="1040" w:customStyle="1">
    <w:name w:val="标题 2 Char"/>
    <w:link w:val="690"/>
    <w:uiPriority w:val="0"/>
    <w:qFormat/>
    <w:rPr>
      <w:rFonts w:ascii="Cambria" w:hAnsi="Cambria" w:eastAsia="宋体"/>
      <w:b/>
      <w:bCs/>
      <w:sz w:val="32"/>
      <w:szCs w:val="32"/>
    </w:rPr>
  </w:style>
  <w:style w:type="character" w:styleId="1041" w:customStyle="1">
    <w:name w:val="纯文本 Char1"/>
    <w:link w:val="690"/>
    <w:uiPriority w:val="0"/>
    <w:qFormat/>
    <w:rPr>
      <w:rFonts w:ascii="宋体" w:hAnsi="Courier New" w:eastAsia="宋体"/>
      <w:sz w:val="20"/>
      <w:szCs w:val="20"/>
    </w:rPr>
  </w:style>
  <w:style w:type="character" w:styleId="1042" w:customStyle="1">
    <w:name w:val="页脚 Char"/>
    <w:link w:val="690"/>
    <w:uiPriority w:val="0"/>
    <w:qFormat/>
    <w:rPr>
      <w:sz w:val="18"/>
      <w:szCs w:val="18"/>
    </w:rPr>
  </w:style>
  <w:style w:type="character" w:styleId="1043" w:customStyle="1">
    <w:name w:val="NormalCharacter1"/>
    <w:link w:val="690"/>
    <w:uiPriority w:val="0"/>
    <w:semiHidden/>
    <w:qFormat/>
    <w:rPr>
      <w:sz w:val="28"/>
      <w:lang w:val="en-US" w:eastAsia="zh-CN" w:bidi="ar-SA"/>
    </w:rPr>
  </w:style>
  <w:style w:type="paragraph" w:styleId="1044" w:customStyle="1">
    <w:name w:val="普通(网站)1"/>
    <w:basedOn w:val="733"/>
    <w:uiPriority w:val="0"/>
    <w:qFormat/>
    <w:pPr>
      <w:jc w:val="left"/>
      <w:spacing w:before="100" w:beforeAutospacing="1" w:after="100" w:afterAutospacing="1"/>
      <w:widowControl/>
    </w:pPr>
    <w:rPr>
      <w:rFonts w:ascii="宋体" w:hAnsi="宋体"/>
      <w:sz w:val="24"/>
    </w:rPr>
  </w:style>
  <w:style w:type="paragraph" w:styleId="1045" w:customStyle="1">
    <w:name w:val="索引 41"/>
    <w:basedOn w:val="733"/>
    <w:next w:val="733"/>
    <w:uiPriority w:val="0"/>
    <w:qFormat/>
    <w:pPr>
      <w:ind w:left="600"/>
    </w:pPr>
    <w:rPr>
      <w:rFonts w:ascii="Calibri" w:hAnsi="Calibri"/>
      <w:sz w:val="22"/>
      <w:szCs w:val="22"/>
    </w:rPr>
  </w:style>
  <w:style w:type="paragraph" w:styleId="1046" w:customStyle="1">
    <w:name w:val="_Style 48"/>
    <w:basedOn w:val="733"/>
    <w:next w:val="1047"/>
    <w:uiPriority w:val="0"/>
    <w:qFormat/>
    <w:pPr>
      <w:ind w:firstLine="420"/>
    </w:pPr>
    <w:rPr>
      <w:rFonts w:eastAsia="微软雅黑"/>
      <w:sz w:val="24"/>
    </w:rPr>
  </w:style>
  <w:style w:type="paragraph" w:styleId="1047" w:customStyle="1">
    <w:name w:val="列出段落1"/>
    <w:basedOn w:val="733"/>
    <w:uiPriority w:val="0"/>
    <w:qFormat/>
    <w:pPr>
      <w:ind w:firstLine="420"/>
    </w:pPr>
  </w:style>
  <w:style w:type="paragraph" w:styleId="104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49" w:customStyle="1">
    <w:name w:val="_Style 100"/>
    <w:basedOn w:val="733"/>
    <w:next w:val="733"/>
    <w:uiPriority w:val="0"/>
    <w:qFormat/>
    <w:pPr>
      <w:ind w:left="420"/>
    </w:pPr>
    <w:rPr>
      <w:rFonts w:ascii="Calibri" w:hAnsi="Calibri"/>
      <w:sz w:val="22"/>
      <w:szCs w:val="22"/>
    </w:rPr>
  </w:style>
  <w:style w:type="paragraph" w:styleId="1050" w:customStyle="1">
    <w:name w:val="p0"/>
    <w:basedOn w:val="733"/>
    <w:uiPriority w:val="0"/>
    <w:qFormat/>
    <w:pPr>
      <w:widowControl/>
    </w:pPr>
    <w:rPr>
      <w:szCs w:val="21"/>
    </w:rPr>
  </w:style>
  <w:style w:type="paragraph" w:styleId="1051" w:customStyle="1">
    <w:name w:val="一级条标题"/>
    <w:basedOn w:val="1052"/>
    <w:next w:val="105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2" w:customStyle="1">
    <w:name w:val="章标题"/>
    <w:next w:val="73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53" w:customStyle="1">
    <w:name w:val="段"/>
    <w:basedOn w:val="733"/>
    <w:next w:val="733"/>
    <w:uiPriority w:val="0"/>
    <w:qFormat/>
    <w:pPr>
      <w:ind w:firstLine="200"/>
      <w:widowControl/>
    </w:pPr>
    <w:rPr>
      <w:rFonts w:ascii="宋体"/>
      <w:sz w:val="20"/>
      <w:szCs w:val="20"/>
    </w:rPr>
  </w:style>
  <w:style w:type="paragraph" w:styleId="1054" w:customStyle="1">
    <w:name w:val="TOC 标题2"/>
    <w:basedOn w:val="977"/>
    <w:next w:val="733"/>
    <w:uiPriority w:val="0"/>
    <w:qFormat/>
    <w:pPr>
      <w:jc w:val="left"/>
      <w:spacing w:before="480" w:line="276" w:lineRule="auto"/>
      <w:widowControl/>
      <w:outlineLvl w:val="9"/>
    </w:pPr>
    <w:rPr>
      <w:rFonts w:ascii="Cambria" w:hAnsi="Cambria" w:eastAsia="宋体"/>
      <w:color w:val="365f91"/>
      <w:sz w:val="28"/>
      <w:szCs w:val="28"/>
    </w:rPr>
  </w:style>
  <w:style w:type="paragraph" w:styleId="1055" w:customStyle="1">
    <w:name w:val="修订1"/>
    <w:uiPriority w:val="0"/>
    <w:qFormat/>
    <w:rPr>
      <w:rFonts w:hint="default" w:ascii="Times New Roman" w:hAnsi="Times New Roman" w:eastAsia="宋体" w:cs="Times New Roman"/>
      <w:sz w:val="21"/>
      <w:szCs w:val="24"/>
      <w:lang w:val="en-US" w:eastAsia="zh-CN" w:bidi="ar-SA"/>
    </w:rPr>
  </w:style>
  <w:style w:type="paragraph" w:styleId="1056" w:customStyle="1">
    <w:name w:val="UserStyle_1"/>
    <w:basedOn w:val="733"/>
    <w:uiPriority w:val="0"/>
    <w:qFormat/>
    <w:pPr>
      <w:ind w:left="-6" w:hanging="99"/>
      <w:jc w:val="left"/>
    </w:pPr>
    <w:rPr>
      <w:rFonts w:ascii="宋体"/>
      <w:b/>
    </w:rPr>
  </w:style>
  <w:style w:type="paragraph" w:styleId="1057" w:customStyle="1">
    <w:name w:val="首行缩进"/>
    <w:basedOn w:val="733"/>
    <w:uiPriority w:val="0"/>
    <w:qFormat/>
    <w:pPr>
      <w:ind w:firstLine="480"/>
    </w:pPr>
    <w:rPr>
      <w:sz w:val="20"/>
      <w:szCs w:val="20"/>
      <w:lang w:val="zh-CN"/>
    </w:rPr>
  </w:style>
  <w:style w:type="paragraph" w:styleId="1058" w:customStyle="1">
    <w:name w:val="Other|1"/>
    <w:basedOn w:val="733"/>
    <w:uiPriority w:val="0"/>
    <w:qFormat/>
    <w:pPr>
      <w:ind w:firstLine="400"/>
      <w:spacing w:line="418" w:lineRule="auto"/>
    </w:pPr>
    <w:rPr>
      <w:rFonts w:ascii="宋体" w:hAnsi="宋体"/>
      <w:sz w:val="30"/>
      <w:szCs w:val="30"/>
      <w:lang w:val="zh-TW" w:eastAsia="zh-TW" w:bidi="zh-TW"/>
    </w:rPr>
  </w:style>
  <w:style w:type="paragraph" w:styleId="1059" w:customStyle="1">
    <w:name w:val="投标文件正文"/>
    <w:basedOn w:val="733"/>
    <w:uiPriority w:val="0"/>
    <w:qFormat/>
    <w:pPr>
      <w:ind w:firstLine="200"/>
      <w:spacing w:before="40" w:after="40" w:line="400" w:lineRule="exact"/>
    </w:pPr>
    <w:rPr>
      <w:sz w:val="24"/>
    </w:rPr>
  </w:style>
  <w:style w:type="paragraph" w:styleId="1060" w:customStyle="1">
    <w:name w:val="179"/>
    <w:basedOn w:val="733"/>
    <w:uiPriority w:val="0"/>
    <w:qFormat/>
    <w:pPr>
      <w:ind w:firstLine="420"/>
      <w:jc w:val="left"/>
      <w:widowControl/>
    </w:pPr>
    <w:rPr>
      <w:rFonts w:ascii="宋体" w:hAnsi="宋体"/>
      <w:sz w:val="24"/>
    </w:rPr>
  </w:style>
  <w:style w:type="paragraph" w:styleId="1061"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62" w:customStyle="1">
    <w:name w:val="列出段落11"/>
    <w:basedOn w:val="733"/>
    <w:uiPriority w:val="0"/>
    <w:qFormat/>
    <w:pPr>
      <w:ind w:firstLine="420"/>
    </w:pPr>
    <w:rPr>
      <w:rFonts w:ascii="Calibri" w:hAnsi="Calibri"/>
    </w:rPr>
  </w:style>
  <w:style w:type="paragraph" w:styleId="1063" w:customStyle="1">
    <w:name w:val="_Style 15"/>
    <w:basedOn w:val="733"/>
    <w:next w:val="1047"/>
    <w:uiPriority w:val="0"/>
    <w:qFormat/>
    <w:pPr>
      <w:ind w:firstLine="420"/>
    </w:pPr>
    <w:rPr>
      <w:rFonts w:ascii="Calibri" w:hAnsi="Calibri"/>
      <w:sz w:val="22"/>
      <w:szCs w:val="22"/>
    </w:rPr>
  </w:style>
  <w:style w:type="paragraph" w:styleId="1064" w:customStyle="1">
    <w:name w:val="one-p"/>
    <w:basedOn w:val="733"/>
    <w:uiPriority w:val="0"/>
    <w:qFormat/>
    <w:pPr>
      <w:jc w:val="left"/>
      <w:spacing w:before="100" w:beforeAutospacing="1" w:after="100" w:afterAutospacing="1"/>
      <w:widowControl/>
    </w:pPr>
    <w:rPr>
      <w:rFonts w:ascii="宋体" w:hAnsi="宋体"/>
      <w:sz w:val="24"/>
    </w:rPr>
  </w:style>
  <w:style w:type="paragraph" w:styleId="1065" w:customStyle="1">
    <w:name w:val="BodyTextIndent1"/>
    <w:basedOn w:val="733"/>
    <w:uiPriority w:val="0"/>
    <w:qFormat/>
    <w:pPr>
      <w:ind w:left="420"/>
      <w:spacing w:after="120"/>
    </w:pPr>
    <w:rPr>
      <w:sz w:val="28"/>
      <w:szCs w:val="20"/>
    </w:rPr>
  </w:style>
  <w:style w:type="paragraph" w:styleId="106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67" w:customStyle="1">
    <w:name w:val="网格型11"/>
    <w:basedOn w:val="988"/>
    <w:uiPriority w:val="0"/>
    <w:qFormat/>
    <w:pPr>
      <w:jc w:val="both"/>
      <w:widowControl w:val="off"/>
    </w:pPr>
    <w:tblPr/>
  </w:style>
  <w:style w:type="table" w:styleId="1068" w:customStyle="1">
    <w:name w:val="网格型1"/>
    <w:basedOn w:val="988"/>
    <w:uiPriority w:val="0"/>
    <w:qFormat/>
    <w:pPr>
      <w:jc w:val="both"/>
      <w:widowControl w:val="off"/>
    </w:pPr>
    <w:tblPr/>
  </w:style>
  <w:style w:type="paragraph" w:styleId="1069" w:customStyle="1">
    <w:name w:val="B1"/>
    <w:basedOn w:val="690"/>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070" w:customStyle="1">
    <w:name w:val="B2"/>
    <w:basedOn w:val="690"/>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71" w:customStyle="1">
    <w:name w:val="B3"/>
    <w:basedOn w:val="1070"/>
    <w:uiPriority w:val="0"/>
    <w:qFormat/>
    <w:pPr>
      <w:numPr>
        <w:ilvl w:val="2"/>
      </w:numPr>
      <w:ind w:left="1416" w:hanging="1416"/>
      <w:outlineLvl w:val="2"/>
    </w:pPr>
    <w:rPr>
      <w:b w:val="0"/>
    </w:rPr>
  </w:style>
  <w:style w:type="paragraph" w:styleId="1072" w:customStyle="1">
    <w:name w:val="正文2"/>
    <w:basedOn w:val="794"/>
    <w:uiPriority w:val="0"/>
    <w:qFormat/>
    <w:pPr>
      <w:ind w:firstLine="200"/>
      <w:spacing w:beforeAutospacing="0" w:afterAutospacing="0" w:line="360" w:lineRule="auto"/>
    </w:pPr>
    <w:rPr>
      <w:color w:val="393939"/>
      <w:shd w:val="clear" w:color="auto" w:fill="ffffff"/>
    </w:rPr>
  </w:style>
  <w:style w:type="paragraph" w:styleId="1073" w:customStyle="1">
    <w:name w:val="Plain Text1"/>
    <w:basedOn w:val="690"/>
    <w:uiPriority w:val="0"/>
    <w:qFormat/>
    <w:rPr>
      <w:rFonts w:ascii="宋体" w:hAnsi="宋体" w:eastAsia="楷体_GB2312"/>
      <w:sz w:val="26"/>
    </w:rPr>
  </w:style>
  <w:style w:type="character" w:styleId="1074" w:customStyle="1">
    <w:name w:val="fontstyle01"/>
    <w:link w:val="690"/>
    <w:uiPriority w:val="0"/>
    <w:qFormat/>
    <w:rPr>
      <w:rFonts w:ascii="HYa4gj" w:hAnsi="HYa4gj"/>
      <w:color w:val="000000"/>
      <w:sz w:val="26"/>
      <w:szCs w:val="26"/>
    </w:rPr>
  </w:style>
  <w:style w:type="paragraph" w:styleId="1075"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076" w:customStyle="1">
    <w:name w:val="Table Normal"/>
    <w:uiPriority w:val="2"/>
    <w:semiHidden/>
    <w:unhideWhenUsed/>
    <w:qFormat/>
    <w:tblPr>
      <w:tblCellMar>
        <w:left w:w="0" w:type="dxa"/>
        <w:top w:w="0" w:type="dxa"/>
        <w:right w:w="0" w:type="dxa"/>
        <w:bottom w:w="0" w:type="dxa"/>
      </w:tblCellMar>
    </w:tblPr>
  </w:style>
  <w:style w:type="paragraph" w:styleId="1077" w:customStyle="1">
    <w:name w:val="Normal_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78" w:customStyle="1">
    <w:name w:val="正文表格内"/>
    <w:basedOn w:val="690"/>
    <w:uiPriority w:val="0"/>
    <w:qFormat/>
    <w:pPr>
      <w:jc w:val="center"/>
    </w:pPr>
    <w:rPr>
      <w:rFonts w:ascii="微软雅黑 Light" w:hAnsi="微软雅黑 Light" w:eastAsia="微软雅黑 Light" w:cs="Times New Roman"/>
      <w:sz w:val="24"/>
      <w:lang w:val="zh-CN"/>
    </w:rPr>
  </w:style>
  <w:style w:type="paragraph" w:styleId="1079" w:customStyle="1">
    <w:name w:val="正文1111"/>
    <w:next w:val="10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0" w:customStyle="1">
    <w:name w:val="文本块2"/>
    <w:basedOn w:val="1079"/>
    <w:uiPriority w:val="0"/>
    <w:qFormat/>
    <w:pPr>
      <w:ind w:left="420" w:right="33"/>
      <w:jc w:val="left"/>
    </w:pPr>
    <w:rPr>
      <w:sz w:val="24"/>
      <w:szCs w:val="20"/>
    </w:rPr>
  </w:style>
  <w:style w:type="paragraph" w:styleId="1081" w:customStyle="1">
    <w:name w:val="正文文本111"/>
    <w:basedOn w:val="742"/>
    <w:next w:val="742"/>
    <w:uiPriority w:val="0"/>
    <w:qFormat/>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3404695"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3404696"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3404697"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3404698"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3404699"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3404700"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3404701" TargetMode="External"/><Relationship Id="rId20" Type="http://schemas.openxmlformats.org/officeDocument/2006/relationships/hyperlink" Target="http://www.caigou2003.com/" TargetMode="External"/><Relationship Id="rId21" Type="http://schemas.openxmlformats.org/officeDocument/2006/relationships/hyperlink" Target="http://lilun.caigou2003.com/recijiedu/2365668.html" TargetMode="External"/><Relationship Id="rId22" Type="http://schemas.openxmlformats.org/officeDocument/2006/relationships/hyperlink" Target="http://lilun.caigou2003.com/recijiedu/2365667.html" TargetMode="External"/><Relationship Id="rId23" Type="http://schemas.openxmlformats.org/officeDocument/2006/relationships/hyperlink" Target="http://jszfcg.jsczt.cn/" TargetMode="External"/><Relationship Id="rId24" Type="http://schemas.openxmlformats.org/officeDocument/2006/relationships/hyperlink" Target="http://www.creditchina.gov.cn/" TargetMode="External"/><Relationship Id="rId25" Type="http://schemas.openxmlformats.org/officeDocument/2006/relationships/hyperlink" Target="http://www.ccgp.gov.cn/" TargetMode="External"/><Relationship Id="rId26" Type="http://schemas.openxmlformats.org/officeDocument/2006/relationships/hyperlink" Target="http://www.xuzhoucredit.gov.cn/" TargetMode="External"/><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冯旭</cp:lastModifiedBy>
  <cp:revision>20</cp:revision>
  <dcterms:created xsi:type="dcterms:W3CDTF">2022-07-14T10:59:00Z</dcterms:created>
  <dcterms:modified xsi:type="dcterms:W3CDTF">2026-09-28T05:58:37Z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94D6839000504766804A41890774D65A_13</vt:lpwstr>
  </property>
  <property fmtid="{D5CDD505-2E9C-101B-9397-08002B2CF9AE}" pid="4" name="KSOTemplateDocerSaveRecord">
    <vt:lpwstr>eyJoZGlkIjoiOTBkOTkzMDM0ZDVhZjg4OWRkNDNjMTU1MjFjNWQ5OGQiLCJ1c2VySWQiOiIyNDYwMzIyNTkifQ==</vt:lpwstr>
  </property>
</Properties>
</file>