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B3DB31">
      <w:pPr>
        <w:rPr>
          <w:rFonts w:ascii="宋体" w:hAnsi="宋体"/>
          <w:color w:val="000000"/>
          <w:sz w:val="20"/>
          <w:szCs w:val="22"/>
          <w:highlight w:val="none"/>
        </w:rPr>
      </w:pPr>
    </w:p>
    <w:p w14:paraId="42438F63">
      <w:pPr>
        <w:rPr>
          <w:rFonts w:ascii="宋体" w:hAnsi="宋体"/>
          <w:color w:val="000000"/>
          <w:highlight w:val="none"/>
        </w:rPr>
      </w:pPr>
    </w:p>
    <w:p w14:paraId="0E079E9D">
      <w:pPr>
        <w:pStyle w:val="247"/>
        <w:rPr>
          <w:rFonts w:ascii="宋体" w:hAnsi="宋体" w:eastAsia="宋体"/>
          <w:color w:val="000000"/>
          <w:highlight w:val="none"/>
        </w:rPr>
      </w:pPr>
    </w:p>
    <w:p w14:paraId="06BBD33C">
      <w:pPr>
        <w:rPr>
          <w:rFonts w:ascii="宋体" w:hAnsi="宋体"/>
          <w:color w:val="000000"/>
          <w:highlight w:val="none"/>
        </w:rPr>
      </w:pPr>
    </w:p>
    <w:p w14:paraId="1EBE98A7">
      <w:pPr>
        <w:rPr>
          <w:rFonts w:ascii="宋体" w:hAnsi="宋体"/>
          <w:color w:val="000000"/>
          <w:highlight w:val="none"/>
        </w:rPr>
      </w:pPr>
    </w:p>
    <w:p w14:paraId="4BE141ED">
      <w:pPr>
        <w:jc w:val="center"/>
        <w:rPr>
          <w:rFonts w:ascii="宋体" w:hAnsi="宋体"/>
          <w:b/>
          <w:color w:val="000000"/>
          <w:sz w:val="56"/>
          <w:szCs w:val="56"/>
          <w:highlight w:val="none"/>
        </w:rPr>
      </w:pPr>
      <w:bookmarkStart w:id="0" w:name="_Toc537065439"/>
      <w:r>
        <w:rPr>
          <w:rFonts w:hint="eastAsia" w:ascii="宋体" w:hAnsi="宋体"/>
          <w:b/>
          <w:color w:val="000000"/>
          <w:sz w:val="56"/>
          <w:szCs w:val="56"/>
          <w:highlight w:val="none"/>
        </w:rPr>
        <w:t>竞 争 性 磋 商 文 件</w:t>
      </w:r>
      <w:bookmarkEnd w:id="0"/>
    </w:p>
    <w:p w14:paraId="6DF58D93">
      <w:pPr>
        <w:rPr>
          <w:rFonts w:ascii="宋体" w:hAnsi="宋体"/>
          <w:color w:val="000000"/>
          <w:highlight w:val="none"/>
        </w:rPr>
      </w:pPr>
    </w:p>
    <w:p w14:paraId="5B663F2E">
      <w:pPr>
        <w:spacing w:line="360" w:lineRule="auto"/>
        <w:jc w:val="center"/>
        <w:rPr>
          <w:rFonts w:ascii="宋体" w:hAnsi="宋体" w:cs="宋体"/>
          <w:sz w:val="44"/>
          <w:szCs w:val="44"/>
          <w:highlight w:val="none"/>
        </w:rPr>
      </w:pPr>
      <w:r>
        <w:rPr>
          <w:rFonts w:hint="eastAsia" w:ascii="宋体" w:hAnsi="宋体" w:cs="宋体"/>
          <w:sz w:val="44"/>
          <w:szCs w:val="44"/>
          <w:highlight w:val="none"/>
        </w:rPr>
        <w:t>（电子招投标）</w:t>
      </w:r>
    </w:p>
    <w:p w14:paraId="5121853C">
      <w:pPr>
        <w:rPr>
          <w:rFonts w:ascii="宋体" w:hAnsi="宋体"/>
          <w:color w:val="000000"/>
          <w:highlight w:val="none"/>
        </w:rPr>
      </w:pPr>
    </w:p>
    <w:p w14:paraId="1228758A">
      <w:pPr>
        <w:rPr>
          <w:rFonts w:ascii="宋体" w:hAnsi="宋体"/>
          <w:color w:val="000000"/>
          <w:highlight w:val="none"/>
        </w:rPr>
      </w:pPr>
    </w:p>
    <w:p w14:paraId="0598B3EA">
      <w:pPr>
        <w:rPr>
          <w:rFonts w:ascii="宋体" w:hAnsi="宋体"/>
          <w:color w:val="000000"/>
          <w:highlight w:val="none"/>
        </w:rPr>
      </w:pPr>
    </w:p>
    <w:p w14:paraId="748BF613">
      <w:pPr>
        <w:pStyle w:val="247"/>
        <w:rPr>
          <w:rFonts w:ascii="宋体" w:hAnsi="宋体" w:eastAsia="宋体"/>
          <w:color w:val="000000"/>
          <w:highlight w:val="none"/>
        </w:rPr>
      </w:pPr>
    </w:p>
    <w:p w14:paraId="6C9BE986">
      <w:pPr>
        <w:pStyle w:val="247"/>
        <w:rPr>
          <w:rFonts w:ascii="宋体" w:hAnsi="宋体" w:eastAsia="宋体"/>
          <w:color w:val="000000"/>
          <w:highlight w:val="none"/>
        </w:rPr>
      </w:pPr>
    </w:p>
    <w:p w14:paraId="4F1717C7">
      <w:pPr>
        <w:spacing w:line="480" w:lineRule="auto"/>
        <w:jc w:val="center"/>
        <w:rPr>
          <w:rFonts w:ascii="宋体" w:hAnsi="宋体"/>
          <w:b/>
          <w:color w:val="000000"/>
          <w:sz w:val="32"/>
          <w:szCs w:val="22"/>
          <w:highlight w:val="none"/>
        </w:rPr>
      </w:pPr>
      <w:bookmarkStart w:id="1" w:name="_Toc585064932"/>
    </w:p>
    <w:p w14:paraId="0FC70930">
      <w:pPr>
        <w:spacing w:line="480" w:lineRule="auto"/>
        <w:jc w:val="center"/>
        <w:rPr>
          <w:rFonts w:hint="default" w:ascii="宋体" w:hAnsi="宋体" w:eastAsia="宋体"/>
          <w:b/>
          <w:color w:val="000000"/>
          <w:sz w:val="32"/>
          <w:szCs w:val="22"/>
          <w:highlight w:val="none"/>
          <w:lang w:val="en-US" w:eastAsia="zh-CN"/>
        </w:rPr>
      </w:pPr>
      <w:r>
        <w:rPr>
          <w:rFonts w:hint="eastAsia" w:ascii="宋体" w:hAnsi="宋体"/>
          <w:b/>
          <w:color w:val="000000"/>
          <w:sz w:val="32"/>
          <w:szCs w:val="22"/>
          <w:highlight w:val="none"/>
        </w:rPr>
        <w:t>项目编号：</w:t>
      </w:r>
      <w:bookmarkEnd w:id="1"/>
      <w:r>
        <w:rPr>
          <w:rFonts w:hint="eastAsia" w:ascii="宋体" w:hAnsi="宋体"/>
          <w:b/>
          <w:color w:val="000000"/>
          <w:sz w:val="32"/>
          <w:szCs w:val="22"/>
          <w:highlight w:val="none"/>
        </w:rPr>
        <w:t>JSZC-321100-JSWX-C2026-0036</w:t>
      </w:r>
    </w:p>
    <w:p w14:paraId="32A57A05">
      <w:pPr>
        <w:spacing w:line="360" w:lineRule="auto"/>
        <w:jc w:val="center"/>
        <w:rPr>
          <w:rFonts w:ascii="宋体" w:hAnsi="宋体"/>
          <w:b/>
          <w:bCs/>
          <w:color w:val="000000"/>
          <w:sz w:val="32"/>
          <w:szCs w:val="32"/>
          <w:highlight w:val="none"/>
        </w:rPr>
      </w:pPr>
      <w:bookmarkStart w:id="2" w:name="_Toc2006176158"/>
      <w:r>
        <w:rPr>
          <w:rFonts w:hint="eastAsia" w:ascii="宋体" w:hAnsi="宋体"/>
          <w:b/>
          <w:color w:val="000000"/>
          <w:sz w:val="32"/>
          <w:szCs w:val="22"/>
          <w:highlight w:val="none"/>
        </w:rPr>
        <w:t>项目名称：</w:t>
      </w:r>
      <w:bookmarkEnd w:id="2"/>
      <w:r>
        <w:rPr>
          <w:rFonts w:hint="eastAsia" w:ascii="宋体" w:hAnsi="宋体"/>
          <w:b/>
          <w:color w:val="000000"/>
          <w:sz w:val="32"/>
          <w:szCs w:val="22"/>
          <w:highlight w:val="none"/>
        </w:rPr>
        <w:t>医保业务信息系统省端维保项目</w:t>
      </w:r>
    </w:p>
    <w:p w14:paraId="751F635B">
      <w:pPr>
        <w:spacing w:line="480" w:lineRule="auto"/>
        <w:rPr>
          <w:rFonts w:ascii="宋体" w:hAnsi="宋体"/>
          <w:color w:val="000000"/>
          <w:highlight w:val="none"/>
        </w:rPr>
      </w:pPr>
    </w:p>
    <w:p w14:paraId="0D82DAA3">
      <w:pPr>
        <w:rPr>
          <w:rFonts w:ascii="宋体" w:hAnsi="宋体"/>
          <w:color w:val="000000"/>
          <w:highlight w:val="none"/>
        </w:rPr>
      </w:pPr>
    </w:p>
    <w:p w14:paraId="4E4A79D2">
      <w:pPr>
        <w:rPr>
          <w:rFonts w:ascii="宋体" w:hAnsi="宋体"/>
          <w:color w:val="000000"/>
          <w:highlight w:val="none"/>
        </w:rPr>
      </w:pPr>
    </w:p>
    <w:p w14:paraId="13786BF1">
      <w:pPr>
        <w:pStyle w:val="247"/>
        <w:rPr>
          <w:rFonts w:ascii="宋体" w:hAnsi="宋体" w:eastAsia="宋体"/>
          <w:color w:val="000000"/>
          <w:highlight w:val="none"/>
        </w:rPr>
      </w:pPr>
    </w:p>
    <w:p w14:paraId="34B1BF8A">
      <w:pPr>
        <w:rPr>
          <w:rFonts w:ascii="宋体" w:hAnsi="宋体"/>
          <w:color w:val="000000"/>
          <w:highlight w:val="none"/>
        </w:rPr>
      </w:pPr>
    </w:p>
    <w:p w14:paraId="36B156C0">
      <w:pPr>
        <w:pStyle w:val="247"/>
        <w:rPr>
          <w:rFonts w:ascii="宋体" w:hAnsi="宋体" w:eastAsia="宋体"/>
          <w:color w:val="000000"/>
          <w:highlight w:val="none"/>
        </w:rPr>
      </w:pPr>
    </w:p>
    <w:p w14:paraId="0CE3924B">
      <w:pPr>
        <w:rPr>
          <w:rFonts w:ascii="宋体" w:hAnsi="宋体"/>
          <w:color w:val="000000"/>
          <w:highlight w:val="none"/>
        </w:rPr>
      </w:pPr>
    </w:p>
    <w:p w14:paraId="767CFAD0">
      <w:pPr>
        <w:pStyle w:val="247"/>
        <w:rPr>
          <w:rFonts w:ascii="宋体" w:hAnsi="宋体" w:eastAsia="宋体"/>
          <w:color w:val="000000"/>
          <w:highlight w:val="none"/>
        </w:rPr>
      </w:pPr>
    </w:p>
    <w:p w14:paraId="2DEB53DE">
      <w:pPr>
        <w:rPr>
          <w:rFonts w:ascii="宋体" w:hAnsi="宋体"/>
          <w:color w:val="000000"/>
          <w:highlight w:val="none"/>
        </w:rPr>
      </w:pPr>
    </w:p>
    <w:p w14:paraId="60F68AE2">
      <w:pPr>
        <w:pStyle w:val="247"/>
        <w:rPr>
          <w:rFonts w:ascii="宋体" w:hAnsi="宋体" w:eastAsia="宋体"/>
          <w:color w:val="000000"/>
          <w:highlight w:val="none"/>
        </w:rPr>
      </w:pPr>
    </w:p>
    <w:p w14:paraId="54A7925C">
      <w:pPr>
        <w:rPr>
          <w:rFonts w:ascii="宋体" w:hAnsi="宋体"/>
          <w:color w:val="000000"/>
          <w:highlight w:val="none"/>
        </w:rPr>
      </w:pPr>
    </w:p>
    <w:p w14:paraId="66302C15">
      <w:pPr>
        <w:rPr>
          <w:rFonts w:ascii="宋体" w:hAnsi="宋体"/>
          <w:color w:val="000000"/>
          <w:highlight w:val="none"/>
        </w:rPr>
      </w:pPr>
    </w:p>
    <w:p w14:paraId="33124518">
      <w:pPr>
        <w:spacing w:before="240"/>
        <w:jc w:val="center"/>
        <w:rPr>
          <w:rFonts w:ascii="宋体" w:hAnsi="宋体"/>
          <w:b/>
          <w:color w:val="000000"/>
          <w:sz w:val="32"/>
          <w:szCs w:val="32"/>
          <w:highlight w:val="none"/>
        </w:rPr>
      </w:pPr>
      <w:bookmarkStart w:id="3" w:name="_Toc161945959"/>
      <w:r>
        <w:rPr>
          <w:rFonts w:hint="eastAsia" w:ascii="宋体" w:hAnsi="宋体"/>
          <w:b/>
          <w:color w:val="000000"/>
          <w:sz w:val="32"/>
          <w:szCs w:val="32"/>
          <w:highlight w:val="none"/>
        </w:rPr>
        <w:t>江苏巍信项目管理有限公司</w:t>
      </w:r>
      <w:bookmarkEnd w:id="3"/>
    </w:p>
    <w:p w14:paraId="7081AE51">
      <w:pPr>
        <w:spacing w:before="240" w:after="240"/>
        <w:jc w:val="center"/>
        <w:rPr>
          <w:rFonts w:ascii="宋体" w:hAnsi="宋体"/>
          <w:b/>
          <w:color w:val="000000"/>
          <w:sz w:val="32"/>
          <w:szCs w:val="32"/>
          <w:highlight w:val="none"/>
        </w:rPr>
      </w:pPr>
      <w:r>
        <w:rPr>
          <w:rFonts w:hint="eastAsia" w:ascii="宋体" w:hAnsi="宋体"/>
          <w:b/>
          <w:color w:val="000000"/>
          <w:sz w:val="32"/>
          <w:szCs w:val="32"/>
          <w:highlight w:val="none"/>
        </w:rPr>
        <w:t>二○二六年十月</w:t>
      </w:r>
    </w:p>
    <w:p w14:paraId="272B34C7">
      <w:pPr>
        <w:spacing w:before="240" w:after="240"/>
        <w:jc w:val="center"/>
        <w:rPr>
          <w:rFonts w:ascii="宋体" w:hAnsi="宋体"/>
          <w:b/>
          <w:color w:val="000000"/>
          <w:sz w:val="32"/>
          <w:szCs w:val="32"/>
          <w:highlight w:val="none"/>
        </w:rPr>
        <w:sectPr>
          <w:headerReference r:id="rId4" w:type="first"/>
          <w:headerReference r:id="rId3" w:type="default"/>
          <w:pgSz w:w="11907" w:h="16840"/>
          <w:pgMar w:top="1440" w:right="1800" w:bottom="1440" w:left="1800" w:header="851" w:footer="992" w:gutter="0"/>
          <w:pgNumType w:start="1"/>
          <w:cols w:space="1701" w:num="1"/>
          <w:docGrid w:linePitch="360" w:charSpace="0"/>
        </w:sectPr>
      </w:pPr>
    </w:p>
    <w:p w14:paraId="33BA5B88">
      <w:pPr>
        <w:pStyle w:val="247"/>
        <w:rPr>
          <w:rFonts w:ascii="宋体" w:hAnsi="宋体" w:eastAsia="宋体"/>
          <w:color w:val="000000"/>
          <w:sz w:val="24"/>
          <w:szCs w:val="18"/>
          <w:highlight w:val="none"/>
        </w:rPr>
      </w:pPr>
    </w:p>
    <w:p w14:paraId="3E03FC2E">
      <w:pPr>
        <w:spacing w:before="240" w:after="240"/>
        <w:jc w:val="center"/>
        <w:rPr>
          <w:rFonts w:ascii="宋体" w:hAnsi="宋体"/>
          <w:b/>
          <w:color w:val="000000"/>
          <w:sz w:val="40"/>
          <w:szCs w:val="22"/>
          <w:highlight w:val="none"/>
        </w:rPr>
      </w:pPr>
      <w:r>
        <w:rPr>
          <w:rFonts w:hint="eastAsia" w:ascii="宋体" w:hAnsi="宋体"/>
          <w:b/>
          <w:color w:val="000000"/>
          <w:sz w:val="32"/>
          <w:szCs w:val="32"/>
          <w:highlight w:val="none"/>
        </w:rPr>
        <w:t>磋商文件目录</w:t>
      </w:r>
    </w:p>
    <w:p w14:paraId="6D543E6F">
      <w:pPr>
        <w:pStyle w:val="26"/>
        <w:tabs>
          <w:tab w:val="right" w:leader="dot" w:pos="9747"/>
        </w:tabs>
        <w:spacing w:line="360" w:lineRule="auto"/>
        <w:rPr>
          <w:sz w:val="24"/>
          <w:highlight w:val="none"/>
        </w:rPr>
      </w:pPr>
      <w:bookmarkStart w:id="4" w:name="_Toc105940806"/>
      <w:bookmarkStart w:id="5" w:name="_Toc92167999"/>
      <w:bookmarkStart w:id="6" w:name="_Toc20732967"/>
      <w:bookmarkStart w:id="7" w:name="_Toc100386033"/>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TOC \o "1-1" \h \u </w:instrText>
      </w:r>
      <w:r>
        <w:rPr>
          <w:rFonts w:hint="eastAsia" w:ascii="宋体" w:hAnsi="宋体" w:cs="宋体"/>
          <w:b/>
          <w:bCs/>
          <w:color w:val="000000"/>
          <w:sz w:val="24"/>
          <w:highlight w:val="none"/>
        </w:rPr>
        <w:fldChar w:fldCharType="separate"/>
      </w:r>
      <w:r>
        <w:rPr>
          <w:highlight w:val="none"/>
        </w:rPr>
        <w:fldChar w:fldCharType="begin"/>
      </w:r>
      <w:r>
        <w:rPr>
          <w:highlight w:val="none"/>
        </w:rPr>
        <w:instrText xml:space="preserve"> HYPERLINK \l "_Toc4005" </w:instrText>
      </w:r>
      <w:r>
        <w:rPr>
          <w:highlight w:val="none"/>
        </w:rPr>
        <w:fldChar w:fldCharType="separate"/>
      </w:r>
      <w:r>
        <w:rPr>
          <w:rFonts w:hint="eastAsia" w:ascii="宋体" w:hAnsi="宋体" w:cs="宋体"/>
          <w:sz w:val="24"/>
          <w:highlight w:val="none"/>
        </w:rPr>
        <w:t>第一部分  磋商邀请</w:t>
      </w:r>
      <w:r>
        <w:rPr>
          <w:sz w:val="24"/>
          <w:highlight w:val="none"/>
        </w:rPr>
        <w:tab/>
      </w:r>
      <w:r>
        <w:rPr>
          <w:sz w:val="24"/>
          <w:highlight w:val="none"/>
        </w:rPr>
        <w:fldChar w:fldCharType="begin"/>
      </w:r>
      <w:r>
        <w:rPr>
          <w:sz w:val="24"/>
          <w:highlight w:val="none"/>
        </w:rPr>
        <w:instrText xml:space="preserve"> PAGEREF _Toc4005 \h </w:instrText>
      </w:r>
      <w:r>
        <w:rPr>
          <w:sz w:val="24"/>
          <w:highlight w:val="none"/>
        </w:rPr>
        <w:fldChar w:fldCharType="separate"/>
      </w:r>
      <w:r>
        <w:rPr>
          <w:sz w:val="24"/>
          <w:highlight w:val="none"/>
        </w:rPr>
        <w:t>3</w:t>
      </w:r>
      <w:r>
        <w:rPr>
          <w:sz w:val="24"/>
          <w:highlight w:val="none"/>
        </w:rPr>
        <w:fldChar w:fldCharType="end"/>
      </w:r>
      <w:r>
        <w:rPr>
          <w:sz w:val="24"/>
          <w:highlight w:val="none"/>
        </w:rPr>
        <w:fldChar w:fldCharType="end"/>
      </w:r>
    </w:p>
    <w:p w14:paraId="7C0DC33B">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"_Toc13833" </w:instrText>
      </w:r>
      <w:r>
        <w:rPr>
          <w:highlight w:val="none"/>
        </w:rPr>
        <w:fldChar w:fldCharType="separate"/>
      </w:r>
      <w:r>
        <w:rPr>
          <w:rFonts w:hint="eastAsia" w:ascii="宋体" w:hAnsi="宋体" w:cs="宋体"/>
          <w:sz w:val="24"/>
          <w:highlight w:val="none"/>
        </w:rPr>
        <w:t>第二部分  供应商须知</w:t>
      </w:r>
      <w:r>
        <w:rPr>
          <w:sz w:val="24"/>
          <w:highlight w:val="none"/>
        </w:rPr>
        <w:tab/>
      </w:r>
      <w:r>
        <w:rPr>
          <w:sz w:val="24"/>
          <w:highlight w:val="none"/>
        </w:rPr>
        <w:fldChar w:fldCharType="begin"/>
      </w:r>
      <w:r>
        <w:rPr>
          <w:sz w:val="24"/>
          <w:highlight w:val="none"/>
        </w:rPr>
        <w:instrText xml:space="preserve"> PAGEREF _Toc13833 \h </w:instrText>
      </w:r>
      <w:r>
        <w:rPr>
          <w:sz w:val="24"/>
          <w:highlight w:val="none"/>
        </w:rPr>
        <w:fldChar w:fldCharType="separate"/>
      </w:r>
      <w:r>
        <w:rPr>
          <w:sz w:val="24"/>
          <w:highlight w:val="none"/>
        </w:rPr>
        <w:t>7</w:t>
      </w:r>
      <w:r>
        <w:rPr>
          <w:sz w:val="24"/>
          <w:highlight w:val="none"/>
        </w:rPr>
        <w:fldChar w:fldCharType="end"/>
      </w:r>
      <w:r>
        <w:rPr>
          <w:sz w:val="24"/>
          <w:highlight w:val="none"/>
        </w:rPr>
        <w:fldChar w:fldCharType="end"/>
      </w:r>
    </w:p>
    <w:p w14:paraId="54FE1192">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"_Toc11670" </w:instrText>
      </w:r>
      <w:r>
        <w:rPr>
          <w:highlight w:val="none"/>
        </w:rPr>
        <w:fldChar w:fldCharType="separate"/>
      </w:r>
      <w:r>
        <w:rPr>
          <w:rFonts w:hint="eastAsia" w:ascii="宋体" w:hAnsi="宋体" w:cs="宋体"/>
          <w:sz w:val="24"/>
          <w:highlight w:val="none"/>
        </w:rPr>
        <w:t>第三部分  合同格式</w:t>
      </w:r>
      <w:r>
        <w:rPr>
          <w:sz w:val="24"/>
          <w:highlight w:val="none"/>
        </w:rPr>
        <w:tab/>
      </w:r>
      <w:r>
        <w:rPr>
          <w:sz w:val="24"/>
          <w:highlight w:val="none"/>
        </w:rPr>
        <w:fldChar w:fldCharType="begin"/>
      </w:r>
      <w:r>
        <w:rPr>
          <w:sz w:val="24"/>
          <w:highlight w:val="none"/>
        </w:rPr>
        <w:instrText xml:space="preserve"> PAGEREF _Toc11670 \h </w:instrText>
      </w:r>
      <w:r>
        <w:rPr>
          <w:sz w:val="24"/>
          <w:highlight w:val="none"/>
        </w:rPr>
        <w:fldChar w:fldCharType="separate"/>
      </w:r>
      <w:r>
        <w:rPr>
          <w:sz w:val="24"/>
          <w:highlight w:val="none"/>
        </w:rPr>
        <w:t>27</w:t>
      </w:r>
      <w:r>
        <w:rPr>
          <w:sz w:val="24"/>
          <w:highlight w:val="none"/>
        </w:rPr>
        <w:fldChar w:fldCharType="end"/>
      </w:r>
      <w:r>
        <w:rPr>
          <w:sz w:val="24"/>
          <w:highlight w:val="none"/>
        </w:rPr>
        <w:fldChar w:fldCharType="end"/>
      </w:r>
    </w:p>
    <w:p w14:paraId="1FBC4035">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"_Toc12977" </w:instrText>
      </w:r>
      <w:r>
        <w:rPr>
          <w:highlight w:val="none"/>
        </w:rPr>
        <w:fldChar w:fldCharType="separate"/>
      </w:r>
      <w:r>
        <w:rPr>
          <w:rFonts w:hint="eastAsia" w:ascii="宋体" w:hAnsi="宋体" w:cs="宋体"/>
          <w:sz w:val="24"/>
          <w:highlight w:val="none"/>
        </w:rPr>
        <w:t>第四部分  项目采购需求</w:t>
      </w:r>
      <w:r>
        <w:rPr>
          <w:sz w:val="24"/>
          <w:highlight w:val="none"/>
        </w:rPr>
        <w:tab/>
      </w:r>
      <w:r>
        <w:rPr>
          <w:sz w:val="24"/>
          <w:highlight w:val="none"/>
        </w:rPr>
        <w:fldChar w:fldCharType="begin"/>
      </w:r>
      <w:r>
        <w:rPr>
          <w:sz w:val="24"/>
          <w:highlight w:val="none"/>
        </w:rPr>
        <w:instrText xml:space="preserve"> PAGEREF _Toc12977 \h </w:instrText>
      </w:r>
      <w:r>
        <w:rPr>
          <w:sz w:val="24"/>
          <w:highlight w:val="none"/>
        </w:rPr>
        <w:fldChar w:fldCharType="separate"/>
      </w:r>
      <w:r>
        <w:rPr>
          <w:sz w:val="24"/>
          <w:highlight w:val="none"/>
        </w:rPr>
        <w:t>32</w:t>
      </w:r>
      <w:r>
        <w:rPr>
          <w:sz w:val="24"/>
          <w:highlight w:val="none"/>
        </w:rPr>
        <w:fldChar w:fldCharType="end"/>
      </w:r>
      <w:r>
        <w:rPr>
          <w:sz w:val="24"/>
          <w:highlight w:val="none"/>
        </w:rPr>
        <w:fldChar w:fldCharType="end"/>
      </w:r>
    </w:p>
    <w:p w14:paraId="488B10D4">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"_Toc7242" </w:instrText>
      </w:r>
      <w:r>
        <w:rPr>
          <w:highlight w:val="none"/>
        </w:rPr>
        <w:fldChar w:fldCharType="separate"/>
      </w:r>
      <w:r>
        <w:rPr>
          <w:rFonts w:hint="eastAsia" w:ascii="宋体" w:hAnsi="宋体" w:cs="宋体"/>
          <w:sz w:val="24"/>
          <w:highlight w:val="none"/>
        </w:rPr>
        <w:t>第五部分  磋商及评审</w:t>
      </w:r>
      <w:r>
        <w:rPr>
          <w:sz w:val="24"/>
          <w:highlight w:val="none"/>
        </w:rPr>
        <w:tab/>
      </w:r>
      <w:r>
        <w:rPr>
          <w:sz w:val="24"/>
          <w:highlight w:val="none"/>
        </w:rPr>
        <w:fldChar w:fldCharType="begin"/>
      </w:r>
      <w:r>
        <w:rPr>
          <w:sz w:val="24"/>
          <w:highlight w:val="none"/>
        </w:rPr>
        <w:instrText xml:space="preserve"> PAGEREF _Toc7242 \h </w:instrText>
      </w:r>
      <w:r>
        <w:rPr>
          <w:sz w:val="24"/>
          <w:highlight w:val="none"/>
        </w:rPr>
        <w:fldChar w:fldCharType="separate"/>
      </w:r>
      <w:r>
        <w:rPr>
          <w:sz w:val="24"/>
          <w:highlight w:val="none"/>
        </w:rPr>
        <w:t>39</w:t>
      </w:r>
      <w:r>
        <w:rPr>
          <w:sz w:val="24"/>
          <w:highlight w:val="none"/>
        </w:rPr>
        <w:fldChar w:fldCharType="end"/>
      </w:r>
      <w:r>
        <w:rPr>
          <w:sz w:val="24"/>
          <w:highlight w:val="none"/>
        </w:rPr>
        <w:fldChar w:fldCharType="end"/>
      </w:r>
    </w:p>
    <w:p w14:paraId="0F1DFE2B">
      <w:pPr>
        <w:pStyle w:val="26"/>
        <w:tabs>
          <w:tab w:val="right" w:leader="dot" w:pos="9747"/>
        </w:tabs>
        <w:spacing w:line="360" w:lineRule="auto"/>
        <w:rPr>
          <w:sz w:val="24"/>
          <w:highlight w:val="none"/>
        </w:rPr>
      </w:pPr>
      <w:r>
        <w:rPr>
          <w:highlight w:val="none"/>
        </w:rPr>
        <w:fldChar w:fldCharType="begin"/>
      </w:r>
      <w:r>
        <w:rPr>
          <w:highlight w:val="none"/>
        </w:rPr>
        <w:instrText xml:space="preserve"> HYPERLINK \l "_Toc43" </w:instrText>
      </w:r>
      <w:r>
        <w:rPr>
          <w:highlight w:val="none"/>
        </w:rPr>
        <w:fldChar w:fldCharType="separate"/>
      </w:r>
      <w:r>
        <w:rPr>
          <w:rFonts w:hint="eastAsia" w:ascii="宋体" w:hAnsi="宋体" w:cs="宋体"/>
          <w:sz w:val="24"/>
          <w:highlight w:val="none"/>
        </w:rPr>
        <w:t>第六部分  磋商响应文件（格式）</w:t>
      </w:r>
      <w:r>
        <w:rPr>
          <w:sz w:val="24"/>
          <w:highlight w:val="none"/>
        </w:rPr>
        <w:tab/>
      </w:r>
      <w:r>
        <w:rPr>
          <w:sz w:val="24"/>
          <w:highlight w:val="none"/>
        </w:rPr>
        <w:fldChar w:fldCharType="begin"/>
      </w:r>
      <w:r>
        <w:rPr>
          <w:sz w:val="24"/>
          <w:highlight w:val="none"/>
        </w:rPr>
        <w:instrText xml:space="preserve"> PAGEREF _Toc43 \h </w:instrText>
      </w:r>
      <w:r>
        <w:rPr>
          <w:sz w:val="24"/>
          <w:highlight w:val="none"/>
        </w:rPr>
        <w:fldChar w:fldCharType="separate"/>
      </w:r>
      <w:r>
        <w:rPr>
          <w:sz w:val="24"/>
          <w:highlight w:val="none"/>
        </w:rPr>
        <w:t>44</w:t>
      </w:r>
      <w:r>
        <w:rPr>
          <w:sz w:val="24"/>
          <w:highlight w:val="none"/>
        </w:rPr>
        <w:fldChar w:fldCharType="end"/>
      </w:r>
      <w:r>
        <w:rPr>
          <w:sz w:val="24"/>
          <w:highlight w:val="none"/>
        </w:rPr>
        <w:fldChar w:fldCharType="end"/>
      </w:r>
    </w:p>
    <w:p w14:paraId="110B04AC">
      <w:pPr>
        <w:spacing w:line="360" w:lineRule="auto"/>
        <w:rPr>
          <w:rFonts w:ascii="宋体" w:hAnsi="宋体"/>
          <w:bCs/>
          <w:color w:val="000000"/>
          <w:sz w:val="22"/>
          <w:szCs w:val="20"/>
          <w:highlight w:val="none"/>
        </w:rPr>
      </w:pPr>
      <w:r>
        <w:rPr>
          <w:rFonts w:hint="eastAsia" w:ascii="宋体" w:hAnsi="宋体" w:cs="宋体"/>
          <w:bCs/>
          <w:color w:val="000000"/>
          <w:sz w:val="24"/>
          <w:highlight w:val="none"/>
        </w:rPr>
        <w:fldChar w:fldCharType="end"/>
      </w:r>
    </w:p>
    <w:p w14:paraId="5E5B4253">
      <w:pPr>
        <w:rPr>
          <w:rFonts w:ascii="宋体" w:hAnsi="宋体"/>
          <w:bCs/>
          <w:color w:val="000000"/>
          <w:sz w:val="22"/>
          <w:szCs w:val="20"/>
          <w:highlight w:val="none"/>
        </w:rPr>
      </w:pPr>
    </w:p>
    <w:p w14:paraId="2641C535">
      <w:pPr>
        <w:rPr>
          <w:rFonts w:ascii="宋体" w:hAnsi="宋体"/>
          <w:bCs/>
          <w:color w:val="000000"/>
          <w:sz w:val="22"/>
          <w:szCs w:val="20"/>
          <w:highlight w:val="none"/>
        </w:rPr>
      </w:pPr>
    </w:p>
    <w:p w14:paraId="419FB26F">
      <w:pPr>
        <w:rPr>
          <w:rFonts w:ascii="宋体" w:hAnsi="宋体"/>
          <w:bCs/>
          <w:color w:val="000000"/>
          <w:sz w:val="22"/>
          <w:szCs w:val="20"/>
          <w:highlight w:val="none"/>
        </w:rPr>
      </w:pPr>
    </w:p>
    <w:p w14:paraId="3429E9E1">
      <w:pPr>
        <w:rPr>
          <w:rFonts w:ascii="宋体" w:hAnsi="宋体"/>
          <w:bCs/>
          <w:color w:val="000000"/>
          <w:sz w:val="22"/>
          <w:szCs w:val="20"/>
          <w:highlight w:val="none"/>
        </w:rPr>
      </w:pPr>
    </w:p>
    <w:bookmarkEnd w:id="4"/>
    <w:p w14:paraId="3A59B493">
      <w:pPr>
        <w:rPr>
          <w:rFonts w:ascii="宋体" w:hAnsi="宋体"/>
          <w:bCs/>
          <w:color w:val="000000"/>
          <w:sz w:val="22"/>
          <w:szCs w:val="20"/>
          <w:highlight w:val="none"/>
        </w:rPr>
      </w:pPr>
    </w:p>
    <w:p w14:paraId="35FC1236">
      <w:pPr>
        <w:rPr>
          <w:rFonts w:ascii="宋体" w:hAnsi="宋体"/>
          <w:bCs/>
          <w:color w:val="000000"/>
          <w:sz w:val="22"/>
          <w:szCs w:val="20"/>
          <w:highlight w:val="none"/>
        </w:rPr>
      </w:pPr>
    </w:p>
    <w:p w14:paraId="34F0C21D">
      <w:pPr>
        <w:spacing w:line="360" w:lineRule="auto"/>
        <w:jc w:val="center"/>
        <w:rPr>
          <w:rStyle w:val="242"/>
          <w:rFonts w:ascii="宋体" w:hAnsi="宋体" w:cs="宋体"/>
          <w:color w:val="000000"/>
          <w:sz w:val="28"/>
          <w:szCs w:val="28"/>
          <w:highlight w:val="none"/>
        </w:rPr>
        <w:sectPr>
          <w:headerReference r:id="rId5" w:type="default"/>
          <w:footerReference r:id="rId6" w:type="default"/>
          <w:pgSz w:w="11907" w:h="16839"/>
          <w:pgMar w:top="1440" w:right="1080" w:bottom="1440" w:left="1080" w:header="1111" w:footer="1229" w:gutter="0"/>
          <w:cols w:space="1701" w:num="1"/>
          <w:docGrid w:linePitch="360" w:charSpace="0"/>
        </w:sectPr>
      </w:pPr>
    </w:p>
    <w:p w14:paraId="5A0DC89E">
      <w:pPr>
        <w:spacing w:line="360" w:lineRule="auto"/>
        <w:jc w:val="center"/>
        <w:outlineLvl w:val="0"/>
        <w:rPr>
          <w:rStyle w:val="242"/>
          <w:rFonts w:ascii="宋体" w:hAnsi="宋体" w:cs="宋体"/>
          <w:color w:val="000000"/>
          <w:sz w:val="28"/>
          <w:szCs w:val="28"/>
          <w:highlight w:val="none"/>
        </w:rPr>
      </w:pPr>
      <w:bookmarkStart w:id="166" w:name="_GoBack"/>
      <w:bookmarkEnd w:id="166"/>
      <w:bookmarkStart w:id="8" w:name="_Toc29296085"/>
      <w:bookmarkStart w:id="9" w:name="_Toc4005"/>
      <w:r>
        <w:rPr>
          <w:rStyle w:val="242"/>
          <w:rFonts w:hint="eastAsia" w:ascii="宋体" w:hAnsi="宋体" w:cs="宋体"/>
          <w:color w:val="000000"/>
          <w:sz w:val="28"/>
          <w:szCs w:val="28"/>
          <w:highlight w:val="none"/>
        </w:rPr>
        <w:t>第一部分  磋商邀请</w:t>
      </w:r>
      <w:bookmarkEnd w:id="5"/>
      <w:bookmarkEnd w:id="6"/>
      <w:bookmarkEnd w:id="7"/>
      <w:bookmarkEnd w:id="8"/>
      <w:bookmarkEnd w:id="9"/>
    </w:p>
    <w:p w14:paraId="09D10397">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000000"/>
          <w:sz w:val="24"/>
          <w:highlight w:val="none"/>
        </w:rPr>
      </w:pPr>
      <w:bookmarkStart w:id="10" w:name="_Toc98669699"/>
      <w:bookmarkStart w:id="11" w:name="_Toc98669341"/>
      <w:bookmarkStart w:id="12" w:name="_Toc92168010"/>
      <w:bookmarkStart w:id="13" w:name="_Toc20732978"/>
      <w:bookmarkStart w:id="14" w:name="_Toc100386044"/>
      <w:r>
        <w:rPr>
          <w:rFonts w:hint="eastAsia" w:ascii="宋体" w:hAnsi="宋体" w:cs="宋体"/>
          <w:color w:val="000000"/>
          <w:sz w:val="24"/>
          <w:highlight w:val="none"/>
        </w:rPr>
        <w:t>项目概况</w:t>
      </w:r>
    </w:p>
    <w:p w14:paraId="49EC2CB1">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s="宋体"/>
          <w:color w:val="000000"/>
          <w:sz w:val="24"/>
          <w:highlight w:val="none"/>
        </w:rPr>
      </w:pPr>
      <w:r>
        <w:rPr>
          <w:rFonts w:hint="eastAsia" w:ascii="宋体" w:hAnsi="宋体" w:cs="宋体"/>
          <w:color w:val="000000"/>
          <w:sz w:val="24"/>
          <w:highlight w:val="none"/>
          <w:u w:val="single"/>
        </w:rPr>
        <w:t>医保业务信息系统省端维保项目</w:t>
      </w:r>
      <w:r>
        <w:rPr>
          <w:rFonts w:hint="eastAsia" w:ascii="宋体" w:hAnsi="宋体" w:cs="宋体"/>
          <w:color w:val="000000"/>
          <w:sz w:val="24"/>
          <w:highlight w:val="none"/>
        </w:rPr>
        <w:t>的潜在供应商应在</w:t>
      </w:r>
      <w:r>
        <w:rPr>
          <w:rFonts w:hint="eastAsia" w:ascii="宋体" w:hAnsi="宋体" w:cs="宋体"/>
          <w:color w:val="000000"/>
          <w:sz w:val="24"/>
          <w:highlight w:val="none"/>
          <w:u w:val="single"/>
        </w:rPr>
        <w:t>“江苏政府采购网-苏采云交易平台</w:t>
      </w:r>
      <w:r>
        <w:rPr>
          <w:rFonts w:hint="eastAsia" w:ascii="宋体" w:hAnsi="宋体" w:cs="宋体"/>
          <w:color w:val="000000"/>
          <w:sz w:val="24"/>
          <w:highlight w:val="none"/>
          <w:u w:val="single"/>
          <w:lang w:eastAsia="zh-CN"/>
        </w:rPr>
        <w:t>”</w:t>
      </w:r>
      <w:r>
        <w:rPr>
          <w:rFonts w:hint="eastAsia" w:ascii="宋体" w:hAnsi="宋体" w:cs="宋体"/>
          <w:color w:val="000000"/>
          <w:sz w:val="24"/>
          <w:highlight w:val="none"/>
        </w:rPr>
        <w:t>获取磋商文件，并于</w:t>
      </w:r>
      <w:r>
        <w:rPr>
          <w:rFonts w:hint="eastAsia" w:ascii="宋体" w:hAnsi="宋体"/>
          <w:color w:val="000000"/>
          <w:sz w:val="24"/>
          <w:highlight w:val="none"/>
          <w:u w:val="single"/>
        </w:rPr>
        <w:t>2026年</w:t>
      </w:r>
      <w:r>
        <w:rPr>
          <w:rFonts w:hint="eastAsia" w:ascii="宋体" w:hAnsi="宋体"/>
          <w:color w:val="000000"/>
          <w:sz w:val="24"/>
          <w:highlight w:val="none"/>
          <w:u w:val="single"/>
          <w:lang w:val="en-US" w:eastAsia="zh-CN"/>
        </w:rPr>
        <w:t>11</w:t>
      </w:r>
      <w:r>
        <w:rPr>
          <w:rFonts w:hint="eastAsia" w:ascii="宋体" w:hAnsi="宋体"/>
          <w:color w:val="000000"/>
          <w:sz w:val="24"/>
          <w:highlight w:val="none"/>
          <w:u w:val="single"/>
        </w:rPr>
        <w:t>月</w:t>
      </w:r>
      <w:r>
        <w:rPr>
          <w:rFonts w:hint="eastAsia" w:ascii="宋体" w:hAnsi="宋体"/>
          <w:color w:val="000000"/>
          <w:sz w:val="24"/>
          <w:highlight w:val="none"/>
          <w:u w:val="single"/>
          <w:lang w:val="en-US" w:eastAsia="zh-CN"/>
        </w:rPr>
        <w:t>09</w:t>
      </w:r>
      <w:r>
        <w:rPr>
          <w:rFonts w:hint="eastAsia" w:ascii="宋体" w:hAnsi="宋体"/>
          <w:color w:val="000000"/>
          <w:sz w:val="24"/>
          <w:highlight w:val="none"/>
          <w:u w:val="single"/>
        </w:rPr>
        <w:t>日</w:t>
      </w:r>
      <w:r>
        <w:rPr>
          <w:rFonts w:hint="eastAsia" w:ascii="宋体" w:hAnsi="宋体"/>
          <w:color w:val="000000"/>
          <w:sz w:val="24"/>
          <w:highlight w:val="none"/>
          <w:u w:val="single"/>
          <w:lang w:val="en-US" w:eastAsia="zh-CN"/>
        </w:rPr>
        <w:t>14</w:t>
      </w:r>
      <w:r>
        <w:rPr>
          <w:rFonts w:hint="eastAsia" w:ascii="宋体" w:hAnsi="宋体"/>
          <w:color w:val="000000"/>
          <w:sz w:val="24"/>
          <w:highlight w:val="none"/>
          <w:u w:val="single"/>
        </w:rPr>
        <w:t>点30分</w:t>
      </w:r>
      <w:r>
        <w:rPr>
          <w:rFonts w:hint="eastAsia" w:ascii="宋体" w:hAnsi="宋体"/>
          <w:bCs/>
          <w:color w:val="000000"/>
          <w:sz w:val="24"/>
          <w:highlight w:val="none"/>
        </w:rPr>
        <w:t>（北京时间）前按要求提交响应</w:t>
      </w:r>
      <w:r>
        <w:rPr>
          <w:rFonts w:ascii="宋体" w:hAnsi="宋体"/>
          <w:bCs/>
          <w:color w:val="000000"/>
          <w:sz w:val="24"/>
          <w:highlight w:val="none"/>
        </w:rPr>
        <w:t>文件</w:t>
      </w:r>
      <w:r>
        <w:rPr>
          <w:rFonts w:hint="eastAsia" w:ascii="宋体" w:hAnsi="宋体" w:cs="宋体"/>
          <w:color w:val="000000"/>
          <w:sz w:val="24"/>
          <w:highlight w:val="none"/>
        </w:rPr>
        <w:t>。</w:t>
      </w:r>
    </w:p>
    <w:p w14:paraId="0F9BB213">
      <w:pPr>
        <w:spacing w:before="240"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一、项目基本情况</w:t>
      </w:r>
    </w:p>
    <w:p w14:paraId="68A891BC">
      <w:pPr>
        <w:tabs>
          <w:tab w:val="left" w:pos="2310"/>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项目编号：JSZC-321100-JSWX-C2026-0036</w:t>
      </w:r>
    </w:p>
    <w:p w14:paraId="77C50EE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项目名称：医保业务信息系统省端维保项目</w:t>
      </w:r>
    </w:p>
    <w:p w14:paraId="298B862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预算金额：</w:t>
      </w:r>
      <w:r>
        <w:rPr>
          <w:rFonts w:hint="eastAsia" w:ascii="宋体" w:hAnsi="宋体" w:cs="宋体"/>
          <w:color w:val="000000"/>
          <w:sz w:val="24"/>
          <w:highlight w:val="none"/>
          <w:lang w:val="en-US" w:eastAsia="zh-CN"/>
        </w:rPr>
        <w:t>102</w:t>
      </w:r>
      <w:r>
        <w:rPr>
          <w:rFonts w:hint="eastAsia" w:ascii="宋体" w:hAnsi="宋体" w:cs="宋体"/>
          <w:color w:val="000000"/>
          <w:sz w:val="24"/>
          <w:highlight w:val="none"/>
        </w:rPr>
        <w:t>万元</w:t>
      </w:r>
    </w:p>
    <w:p w14:paraId="773FEC6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最高限价：</w:t>
      </w:r>
      <w:r>
        <w:rPr>
          <w:rFonts w:hint="eastAsia" w:ascii="宋体" w:hAnsi="宋体" w:cs="宋体"/>
          <w:color w:val="000000"/>
          <w:sz w:val="24"/>
          <w:highlight w:val="none"/>
          <w:lang w:val="en-US" w:eastAsia="zh-CN"/>
        </w:rPr>
        <w:t>102</w:t>
      </w:r>
      <w:r>
        <w:rPr>
          <w:rFonts w:hint="eastAsia" w:ascii="宋体" w:hAnsi="宋体" w:cs="宋体"/>
          <w:color w:val="000000"/>
          <w:sz w:val="24"/>
          <w:highlight w:val="none"/>
        </w:rPr>
        <w:t>万元，投标报价超过最高限价的视为无效报价。</w:t>
      </w:r>
    </w:p>
    <w:p w14:paraId="4933AB1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采购需求：详细内容及要求见磋商文件第四部分采购需求</w:t>
      </w:r>
    </w:p>
    <w:p w14:paraId="2AC6CDE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合同履行期限：详细内容及要求见磋商文件第四部分采购需求</w:t>
      </w:r>
    </w:p>
    <w:p w14:paraId="7E53C37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本项目是否接受联合体：不接受。</w:t>
      </w:r>
    </w:p>
    <w:p w14:paraId="15A4156E">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二、申请人的资格要求</w:t>
      </w:r>
    </w:p>
    <w:p w14:paraId="66C59FB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1、满足《中华人民共和国政府采购法》第二十二条规定：</w:t>
      </w:r>
    </w:p>
    <w:p w14:paraId="221697D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1.1具有独立承担民事责任的能力（提供法人或者其他组织的营业执照等证明文件扫描件；供应商为自然人的，提供其身份证扫描件）；</w:t>
      </w:r>
    </w:p>
    <w:p w14:paraId="7FC9351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p>
    <w:p w14:paraId="21DDD15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1.3具有履行合同所必需的设备和专业技术能力[提供供应商相关信息一览表或资格承诺函（格式见第六部分）]；</w:t>
      </w:r>
    </w:p>
    <w:p w14:paraId="2CD4D53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1.4有依法缴纳税收和社会保障资金的良好记录[提供参加本次政府采购活动前半年内至少一个月依法缴纳税收和社会保险的凭据或资格承诺函（格式见第六部分）]；</w:t>
      </w:r>
    </w:p>
    <w:p w14:paraId="21C4159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1.5参加政府采购活动前三年内，在经营活动中没有重大违法记录[见磋商承诺函或提供资格承诺函（格式见第六部分）]；</w:t>
      </w:r>
    </w:p>
    <w:p w14:paraId="3A53E3E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1.6法律、行政法规规定的其他条件：无。</w:t>
      </w:r>
    </w:p>
    <w:p w14:paraId="38B27DFF">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2、落实政府采购政策需满足的资格要求：</w:t>
      </w:r>
    </w:p>
    <w:p w14:paraId="5D96F7E8">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2.1本项目支持和适用节能环保产品（财库【2019】9号）、（财库【2019】1</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号）、（财库【2019】1</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号）；支持中小微企业（财库【2022】19号）、（苏财购【2022】45号）、（工信部联企业【2011】</w:t>
      </w:r>
      <w:r>
        <w:rPr>
          <w:rFonts w:hint="eastAsia" w:ascii="宋体" w:hAnsi="宋体" w:cs="宋体"/>
          <w:sz w:val="24"/>
          <w:highlight w:val="none"/>
        </w:rPr>
        <w:t>300）等政策。本项目属于服务类项目，采购标的对应的行业为软件和信息技术服务业。本项目不专门面向中小企业采购</w:t>
      </w:r>
      <w:r>
        <w:rPr>
          <w:rFonts w:hint="eastAsia" w:ascii="宋体" w:hAnsi="宋体" w:cs="宋体"/>
          <w:sz w:val="24"/>
          <w:highlight w:val="none"/>
          <w:lang w:eastAsia="zh-CN"/>
        </w:rPr>
        <w:t>，</w:t>
      </w:r>
      <w:r>
        <w:rPr>
          <w:rFonts w:hint="eastAsia" w:ascii="宋体" w:hAnsi="宋体" w:cs="宋体"/>
          <w:sz w:val="24"/>
          <w:highlight w:val="none"/>
        </w:rPr>
        <w:t>如果本项目的服务全部由小型或微型企业或视同小型和微型企业承接的，对其价格给予10%的调减，用调减后价格计算价格分。中小企业划型标准请对照《关于印发中小企业划型标准规定的通知》（工信部联企业〔2011〕300号）。</w:t>
      </w:r>
    </w:p>
    <w:p w14:paraId="0AE0973A">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475F71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14:paraId="7DE67986">
      <w:pPr>
        <w:pStyle w:val="48"/>
        <w:spacing w:line="360" w:lineRule="auto"/>
        <w:rPr>
          <w:rFonts w:ascii="宋体" w:hAnsi="宋体" w:eastAsia="宋体" w:cs="宋体"/>
          <w:sz w:val="24"/>
          <w:szCs w:val="24"/>
          <w:highlight w:val="none"/>
        </w:rPr>
      </w:pPr>
      <w:r>
        <w:rPr>
          <w:rFonts w:hint="eastAsia" w:ascii="宋体" w:hAnsi="宋体" w:eastAsia="宋体" w:cs="宋体"/>
          <w:color w:val="000000"/>
          <w:sz w:val="24"/>
          <w:szCs w:val="24"/>
          <w:highlight w:val="none"/>
        </w:rPr>
        <w:t>2.4既有本国产品又有非本国产品参与竞争的，依法对本国产品给予价格评审优惠，对本国产品的报价给予20%的价格扣除，用扣除后的价格参与评审。当采</w:t>
      </w:r>
      <w:r>
        <w:rPr>
          <w:rFonts w:hint="eastAsia" w:ascii="宋体" w:hAnsi="宋体" w:eastAsia="宋体" w:cs="宋体"/>
          <w:sz w:val="24"/>
          <w:szCs w:val="24"/>
          <w:highlight w:val="none"/>
        </w:rPr>
        <w:t>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7DA23DC">
      <w:pPr>
        <w:spacing w:line="360" w:lineRule="auto"/>
        <w:ind w:firstLine="440"/>
        <w:rPr>
          <w:rFonts w:hint="eastAsia" w:ascii="宋体" w:hAnsi="宋体" w:eastAsia="宋体" w:cs="宋体"/>
          <w:sz w:val="24"/>
          <w:highlight w:val="none"/>
          <w:lang w:val="en-US" w:eastAsia="zh-CN"/>
        </w:rPr>
      </w:pPr>
      <w:r>
        <w:rPr>
          <w:rFonts w:hint="eastAsia" w:ascii="宋体" w:hAnsi="宋体" w:cs="宋体"/>
          <w:sz w:val="24"/>
          <w:highlight w:val="none"/>
        </w:rPr>
        <w:t>3、本项目的特定资格要求：</w:t>
      </w:r>
      <w:r>
        <w:rPr>
          <w:rFonts w:hint="eastAsia" w:ascii="宋体" w:hAnsi="宋体" w:cs="宋体"/>
          <w:sz w:val="24"/>
          <w:highlight w:val="none"/>
          <w:lang w:val="en-US" w:eastAsia="zh-CN"/>
        </w:rPr>
        <w:t>无。</w:t>
      </w:r>
    </w:p>
    <w:p w14:paraId="5F5843B3">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三、获取磋商文件</w:t>
      </w:r>
    </w:p>
    <w:p w14:paraId="6EF50CA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获取时间：自磋商文件公告发布之日起5个工作日。</w:t>
      </w:r>
    </w:p>
    <w:p w14:paraId="3248596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获取地点：江苏政府采购网-苏采云交易平台</w:t>
      </w:r>
    </w:p>
    <w:p w14:paraId="4B52C10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获取方式：操作指南“苏采云”系统用户注册--获取“CA数字证书”--CA绑定与登录--网上报名--下载磋商文件(后缀名为“.kedt”)</w:t>
      </w:r>
    </w:p>
    <w:p w14:paraId="0744E31E">
      <w:pPr>
        <w:pStyle w:val="268"/>
        <w:shd w:val="clear" w:color="auto" w:fill="FFFFFF"/>
        <w:spacing w:before="0" w:beforeAutospacing="0" w:after="0" w:afterAutospacing="0" w:line="360" w:lineRule="auto"/>
        <w:ind w:firstLine="480"/>
        <w:jc w:val="both"/>
        <w:rPr>
          <w:rFonts w:cs="宋体"/>
          <w:highlight w:val="none"/>
        </w:rPr>
      </w:pPr>
      <w:r>
        <w:rPr>
          <w:rFonts w:hint="eastAsia" w:cs="宋体"/>
          <w:highlight w:val="none"/>
        </w:rPr>
        <w:t>磋商文件售价：免费</w:t>
      </w:r>
    </w:p>
    <w:p w14:paraId="640FE7BB">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四、提交磋商响应文件截止时间、开标时间和地点</w:t>
      </w:r>
    </w:p>
    <w:p w14:paraId="674D1B1D">
      <w:pPr>
        <w:spacing w:line="360" w:lineRule="auto"/>
        <w:ind w:firstLine="480"/>
        <w:rPr>
          <w:rFonts w:ascii="宋体" w:hAnsi="宋体" w:cs="宋体"/>
          <w:color w:val="000000"/>
          <w:sz w:val="24"/>
          <w:highlight w:val="none"/>
        </w:rPr>
      </w:pPr>
      <w:bookmarkStart w:id="15" w:name="EB76ff7bd3b9764d5d98ae568815db1ef0"/>
      <w:r>
        <w:rPr>
          <w:rFonts w:hint="eastAsia" w:ascii="宋体" w:hAnsi="宋体" w:cs="宋体"/>
          <w:bCs/>
          <w:color w:val="000000"/>
          <w:sz w:val="24"/>
          <w:highlight w:val="none"/>
        </w:rPr>
        <w:t>提交截止时间及开标时间：2026-</w:t>
      </w:r>
      <w:r>
        <w:rPr>
          <w:rFonts w:hint="eastAsia" w:ascii="宋体" w:hAnsi="宋体" w:cs="宋体"/>
          <w:bCs/>
          <w:color w:val="000000"/>
          <w:sz w:val="24"/>
          <w:highlight w:val="none"/>
          <w:lang w:val="en-US" w:eastAsia="zh-CN"/>
        </w:rPr>
        <w:t>11</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09</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t>14</w:t>
      </w:r>
      <w:r>
        <w:rPr>
          <w:rFonts w:hint="eastAsia" w:ascii="宋体" w:hAnsi="宋体" w:cs="宋体"/>
          <w:bCs/>
          <w:color w:val="000000"/>
          <w:sz w:val="24"/>
          <w:highlight w:val="none"/>
        </w:rPr>
        <w:t>:30</w:t>
      </w:r>
      <w:bookmarkEnd w:id="15"/>
      <w:r>
        <w:rPr>
          <w:rFonts w:hint="eastAsia" w:ascii="宋体" w:hAnsi="宋体"/>
          <w:color w:val="000000"/>
          <w:sz w:val="24"/>
          <w:highlight w:val="none"/>
        </w:rPr>
        <w:t>（北京时间）</w:t>
      </w:r>
    </w:p>
    <w:p w14:paraId="07D652B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开标地点：网上开标大厅</w:t>
      </w:r>
    </w:p>
    <w:p w14:paraId="38D9C780">
      <w:pPr>
        <w:shd w:val="clear" w:color="auto" w:fill="FFFFFF"/>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注意事项：</w:t>
      </w:r>
    </w:p>
    <w:p w14:paraId="21ECF1DE">
      <w:pPr>
        <w:shd w:val="clear" w:color="auto" w:fill="FFFFFF"/>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1）本项目通过苏采云电子交易平台进行采购，供应商须通过苏采云发布的最新响应文件制作软件在线制作并提交响应文件。截至响应截止时间，电子交易平台投标通道将关闭，供应商未完成电子响应文件有效提交的，其响应将被拒绝。</w:t>
      </w:r>
    </w:p>
    <w:p w14:paraId="20CB664D">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bCs/>
          <w:color w:val="000000"/>
          <w:sz w:val="24"/>
          <w:highlight w:val="none"/>
        </w:rPr>
        <w:t>（2）本项目采用网上开标方式，请供应商事先做好电脑环境准备，自行选择互联网连接畅通的场地，在规定的开标时间登录网上开标大厅进行响应文件解密。</w:t>
      </w:r>
    </w:p>
    <w:p w14:paraId="4C354679">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五、公告期限</w:t>
      </w:r>
    </w:p>
    <w:p w14:paraId="155FC87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自本公告发布之日起3个工作日。</w:t>
      </w:r>
    </w:p>
    <w:p w14:paraId="0BF23D25">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六、其他补充事宜</w:t>
      </w:r>
    </w:p>
    <w:p w14:paraId="3A2C0BB1">
      <w:pPr>
        <w:pStyle w:val="296"/>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1、本项目通过电子交易平台进行采购，请在投标前详细阅读《苏采云系统供应商操作手册》（网址：http://ggzy.zhenjiang.gov.cn/zjzc/xzzn/），供应商在使用系统进行投标的过程中如遇到涉及平台使用的任何问题，应在工作日上午9：00-11:30下午13:30-17:30期间致电技术支持热线咨询，联系方式：0519-86722803。</w:t>
      </w:r>
    </w:p>
    <w:p w14:paraId="0A811830">
      <w:pPr>
        <w:pStyle w:val="296"/>
        <w:widowControl/>
        <w:shd w:val="clear" w:color="auto" w:fill="FFFFFF"/>
        <w:spacing w:line="360" w:lineRule="auto"/>
        <w:ind w:firstLine="480"/>
        <w:jc w:val="left"/>
        <w:rPr>
          <w:rFonts w:ascii="宋体" w:hAnsi="宋体"/>
          <w:color w:val="000000"/>
          <w:sz w:val="24"/>
          <w:szCs w:val="24"/>
          <w:highlight w:val="none"/>
        </w:rPr>
      </w:pPr>
      <w:r>
        <w:rPr>
          <w:rFonts w:hint="eastAsia" w:ascii="宋体" w:hAnsi="宋体" w:cs="宋体"/>
          <w:color w:val="000000"/>
          <w:sz w:val="24"/>
          <w:szCs w:val="24"/>
          <w:highlight w:val="none"/>
        </w:rPr>
        <w:t>2、供应商投标需提前办理数字认证证书，镇江</w:t>
      </w:r>
      <w:r>
        <w:rPr>
          <w:rFonts w:hint="eastAsia" w:ascii="宋体" w:hAnsi="宋体"/>
          <w:color w:val="000000"/>
          <w:sz w:val="24"/>
          <w:szCs w:val="24"/>
          <w:highlight w:val="none"/>
        </w:rPr>
        <w:t>CA数字证书的办理：</w:t>
      </w:r>
      <w:r>
        <w:rPr>
          <w:rFonts w:hint="eastAsia" w:ascii="宋体" w:hAnsi="宋体" w:cs="宋体"/>
          <w:color w:val="000000"/>
          <w:sz w:val="24"/>
          <w:szCs w:val="24"/>
          <w:highlight w:val="none"/>
        </w:rPr>
        <w:t>镇江地区意源（方正）CA办理方式：镇江市润州区冠城路8号工人大厦7楼公共资源交易中心大厅CA窗口。</w:t>
      </w:r>
      <w:r>
        <w:rPr>
          <w:rFonts w:hint="eastAsia" w:ascii="宋体" w:hAnsi="宋体"/>
          <w:color w:val="000000"/>
          <w:sz w:val="24"/>
          <w:szCs w:val="24"/>
          <w:highlight w:val="none"/>
        </w:rPr>
        <w:t>工作日办公时间：9:00-12:00、13:30-17:30。联系电话：0511-88968012。</w:t>
      </w:r>
    </w:p>
    <w:p w14:paraId="2DC99E72">
      <w:pPr>
        <w:pStyle w:val="296"/>
        <w:widowControl/>
        <w:shd w:val="clear" w:color="auto" w:fill="FFFFFF"/>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p>
    <w:p w14:paraId="1EB2A26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4、请各供应商及时关注和查看“江苏政府采购网”是否有更正公告。因供应商自身原因未能及时获取的，一切后果由供应商自行承担。</w:t>
      </w:r>
    </w:p>
    <w:p w14:paraId="2B7AF5AF">
      <w:pPr>
        <w:spacing w:line="360" w:lineRule="auto"/>
        <w:jc w:val="left"/>
        <w:outlineLvl w:val="2"/>
        <w:rPr>
          <w:rFonts w:ascii="宋体" w:hAnsi="宋体" w:cs="宋体"/>
          <w:b/>
          <w:bCs/>
          <w:color w:val="000000"/>
          <w:sz w:val="24"/>
          <w:highlight w:val="none"/>
        </w:rPr>
      </w:pPr>
      <w:r>
        <w:rPr>
          <w:rFonts w:hint="eastAsia" w:ascii="宋体" w:hAnsi="宋体" w:cs="宋体"/>
          <w:b/>
          <w:bCs/>
          <w:color w:val="000000"/>
          <w:sz w:val="24"/>
          <w:highlight w:val="none"/>
        </w:rPr>
        <w:t>七、凡对本次采购提出询问，请按以下方式联系。</w:t>
      </w:r>
    </w:p>
    <w:p w14:paraId="2FC30F3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1、采购人信息</w:t>
      </w:r>
    </w:p>
    <w:p w14:paraId="37C30454">
      <w:pPr>
        <w:spacing w:line="360" w:lineRule="auto"/>
        <w:ind w:firstLine="48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名    称：镇江市医疗保障局</w:t>
      </w:r>
    </w:p>
    <w:p w14:paraId="2415AC89">
      <w:pPr>
        <w:spacing w:line="360" w:lineRule="auto"/>
        <w:ind w:firstLine="48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地    址：江苏省镇江市运河路100号</w:t>
      </w:r>
    </w:p>
    <w:p w14:paraId="7B58B076">
      <w:pPr>
        <w:spacing w:line="360" w:lineRule="auto"/>
        <w:ind w:firstLine="480"/>
        <w:rPr>
          <w:rFonts w:hint="eastAsia" w:ascii="宋体" w:hAnsi="宋体" w:cs="宋体"/>
          <w:sz w:val="24"/>
          <w:highlight w:val="none"/>
          <w:shd w:val="clear" w:color="auto" w:fill="FFFFFF"/>
        </w:rPr>
      </w:pPr>
      <w:r>
        <w:rPr>
          <w:rFonts w:hint="eastAsia" w:ascii="宋体" w:hAnsi="宋体" w:cs="宋体"/>
          <w:sz w:val="24"/>
          <w:highlight w:val="none"/>
          <w:shd w:val="clear" w:color="auto" w:fill="FFFFFF"/>
        </w:rPr>
        <w:t>联 系 人：张震宇</w:t>
      </w:r>
    </w:p>
    <w:p w14:paraId="6722C467">
      <w:pPr>
        <w:spacing w:line="360" w:lineRule="auto"/>
        <w:ind w:firstLine="480"/>
        <w:rPr>
          <w:rFonts w:ascii="宋体" w:hAnsi="宋体" w:cs="宋体"/>
          <w:sz w:val="24"/>
          <w:highlight w:val="none"/>
          <w:shd w:val="clear" w:color="auto" w:fill="FFFFFF"/>
        </w:rPr>
      </w:pPr>
      <w:r>
        <w:rPr>
          <w:rFonts w:hint="eastAsia" w:ascii="宋体" w:hAnsi="宋体" w:cs="宋体"/>
          <w:sz w:val="24"/>
          <w:highlight w:val="none"/>
          <w:shd w:val="clear" w:color="auto" w:fill="FFFFFF"/>
        </w:rPr>
        <w:t>联系方式：0511-85340022</w:t>
      </w:r>
    </w:p>
    <w:p w14:paraId="19EF85B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2、采购代理机构信息</w:t>
      </w:r>
    </w:p>
    <w:p w14:paraId="2AA9DBF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名    称：江苏巍信项目管理有限公司</w:t>
      </w:r>
    </w:p>
    <w:p w14:paraId="008E5E8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地    址：江苏省镇江市润州区九华山路江苏科技大学南校区二号楼四楼</w:t>
      </w:r>
    </w:p>
    <w:p w14:paraId="4A7E957A">
      <w:pPr>
        <w:spacing w:line="360" w:lineRule="auto"/>
        <w:ind w:firstLine="500"/>
        <w:rPr>
          <w:rFonts w:ascii="宋体" w:hAnsi="宋体" w:cs="宋体"/>
          <w:color w:val="000000"/>
          <w:sz w:val="24"/>
          <w:highlight w:val="none"/>
        </w:rPr>
      </w:pPr>
      <w:r>
        <w:rPr>
          <w:rFonts w:hint="eastAsia" w:ascii="宋体" w:hAnsi="宋体" w:cs="宋体"/>
          <w:color w:val="000000"/>
          <w:spacing w:val="60"/>
          <w:sz w:val="24"/>
          <w:highlight w:val="none"/>
        </w:rPr>
        <w:t>联系</w:t>
      </w:r>
      <w:r>
        <w:rPr>
          <w:rFonts w:hint="eastAsia" w:ascii="宋体" w:hAnsi="宋体" w:cs="宋体"/>
          <w:color w:val="000000"/>
          <w:sz w:val="24"/>
          <w:highlight w:val="none"/>
        </w:rPr>
        <w:t>人：刘工</w:t>
      </w:r>
    </w:p>
    <w:p w14:paraId="6770B5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电    话：0511-80836003</w:t>
      </w:r>
    </w:p>
    <w:p w14:paraId="4F44B85E">
      <w:pPr>
        <w:pStyle w:val="265"/>
        <w:tabs>
          <w:tab w:val="right" w:leader="dot" w:pos="9061"/>
        </w:tabs>
        <w:spacing w:line="360" w:lineRule="auto"/>
        <w:ind w:left="0"/>
        <w:jc w:val="center"/>
        <w:outlineLvl w:val="0"/>
        <w:rPr>
          <w:rStyle w:val="242"/>
          <w:rFonts w:ascii="宋体" w:hAnsi="宋体" w:cs="宋体"/>
          <w:color w:val="000000"/>
          <w:sz w:val="28"/>
          <w:szCs w:val="28"/>
          <w:highlight w:val="none"/>
        </w:rPr>
      </w:pPr>
      <w:r>
        <w:rPr>
          <w:rFonts w:ascii="宋体" w:hAnsi="宋体"/>
          <w:color w:val="000000"/>
          <w:sz w:val="20"/>
          <w:szCs w:val="22"/>
          <w:highlight w:val="none"/>
        </w:rPr>
        <w:br w:type="page" w:clear="all"/>
      </w:r>
      <w:bookmarkStart w:id="16" w:name="_Toc605545432"/>
      <w:bookmarkStart w:id="17" w:name="_Toc13833"/>
      <w:bookmarkStart w:id="18" w:name="_Toc105940807"/>
      <w:r>
        <w:rPr>
          <w:rStyle w:val="242"/>
          <w:rFonts w:hint="eastAsia" w:ascii="宋体" w:hAnsi="宋体" w:cs="宋体"/>
          <w:color w:val="000000"/>
          <w:sz w:val="28"/>
          <w:szCs w:val="28"/>
          <w:highlight w:val="none"/>
        </w:rPr>
        <w:t>第二部分  供应商须知</w:t>
      </w:r>
      <w:bookmarkEnd w:id="16"/>
      <w:bookmarkEnd w:id="17"/>
      <w:bookmarkEnd w:id="18"/>
    </w:p>
    <w:p w14:paraId="4D6726C2">
      <w:pPr>
        <w:pStyle w:val="236"/>
        <w:keepNext w:val="0"/>
        <w:keepLines w:val="0"/>
        <w:shd w:val="clear" w:color="auto" w:fill="FFFFFF"/>
        <w:spacing w:before="0" w:after="0" w:line="360" w:lineRule="auto"/>
        <w:jc w:val="center"/>
        <w:rPr>
          <w:rFonts w:ascii="宋体" w:hAnsi="宋体" w:cs="宋体"/>
          <w:color w:val="000000"/>
          <w:sz w:val="28"/>
          <w:szCs w:val="28"/>
          <w:highlight w:val="none"/>
        </w:rPr>
      </w:pPr>
      <w:bookmarkStart w:id="19" w:name="_Toc105940808"/>
      <w:bookmarkStart w:id="20" w:name="_Toc100386034"/>
      <w:bookmarkStart w:id="21" w:name="_Toc105940890"/>
      <w:bookmarkStart w:id="22" w:name="_Toc92168000"/>
      <w:r>
        <w:rPr>
          <w:rFonts w:hint="eastAsia" w:ascii="宋体" w:hAnsi="宋体" w:cs="宋体"/>
          <w:color w:val="000000"/>
          <w:sz w:val="28"/>
          <w:szCs w:val="28"/>
          <w:highlight w:val="none"/>
        </w:rPr>
        <w:t>前附表</w:t>
      </w:r>
    </w:p>
    <w:tbl>
      <w:tblPr>
        <w:tblStyle w:val="39"/>
        <w:tblW w:w="99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5"/>
        <w:gridCol w:w="2199"/>
        <w:gridCol w:w="6859"/>
      </w:tblGrid>
      <w:tr w14:paraId="2992F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1061E707">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序号</w:t>
            </w:r>
          </w:p>
        </w:tc>
        <w:tc>
          <w:tcPr>
            <w:tcW w:w="2199" w:type="dxa"/>
            <w:vAlign w:val="center"/>
          </w:tcPr>
          <w:p w14:paraId="0AC0370A">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事项</w:t>
            </w:r>
          </w:p>
        </w:tc>
        <w:tc>
          <w:tcPr>
            <w:tcW w:w="6859" w:type="dxa"/>
            <w:vAlign w:val="center"/>
          </w:tcPr>
          <w:p w14:paraId="391DEA12">
            <w:pPr>
              <w:pStyle w:val="235"/>
              <w:keepNext w:val="0"/>
              <w:keepLines w:val="0"/>
              <w:spacing w:before="0" w:after="0" w:line="24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本项目规定</w:t>
            </w:r>
          </w:p>
        </w:tc>
      </w:tr>
      <w:tr w14:paraId="1CC32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4E8881C8">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p>
        </w:tc>
        <w:tc>
          <w:tcPr>
            <w:tcW w:w="2199" w:type="dxa"/>
            <w:vAlign w:val="center"/>
          </w:tcPr>
          <w:p w14:paraId="4F738331">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报价要求</w:t>
            </w:r>
          </w:p>
        </w:tc>
        <w:tc>
          <w:tcPr>
            <w:tcW w:w="6859" w:type="dxa"/>
            <w:vAlign w:val="center"/>
          </w:tcPr>
          <w:p w14:paraId="507BEF70">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本次投标报价的币种为人民币。</w:t>
            </w:r>
          </w:p>
          <w:p w14:paraId="035DE5B0">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供应商应按磋商文件所提供的各报价表格式报价。</w:t>
            </w:r>
          </w:p>
          <w:p w14:paraId="45278955">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供应商应对本项目报出最具有竞争力的价格，应包括本次招标要求提供的服务已支付或将支付的所有费用（含税费）。</w:t>
            </w:r>
          </w:p>
          <w:p w14:paraId="38B90318">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最低投标报价不能作为中标的保证。</w:t>
            </w:r>
          </w:p>
          <w:p w14:paraId="41E433D7">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中标价即为合同签约价。</w:t>
            </w:r>
          </w:p>
          <w:p w14:paraId="48101D5D">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如出现报价前后不一致的，将按磋商文件第五部分“评标办法和标准”第5项规定进行修正。</w:t>
            </w:r>
          </w:p>
          <w:p w14:paraId="1EA9AB54">
            <w:pPr>
              <w:pStyle w:val="48"/>
              <w:ind w:firstLine="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按照财库〔2026〕2号文要求，评审过程中出现下列情形之一的，评标委员会应当启动异常低价投标（响应）审查程序： </w:t>
            </w:r>
          </w:p>
          <w:p w14:paraId="7E12A252">
            <w:pPr>
              <w:pStyle w:val="48"/>
              <w:ind w:firstLine="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（1）投标（响应）报价低于全部通过符合性审查供应商投标（响应）报价平均值50%的，即投标（响应）报价&lt;全部通过符合性审查供应商投标（响应）报价平均值×50%；</w:t>
            </w:r>
          </w:p>
          <w:p w14:paraId="31288C81">
            <w:pPr>
              <w:pStyle w:val="48"/>
              <w:ind w:firstLine="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（2）投标（响应）报价低于通过符合性审查的次低报价供应商投标（响应）报价50%的，即投标（响应）报价&lt;通过符合性审查的次低报价供应商投标（响应）报价×50%；</w:t>
            </w:r>
          </w:p>
          <w:p w14:paraId="0335F28F">
            <w:pPr>
              <w:pStyle w:val="48"/>
              <w:ind w:firstLine="0"/>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（3）投标（响应）报价低于采购项目最高限价45%的，即投标（响应）报价&lt;采购项目最高限价×45%；</w:t>
            </w:r>
          </w:p>
          <w:p w14:paraId="7C92C1EC">
            <w:pPr>
              <w:pStyle w:val="48"/>
              <w:ind w:firstLine="0"/>
              <w:rPr>
                <w:sz w:val="24"/>
                <w:szCs w:val="24"/>
                <w:highlight w:val="none"/>
              </w:rPr>
            </w:pPr>
            <w:r>
              <w:rPr>
                <w:rFonts w:hint="eastAsia" w:ascii="宋体" w:hAnsi="宋体" w:eastAsia="宋体" w:cs="宋体"/>
                <w:b/>
                <w:bCs/>
                <w:color w:val="000000"/>
                <w:sz w:val="24"/>
                <w:szCs w:val="24"/>
                <w:highlight w:val="none"/>
                <w:u w:val="single"/>
              </w:rPr>
              <w:t>（4）评审委员会基于专业判断，认为供应商报价过低，有可能影响产品质量或者不能诚信履约的其他情形。</w:t>
            </w:r>
          </w:p>
        </w:tc>
      </w:tr>
      <w:tr w14:paraId="73ED1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6" w:hRule="atLeast"/>
          <w:jc w:val="center"/>
        </w:trPr>
        <w:tc>
          <w:tcPr>
            <w:tcW w:w="905" w:type="dxa"/>
            <w:vAlign w:val="center"/>
          </w:tcPr>
          <w:p w14:paraId="10A845DF">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w:t>
            </w:r>
          </w:p>
        </w:tc>
        <w:tc>
          <w:tcPr>
            <w:tcW w:w="2199" w:type="dxa"/>
            <w:vAlign w:val="center"/>
          </w:tcPr>
          <w:p w14:paraId="1FD382A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转包及分包</w:t>
            </w:r>
          </w:p>
        </w:tc>
        <w:tc>
          <w:tcPr>
            <w:tcW w:w="6859" w:type="dxa"/>
            <w:vAlign w:val="center"/>
          </w:tcPr>
          <w:p w14:paraId="0B3C7497">
            <w:pPr>
              <w:pStyle w:val="12"/>
              <w:ind w:firstLine="0"/>
              <w:rPr>
                <w:rFonts w:ascii="宋体" w:hAnsi="宋体" w:cs="宋体"/>
                <w:color w:val="000000"/>
                <w:sz w:val="24"/>
                <w:highlight w:val="none"/>
              </w:rPr>
            </w:pPr>
            <w:r>
              <w:rPr>
                <w:rFonts w:hint="eastAsia" w:ascii="宋体" w:hAnsi="宋体" w:cs="宋体"/>
                <w:color w:val="000000"/>
                <w:sz w:val="24"/>
                <w:highlight w:val="none"/>
              </w:rPr>
              <w:t>项目依法不得转包</w:t>
            </w:r>
          </w:p>
          <w:p w14:paraId="04E4A8DB">
            <w:pPr>
              <w:pStyle w:val="12"/>
              <w:ind w:firstLine="0"/>
              <w:rPr>
                <w:rFonts w:ascii="宋体" w:hAnsi="宋体" w:cs="宋体"/>
                <w:color w:val="000000"/>
                <w:sz w:val="24"/>
                <w:highlight w:val="none"/>
              </w:rPr>
            </w:pPr>
            <w:r>
              <w:rPr>
                <w:rFonts w:hint="eastAsia" w:ascii="宋体" w:hAnsi="宋体" w:cs="宋体"/>
                <w:color w:val="000000"/>
                <w:sz w:val="24"/>
                <w:highlight w:val="none"/>
              </w:rPr>
              <w:sym w:font="Wingdings 2" w:char="0052"/>
            </w:r>
            <w:r>
              <w:rPr>
                <w:rFonts w:hint="eastAsia" w:ascii="宋体" w:hAnsi="宋体" w:cs="宋体"/>
                <w:color w:val="000000"/>
                <w:sz w:val="24"/>
                <w:highlight w:val="none"/>
              </w:rPr>
              <w:t>A本项目不同意分包。</w:t>
            </w:r>
          </w:p>
          <w:p w14:paraId="6D7E6BC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color w:val="000000"/>
                <w:sz w:val="24"/>
                <w:szCs w:val="24"/>
                <w:highlight w:val="none"/>
              </w:rPr>
              <w:sym w:font="Wingdings 2" w:char="00A3"/>
            </w:r>
            <w:r>
              <w:rPr>
                <w:rFonts w:hint="eastAsia" w:ascii="宋体" w:hAnsi="宋体" w:eastAsia="宋体" w:cs="宋体"/>
                <w:b w:val="0"/>
                <w:color w:val="000000"/>
                <w:sz w:val="24"/>
                <w:szCs w:val="24"/>
                <w:highlight w:val="none"/>
              </w:rPr>
              <w:t>B同意将非主体、非关键性的</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工作分包。投标人应当在投标文件中载明分包承担主体，分包承担主体应当具备相应资质条件且不得再次分包。</w:t>
            </w:r>
            <w:r>
              <w:rPr>
                <w:rFonts w:hint="eastAsia" w:ascii="宋体" w:hAnsi="宋体" w:eastAsia="宋体" w:cs="宋体"/>
                <w:b w:val="0"/>
                <w:color w:val="000000"/>
                <w:sz w:val="24"/>
                <w:szCs w:val="24"/>
                <w:highlight w:val="none"/>
                <w:shd w:val="clear" w:color="auto" w:fill="FFFFFF"/>
              </w:rPr>
              <w:t>享受中小企业扶持政策获得政府采购合同的，小微企业不得将合同分包给大中型企业，中型企业不得将合同分包给大型企业。</w:t>
            </w:r>
          </w:p>
        </w:tc>
      </w:tr>
      <w:tr w14:paraId="6A86B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jc w:val="center"/>
        </w:trPr>
        <w:tc>
          <w:tcPr>
            <w:tcW w:w="905" w:type="dxa"/>
            <w:vAlign w:val="center"/>
          </w:tcPr>
          <w:p w14:paraId="290D839D">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p>
        </w:tc>
        <w:tc>
          <w:tcPr>
            <w:tcW w:w="2199" w:type="dxa"/>
            <w:vAlign w:val="center"/>
          </w:tcPr>
          <w:p w14:paraId="53ECD6C5">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开标前答疑会</w:t>
            </w:r>
          </w:p>
        </w:tc>
        <w:tc>
          <w:tcPr>
            <w:tcW w:w="6859" w:type="dxa"/>
            <w:vAlign w:val="center"/>
          </w:tcPr>
          <w:p w14:paraId="70FD406E">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A不组织</w:t>
            </w:r>
          </w:p>
          <w:p w14:paraId="6ACD057E">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B组织</w:t>
            </w:r>
          </w:p>
          <w:p w14:paraId="30F46C6C">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时间：</w:t>
            </w:r>
            <w:r>
              <w:rPr>
                <w:rFonts w:hint="eastAsia" w:ascii="宋体" w:hAnsi="宋体" w:cs="宋体"/>
                <w:color w:val="000000"/>
                <w:sz w:val="24"/>
                <w:szCs w:val="24"/>
                <w:highlight w:val="none"/>
                <w:u w:val="single"/>
              </w:rPr>
              <w:t xml:space="preserve">           </w:t>
            </w:r>
          </w:p>
          <w:p w14:paraId="7265848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地点：</w:t>
            </w:r>
            <w:r>
              <w:rPr>
                <w:rFonts w:hint="eastAsia" w:ascii="宋体" w:hAnsi="宋体" w:cs="宋体"/>
                <w:color w:val="000000"/>
                <w:sz w:val="24"/>
                <w:szCs w:val="24"/>
                <w:highlight w:val="none"/>
                <w:u w:val="single"/>
              </w:rPr>
              <w:t xml:space="preserve">           </w:t>
            </w:r>
          </w:p>
          <w:p w14:paraId="6C2CE89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联系人：</w:t>
            </w:r>
            <w:r>
              <w:rPr>
                <w:rFonts w:hint="eastAsia" w:ascii="宋体" w:hAnsi="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cs="宋体"/>
                <w:color w:val="000000"/>
                <w:sz w:val="24"/>
                <w:szCs w:val="24"/>
                <w:highlight w:val="none"/>
                <w:u w:val="single"/>
              </w:rPr>
              <w:t xml:space="preserve">           </w:t>
            </w:r>
          </w:p>
        </w:tc>
      </w:tr>
      <w:tr w14:paraId="3A502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jc w:val="center"/>
        </w:trPr>
        <w:tc>
          <w:tcPr>
            <w:tcW w:w="905" w:type="dxa"/>
            <w:vAlign w:val="center"/>
          </w:tcPr>
          <w:p w14:paraId="44CBD8C1">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4</w:t>
            </w:r>
          </w:p>
        </w:tc>
        <w:tc>
          <w:tcPr>
            <w:tcW w:w="2199" w:type="dxa"/>
            <w:vAlign w:val="center"/>
          </w:tcPr>
          <w:p w14:paraId="20FE55B1">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现场踏勘</w:t>
            </w:r>
          </w:p>
        </w:tc>
        <w:tc>
          <w:tcPr>
            <w:tcW w:w="6859" w:type="dxa"/>
            <w:vAlign w:val="center"/>
          </w:tcPr>
          <w:p w14:paraId="0092807A">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A不统一组织</w:t>
            </w:r>
          </w:p>
          <w:p w14:paraId="58D554E5">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B统一组织</w:t>
            </w:r>
          </w:p>
          <w:p w14:paraId="264A1DB7">
            <w:pPr>
              <w:pStyle w:val="235"/>
              <w:keepNext w:val="0"/>
              <w:keepLines w:val="0"/>
              <w:spacing w:before="0" w:after="0" w:line="240" w:lineRule="auto"/>
              <w:jc w:val="both"/>
              <w:rPr>
                <w:rFonts w:ascii="宋体" w:hAnsi="宋体" w:cs="宋体"/>
                <w:b w:val="0"/>
                <w:bCs/>
                <w:color w:val="000000"/>
                <w:sz w:val="24"/>
                <w:szCs w:val="24"/>
                <w:highlight w:val="none"/>
              </w:rPr>
            </w:pPr>
            <w:r>
              <w:rPr>
                <w:rFonts w:hint="eastAsia" w:ascii="宋体" w:hAnsi="宋体" w:eastAsia="宋体" w:cs="宋体"/>
                <w:b w:val="0"/>
                <w:bCs/>
                <w:color w:val="000000"/>
                <w:sz w:val="24"/>
                <w:szCs w:val="24"/>
                <w:highlight w:val="none"/>
              </w:rPr>
              <w:t>时间：</w:t>
            </w:r>
            <w:r>
              <w:rPr>
                <w:rFonts w:hint="eastAsia" w:ascii="宋体" w:hAnsi="宋体" w:cs="宋体"/>
                <w:color w:val="000000"/>
                <w:sz w:val="24"/>
                <w:szCs w:val="24"/>
                <w:highlight w:val="none"/>
                <w:u w:val="single"/>
              </w:rPr>
              <w:t xml:space="preserve">       </w:t>
            </w:r>
          </w:p>
          <w:p w14:paraId="4E638FD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地点：</w:t>
            </w:r>
            <w:r>
              <w:rPr>
                <w:rFonts w:hint="eastAsia" w:ascii="宋体" w:hAnsi="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p>
          <w:p w14:paraId="11A5B80F">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val="0"/>
                <w:bCs/>
                <w:color w:val="000000"/>
                <w:sz w:val="24"/>
                <w:szCs w:val="24"/>
                <w:highlight w:val="none"/>
              </w:rPr>
              <w:t>联系方式：</w:t>
            </w:r>
            <w:r>
              <w:rPr>
                <w:rFonts w:hint="eastAsia" w:ascii="宋体" w:hAnsi="宋体" w:eastAsia="宋体" w:cs="宋体"/>
                <w:color w:val="000000"/>
                <w:sz w:val="24"/>
                <w:szCs w:val="24"/>
                <w:highlight w:val="none"/>
                <w:u w:val="single"/>
              </w:rPr>
              <w:t xml:space="preserve">        </w:t>
            </w:r>
          </w:p>
        </w:tc>
      </w:tr>
      <w:tr w14:paraId="7E4CFA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jc w:val="center"/>
        </w:trPr>
        <w:tc>
          <w:tcPr>
            <w:tcW w:w="905" w:type="dxa"/>
            <w:vAlign w:val="center"/>
          </w:tcPr>
          <w:p w14:paraId="3C6E317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5</w:t>
            </w:r>
          </w:p>
        </w:tc>
        <w:tc>
          <w:tcPr>
            <w:tcW w:w="2199" w:type="dxa"/>
            <w:vAlign w:val="center"/>
          </w:tcPr>
          <w:p w14:paraId="2C5D10A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演示</w:t>
            </w:r>
          </w:p>
        </w:tc>
        <w:tc>
          <w:tcPr>
            <w:tcW w:w="6859" w:type="dxa"/>
            <w:vAlign w:val="center"/>
          </w:tcPr>
          <w:p w14:paraId="4A1CDD58">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无</w:t>
            </w:r>
          </w:p>
        </w:tc>
      </w:tr>
      <w:tr w14:paraId="07241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05" w:type="dxa"/>
            <w:vAlign w:val="center"/>
          </w:tcPr>
          <w:p w14:paraId="04291341">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6</w:t>
            </w:r>
          </w:p>
        </w:tc>
        <w:tc>
          <w:tcPr>
            <w:tcW w:w="2199" w:type="dxa"/>
            <w:vAlign w:val="center"/>
          </w:tcPr>
          <w:p w14:paraId="553B99EC">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样品</w:t>
            </w:r>
          </w:p>
        </w:tc>
        <w:tc>
          <w:tcPr>
            <w:tcW w:w="6859" w:type="dxa"/>
            <w:vAlign w:val="center"/>
          </w:tcPr>
          <w:p w14:paraId="301BF440">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不要求提供。</w:t>
            </w:r>
          </w:p>
        </w:tc>
      </w:tr>
      <w:tr w14:paraId="0BEE0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115BA95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7</w:t>
            </w:r>
          </w:p>
        </w:tc>
        <w:tc>
          <w:tcPr>
            <w:tcW w:w="2199" w:type="dxa"/>
            <w:vAlign w:val="center"/>
          </w:tcPr>
          <w:p w14:paraId="5CC72FD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是否允许采购进口产品</w:t>
            </w:r>
          </w:p>
        </w:tc>
        <w:tc>
          <w:tcPr>
            <w:tcW w:w="6859" w:type="dxa"/>
            <w:vAlign w:val="center"/>
          </w:tcPr>
          <w:p w14:paraId="4D67B708">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t></w:t>
            </w:r>
            <w:r>
              <w:rPr>
                <w:rFonts w:hint="eastAsia" w:ascii="宋体" w:hAnsi="宋体" w:eastAsia="宋体" w:cs="宋体"/>
                <w:b w:val="0"/>
                <w:bCs/>
                <w:color w:val="000000"/>
                <w:sz w:val="24"/>
                <w:szCs w:val="24"/>
                <w:highlight w:val="none"/>
              </w:rPr>
              <w:t>本项目不允许采购进口产品。</w:t>
            </w:r>
          </w:p>
        </w:tc>
      </w:tr>
      <w:tr w14:paraId="197E0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5" w:type="dxa"/>
            <w:vAlign w:val="center"/>
          </w:tcPr>
          <w:p w14:paraId="29E5925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8</w:t>
            </w:r>
          </w:p>
        </w:tc>
        <w:tc>
          <w:tcPr>
            <w:tcW w:w="2199" w:type="dxa"/>
            <w:vAlign w:val="center"/>
          </w:tcPr>
          <w:p w14:paraId="0FB3DBD0">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核心产品</w:t>
            </w:r>
          </w:p>
        </w:tc>
        <w:tc>
          <w:tcPr>
            <w:tcW w:w="6859" w:type="dxa"/>
            <w:vAlign w:val="center"/>
          </w:tcPr>
          <w:p w14:paraId="27E913C7">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sym w:font="Wingdings 2" w:char="00A3"/>
            </w:r>
            <w:r>
              <w:rPr>
                <w:rFonts w:hint="eastAsia" w:ascii="宋体" w:hAnsi="宋体" w:eastAsia="宋体" w:cs="宋体"/>
                <w:b w:val="0"/>
                <w:bCs/>
                <w:color w:val="000000"/>
                <w:sz w:val="24"/>
                <w:szCs w:val="24"/>
                <w:highlight w:val="none"/>
              </w:rPr>
              <w:t>A货物类。</w:t>
            </w:r>
          </w:p>
          <w:p w14:paraId="64FE8A87">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ascii="Wingdings 2" w:hAnsi="Wingdings 2" w:eastAsia="Wingdings 2" w:cs="Wingdings 2"/>
                <w:b w:val="0"/>
                <w:bCs/>
                <w:color w:val="000000"/>
                <w:sz w:val="24"/>
                <w:szCs w:val="24"/>
                <w:highlight w:val="none"/>
              </w:rPr>
              <w:sym w:font="Wingdings 2" w:char="0052"/>
            </w:r>
            <w:r>
              <w:rPr>
                <w:rFonts w:hint="eastAsia" w:ascii="宋体" w:hAnsi="宋体" w:eastAsia="宋体" w:cs="宋体"/>
                <w:b w:val="0"/>
                <w:bCs/>
                <w:color w:val="000000"/>
                <w:sz w:val="24"/>
                <w:szCs w:val="24"/>
                <w:highlight w:val="none"/>
              </w:rPr>
              <w:t>B服务类。</w:t>
            </w:r>
          </w:p>
          <w:p w14:paraId="0FB22E72">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本项目核心产品为：/ 。</w:t>
            </w:r>
          </w:p>
        </w:tc>
      </w:tr>
      <w:tr w14:paraId="3ED3B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05" w:type="dxa"/>
            <w:vAlign w:val="center"/>
          </w:tcPr>
          <w:p w14:paraId="6F4D455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9</w:t>
            </w:r>
          </w:p>
        </w:tc>
        <w:tc>
          <w:tcPr>
            <w:tcW w:w="2199" w:type="dxa"/>
            <w:vAlign w:val="center"/>
          </w:tcPr>
          <w:p w14:paraId="3BDF90E4">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采购标的对应的中小企业划分标准所属行业</w:t>
            </w:r>
          </w:p>
        </w:tc>
        <w:tc>
          <w:tcPr>
            <w:tcW w:w="6859" w:type="dxa"/>
            <w:vAlign w:val="center"/>
          </w:tcPr>
          <w:p w14:paraId="5E2FB3D8">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（1）标的：</w:t>
            </w:r>
            <w:r>
              <w:rPr>
                <w:rFonts w:hint="eastAsia" w:ascii="宋体" w:hAnsi="宋体" w:eastAsia="宋体" w:cs="宋体"/>
                <w:b w:val="0"/>
                <w:bCs/>
                <w:color w:val="000000"/>
                <w:sz w:val="24"/>
                <w:szCs w:val="24"/>
                <w:highlight w:val="none"/>
                <w:u w:val="single"/>
              </w:rPr>
              <w:t>医保业务信息系统省端维保项目</w:t>
            </w:r>
            <w:r>
              <w:rPr>
                <w:rFonts w:hint="eastAsia" w:ascii="宋体" w:hAnsi="宋体" w:eastAsia="宋体" w:cs="宋体"/>
                <w:b w:val="0"/>
                <w:bCs/>
                <w:color w:val="000000"/>
                <w:sz w:val="24"/>
                <w:szCs w:val="24"/>
                <w:highlight w:val="none"/>
              </w:rPr>
              <w:t>，属于</w:t>
            </w:r>
            <w:r>
              <w:rPr>
                <w:rFonts w:hint="eastAsia" w:ascii="宋体" w:hAnsi="宋体" w:eastAsia="宋体" w:cs="宋体"/>
                <w:b w:val="0"/>
                <w:bCs/>
                <w:color w:val="000000"/>
                <w:sz w:val="24"/>
                <w:szCs w:val="24"/>
                <w:highlight w:val="none"/>
                <w:u w:val="single"/>
              </w:rPr>
              <w:t>软件和信息技术服务业</w:t>
            </w:r>
            <w:r>
              <w:rPr>
                <w:rFonts w:hint="eastAsia" w:ascii="宋体" w:hAnsi="宋体" w:eastAsia="宋体" w:cs="宋体"/>
                <w:b w:val="0"/>
                <w:bCs/>
                <w:color w:val="000000"/>
                <w:sz w:val="24"/>
                <w:szCs w:val="24"/>
                <w:highlight w:val="none"/>
              </w:rPr>
              <w:t>。</w:t>
            </w:r>
          </w:p>
        </w:tc>
      </w:tr>
      <w:tr w14:paraId="72D1B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7BF9CC4A">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10</w:t>
            </w:r>
          </w:p>
        </w:tc>
        <w:tc>
          <w:tcPr>
            <w:tcW w:w="2199" w:type="dxa"/>
            <w:vAlign w:val="center"/>
          </w:tcPr>
          <w:p w14:paraId="51C96C58">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节能产品、环境标志产品</w:t>
            </w:r>
          </w:p>
        </w:tc>
        <w:tc>
          <w:tcPr>
            <w:tcW w:w="6859" w:type="dxa"/>
            <w:vAlign w:val="center"/>
          </w:tcPr>
          <w:p w14:paraId="40B823C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356E9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5" w:type="dxa"/>
            <w:vAlign w:val="center"/>
          </w:tcPr>
          <w:p w14:paraId="7EB51582">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11</w:t>
            </w:r>
          </w:p>
        </w:tc>
        <w:tc>
          <w:tcPr>
            <w:tcW w:w="2199" w:type="dxa"/>
            <w:vAlign w:val="center"/>
          </w:tcPr>
          <w:p w14:paraId="028EBDAE">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中小企业信用融资</w:t>
            </w:r>
          </w:p>
        </w:tc>
        <w:tc>
          <w:tcPr>
            <w:tcW w:w="6859" w:type="dxa"/>
            <w:vAlign w:val="center"/>
          </w:tcPr>
          <w:p w14:paraId="15579D0C">
            <w:pPr>
              <w:pStyle w:val="235"/>
              <w:keepNext w:val="0"/>
              <w:keepLines w:val="0"/>
              <w:spacing w:before="0" w:after="0" w:line="240" w:lineRule="auto"/>
              <w:jc w:val="lef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为进一步发挥政府采购政策导向作用，有效缓解企业融资难题，推进完善应收账款融资服务平台的融资服务功能，促进中小微企业平稳健康发展，</w:t>
            </w:r>
            <w:bookmarkStart w:id="23" w:name="_Hlk136445673"/>
            <w:r>
              <w:rPr>
                <w:rFonts w:hint="eastAsia" w:ascii="宋体" w:hAnsi="宋体" w:eastAsia="宋体" w:cs="宋体"/>
                <w:b w:val="0"/>
                <w:bCs/>
                <w:color w:val="000000"/>
                <w:sz w:val="24"/>
                <w:szCs w:val="24"/>
                <w:highlight w:val="none"/>
              </w:rPr>
              <w:t>镇江市财政局和中国人民银行镇江市中心支行联合印发《关于转发〈关于深入推进政府采购线上合同信用融资工作的通知〉的通知》</w:t>
            </w:r>
            <w:bookmarkEnd w:id="23"/>
            <w:r>
              <w:rPr>
                <w:rFonts w:hint="eastAsia" w:ascii="宋体" w:hAnsi="宋体" w:eastAsia="宋体" w:cs="宋体"/>
                <w:b w:val="0"/>
                <w:bCs/>
                <w:color w:val="000000"/>
                <w:sz w:val="24"/>
                <w:szCs w:val="24"/>
                <w:highlight w:val="none"/>
              </w:rPr>
              <w:t>，</w:t>
            </w:r>
            <w:bookmarkStart w:id="24" w:name="_Hlk136444446"/>
            <w:r>
              <w:rPr>
                <w:rFonts w:hint="eastAsia" w:ascii="宋体" w:hAnsi="宋体" w:eastAsia="宋体" w:cs="宋体"/>
                <w:b w:val="0"/>
                <w:bCs/>
                <w:color w:val="000000"/>
                <w:sz w:val="24"/>
                <w:szCs w:val="24"/>
                <w:highlight w:val="none"/>
              </w:rPr>
              <w:t>采购项目成交供应商如有融资需求，可在签订政府采购合同时向采购人说明融资需求，由采购人在录入合同时标注融资需求后，凭政府采购合同在相关金融机构办理无抵押、低利率授信申请。</w:t>
            </w:r>
            <w:bookmarkEnd w:id="24"/>
            <w:r>
              <w:rPr>
                <w:rFonts w:hint="eastAsia" w:ascii="宋体" w:hAnsi="宋体" w:eastAsia="宋体" w:cs="宋体"/>
                <w:b w:val="0"/>
                <w:bCs/>
                <w:color w:val="000000"/>
                <w:sz w:val="24"/>
                <w:szCs w:val="24"/>
                <w:highlight w:val="none"/>
              </w:rPr>
              <w:t>办理流程详见江苏政府采购网“政采贷”栏目，网址</w:t>
            </w:r>
            <w:r>
              <w:rPr>
                <w:highlight w:val="none"/>
              </w:rPr>
              <w:fldChar w:fldCharType="begin"/>
            </w:r>
            <w:r>
              <w:rPr>
                <w:highlight w:val="none"/>
              </w:rPr>
              <w:instrText xml:space="preserve"> HYPERLINK "http://www.ccgp-jiangsu.gov.cn/jiangsu/paying.html" </w:instrText>
            </w:r>
            <w:r>
              <w:rPr>
                <w:highlight w:val="none"/>
              </w:rPr>
              <w:fldChar w:fldCharType="separate"/>
            </w:r>
            <w:r>
              <w:rPr>
                <w:rFonts w:hint="eastAsia" w:ascii="宋体" w:hAnsi="宋体" w:eastAsia="宋体" w:cs="宋体"/>
                <w:b w:val="0"/>
                <w:bCs/>
                <w:color w:val="000000"/>
                <w:sz w:val="24"/>
                <w:szCs w:val="24"/>
                <w:highlight w:val="none"/>
              </w:rPr>
              <w:t>http://www.ccgp-jiangsu.gov.cn/jiangsu/paying.html</w:t>
            </w:r>
            <w:r>
              <w:rPr>
                <w:rFonts w:hint="eastAsia" w:ascii="宋体" w:hAnsi="宋体" w:eastAsia="宋体" w:cs="宋体"/>
                <w:b w:val="0"/>
                <w:bCs/>
                <w:color w:val="000000"/>
                <w:sz w:val="24"/>
                <w:szCs w:val="24"/>
                <w:highlight w:val="none"/>
              </w:rPr>
              <w:fldChar w:fldCharType="end"/>
            </w:r>
            <w:r>
              <w:rPr>
                <w:rFonts w:hint="eastAsia" w:ascii="宋体" w:hAnsi="宋体" w:eastAsia="宋体" w:cs="宋体"/>
                <w:b w:val="0"/>
                <w:bCs/>
                <w:color w:val="000000"/>
                <w:sz w:val="24"/>
                <w:szCs w:val="24"/>
                <w:highlight w:val="none"/>
              </w:rPr>
              <w:t>。</w:t>
            </w:r>
          </w:p>
          <w:p w14:paraId="0CC909C9">
            <w:pPr>
              <w:pStyle w:val="235"/>
              <w:keepNext w:val="0"/>
              <w:keepLines w:val="0"/>
              <w:spacing w:before="0" w:after="0" w:line="240" w:lineRule="auto"/>
              <w:jc w:val="left"/>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咨询电话：镇江市财政局政府采购处0511-80909958。</w:t>
            </w:r>
          </w:p>
        </w:tc>
      </w:tr>
      <w:tr w14:paraId="1E01A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2" w:hRule="atLeast"/>
          <w:jc w:val="center"/>
        </w:trPr>
        <w:tc>
          <w:tcPr>
            <w:tcW w:w="905" w:type="dxa"/>
            <w:vAlign w:val="center"/>
          </w:tcPr>
          <w:p w14:paraId="5FA27743">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12</w:t>
            </w:r>
          </w:p>
        </w:tc>
        <w:tc>
          <w:tcPr>
            <w:tcW w:w="2199" w:type="dxa"/>
            <w:vAlign w:val="center"/>
          </w:tcPr>
          <w:p w14:paraId="450297D4">
            <w:pPr>
              <w:pStyle w:val="235"/>
              <w:keepNext w:val="0"/>
              <w:keepLines w:val="0"/>
              <w:spacing w:before="0" w:after="0" w:line="240" w:lineRule="auto"/>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特别说明</w:t>
            </w:r>
          </w:p>
        </w:tc>
        <w:tc>
          <w:tcPr>
            <w:tcW w:w="6859" w:type="dxa"/>
            <w:vAlign w:val="center"/>
          </w:tcPr>
          <w:p w14:paraId="79257816">
            <w:pPr>
              <w:pStyle w:val="235"/>
              <w:keepNext w:val="0"/>
              <w:keepLines w:val="0"/>
              <w:spacing w:before="0" w:after="0" w:line="240" w:lineRule="auto"/>
              <w:jc w:val="both"/>
              <w:rPr>
                <w:rFonts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无。</w:t>
            </w:r>
          </w:p>
        </w:tc>
      </w:tr>
    </w:tbl>
    <w:p w14:paraId="582D3DA3">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一、总  则</w:t>
      </w:r>
      <w:bookmarkEnd w:id="19"/>
      <w:bookmarkEnd w:id="20"/>
      <w:bookmarkEnd w:id="21"/>
      <w:bookmarkEnd w:id="22"/>
    </w:p>
    <w:p w14:paraId="659CDEB1">
      <w:pPr>
        <w:pStyle w:val="236"/>
        <w:keepNext w:val="0"/>
        <w:keepLines w:val="0"/>
        <w:spacing w:before="0" w:after="0" w:line="360" w:lineRule="auto"/>
        <w:jc w:val="left"/>
        <w:rPr>
          <w:rFonts w:ascii="宋体" w:hAnsi="宋体" w:cs="宋体"/>
          <w:color w:val="000000"/>
          <w:sz w:val="24"/>
          <w:szCs w:val="24"/>
          <w:highlight w:val="none"/>
        </w:rPr>
      </w:pPr>
      <w:bookmarkStart w:id="25" w:name="_Toc100386035"/>
      <w:bookmarkStart w:id="26" w:name="_Toc105940891"/>
      <w:bookmarkStart w:id="27" w:name="_Toc105940809"/>
      <w:bookmarkStart w:id="28" w:name="_Toc92168001"/>
      <w:r>
        <w:rPr>
          <w:rFonts w:hint="eastAsia" w:ascii="宋体" w:hAnsi="宋体" w:cs="宋体"/>
          <w:color w:val="000000"/>
          <w:sz w:val="24"/>
          <w:szCs w:val="24"/>
          <w:highlight w:val="none"/>
        </w:rPr>
        <w:t>1、适用范围</w:t>
      </w:r>
      <w:bookmarkEnd w:id="25"/>
      <w:bookmarkEnd w:id="26"/>
      <w:bookmarkEnd w:id="27"/>
      <w:bookmarkEnd w:id="28"/>
    </w:p>
    <w:p w14:paraId="11F78613">
      <w:pPr>
        <w:spacing w:line="360" w:lineRule="auto"/>
        <w:ind w:firstLine="480"/>
        <w:rPr>
          <w:rFonts w:ascii="宋体" w:hAnsi="宋体" w:cs="宋体"/>
          <w:b/>
          <w:color w:val="000000"/>
          <w:sz w:val="24"/>
          <w:highlight w:val="none"/>
        </w:rPr>
      </w:pPr>
      <w:r>
        <w:rPr>
          <w:rFonts w:hint="eastAsia" w:ascii="宋体" w:hAnsi="宋体" w:cs="宋体"/>
          <w:color w:val="000000"/>
          <w:sz w:val="24"/>
          <w:highlight w:val="none"/>
        </w:rPr>
        <w:t>1.1本磋商文件仅适用于</w:t>
      </w:r>
      <w:r>
        <w:rPr>
          <w:rFonts w:hint="eastAsia" w:ascii="宋体" w:hAnsi="宋体" w:cs="宋体"/>
          <w:b/>
          <w:bCs/>
          <w:color w:val="000000"/>
          <w:sz w:val="24"/>
          <w:highlight w:val="none"/>
          <w:u w:val="single"/>
        </w:rPr>
        <w:t>医保业务信息系统省端维保项目</w:t>
      </w:r>
      <w:r>
        <w:rPr>
          <w:rFonts w:hint="eastAsia" w:ascii="宋体" w:hAnsi="宋体" w:cs="宋体"/>
          <w:color w:val="000000"/>
          <w:sz w:val="24"/>
          <w:highlight w:val="none"/>
        </w:rPr>
        <w:t>。</w:t>
      </w:r>
    </w:p>
    <w:p w14:paraId="0788EC22">
      <w:pPr>
        <w:pStyle w:val="236"/>
        <w:keepNext w:val="0"/>
        <w:keepLines w:val="0"/>
        <w:spacing w:before="0" w:after="0" w:line="360" w:lineRule="auto"/>
        <w:jc w:val="left"/>
        <w:rPr>
          <w:rFonts w:ascii="宋体" w:hAnsi="宋体" w:cs="宋体"/>
          <w:color w:val="000000"/>
          <w:sz w:val="24"/>
          <w:szCs w:val="24"/>
          <w:highlight w:val="none"/>
        </w:rPr>
      </w:pPr>
      <w:bookmarkStart w:id="29" w:name="_Toc92168002"/>
      <w:bookmarkStart w:id="30" w:name="_Toc100386036"/>
      <w:r>
        <w:rPr>
          <w:rFonts w:hint="eastAsia" w:ascii="宋体" w:hAnsi="宋体" w:cs="宋体"/>
          <w:color w:val="000000"/>
          <w:sz w:val="24"/>
          <w:szCs w:val="24"/>
          <w:highlight w:val="none"/>
        </w:rPr>
        <w:t>2、定义</w:t>
      </w:r>
      <w:bookmarkEnd w:id="29"/>
      <w:bookmarkEnd w:id="30"/>
    </w:p>
    <w:p w14:paraId="2C096263">
      <w:pPr>
        <w:spacing w:line="360" w:lineRule="auto"/>
        <w:ind w:firstLine="480"/>
        <w:rPr>
          <w:rFonts w:ascii="宋体" w:hAnsi="宋体"/>
          <w:b/>
          <w:color w:val="000000"/>
          <w:sz w:val="24"/>
          <w:highlight w:val="none"/>
        </w:rPr>
      </w:pPr>
      <w:r>
        <w:rPr>
          <w:rFonts w:hint="eastAsia" w:ascii="宋体" w:hAnsi="宋体" w:cs="宋体"/>
          <w:color w:val="000000"/>
          <w:sz w:val="24"/>
          <w:highlight w:val="none"/>
        </w:rPr>
        <w:t>磋商文件中下列术语应解释为：</w:t>
      </w:r>
    </w:p>
    <w:p w14:paraId="2715810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2.1“磋商组织方”指政府采购代理机构，即：</w:t>
      </w:r>
      <w:r>
        <w:rPr>
          <w:rFonts w:hint="eastAsia" w:ascii="宋体" w:hAnsi="宋体" w:cs="宋体"/>
          <w:b/>
          <w:color w:val="000000"/>
          <w:sz w:val="24"/>
          <w:highlight w:val="none"/>
          <w:u w:val="single"/>
        </w:rPr>
        <w:t>江苏巍信项目管理有限公司</w:t>
      </w:r>
      <w:r>
        <w:rPr>
          <w:rFonts w:hint="eastAsia" w:ascii="宋体" w:hAnsi="宋体" w:cs="宋体"/>
          <w:color w:val="000000"/>
          <w:sz w:val="24"/>
          <w:highlight w:val="none"/>
        </w:rPr>
        <w:t>。</w:t>
      </w:r>
    </w:p>
    <w:p w14:paraId="4728C69F">
      <w:pPr>
        <w:tabs>
          <w:tab w:val="left" w:pos="7725"/>
        </w:tabs>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2.2“供应商”指向磋商组织方提交磋商响应文件的投标单位。</w:t>
      </w:r>
    </w:p>
    <w:p w14:paraId="740B3C38">
      <w:pPr>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2.3“采购人”</w:t>
      </w:r>
      <w:r>
        <w:rPr>
          <w:rFonts w:ascii="宋体" w:hAnsi="宋体" w:cs="宋体"/>
          <w:color w:val="000000"/>
          <w:sz w:val="24"/>
          <w:highlight w:val="none"/>
        </w:rPr>
        <w:t>系指依法进行政府采购的国家机关、事业单位、团体组织</w:t>
      </w:r>
      <w:r>
        <w:rPr>
          <w:rFonts w:hint="eastAsia" w:ascii="宋体" w:hAnsi="宋体" w:cs="宋体"/>
          <w:color w:val="000000"/>
          <w:sz w:val="24"/>
          <w:highlight w:val="none"/>
        </w:rPr>
        <w:t>，即：</w:t>
      </w:r>
      <w:r>
        <w:rPr>
          <w:rFonts w:hint="eastAsia" w:ascii="宋体" w:hAnsi="宋体" w:cs="宋体"/>
          <w:b/>
          <w:bCs/>
          <w:color w:val="000000"/>
          <w:sz w:val="24"/>
          <w:highlight w:val="none"/>
          <w:u w:val="single"/>
        </w:rPr>
        <w:t>镇江市医疗保障局。</w:t>
      </w:r>
    </w:p>
    <w:p w14:paraId="2520616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w:t>
      </w:r>
      <w:r>
        <w:rPr>
          <w:rFonts w:ascii="宋体" w:hAnsi="宋体" w:cs="宋体"/>
          <w:color w:val="000000"/>
          <w:sz w:val="24"/>
          <w:highlight w:val="none"/>
        </w:rPr>
        <w:t>“服务”系指本</w:t>
      </w:r>
      <w:r>
        <w:rPr>
          <w:rFonts w:hint="eastAsia" w:ascii="宋体" w:hAnsi="宋体" w:cs="宋体"/>
          <w:color w:val="000000"/>
          <w:sz w:val="24"/>
          <w:highlight w:val="none"/>
        </w:rPr>
        <w:t>磋商文件</w:t>
      </w:r>
      <w:r>
        <w:rPr>
          <w:rFonts w:ascii="宋体" w:hAnsi="宋体" w:cs="宋体"/>
          <w:color w:val="000000"/>
          <w:sz w:val="24"/>
          <w:highlight w:val="none"/>
        </w:rPr>
        <w:t>所述</w:t>
      </w:r>
      <w:r>
        <w:rPr>
          <w:rFonts w:hint="eastAsia" w:ascii="宋体" w:hAnsi="宋体" w:cs="宋体"/>
          <w:color w:val="000000"/>
          <w:sz w:val="24"/>
          <w:highlight w:val="none"/>
        </w:rPr>
        <w:t>供应商</w:t>
      </w:r>
      <w:r>
        <w:rPr>
          <w:rFonts w:ascii="宋体" w:hAnsi="宋体" w:cs="宋体"/>
          <w:color w:val="000000"/>
          <w:sz w:val="24"/>
          <w:highlight w:val="none"/>
        </w:rPr>
        <w:t>应该履行的承诺和义务，</w:t>
      </w:r>
      <w:r>
        <w:rPr>
          <w:rFonts w:ascii="宋体" w:hAnsi="宋体" w:cs="宋体"/>
          <w:color w:val="000000"/>
          <w:spacing w:val="2"/>
          <w:sz w:val="24"/>
          <w:highlight w:val="none"/>
        </w:rPr>
        <w:t>即</w:t>
      </w:r>
      <w:r>
        <w:rPr>
          <w:rFonts w:hint="eastAsia" w:ascii="宋体" w:hAnsi="宋体" w:cs="宋体"/>
          <w:color w:val="000000"/>
          <w:spacing w:val="2"/>
          <w:sz w:val="24"/>
          <w:highlight w:val="none"/>
        </w:rPr>
        <w:t>供应商</w:t>
      </w:r>
      <w:r>
        <w:rPr>
          <w:rFonts w:ascii="宋体" w:hAnsi="宋体" w:cs="宋体"/>
          <w:color w:val="000000"/>
          <w:spacing w:val="-2"/>
          <w:sz w:val="24"/>
          <w:highlight w:val="none"/>
        </w:rPr>
        <w:t>按合</w:t>
      </w:r>
      <w:r>
        <w:rPr>
          <w:rFonts w:ascii="宋体" w:hAnsi="宋体" w:cs="宋体"/>
          <w:color w:val="000000"/>
          <w:spacing w:val="2"/>
          <w:sz w:val="24"/>
          <w:highlight w:val="none"/>
        </w:rPr>
        <w:t>同规定必须提供的</w:t>
      </w:r>
      <w:r>
        <w:rPr>
          <w:rFonts w:hint="eastAsia" w:ascii="宋体" w:hAnsi="宋体" w:cs="宋体"/>
          <w:color w:val="000000"/>
          <w:spacing w:val="2"/>
          <w:sz w:val="24"/>
          <w:highlight w:val="none"/>
        </w:rPr>
        <w:t>医保业务信息系统省端维保</w:t>
      </w:r>
      <w:r>
        <w:rPr>
          <w:rFonts w:hint="eastAsia" w:ascii="宋体" w:hAnsi="宋体" w:cs="宋体"/>
          <w:color w:val="000000"/>
          <w:spacing w:val="2"/>
          <w:sz w:val="24"/>
          <w:highlight w:val="none"/>
          <w:lang w:val="en-US" w:eastAsia="zh-CN"/>
        </w:rPr>
        <w:t>服务</w:t>
      </w:r>
      <w:r>
        <w:rPr>
          <w:rFonts w:hint="eastAsia" w:ascii="宋体" w:hAnsi="宋体" w:cs="宋体"/>
          <w:color w:val="000000"/>
          <w:spacing w:val="2"/>
          <w:sz w:val="24"/>
          <w:highlight w:val="none"/>
        </w:rPr>
        <w:t>及其他类似的承诺义务。服务亦包括磋商文件中特别描述的其它形式的服务</w:t>
      </w:r>
      <w:r>
        <w:rPr>
          <w:rFonts w:ascii="宋体" w:hAnsi="宋体" w:cs="宋体"/>
          <w:color w:val="000000"/>
          <w:spacing w:val="1"/>
          <w:sz w:val="24"/>
          <w:highlight w:val="none"/>
        </w:rPr>
        <w:t>。</w:t>
      </w:r>
    </w:p>
    <w:p w14:paraId="353A684D">
      <w:pPr>
        <w:pStyle w:val="236"/>
        <w:keepNext w:val="0"/>
        <w:keepLines w:val="0"/>
        <w:spacing w:before="0" w:after="0" w:line="360" w:lineRule="auto"/>
        <w:jc w:val="left"/>
        <w:rPr>
          <w:rFonts w:ascii="宋体" w:hAnsi="宋体" w:cs="宋体"/>
          <w:color w:val="000000"/>
          <w:sz w:val="24"/>
          <w:szCs w:val="24"/>
          <w:highlight w:val="none"/>
        </w:rPr>
      </w:pPr>
      <w:bookmarkStart w:id="31" w:name="_Toc105940892"/>
      <w:bookmarkStart w:id="32" w:name="_Toc105940810"/>
      <w:bookmarkStart w:id="33" w:name="_Toc20732971"/>
      <w:bookmarkStart w:id="34" w:name="_Toc98669693"/>
      <w:bookmarkStart w:id="35" w:name="_Toc98669335"/>
      <w:bookmarkStart w:id="36" w:name="_Toc92168004"/>
      <w:bookmarkStart w:id="37" w:name="_Toc100386038"/>
      <w:r>
        <w:rPr>
          <w:rFonts w:hint="eastAsia" w:ascii="宋体" w:hAnsi="宋体" w:cs="宋体"/>
          <w:color w:val="000000"/>
          <w:sz w:val="24"/>
          <w:szCs w:val="24"/>
          <w:highlight w:val="none"/>
        </w:rPr>
        <w:t>3、本次采购方式</w:t>
      </w:r>
      <w:bookmarkEnd w:id="31"/>
      <w:bookmarkEnd w:id="32"/>
    </w:p>
    <w:p w14:paraId="04237D4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3.1本次采购采取竞争性磋商方式☑综合评分法□最低评标价法。</w:t>
      </w:r>
    </w:p>
    <w:p w14:paraId="494636A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3.2本项目资格审查方式：☑资格后审□资格预审。</w:t>
      </w:r>
    </w:p>
    <w:p w14:paraId="0C79F75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3.3本次采购确定的成交供应商数量：1名。</w:t>
      </w:r>
    </w:p>
    <w:p w14:paraId="4888CD2A">
      <w:pPr>
        <w:pStyle w:val="236"/>
        <w:keepNext w:val="0"/>
        <w:keepLines w:val="0"/>
        <w:spacing w:before="0" w:after="0" w:line="360" w:lineRule="auto"/>
        <w:jc w:val="left"/>
        <w:rPr>
          <w:rFonts w:ascii="宋体" w:hAnsi="宋体" w:cs="宋体"/>
          <w:color w:val="000000"/>
          <w:sz w:val="24"/>
          <w:szCs w:val="24"/>
          <w:highlight w:val="none"/>
        </w:rPr>
      </w:pPr>
      <w:bookmarkStart w:id="38" w:name="_Toc105940893"/>
      <w:bookmarkStart w:id="39" w:name="_Toc105940811"/>
      <w:r>
        <w:rPr>
          <w:rFonts w:hint="eastAsia" w:ascii="宋体" w:hAnsi="宋体" w:cs="宋体"/>
          <w:color w:val="000000"/>
          <w:sz w:val="24"/>
          <w:szCs w:val="24"/>
          <w:highlight w:val="none"/>
        </w:rPr>
        <w:t>4、磋商费用</w:t>
      </w:r>
      <w:bookmarkEnd w:id="33"/>
      <w:bookmarkEnd w:id="34"/>
      <w:bookmarkEnd w:id="35"/>
      <w:bookmarkEnd w:id="36"/>
      <w:bookmarkEnd w:id="37"/>
      <w:bookmarkEnd w:id="38"/>
      <w:bookmarkEnd w:id="39"/>
    </w:p>
    <w:p w14:paraId="6E655EFF">
      <w:pPr>
        <w:spacing w:line="360" w:lineRule="auto"/>
        <w:ind w:firstLine="480"/>
        <w:rPr>
          <w:rFonts w:ascii="宋体" w:hAnsi="宋体" w:cs="宋体"/>
          <w:color w:val="000000"/>
          <w:sz w:val="24"/>
          <w:highlight w:val="none"/>
        </w:rPr>
      </w:pPr>
      <w:bookmarkStart w:id="40" w:name="_Toc105940812"/>
      <w:bookmarkStart w:id="41" w:name="_Toc98669336"/>
      <w:bookmarkStart w:id="42" w:name="_Toc20732973"/>
      <w:bookmarkStart w:id="43" w:name="_Toc100386039"/>
      <w:bookmarkStart w:id="44" w:name="_Toc105940894"/>
      <w:bookmarkStart w:id="45" w:name="_Toc98669694"/>
      <w:bookmarkStart w:id="46" w:name="_Toc92168005"/>
      <w:r>
        <w:rPr>
          <w:rFonts w:hint="eastAsia" w:ascii="宋体" w:hAnsi="宋体" w:cs="宋体"/>
          <w:color w:val="000000"/>
          <w:sz w:val="24"/>
          <w:highlight w:val="none"/>
        </w:rPr>
        <w:t>4.1代理服务费</w:t>
      </w:r>
      <w:r>
        <w:rPr>
          <w:rFonts w:hint="eastAsia" w:ascii="宋体" w:hAnsi="宋体" w:cs="宋体"/>
          <w:color w:val="000000"/>
          <w:sz w:val="24"/>
          <w:highlight w:val="none"/>
          <w:lang w:val="en-US" w:eastAsia="zh-CN"/>
        </w:rPr>
        <w:t>及专家评审费由采购人支付</w:t>
      </w:r>
      <w:r>
        <w:rPr>
          <w:rFonts w:hint="eastAsia" w:ascii="宋体" w:hAnsi="宋体" w:cs="宋体"/>
          <w:color w:val="000000"/>
          <w:sz w:val="24"/>
          <w:highlight w:val="none"/>
        </w:rPr>
        <w:t>。</w:t>
      </w:r>
    </w:p>
    <w:p w14:paraId="4E003FEA">
      <w:pPr>
        <w:spacing w:line="360" w:lineRule="auto"/>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收费标准：</w:t>
      </w:r>
      <w:r>
        <w:rPr>
          <w:rFonts w:hint="eastAsia" w:ascii="宋体" w:hAnsi="宋体" w:cs="宋体"/>
          <w:color w:val="000000"/>
          <w:sz w:val="24"/>
          <w:highlight w:val="none"/>
          <w:lang w:val="en-US" w:eastAsia="zh-CN"/>
        </w:rPr>
        <w:t>代理服务费</w:t>
      </w:r>
      <w:r>
        <w:rPr>
          <w:rFonts w:hint="eastAsia" w:ascii="宋体" w:hAnsi="宋体" w:cs="宋体"/>
          <w:color w:val="000000"/>
          <w:sz w:val="24"/>
          <w:highlight w:val="none"/>
        </w:rPr>
        <w:t>参照《关于印发&lt;江苏省政府采购代理服务收费指导意见&gt;的通知》(苏政采协(2024)20号)下浮25%</w:t>
      </w:r>
      <w:r>
        <w:rPr>
          <w:rFonts w:hint="eastAsia" w:ascii="宋体" w:hAnsi="宋体" w:cs="宋体"/>
          <w:color w:val="000000"/>
          <w:sz w:val="24"/>
          <w:highlight w:val="none"/>
          <w:lang w:val="en-US" w:eastAsia="zh-CN"/>
        </w:rPr>
        <w:t>收取。</w:t>
      </w:r>
    </w:p>
    <w:p w14:paraId="22245DA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4.2不论投标的结果如何，采购代理机构在任何情况下均无义务和责任承担上述费用。</w:t>
      </w:r>
    </w:p>
    <w:p w14:paraId="7211447C">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5、</w:t>
      </w:r>
      <w:bookmarkEnd w:id="40"/>
      <w:bookmarkEnd w:id="41"/>
      <w:bookmarkEnd w:id="42"/>
      <w:bookmarkEnd w:id="43"/>
      <w:bookmarkEnd w:id="44"/>
      <w:bookmarkEnd w:id="45"/>
      <w:bookmarkEnd w:id="46"/>
      <w:r>
        <w:rPr>
          <w:rFonts w:hint="eastAsia" w:ascii="宋体" w:hAnsi="宋体" w:cs="宋体"/>
          <w:color w:val="000000"/>
          <w:sz w:val="24"/>
          <w:szCs w:val="24"/>
          <w:highlight w:val="none"/>
        </w:rPr>
        <w:t>政策功能</w:t>
      </w:r>
    </w:p>
    <w:p w14:paraId="3AC9478C">
      <w:pPr>
        <w:pStyle w:val="12"/>
        <w:spacing w:line="460" w:lineRule="exact"/>
        <w:ind w:firstLine="480"/>
        <w:rPr>
          <w:rFonts w:ascii="宋体" w:hAnsi="宋体" w:cs="宋体"/>
          <w:sz w:val="24"/>
          <w:highlight w:val="none"/>
        </w:rPr>
      </w:pPr>
      <w:bookmarkStart w:id="47" w:name="_Toc105940813"/>
      <w:bookmarkStart w:id="48" w:name="_Toc105940895"/>
      <w:r>
        <w:rPr>
          <w:rFonts w:hint="eastAsia" w:ascii="宋体" w:hAnsi="宋体" w:cs="宋体"/>
          <w:sz w:val="24"/>
          <w:highlight w:val="none"/>
        </w:rPr>
        <w:t>5.1支持中小企业发展</w:t>
      </w:r>
    </w:p>
    <w:p w14:paraId="25B3CA15">
      <w:pPr>
        <w:pStyle w:val="12"/>
        <w:spacing w:line="460" w:lineRule="exact"/>
        <w:ind w:firstLine="480"/>
        <w:rPr>
          <w:rFonts w:ascii="宋体" w:hAnsi="宋体" w:cs="宋体"/>
          <w:sz w:val="24"/>
          <w:highlight w:val="none"/>
        </w:rPr>
      </w:pPr>
      <w:r>
        <w:rPr>
          <w:rFonts w:hint="eastAsia" w:ascii="宋体" w:hAnsi="宋体" w:cs="宋体"/>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A4D16F1">
      <w:pPr>
        <w:pStyle w:val="12"/>
        <w:spacing w:line="460" w:lineRule="exact"/>
        <w:ind w:firstLine="480"/>
        <w:rPr>
          <w:rFonts w:ascii="宋体" w:hAnsi="宋体" w:cs="宋体"/>
          <w:sz w:val="24"/>
          <w:highlight w:val="none"/>
        </w:rPr>
      </w:pPr>
      <w:r>
        <w:rPr>
          <w:rFonts w:hint="eastAsia" w:ascii="宋体" w:hAnsi="宋体" w:cs="宋体"/>
          <w:sz w:val="24"/>
          <w:highlight w:val="none"/>
        </w:rPr>
        <w:t>5.1.2在政府采购活动中，供应商提供的货物、工程或者服务符合下列情形的，享受中小企业扶持政策：</w:t>
      </w:r>
    </w:p>
    <w:p w14:paraId="03140AFA">
      <w:pPr>
        <w:pStyle w:val="12"/>
        <w:spacing w:line="460" w:lineRule="exact"/>
        <w:ind w:firstLine="480"/>
        <w:rPr>
          <w:rFonts w:ascii="宋体" w:hAnsi="宋体" w:cs="宋体"/>
          <w:sz w:val="24"/>
          <w:highlight w:val="none"/>
        </w:rPr>
      </w:pPr>
      <w:r>
        <w:rPr>
          <w:rFonts w:hint="eastAsia" w:ascii="宋体" w:hAnsi="宋体" w:cs="宋体"/>
          <w:sz w:val="24"/>
          <w:highlight w:val="none"/>
        </w:rPr>
        <w:t>5.1.2.1在货物采购项目中，货物由中小企业制造，即货物由中小企业生产且使用该中小企业商号或者注册商标；</w:t>
      </w:r>
    </w:p>
    <w:p w14:paraId="3516F652">
      <w:pPr>
        <w:pStyle w:val="12"/>
        <w:spacing w:line="460" w:lineRule="exact"/>
        <w:ind w:firstLine="480"/>
        <w:rPr>
          <w:rFonts w:ascii="宋体" w:hAnsi="宋体" w:cs="宋体"/>
          <w:sz w:val="24"/>
          <w:highlight w:val="none"/>
        </w:rPr>
      </w:pPr>
      <w:r>
        <w:rPr>
          <w:rFonts w:hint="eastAsia" w:ascii="宋体" w:hAnsi="宋体" w:cs="宋体"/>
          <w:sz w:val="24"/>
          <w:highlight w:val="none"/>
        </w:rPr>
        <w:t>5.1.2.2在工程采购项目中，工程由中小企业承建，即工程施工单位为中小企业；</w:t>
      </w:r>
    </w:p>
    <w:p w14:paraId="2E14CD49">
      <w:pPr>
        <w:pStyle w:val="12"/>
        <w:spacing w:line="460" w:lineRule="exact"/>
        <w:ind w:firstLine="480"/>
        <w:rPr>
          <w:rFonts w:ascii="宋体" w:hAnsi="宋体" w:cs="宋体"/>
          <w:sz w:val="24"/>
          <w:highlight w:val="none"/>
        </w:rPr>
      </w:pPr>
      <w:r>
        <w:rPr>
          <w:rFonts w:hint="eastAsia" w:ascii="宋体" w:hAnsi="宋体" w:cs="宋体"/>
          <w:sz w:val="24"/>
          <w:highlight w:val="none"/>
        </w:rPr>
        <w:t>5.1.2.3在服务采购项目中，服务由中小企业承接，即提供服务的人员为中小企业依照《中华人民共和国劳动合同法》订立劳动合同的从业人员。</w:t>
      </w:r>
    </w:p>
    <w:p w14:paraId="0D0D91DF">
      <w:pPr>
        <w:pStyle w:val="12"/>
        <w:spacing w:line="460" w:lineRule="exact"/>
        <w:ind w:firstLine="480"/>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14:paraId="1690B9CE">
      <w:pPr>
        <w:pStyle w:val="12"/>
        <w:spacing w:line="460" w:lineRule="exact"/>
        <w:ind w:firstLine="480"/>
        <w:rPr>
          <w:rFonts w:ascii="宋体" w:hAnsi="宋体" w:cs="宋体"/>
          <w:sz w:val="24"/>
          <w:highlight w:val="none"/>
        </w:rPr>
      </w:pPr>
      <w:r>
        <w:rPr>
          <w:rFonts w:hint="eastAsia" w:ascii="宋体" w:hAnsi="宋体" w:cs="宋体"/>
          <w:sz w:val="24"/>
          <w:highlight w:val="none"/>
        </w:rPr>
        <w:t>以联合体形式参加政府采购活动，联合体各方均为中小企业的，联合体视同中小企业。其中，联合体各方均为小微企业的，联合体视同小微企业。</w:t>
      </w:r>
    </w:p>
    <w:p w14:paraId="0E477E54">
      <w:pPr>
        <w:pStyle w:val="12"/>
        <w:spacing w:line="460" w:lineRule="exact"/>
        <w:ind w:firstLine="480"/>
        <w:rPr>
          <w:rFonts w:ascii="宋体" w:hAnsi="宋体" w:cs="宋体"/>
          <w:sz w:val="24"/>
          <w:highlight w:val="none"/>
        </w:rPr>
      </w:pPr>
      <w:r>
        <w:rPr>
          <w:rFonts w:hint="eastAsia" w:ascii="宋体" w:hAnsi="宋体" w:cs="宋体"/>
          <w:sz w:val="24"/>
          <w:highlight w:val="none"/>
        </w:rPr>
        <w:t>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w:t>
      </w:r>
      <w:r>
        <w:rPr>
          <w:rFonts w:hint="eastAsia" w:ascii="宋体" w:hAnsi="宋体"/>
          <w:sz w:val="24"/>
          <w:highlight w:val="none"/>
        </w:rPr>
        <w:t>与小微企业组成联合体或者允许大中型企业向一家或者多家小微企业分包的采购项目，对于联合协议或者分包意向协议约定小型、微型企业的合同份额占到合同总金额30%以上的，给予联合体3%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7933B858">
      <w:pPr>
        <w:pStyle w:val="12"/>
        <w:spacing w:line="460" w:lineRule="exact"/>
        <w:ind w:firstLine="480"/>
        <w:rPr>
          <w:rFonts w:ascii="宋体" w:hAnsi="宋体" w:cs="宋体"/>
          <w:sz w:val="24"/>
          <w:highlight w:val="none"/>
        </w:rPr>
      </w:pPr>
      <w:r>
        <w:rPr>
          <w:rFonts w:hint="eastAsia" w:ascii="宋体" w:hAnsi="宋体" w:cs="宋体"/>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3FE82EE3">
      <w:pPr>
        <w:pStyle w:val="12"/>
        <w:spacing w:line="460" w:lineRule="exact"/>
        <w:ind w:firstLine="480"/>
        <w:rPr>
          <w:rFonts w:ascii="宋体" w:hAnsi="宋体" w:cs="宋体"/>
          <w:sz w:val="24"/>
          <w:highlight w:val="none"/>
        </w:rPr>
      </w:pPr>
      <w:r>
        <w:rPr>
          <w:rFonts w:hint="eastAsia" w:ascii="宋体" w:hAnsi="宋体" w:cs="宋体"/>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1D2BE80B">
      <w:pPr>
        <w:pStyle w:val="12"/>
        <w:spacing w:line="460" w:lineRule="exact"/>
        <w:ind w:firstLine="480"/>
        <w:rPr>
          <w:rFonts w:ascii="宋体" w:hAnsi="宋体" w:cs="宋体"/>
          <w:sz w:val="24"/>
          <w:highlight w:val="none"/>
        </w:rPr>
      </w:pPr>
      <w:r>
        <w:rPr>
          <w:rFonts w:hint="eastAsia" w:ascii="宋体" w:hAnsi="宋体" w:cs="宋体"/>
          <w:sz w:val="24"/>
          <w:highlight w:val="none"/>
        </w:rPr>
        <w:t>5.1.6中小企业享受扶持政策获得政府采购合同的，小微企业不得将合同分包给大中型企业，中型企业不得将合同分包给大型企业。</w:t>
      </w:r>
    </w:p>
    <w:p w14:paraId="227AC481">
      <w:pPr>
        <w:pStyle w:val="12"/>
        <w:spacing w:line="460" w:lineRule="exact"/>
        <w:ind w:firstLine="480"/>
        <w:rPr>
          <w:rFonts w:ascii="宋体" w:hAnsi="宋体" w:cs="宋体"/>
          <w:sz w:val="24"/>
          <w:highlight w:val="none"/>
        </w:rPr>
      </w:pPr>
      <w:r>
        <w:rPr>
          <w:rFonts w:hint="eastAsia" w:ascii="宋体" w:hAnsi="宋体" w:cs="宋体"/>
          <w:sz w:val="24"/>
          <w:highlight w:val="none"/>
        </w:rPr>
        <w:t>5.2强制采购信息安全产品</w:t>
      </w:r>
    </w:p>
    <w:p w14:paraId="4B674B45">
      <w:pPr>
        <w:pStyle w:val="12"/>
        <w:spacing w:line="460" w:lineRule="exact"/>
        <w:ind w:firstLine="480"/>
        <w:rPr>
          <w:rFonts w:ascii="宋体" w:hAnsi="宋体" w:cs="宋体"/>
          <w:sz w:val="24"/>
          <w:highlight w:val="none"/>
        </w:rPr>
      </w:pPr>
      <w:r>
        <w:rPr>
          <w:rFonts w:hint="eastAsia" w:ascii="宋体" w:hAnsi="宋体" w:cs="宋体"/>
          <w:sz w:val="24"/>
          <w:highlight w:val="none"/>
        </w:rPr>
        <w:t>信息安全产品指国家质检总局国家认监委《信息安全产品强制性认证目录》，并获得强制性产品认证证书的产品。</w:t>
      </w:r>
    </w:p>
    <w:p w14:paraId="02A25DA9">
      <w:pPr>
        <w:pStyle w:val="12"/>
        <w:spacing w:line="460" w:lineRule="exact"/>
        <w:ind w:firstLine="480"/>
        <w:rPr>
          <w:rFonts w:ascii="宋体" w:hAnsi="宋体" w:cs="宋体"/>
          <w:sz w:val="24"/>
          <w:highlight w:val="none"/>
        </w:rPr>
      </w:pPr>
      <w:r>
        <w:rPr>
          <w:rFonts w:hint="eastAsia" w:ascii="宋体" w:hAnsi="宋体" w:cs="宋体"/>
          <w:sz w:val="24"/>
          <w:highlight w:val="none"/>
        </w:rPr>
        <w:t>5.3支持绿色发展</w:t>
      </w:r>
    </w:p>
    <w:p w14:paraId="572E22B5">
      <w:pPr>
        <w:pStyle w:val="12"/>
        <w:spacing w:line="460" w:lineRule="exact"/>
        <w:ind w:firstLine="480"/>
        <w:rPr>
          <w:rFonts w:ascii="宋体" w:hAnsi="宋体" w:cs="宋体"/>
          <w:sz w:val="24"/>
          <w:highlight w:val="none"/>
        </w:rPr>
      </w:pPr>
      <w:r>
        <w:rPr>
          <w:rFonts w:hint="eastAsia" w:ascii="宋体" w:hAnsi="宋体" w:cs="宋体"/>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7267AE0A">
      <w:pPr>
        <w:pStyle w:val="12"/>
        <w:spacing w:line="460" w:lineRule="exact"/>
        <w:ind w:firstLine="480"/>
        <w:rPr>
          <w:rFonts w:ascii="宋体" w:hAnsi="宋体"/>
          <w:sz w:val="24"/>
          <w:highlight w:val="none"/>
        </w:rPr>
      </w:pPr>
      <w:r>
        <w:rPr>
          <w:rFonts w:hint="eastAsia" w:ascii="宋体" w:hAnsi="宋体"/>
          <w:sz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58AEA752">
      <w:pPr>
        <w:pStyle w:val="12"/>
        <w:spacing w:line="460" w:lineRule="exact"/>
        <w:ind w:firstLine="480"/>
        <w:rPr>
          <w:rFonts w:ascii="宋体" w:hAnsi="宋体"/>
          <w:sz w:val="24"/>
          <w:highlight w:val="none"/>
        </w:rPr>
      </w:pPr>
      <w:r>
        <w:rPr>
          <w:rFonts w:hint="eastAsia" w:ascii="宋体" w:hAnsi="宋体"/>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CDB2882">
      <w:pPr>
        <w:pStyle w:val="12"/>
        <w:spacing w:line="460" w:lineRule="exact"/>
        <w:ind w:firstLine="480"/>
        <w:rPr>
          <w:rFonts w:ascii="宋体" w:hAnsi="宋体"/>
          <w:sz w:val="24"/>
          <w:highlight w:val="none"/>
        </w:rPr>
      </w:pPr>
      <w:r>
        <w:rPr>
          <w:rFonts w:hint="eastAsia" w:ascii="宋体" w:hAnsi="宋体"/>
          <w:sz w:val="24"/>
          <w:highlight w:val="none"/>
        </w:rPr>
        <w:t>5.3.4采购人采购数据中心相关设备、运维服务，按照《绿色数据中心政府采购需求标准（试行）》实施相关采购活动。</w:t>
      </w:r>
    </w:p>
    <w:p w14:paraId="04C00F56">
      <w:pPr>
        <w:pStyle w:val="12"/>
        <w:spacing w:line="460" w:lineRule="exact"/>
        <w:ind w:firstLine="480"/>
        <w:rPr>
          <w:rFonts w:ascii="宋体" w:hAnsi="宋体" w:cs="宋体"/>
          <w:sz w:val="24"/>
          <w:highlight w:val="none"/>
        </w:rPr>
      </w:pPr>
      <w:r>
        <w:rPr>
          <w:rFonts w:hint="eastAsia" w:ascii="宋体" w:hAnsi="宋体"/>
          <w:sz w:val="24"/>
          <w:highlight w:val="none"/>
        </w:rPr>
        <w:t>5.4 根据国家扶持中小企业的有关政策，采购项目中标人在履约过程中如遇到资金困难，凭政府采购合同在相关金融机构办理授信申请，相关事宜请查阅“镇江市公共资源交易平台”网站。</w:t>
      </w:r>
    </w:p>
    <w:p w14:paraId="3535542E">
      <w:pPr>
        <w:pStyle w:val="12"/>
        <w:spacing w:line="460" w:lineRule="exact"/>
        <w:ind w:firstLine="480"/>
        <w:rPr>
          <w:rFonts w:ascii="宋体" w:hAnsi="宋体"/>
          <w:sz w:val="24"/>
          <w:highlight w:val="none"/>
        </w:rPr>
      </w:pPr>
      <w:r>
        <w:rPr>
          <w:rFonts w:hint="eastAsia" w:ascii="宋体" w:hAnsi="宋体"/>
          <w:sz w:val="24"/>
          <w:highlight w:val="none"/>
        </w:rPr>
        <w:t>5.5支持创新发展</w:t>
      </w:r>
    </w:p>
    <w:p w14:paraId="0E90FBED">
      <w:pPr>
        <w:pStyle w:val="12"/>
        <w:spacing w:line="460" w:lineRule="exact"/>
        <w:ind w:firstLine="480"/>
        <w:rPr>
          <w:rFonts w:ascii="宋体" w:hAnsi="宋体"/>
          <w:sz w:val="24"/>
          <w:highlight w:val="none"/>
        </w:rPr>
      </w:pPr>
      <w:r>
        <w:rPr>
          <w:rFonts w:hint="eastAsia" w:ascii="宋体" w:hAnsi="宋体"/>
          <w:sz w:val="24"/>
          <w:highlight w:val="none"/>
        </w:rPr>
        <w:t>5.5.1采购人优先采购被认定为重点推广应用、首台（套）重大装备、重点领域首版次软件的自主创新产品。</w:t>
      </w:r>
    </w:p>
    <w:p w14:paraId="65BCAA28">
      <w:pPr>
        <w:pStyle w:val="12"/>
        <w:spacing w:line="460" w:lineRule="exact"/>
        <w:ind w:firstLine="480"/>
        <w:rPr>
          <w:rFonts w:ascii="宋体" w:hAnsi="宋体"/>
          <w:sz w:val="24"/>
          <w:highlight w:val="none"/>
        </w:rPr>
      </w:pPr>
      <w:r>
        <w:rPr>
          <w:rFonts w:hint="eastAsia" w:ascii="宋体" w:hAnsi="宋体"/>
          <w:sz w:val="24"/>
          <w:highlight w:val="none"/>
        </w:rPr>
        <w:t>5.6平等对待内外资企业和符合条件的破产重整企业</w:t>
      </w:r>
    </w:p>
    <w:p w14:paraId="5F1ECCE0">
      <w:pPr>
        <w:pStyle w:val="12"/>
        <w:spacing w:line="460" w:lineRule="exact"/>
        <w:ind w:firstLine="480"/>
        <w:rPr>
          <w:rFonts w:ascii="宋体" w:hAnsi="宋体" w:cs="宋体"/>
          <w:sz w:val="24"/>
          <w:highlight w:val="none"/>
        </w:rPr>
      </w:pPr>
      <w:r>
        <w:rPr>
          <w:rFonts w:hint="eastAsia" w:ascii="宋体" w:hAnsi="宋体"/>
          <w:sz w:val="24"/>
          <w:highlight w:val="none"/>
        </w:rPr>
        <w:t>5.6.1平等对待内外资企业和符合条件的破产重整企业，切实保障企业公平竞争，平等维护企业的合法利益。</w:t>
      </w:r>
    </w:p>
    <w:p w14:paraId="796A59F1">
      <w:pPr>
        <w:pStyle w:val="12"/>
        <w:spacing w:line="460" w:lineRule="exact"/>
        <w:ind w:firstLine="480"/>
        <w:rPr>
          <w:rFonts w:ascii="宋体" w:hAnsi="宋体" w:cs="宋体"/>
          <w:sz w:val="24"/>
          <w:highlight w:val="none"/>
        </w:rPr>
      </w:pPr>
      <w:r>
        <w:rPr>
          <w:rFonts w:hint="eastAsia" w:ascii="宋体" w:hAnsi="宋体" w:cs="宋体"/>
          <w:sz w:val="24"/>
          <w:highlight w:val="none"/>
        </w:rPr>
        <w:t>5.7实施本国产品标准及相关政策</w:t>
      </w:r>
    </w:p>
    <w:p w14:paraId="0B687E3F">
      <w:pPr>
        <w:pStyle w:val="12"/>
        <w:spacing w:line="460" w:lineRule="exact"/>
        <w:ind w:firstLine="480"/>
        <w:rPr>
          <w:rFonts w:ascii="宋体" w:hAnsi="宋体" w:cs="宋体"/>
          <w:sz w:val="24"/>
          <w:highlight w:val="none"/>
        </w:rPr>
      </w:pPr>
      <w:r>
        <w:rPr>
          <w:rFonts w:hint="eastAsia" w:ascii="宋体" w:hAnsi="宋体" w:cs="宋体"/>
          <w:sz w:val="24"/>
          <w:highlight w:val="none"/>
        </w:rPr>
        <w:t>5.7.1认定标准</w:t>
      </w:r>
    </w:p>
    <w:p w14:paraId="2BD1FD53">
      <w:pPr>
        <w:pStyle w:val="12"/>
        <w:spacing w:line="460" w:lineRule="exact"/>
        <w:ind w:firstLine="480"/>
        <w:rPr>
          <w:rFonts w:ascii="宋体" w:hAnsi="宋体" w:cs="宋体"/>
          <w:sz w:val="24"/>
          <w:highlight w:val="none"/>
        </w:rPr>
      </w:pPr>
      <w:r>
        <w:rPr>
          <w:rFonts w:hint="eastAsia" w:ascii="宋体" w:hAnsi="宋体" w:cs="宋体"/>
          <w:sz w:val="24"/>
          <w:highlight w:val="none"/>
        </w:rPr>
        <w:t>本国产品应当符合以下条件：</w:t>
      </w:r>
    </w:p>
    <w:p w14:paraId="0F378CC9">
      <w:pPr>
        <w:pStyle w:val="12"/>
        <w:spacing w:line="460" w:lineRule="exact"/>
        <w:ind w:firstLine="480"/>
        <w:rPr>
          <w:rFonts w:ascii="宋体" w:hAnsi="宋体" w:cs="宋体"/>
          <w:sz w:val="24"/>
          <w:highlight w:val="none"/>
        </w:rPr>
      </w:pPr>
      <w:r>
        <w:rPr>
          <w:rFonts w:hint="eastAsia" w:ascii="宋体" w:hAnsi="宋体" w:cs="宋体"/>
          <w:sz w:val="24"/>
          <w:highlight w:val="none"/>
        </w:rPr>
        <w:t>（一）在中国境内生产</w:t>
      </w:r>
    </w:p>
    <w:p w14:paraId="6F93D80A">
      <w:pPr>
        <w:pStyle w:val="12"/>
        <w:spacing w:line="460" w:lineRule="exact"/>
        <w:ind w:firstLine="480"/>
        <w:rPr>
          <w:rFonts w:ascii="宋体" w:hAnsi="宋体" w:cs="宋体"/>
          <w:sz w:val="24"/>
          <w:highlight w:val="none"/>
        </w:rPr>
      </w:pPr>
      <w:r>
        <w:rPr>
          <w:rFonts w:hint="eastAsia" w:ascii="宋体" w:hAnsi="宋体" w:cs="宋体"/>
          <w:sz w:val="24"/>
          <w:highlight w:val="none"/>
        </w:rPr>
        <w:t>产品应当在中国境内生产，即在中华人民共和国关境内实现从原材料、组件到产品的属性改变。</w:t>
      </w:r>
    </w:p>
    <w:p w14:paraId="55AEC40E">
      <w:pPr>
        <w:pStyle w:val="12"/>
        <w:spacing w:line="460" w:lineRule="exact"/>
        <w:ind w:firstLine="480"/>
        <w:rPr>
          <w:rFonts w:ascii="宋体" w:hAnsi="宋体" w:cs="宋体"/>
          <w:sz w:val="24"/>
          <w:highlight w:val="none"/>
        </w:rPr>
      </w:pPr>
      <w:r>
        <w:rPr>
          <w:rFonts w:hint="eastAsia" w:ascii="宋体" w:hAnsi="宋体" w:cs="宋体"/>
          <w:sz w:val="24"/>
          <w:highlight w:val="none"/>
        </w:rPr>
        <w:t>属性改变是指经过制造、加工或者组装等工序，产生完全不同于原材料、组件的新产品，并具有新的名称和特征（用途）。属性改变不包括以下细微操作：</w:t>
      </w:r>
    </w:p>
    <w:p w14:paraId="375E8938">
      <w:pPr>
        <w:pStyle w:val="12"/>
        <w:spacing w:line="460" w:lineRule="exact"/>
        <w:ind w:firstLine="480"/>
        <w:rPr>
          <w:rFonts w:ascii="宋体" w:hAnsi="宋体" w:cs="宋体"/>
          <w:sz w:val="24"/>
          <w:highlight w:val="none"/>
        </w:rPr>
      </w:pPr>
      <w:r>
        <w:rPr>
          <w:rFonts w:hint="eastAsia" w:ascii="宋体" w:hAnsi="宋体" w:cs="宋体"/>
          <w:sz w:val="24"/>
          <w:highlight w:val="none"/>
        </w:rPr>
        <w:t>1.为确保产品在运输或者储存期间保持某种状态而进行的操作；</w:t>
      </w:r>
    </w:p>
    <w:p w14:paraId="3464EB81">
      <w:pPr>
        <w:pStyle w:val="12"/>
        <w:spacing w:line="460" w:lineRule="exact"/>
        <w:ind w:firstLine="480"/>
        <w:rPr>
          <w:rFonts w:ascii="宋体" w:hAnsi="宋体" w:cs="宋体"/>
          <w:sz w:val="24"/>
          <w:highlight w:val="none"/>
        </w:rPr>
      </w:pPr>
      <w:r>
        <w:rPr>
          <w:rFonts w:hint="eastAsia" w:ascii="宋体" w:hAnsi="宋体" w:cs="宋体"/>
          <w:sz w:val="24"/>
          <w:highlight w:val="none"/>
        </w:rPr>
        <w:t>2.为产品运输或者销售进行的包装或者展示；</w:t>
      </w:r>
    </w:p>
    <w:p w14:paraId="1C3853E3">
      <w:pPr>
        <w:pStyle w:val="12"/>
        <w:spacing w:line="460" w:lineRule="exact"/>
        <w:ind w:firstLine="480"/>
        <w:rPr>
          <w:rFonts w:ascii="宋体" w:hAnsi="宋体" w:cs="宋体"/>
          <w:sz w:val="24"/>
          <w:highlight w:val="none"/>
        </w:rPr>
      </w:pPr>
      <w:r>
        <w:rPr>
          <w:rFonts w:hint="eastAsia" w:ascii="宋体" w:hAnsi="宋体" w:cs="宋体"/>
          <w:sz w:val="24"/>
          <w:highlight w:val="none"/>
        </w:rPr>
        <w:t>3.在产品或者其包装上粘贴或者印刷品牌、标志、标识以及其他用于区别的标记；</w:t>
      </w:r>
    </w:p>
    <w:p w14:paraId="3A8AEFE7">
      <w:pPr>
        <w:pStyle w:val="12"/>
        <w:spacing w:line="460" w:lineRule="exact"/>
        <w:ind w:firstLine="480"/>
        <w:rPr>
          <w:rFonts w:ascii="宋体" w:hAnsi="宋体" w:cs="宋体"/>
          <w:sz w:val="24"/>
          <w:highlight w:val="none"/>
        </w:rPr>
      </w:pPr>
      <w:r>
        <w:rPr>
          <w:rFonts w:hint="eastAsia" w:ascii="宋体" w:hAnsi="宋体" w:cs="宋体"/>
          <w:sz w:val="24"/>
          <w:highlight w:val="none"/>
        </w:rPr>
        <w:t>4.简单的上漆、磨光和分装；</w:t>
      </w:r>
    </w:p>
    <w:p w14:paraId="4481516C">
      <w:pPr>
        <w:pStyle w:val="12"/>
        <w:spacing w:line="460" w:lineRule="exact"/>
        <w:ind w:firstLine="480"/>
        <w:rPr>
          <w:rFonts w:ascii="宋体" w:hAnsi="宋体" w:cs="宋体"/>
          <w:sz w:val="24"/>
          <w:highlight w:val="none"/>
        </w:rPr>
      </w:pPr>
      <w:r>
        <w:rPr>
          <w:rFonts w:hint="eastAsia" w:ascii="宋体" w:hAnsi="宋体" w:cs="宋体"/>
          <w:sz w:val="24"/>
          <w:highlight w:val="none"/>
        </w:rPr>
        <w:t>5.其他不属于属性改变的情形。</w:t>
      </w:r>
    </w:p>
    <w:p w14:paraId="4DC1964C">
      <w:pPr>
        <w:pStyle w:val="12"/>
        <w:spacing w:line="460" w:lineRule="exact"/>
        <w:ind w:firstLine="480"/>
        <w:rPr>
          <w:rFonts w:ascii="宋体" w:hAnsi="宋体" w:cs="宋体"/>
          <w:sz w:val="24"/>
          <w:highlight w:val="none"/>
        </w:rPr>
      </w:pPr>
      <w:r>
        <w:rPr>
          <w:rFonts w:hint="eastAsia" w:ascii="宋体" w:hAnsi="宋体" w:cs="宋体"/>
          <w:sz w:val="24"/>
          <w:highlight w:val="none"/>
        </w:rPr>
        <w:t>（二）在中国境内生产的组件成本占比达到规定比例</w:t>
      </w:r>
    </w:p>
    <w:p w14:paraId="043EE21F">
      <w:pPr>
        <w:pStyle w:val="12"/>
        <w:spacing w:line="460" w:lineRule="exact"/>
        <w:ind w:firstLine="480" w:firstLineChars="200"/>
        <w:rPr>
          <w:rFonts w:ascii="宋体" w:hAnsi="宋体"/>
          <w:sz w:val="24"/>
          <w:highlight w:val="none"/>
        </w:rPr>
      </w:pPr>
      <w:r>
        <w:rPr>
          <w:rFonts w:hint="eastAsia" w:ascii="宋体" w:hAnsi="宋体"/>
          <w:sz w:val="24"/>
          <w:highlight w:val="none"/>
        </w:rPr>
        <w:t>产品在中国境内生产的组件成本占比应当达到规定比例，计算公式为：</w:t>
      </w:r>
    </w:p>
    <w:p w14:paraId="1C7974ED">
      <w:pPr>
        <w:spacing w:line="360" w:lineRule="auto"/>
        <w:ind w:firstLine="480"/>
        <w:rPr>
          <w:rFonts w:hAnsi="Cambria Math"/>
          <w:bCs/>
          <w:color w:val="0000FF"/>
          <w:sz w:val="24"/>
          <w:highlight w:val="none"/>
        </w:rPr>
      </w:pPr>
      <m:oMathPara>
        <m:oMath>
          <m:f>
            <m:fPr>
              <m:ctrlPr>
                <w:rPr>
                  <w:rFonts w:hint="eastAsia" w:ascii="Cambria Math" w:hAnsi="Cambria Math" w:cs="宋体"/>
                  <w:bCs/>
                  <w:iCs/>
                  <w:sz w:val="24"/>
                  <w:highlight w:val="none"/>
                </w:rPr>
              </m:ctrlPr>
            </m:fPr>
            <m:num>
              <m:r>
                <m:rPr>
                  <m:sty m:val="p"/>
                </m:rPr>
                <w:rPr>
                  <w:rFonts w:hint="eastAsia" w:ascii="Cambria Math" w:hAnsi="Cambria Math" w:cs="宋体"/>
                  <w:sz w:val="24"/>
                  <w:highlight w:val="none"/>
                </w:rPr>
                <m:t>产品在中国境内生产的组件成本</m:t>
              </m:r>
              <m:ctrlPr>
                <w:rPr>
                  <w:rFonts w:hint="eastAsia" w:ascii="Cambria Math" w:hAnsi="Cambria Math" w:cs="宋体"/>
                  <w:bCs/>
                  <w:iCs/>
                  <w:sz w:val="24"/>
                  <w:highlight w:val="none"/>
                </w:rPr>
              </m:ctrlPr>
            </m:num>
            <m:den>
              <m:r>
                <m:rPr>
                  <m:sty m:val="p"/>
                </m:rPr>
                <w:rPr>
                  <w:rFonts w:hint="eastAsia" w:ascii="Cambria Math" w:hAnsi="Cambria Math" w:cs="宋体"/>
                  <w:sz w:val="24"/>
                  <w:highlight w:val="none"/>
                </w:rPr>
                <m:t>产品总成本</m:t>
              </m:r>
              <m:ctrlPr>
                <w:rPr>
                  <w:rFonts w:hint="eastAsia" w:ascii="Cambria Math" w:hAnsi="Cambria Math" w:cs="宋体"/>
                  <w:bCs/>
                  <w:iCs/>
                  <w:sz w:val="24"/>
                  <w:highlight w:val="none"/>
                </w:rPr>
              </m:ctrlPr>
            </m:den>
          </m:f>
          <m:r>
            <m:rPr>
              <m:sty m:val="p"/>
            </m:rPr>
            <w:rPr>
              <w:rFonts w:hint="eastAsia" w:ascii="Cambria Math" w:hAnsi="Cambria Math" w:cs="宋体"/>
              <w:sz w:val="24"/>
              <w:highlight w:val="none"/>
            </w:rPr>
            <m:t>≥规定比例</m:t>
          </m:r>
        </m:oMath>
      </m:oMathPara>
    </w:p>
    <w:p w14:paraId="089BA487">
      <w:pPr>
        <w:pStyle w:val="12"/>
        <w:spacing w:line="460" w:lineRule="exact"/>
        <w:ind w:firstLine="480" w:firstLineChars="200"/>
        <w:rPr>
          <w:rFonts w:ascii="宋体" w:hAnsi="宋体"/>
          <w:sz w:val="24"/>
          <w:highlight w:val="none"/>
        </w:rPr>
      </w:pPr>
      <w:r>
        <w:rPr>
          <w:rFonts w:hint="eastAsia" w:ascii="宋体" w:hAnsi="宋体"/>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371C867D">
      <w:pPr>
        <w:pStyle w:val="12"/>
        <w:spacing w:line="460" w:lineRule="exact"/>
        <w:ind w:firstLine="480"/>
        <w:rPr>
          <w:rFonts w:ascii="宋体" w:hAnsi="宋体" w:cs="宋体"/>
          <w:sz w:val="24"/>
          <w:highlight w:val="none"/>
        </w:rPr>
      </w:pPr>
      <w:r>
        <w:rPr>
          <w:rFonts w:hint="eastAsia" w:ascii="宋体" w:hAnsi="宋体" w:cs="宋体"/>
          <w:sz w:val="24"/>
          <w:highlight w:val="none"/>
        </w:rPr>
        <w:t>（三）特定产品的关键组件、关键工序符合相关要求</w:t>
      </w:r>
    </w:p>
    <w:p w14:paraId="564D2122">
      <w:pPr>
        <w:pStyle w:val="12"/>
        <w:spacing w:line="460" w:lineRule="exact"/>
        <w:ind w:firstLine="480"/>
        <w:rPr>
          <w:rFonts w:ascii="宋体" w:hAnsi="宋体" w:cs="宋体"/>
          <w:sz w:val="24"/>
          <w:highlight w:val="none"/>
        </w:rPr>
      </w:pPr>
      <w:r>
        <w:rPr>
          <w:rFonts w:hint="eastAsia" w:ascii="宋体" w:hAnsi="宋体" w:cs="宋体"/>
          <w:sz w:val="24"/>
          <w:highlight w:val="none"/>
        </w:rPr>
        <w:t>对特定产品，在符合本通知第一条第（一）项和第（二）项条件的基础上，应当符合财政部会同有关行业主管部门确定的其关键组件、关键工序在中国境内生产、完成等要求。</w:t>
      </w:r>
    </w:p>
    <w:p w14:paraId="3AD0BC82">
      <w:pPr>
        <w:pStyle w:val="12"/>
        <w:spacing w:line="460" w:lineRule="exact"/>
        <w:ind w:firstLine="480"/>
        <w:rPr>
          <w:rFonts w:ascii="宋体" w:hAnsi="宋体" w:cs="宋体"/>
          <w:sz w:val="24"/>
          <w:highlight w:val="none"/>
        </w:rPr>
      </w:pPr>
      <w:r>
        <w:rPr>
          <w:rFonts w:hint="eastAsia" w:ascii="宋体" w:hAnsi="宋体" w:cs="宋体"/>
          <w:sz w:val="24"/>
          <w:highlight w:val="no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597E949">
      <w:pPr>
        <w:pStyle w:val="12"/>
        <w:spacing w:line="460" w:lineRule="exact"/>
        <w:ind w:firstLine="480"/>
        <w:rPr>
          <w:rFonts w:ascii="宋体" w:hAnsi="宋体" w:cs="宋体"/>
          <w:sz w:val="24"/>
          <w:highlight w:val="none"/>
        </w:rPr>
      </w:pPr>
      <w:r>
        <w:rPr>
          <w:rFonts w:hint="eastAsia" w:ascii="宋体" w:hAnsi="宋体" w:cs="宋体"/>
          <w:sz w:val="24"/>
          <w:highlight w:val="none"/>
        </w:rPr>
        <w:t>5.7.2适用范围</w:t>
      </w:r>
    </w:p>
    <w:p w14:paraId="78D2639B">
      <w:pPr>
        <w:pStyle w:val="12"/>
        <w:spacing w:line="460" w:lineRule="exact"/>
        <w:ind w:firstLine="480"/>
        <w:rPr>
          <w:rFonts w:ascii="宋体" w:hAnsi="宋体" w:cs="宋体"/>
          <w:sz w:val="24"/>
          <w:highlight w:val="none"/>
        </w:rPr>
      </w:pPr>
      <w:r>
        <w:rPr>
          <w:rFonts w:hint="eastAsia" w:ascii="宋体" w:hAnsi="宋体" w:cs="宋体"/>
          <w:sz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8352F8B">
      <w:pPr>
        <w:pStyle w:val="12"/>
        <w:spacing w:line="460" w:lineRule="exact"/>
        <w:ind w:firstLine="480"/>
        <w:rPr>
          <w:rFonts w:ascii="宋体" w:hAnsi="宋体"/>
          <w:sz w:val="24"/>
          <w:highlight w:val="none"/>
        </w:rPr>
      </w:pPr>
      <w:r>
        <w:rPr>
          <w:rFonts w:hint="eastAsia" w:ascii="宋体" w:hAnsi="宋体"/>
          <w:sz w:val="24"/>
          <w:highlight w:val="none"/>
        </w:rPr>
        <w:t>5.7.3对本国产品的支持政策</w:t>
      </w:r>
    </w:p>
    <w:p w14:paraId="77E603C7">
      <w:pPr>
        <w:pStyle w:val="12"/>
        <w:spacing w:line="460" w:lineRule="exact"/>
        <w:ind w:firstLine="480"/>
        <w:rPr>
          <w:rFonts w:ascii="宋体" w:hAnsi="宋体" w:cs="宋体"/>
          <w:sz w:val="24"/>
          <w:highlight w:val="none"/>
        </w:rPr>
      </w:pPr>
      <w:r>
        <w:rPr>
          <w:rFonts w:hint="eastAsia" w:ascii="宋体" w:hAnsi="宋体"/>
          <w:sz w:val="24"/>
          <w:highlight w:val="none"/>
        </w:rPr>
        <w:t>政府采购活动中既有本国产品又有非本国产品参与竞争的，依法对本国产</w:t>
      </w:r>
      <w:r>
        <w:rPr>
          <w:rFonts w:hint="eastAsia" w:ascii="宋体" w:hAnsi="宋体" w:cs="宋体"/>
          <w:sz w:val="24"/>
          <w:highlight w:val="none"/>
        </w:rPr>
        <w:t>品给予价格评审优惠，对本国产品的报价给予20%的价格扣除，用扣除后的价格参与评审。</w:t>
      </w:r>
    </w:p>
    <w:p w14:paraId="2B6AD340">
      <w:pPr>
        <w:pStyle w:val="12"/>
        <w:spacing w:line="460" w:lineRule="exact"/>
        <w:ind w:firstLine="480"/>
        <w:rPr>
          <w:rFonts w:ascii="宋体" w:hAnsi="宋体" w:cs="宋体"/>
          <w:sz w:val="24"/>
          <w:highlight w:val="none"/>
        </w:rPr>
      </w:pPr>
      <w:r>
        <w:rPr>
          <w:rFonts w:hint="eastAsia" w:ascii="宋体" w:hAnsi="宋体" w:cs="宋体"/>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E7D87CE">
      <w:pPr>
        <w:pStyle w:val="12"/>
        <w:spacing w:line="460" w:lineRule="exact"/>
        <w:ind w:firstLine="480"/>
        <w:rPr>
          <w:rFonts w:ascii="宋体" w:hAnsi="宋体" w:cs="宋体"/>
          <w:sz w:val="24"/>
          <w:highlight w:val="none"/>
        </w:rPr>
      </w:pPr>
      <w:r>
        <w:rPr>
          <w:rFonts w:hint="eastAsia" w:ascii="宋体" w:hAnsi="宋体" w:cs="宋体"/>
          <w:sz w:val="24"/>
          <w:highlight w:val="none"/>
        </w:rPr>
        <w:t>5.7.4书面澄清、说明或者补正</w:t>
      </w:r>
    </w:p>
    <w:p w14:paraId="617F4F8D">
      <w:pPr>
        <w:pStyle w:val="12"/>
        <w:spacing w:line="460" w:lineRule="exact"/>
        <w:ind w:firstLine="480"/>
        <w:rPr>
          <w:rFonts w:ascii="宋体" w:hAnsi="宋体" w:cs="宋体"/>
          <w:color w:val="000000"/>
          <w:sz w:val="24"/>
          <w:highlight w:val="none"/>
        </w:rPr>
      </w:pPr>
      <w:r>
        <w:rPr>
          <w:rFonts w:hint="eastAsia" w:ascii="宋体" w:hAnsi="宋体" w:cs="宋体"/>
          <w:sz w:val="24"/>
          <w:highlight w:val="none"/>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14:paraId="0AB2FB5D">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二、磋商文件</w:t>
      </w:r>
      <w:bookmarkEnd w:id="47"/>
      <w:bookmarkEnd w:id="48"/>
    </w:p>
    <w:p w14:paraId="21BDC641">
      <w:pPr>
        <w:pStyle w:val="236"/>
        <w:keepNext w:val="0"/>
        <w:keepLines w:val="0"/>
        <w:spacing w:before="0" w:after="0" w:line="360" w:lineRule="auto"/>
        <w:jc w:val="left"/>
        <w:rPr>
          <w:rFonts w:ascii="宋体" w:hAnsi="宋体" w:cs="宋体"/>
          <w:color w:val="000000"/>
          <w:sz w:val="24"/>
          <w:szCs w:val="24"/>
          <w:highlight w:val="none"/>
        </w:rPr>
      </w:pPr>
      <w:bookmarkStart w:id="49" w:name="_Toc20732975"/>
      <w:bookmarkStart w:id="50" w:name="_Toc98669696"/>
      <w:bookmarkStart w:id="51" w:name="_Toc100386041"/>
      <w:bookmarkStart w:id="52" w:name="_Toc105940896"/>
      <w:bookmarkStart w:id="53" w:name="_Toc98669338"/>
      <w:bookmarkStart w:id="54" w:name="_Toc92168007"/>
      <w:bookmarkStart w:id="55" w:name="_Toc105940814"/>
      <w:r>
        <w:rPr>
          <w:rFonts w:hint="eastAsia" w:ascii="宋体" w:hAnsi="宋体" w:cs="宋体"/>
          <w:color w:val="000000"/>
          <w:sz w:val="24"/>
          <w:szCs w:val="24"/>
          <w:highlight w:val="none"/>
        </w:rPr>
        <w:t>6、磋商文件构成</w:t>
      </w:r>
      <w:bookmarkEnd w:id="49"/>
      <w:bookmarkEnd w:id="50"/>
      <w:bookmarkEnd w:id="51"/>
      <w:bookmarkEnd w:id="52"/>
      <w:bookmarkEnd w:id="53"/>
      <w:bookmarkEnd w:id="54"/>
      <w:bookmarkEnd w:id="55"/>
      <w:r>
        <w:rPr>
          <w:rFonts w:hint="eastAsia" w:ascii="宋体" w:hAnsi="宋体" w:cs="宋体"/>
          <w:color w:val="000000"/>
          <w:sz w:val="24"/>
          <w:szCs w:val="24"/>
          <w:highlight w:val="none"/>
        </w:rPr>
        <w:tab/>
      </w:r>
    </w:p>
    <w:p w14:paraId="16F678F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6.1磋商文件包括：</w:t>
      </w:r>
    </w:p>
    <w:p w14:paraId="224D6CB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（1）磋商邀请；</w:t>
      </w:r>
    </w:p>
    <w:p w14:paraId="2A28546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（2）供应商须知；</w:t>
      </w:r>
    </w:p>
    <w:p w14:paraId="0AE17AC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（3）拟签订的合同文本；</w:t>
      </w:r>
    </w:p>
    <w:p w14:paraId="1C7280B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（4）项目需求；</w:t>
      </w:r>
    </w:p>
    <w:p w14:paraId="050280C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（5）评标办法和标准；</w:t>
      </w:r>
    </w:p>
    <w:p w14:paraId="5731911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（6）磋商响应文件（格式）；</w:t>
      </w:r>
    </w:p>
    <w:p w14:paraId="5DE6C0CD">
      <w:pPr>
        <w:spacing w:line="360" w:lineRule="auto"/>
        <w:ind w:firstLine="361"/>
        <w:rPr>
          <w:rFonts w:ascii="宋体" w:hAnsi="宋体" w:cs="宋体"/>
          <w:b/>
          <w:color w:val="000000"/>
          <w:sz w:val="24"/>
          <w:highlight w:val="none"/>
        </w:rPr>
      </w:pPr>
      <w:r>
        <w:rPr>
          <w:rFonts w:hint="eastAsia" w:ascii="宋体" w:hAnsi="宋体" w:cs="宋体"/>
          <w:b/>
          <w:color w:val="000000"/>
          <w:sz w:val="24"/>
          <w:highlight w:val="none"/>
          <w:u w:val="single"/>
        </w:rPr>
        <w:t>请仔细检查磋商文件是否齐全，如有缺漏请立即与磋商组织方联系解决</w:t>
      </w:r>
      <w:r>
        <w:rPr>
          <w:rFonts w:hint="eastAsia" w:ascii="宋体" w:hAnsi="宋体" w:cs="宋体"/>
          <w:b/>
          <w:color w:val="000000"/>
          <w:sz w:val="24"/>
          <w:highlight w:val="none"/>
        </w:rPr>
        <w:t>。</w:t>
      </w:r>
    </w:p>
    <w:p w14:paraId="1AF6118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6.2供应商</w:t>
      </w:r>
      <w:r>
        <w:rPr>
          <w:rFonts w:ascii="宋体" w:hAnsi="宋体" w:cs="宋体"/>
          <w:color w:val="000000"/>
          <w:sz w:val="24"/>
          <w:highlight w:val="none"/>
        </w:rPr>
        <w:t>获取本文件后，应认真阅读本文件中所有的事项、格式条款和规范等要求。</w:t>
      </w:r>
    </w:p>
    <w:p w14:paraId="2D7AAB55">
      <w:pPr>
        <w:spacing w:line="360" w:lineRule="auto"/>
        <w:ind w:firstLine="480"/>
        <w:rPr>
          <w:rFonts w:eastAsia="楷体_GB2312"/>
          <w:color w:val="000000"/>
          <w:sz w:val="24"/>
          <w:highlight w:val="none"/>
        </w:rPr>
      </w:pPr>
      <w:r>
        <w:rPr>
          <w:rFonts w:hint="eastAsia" w:ascii="宋体" w:hAnsi="宋体" w:cs="宋体"/>
          <w:color w:val="000000"/>
          <w:sz w:val="24"/>
          <w:highlight w:val="none"/>
        </w:rPr>
        <w:t>6.3</w:t>
      </w:r>
      <w:r>
        <w:rPr>
          <w:rFonts w:ascii="宋体" w:hAnsi="宋体" w:cs="宋体"/>
          <w:b/>
          <w:color w:val="000000"/>
          <w:sz w:val="24"/>
          <w:highlight w:val="none"/>
          <w:u w:val="single"/>
        </w:rPr>
        <w:t>除非有特殊要求，</w:t>
      </w:r>
      <w:r>
        <w:rPr>
          <w:rFonts w:hint="eastAsia" w:ascii="宋体" w:hAnsi="宋体" w:cs="宋体"/>
          <w:b/>
          <w:color w:val="000000"/>
          <w:sz w:val="24"/>
          <w:highlight w:val="none"/>
          <w:u w:val="single"/>
        </w:rPr>
        <w:t>磋商文件</w:t>
      </w:r>
      <w:r>
        <w:rPr>
          <w:rFonts w:ascii="宋体" w:hAnsi="宋体" w:cs="宋体"/>
          <w:b/>
          <w:color w:val="000000"/>
          <w:sz w:val="24"/>
          <w:highlight w:val="none"/>
          <w:u w:val="single"/>
        </w:rPr>
        <w:t>不单独提供招标标的所在地自然环境、气象条件、公用设施等情况，</w:t>
      </w:r>
      <w:r>
        <w:rPr>
          <w:rFonts w:hint="eastAsia" w:ascii="宋体" w:hAnsi="宋体" w:cs="宋体"/>
          <w:b/>
          <w:color w:val="000000"/>
          <w:sz w:val="24"/>
          <w:highlight w:val="none"/>
          <w:u w:val="single"/>
        </w:rPr>
        <w:t>供应商</w:t>
      </w:r>
      <w:r>
        <w:rPr>
          <w:rFonts w:ascii="宋体" w:hAnsi="宋体" w:cs="宋体"/>
          <w:b/>
          <w:color w:val="000000"/>
          <w:sz w:val="24"/>
          <w:highlight w:val="none"/>
          <w:u w:val="single"/>
        </w:rPr>
        <w:t>被视为熟悉上述与签订和履行合同有关的一切情况</w:t>
      </w:r>
      <w:r>
        <w:rPr>
          <w:rFonts w:ascii="宋体" w:hAnsi="宋体" w:cs="宋体"/>
          <w:color w:val="000000"/>
          <w:sz w:val="24"/>
          <w:highlight w:val="none"/>
        </w:rPr>
        <w:t>。</w:t>
      </w:r>
    </w:p>
    <w:p w14:paraId="1472317D">
      <w:pPr>
        <w:pStyle w:val="236"/>
        <w:keepNext w:val="0"/>
        <w:keepLines w:val="0"/>
        <w:spacing w:before="0" w:after="0" w:line="360" w:lineRule="auto"/>
        <w:jc w:val="left"/>
        <w:rPr>
          <w:rFonts w:ascii="宋体" w:hAnsi="宋体" w:cs="宋体"/>
          <w:color w:val="000000"/>
          <w:sz w:val="24"/>
          <w:szCs w:val="24"/>
          <w:highlight w:val="none"/>
        </w:rPr>
      </w:pPr>
      <w:bookmarkStart w:id="56" w:name="_Toc98669339"/>
      <w:bookmarkStart w:id="57" w:name="_Toc92168008"/>
      <w:bookmarkStart w:id="58" w:name="_Toc98669697"/>
      <w:bookmarkStart w:id="59" w:name="_Toc20732976"/>
      <w:bookmarkStart w:id="60" w:name="_Toc100386042"/>
      <w:bookmarkStart w:id="61" w:name="_Toc105940815"/>
      <w:bookmarkStart w:id="62" w:name="_Toc105940897"/>
      <w:r>
        <w:rPr>
          <w:rFonts w:hint="eastAsia" w:ascii="宋体" w:hAnsi="宋体" w:cs="宋体"/>
          <w:color w:val="000000"/>
          <w:sz w:val="24"/>
          <w:szCs w:val="24"/>
          <w:highlight w:val="none"/>
        </w:rPr>
        <w:t>7、磋商文件的澄清</w:t>
      </w:r>
      <w:bookmarkEnd w:id="56"/>
      <w:bookmarkEnd w:id="57"/>
      <w:bookmarkEnd w:id="58"/>
      <w:bookmarkEnd w:id="59"/>
      <w:bookmarkEnd w:id="60"/>
      <w:bookmarkStart w:id="63" w:name="_Toc100386043"/>
      <w:bookmarkStart w:id="64" w:name="_Toc20732977"/>
      <w:bookmarkStart w:id="65" w:name="_Toc98669340"/>
      <w:bookmarkStart w:id="66" w:name="_Toc98669698"/>
      <w:bookmarkStart w:id="67" w:name="_Toc92168009"/>
      <w:r>
        <w:rPr>
          <w:rFonts w:hint="eastAsia" w:ascii="宋体" w:hAnsi="宋体" w:cs="宋体"/>
          <w:color w:val="000000"/>
          <w:sz w:val="24"/>
          <w:szCs w:val="24"/>
          <w:highlight w:val="none"/>
        </w:rPr>
        <w:t>和修改</w:t>
      </w:r>
      <w:bookmarkEnd w:id="61"/>
      <w:bookmarkEnd w:id="62"/>
      <w:bookmarkEnd w:id="63"/>
      <w:bookmarkEnd w:id="64"/>
      <w:bookmarkEnd w:id="65"/>
      <w:bookmarkEnd w:id="66"/>
      <w:bookmarkEnd w:id="67"/>
    </w:p>
    <w:p w14:paraId="2F56FF1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7.1任何要求对磋商文件进行澄清的供应商，均应按磋商文件中的通讯地址，以书面形式（如信件、传真、电报等）通知磋商组织方。</w:t>
      </w:r>
    </w:p>
    <w:p w14:paraId="113F977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7.2</w:t>
      </w:r>
      <w:r>
        <w:rPr>
          <w:rFonts w:ascii="宋体" w:hAnsi="宋体" w:cs="宋体"/>
          <w:b/>
          <w:color w:val="000000"/>
          <w:sz w:val="24"/>
          <w:highlight w:val="none"/>
        </w:rPr>
        <w:t>按照权责相一致原则，</w:t>
      </w:r>
      <w:r>
        <w:rPr>
          <w:rFonts w:hint="eastAsia" w:ascii="宋体" w:hAnsi="宋体" w:cs="宋体"/>
          <w:b/>
          <w:color w:val="000000"/>
          <w:sz w:val="24"/>
          <w:highlight w:val="none"/>
        </w:rPr>
        <w:t>供应商</w:t>
      </w:r>
      <w:r>
        <w:rPr>
          <w:rFonts w:ascii="宋体" w:hAnsi="宋体" w:cs="宋体"/>
          <w:b/>
          <w:color w:val="000000"/>
          <w:sz w:val="24"/>
          <w:highlight w:val="none"/>
        </w:rPr>
        <w:t>提出的对于</w:t>
      </w:r>
      <w:r>
        <w:rPr>
          <w:rFonts w:hint="eastAsia" w:ascii="宋体" w:hAnsi="宋体" w:cs="宋体"/>
          <w:b/>
          <w:color w:val="000000"/>
          <w:sz w:val="24"/>
          <w:highlight w:val="none"/>
        </w:rPr>
        <w:t>磋商文件</w:t>
      </w:r>
      <w:r>
        <w:rPr>
          <w:rFonts w:ascii="宋体" w:hAnsi="宋体" w:cs="宋体"/>
          <w:b/>
          <w:color w:val="000000"/>
          <w:sz w:val="24"/>
          <w:highlight w:val="none"/>
        </w:rPr>
        <w:t>主要商务、技术指标的相关澄清、修改要求，由采购人负责答复并视情况作出澄清或修改的决定。</w:t>
      </w:r>
    </w:p>
    <w:p w14:paraId="1C3F438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7.3磋商组织方可以对已发出的磋商文件进行必要的澄清或者修改，但不改变采购标的和资格条件。澄清或者修改将在原公告媒体上发布澄清公告。澄清或者修改的内容为磋商文件的组成部分。</w:t>
      </w:r>
    </w:p>
    <w:p w14:paraId="31F2C152">
      <w:pPr>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7.4澄清或者修改的内容可能影响磋商响应文件编制的，磋商组织方将在投标截止时间至少5日前，</w:t>
      </w:r>
      <w:r>
        <w:rPr>
          <w:rFonts w:ascii="宋体" w:hAnsi="宋体" w:cs="宋体"/>
          <w:color w:val="000000"/>
          <w:sz w:val="24"/>
          <w:highlight w:val="none"/>
        </w:rPr>
        <w:t>在系统中以书面形式通知所有已获取</w:t>
      </w:r>
      <w:r>
        <w:rPr>
          <w:rFonts w:hint="eastAsia" w:ascii="宋体" w:hAnsi="宋体" w:cs="宋体"/>
          <w:color w:val="000000"/>
          <w:sz w:val="24"/>
          <w:highlight w:val="none"/>
        </w:rPr>
        <w:t>磋商文件</w:t>
      </w:r>
      <w:r>
        <w:rPr>
          <w:rFonts w:ascii="宋体" w:hAnsi="宋体" w:cs="宋体"/>
          <w:color w:val="000000"/>
          <w:sz w:val="24"/>
          <w:highlight w:val="none"/>
        </w:rPr>
        <w:t>的潜在</w:t>
      </w:r>
      <w:r>
        <w:rPr>
          <w:rFonts w:hint="eastAsia" w:ascii="宋体" w:hAnsi="宋体" w:cs="宋体"/>
          <w:color w:val="000000"/>
          <w:sz w:val="24"/>
          <w:highlight w:val="none"/>
        </w:rPr>
        <w:t>供应商；不足5日的，磋商组织方将顺延提交磋商响应文件的截止时间。</w:t>
      </w:r>
      <w:r>
        <w:rPr>
          <w:rFonts w:hint="eastAsia" w:ascii="宋体" w:hAnsi="宋体" w:cs="宋体"/>
          <w:b/>
          <w:bCs/>
          <w:color w:val="000000"/>
          <w:sz w:val="24"/>
          <w:highlight w:val="none"/>
          <w:u w:val="single"/>
        </w:rPr>
        <w:t>供应商应及时自行登录系统查看相应内容。</w:t>
      </w:r>
    </w:p>
    <w:p w14:paraId="799C787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7.5如澄清或修改公告有重新发布磋商文件的，投标供应商应下载最新发布的磋商文件制作投标文件。因投标供应商自身原因未能及时获取的，一切后果由投标供应商自行承担。</w:t>
      </w:r>
    </w:p>
    <w:p w14:paraId="19A2F497">
      <w:pPr>
        <w:pStyle w:val="235"/>
        <w:keepNext w:val="0"/>
        <w:keepLines w:val="0"/>
        <w:spacing w:before="200" w:after="200" w:line="240" w:lineRule="auto"/>
        <w:rPr>
          <w:rFonts w:ascii="宋体" w:hAnsi="宋体" w:eastAsia="宋体" w:cs="宋体"/>
          <w:color w:val="000000"/>
          <w:sz w:val="28"/>
          <w:szCs w:val="28"/>
          <w:highlight w:val="none"/>
        </w:rPr>
      </w:pPr>
      <w:bookmarkStart w:id="68" w:name="_Toc105940898"/>
      <w:bookmarkStart w:id="69" w:name="_Toc105940816"/>
      <w:r>
        <w:rPr>
          <w:rFonts w:hint="eastAsia" w:ascii="宋体" w:hAnsi="宋体" w:eastAsia="宋体" w:cs="宋体"/>
          <w:color w:val="000000"/>
          <w:sz w:val="28"/>
          <w:szCs w:val="28"/>
          <w:highlight w:val="none"/>
        </w:rPr>
        <w:t>三、磋商响应文件的编制</w:t>
      </w:r>
      <w:bookmarkEnd w:id="68"/>
      <w:bookmarkEnd w:id="69"/>
    </w:p>
    <w:p w14:paraId="6AC9AF44">
      <w:pPr>
        <w:pStyle w:val="236"/>
        <w:keepNext w:val="0"/>
        <w:keepLines w:val="0"/>
        <w:spacing w:before="0" w:after="0" w:line="360" w:lineRule="auto"/>
        <w:jc w:val="left"/>
        <w:rPr>
          <w:rFonts w:ascii="宋体" w:hAnsi="宋体" w:cs="宋体"/>
          <w:color w:val="000000"/>
          <w:sz w:val="24"/>
          <w:szCs w:val="24"/>
          <w:highlight w:val="none"/>
        </w:rPr>
      </w:pPr>
      <w:bookmarkStart w:id="70" w:name="_Toc105940899"/>
      <w:bookmarkStart w:id="71" w:name="_Toc105940817"/>
      <w:r>
        <w:rPr>
          <w:rFonts w:hint="eastAsia" w:ascii="宋体" w:hAnsi="宋体" w:cs="宋体"/>
          <w:color w:val="000000"/>
          <w:sz w:val="24"/>
          <w:szCs w:val="24"/>
          <w:highlight w:val="none"/>
        </w:rPr>
        <w:t>8、磋商响应文件的编写</w:t>
      </w:r>
      <w:bookmarkEnd w:id="70"/>
      <w:bookmarkEnd w:id="71"/>
    </w:p>
    <w:p w14:paraId="6158BE8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8.1供应商应仔细阅读磋商文件，了解磋商文件的要求。在完全了解采购要求和服务的技术规范和要求以及商务条件后，编制磋商响应文件。</w:t>
      </w:r>
    </w:p>
    <w:p w14:paraId="1DE14AEB">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8.2供应商在编制磋商响应文件时，请按照磋商文件第六部分规定的格式进行填写并提交到对应位置，无相应内容可填的项应填写“无”、“没有相应指标”等明确的回答文字。</w:t>
      </w:r>
    </w:p>
    <w:p w14:paraId="2BD8A618">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8.3如没有按照磋商文件要求和规定编制磋商响应文件提交相关资料，其风险应由供应商自行承担；投磋商响应文件编排混乱、文字表达不清或上传资料内容模糊所引起的不利后果，由供应商自行承担。</w:t>
      </w:r>
    </w:p>
    <w:p w14:paraId="14883F9F">
      <w:pPr>
        <w:spacing w:line="360" w:lineRule="auto"/>
        <w:ind w:firstLine="482"/>
        <w:rPr>
          <w:rFonts w:ascii="宋体" w:hAnsi="宋体" w:cs="宋体"/>
          <w:b/>
          <w:color w:val="000000"/>
          <w:sz w:val="24"/>
          <w:highlight w:val="none"/>
          <w:u w:val="single"/>
        </w:rPr>
      </w:pPr>
      <w:r>
        <w:rPr>
          <w:rFonts w:hint="eastAsia" w:ascii="宋体" w:hAnsi="宋体" w:cs="宋体"/>
          <w:b/>
          <w:color w:val="000000"/>
          <w:sz w:val="24"/>
          <w:highlight w:val="none"/>
          <w:u w:val="single"/>
        </w:rPr>
        <w:t>8.4供应商必须保证投标文件所提供的全部资料合法、真实、可靠。</w:t>
      </w:r>
    </w:p>
    <w:p w14:paraId="66EC45DE">
      <w:pPr>
        <w:pStyle w:val="236"/>
        <w:keepNext w:val="0"/>
        <w:keepLines w:val="0"/>
        <w:spacing w:before="0" w:after="0" w:line="360" w:lineRule="auto"/>
        <w:jc w:val="left"/>
        <w:rPr>
          <w:rFonts w:ascii="宋体" w:hAnsi="宋体" w:cs="宋体"/>
          <w:color w:val="000000"/>
          <w:sz w:val="24"/>
          <w:szCs w:val="24"/>
          <w:highlight w:val="none"/>
        </w:rPr>
      </w:pPr>
      <w:bookmarkStart w:id="72" w:name="_Toc105940900"/>
      <w:bookmarkStart w:id="73" w:name="_Toc105940818"/>
      <w:r>
        <w:rPr>
          <w:rFonts w:hint="eastAsia" w:ascii="宋体" w:hAnsi="宋体" w:cs="宋体"/>
          <w:color w:val="000000"/>
          <w:sz w:val="24"/>
          <w:szCs w:val="24"/>
          <w:highlight w:val="none"/>
        </w:rPr>
        <w:t>9、投标语言及度量衡单位</w:t>
      </w:r>
      <w:bookmarkEnd w:id="72"/>
      <w:bookmarkEnd w:id="73"/>
    </w:p>
    <w:p w14:paraId="082E571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9.1供应商的磋商响应文件以及供应商就有关投标的所有来往函电等均应使用中文。</w:t>
      </w:r>
    </w:p>
    <w:p w14:paraId="23983AA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9.2磋商响应文件中所使用的计量单位除磋商文件中另有特殊规定外，一律使用法定计量单位。</w:t>
      </w:r>
    </w:p>
    <w:p w14:paraId="73FA666E">
      <w:pPr>
        <w:pStyle w:val="236"/>
        <w:keepNext w:val="0"/>
        <w:keepLines w:val="0"/>
        <w:spacing w:before="0" w:after="0" w:line="360" w:lineRule="auto"/>
        <w:jc w:val="left"/>
        <w:rPr>
          <w:rFonts w:ascii="宋体" w:hAnsi="宋体" w:cs="宋体"/>
          <w:color w:val="000000"/>
          <w:sz w:val="24"/>
          <w:szCs w:val="24"/>
          <w:highlight w:val="none"/>
        </w:rPr>
      </w:pPr>
      <w:bookmarkStart w:id="74" w:name="_Toc105940819"/>
      <w:bookmarkStart w:id="75" w:name="_Toc105940901"/>
      <w:r>
        <w:rPr>
          <w:rFonts w:hint="eastAsia" w:ascii="宋体" w:hAnsi="宋体" w:cs="宋体"/>
          <w:color w:val="000000"/>
          <w:sz w:val="24"/>
          <w:szCs w:val="24"/>
          <w:highlight w:val="none"/>
        </w:rPr>
        <w:t>10、磋商响应文件构成</w:t>
      </w:r>
      <w:bookmarkEnd w:id="74"/>
      <w:bookmarkEnd w:id="75"/>
    </w:p>
    <w:p w14:paraId="32C5061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10.1供应商编写的磋商响应文件应分为</w:t>
      </w:r>
      <w:r>
        <w:rPr>
          <w:rFonts w:ascii="宋体" w:hAnsi="宋体" w:cs="宋体"/>
          <w:color w:val="000000"/>
          <w:sz w:val="24"/>
          <w:highlight w:val="none"/>
        </w:rPr>
        <w:t>资格部分、商务部分、技术部分和价格部分</w:t>
      </w:r>
      <w:r>
        <w:rPr>
          <w:rFonts w:hint="eastAsia" w:ascii="宋体" w:hAnsi="宋体" w:cs="宋体"/>
          <w:color w:val="000000"/>
          <w:sz w:val="24"/>
          <w:highlight w:val="none"/>
        </w:rPr>
        <w:t>。</w:t>
      </w:r>
    </w:p>
    <w:p w14:paraId="02846E0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10.2</w:t>
      </w:r>
      <w:r>
        <w:rPr>
          <w:rFonts w:ascii="宋体" w:hAnsi="宋体" w:cs="宋体"/>
          <w:color w:val="000000"/>
          <w:sz w:val="24"/>
          <w:highlight w:val="none"/>
        </w:rPr>
        <w:t>资格部分系指</w:t>
      </w:r>
      <w:r>
        <w:rPr>
          <w:rFonts w:hint="eastAsia" w:ascii="宋体" w:hAnsi="宋体" w:cs="宋体"/>
          <w:color w:val="000000"/>
          <w:sz w:val="24"/>
          <w:highlight w:val="none"/>
        </w:rPr>
        <w:t>供应商</w:t>
      </w:r>
      <w:r>
        <w:rPr>
          <w:rFonts w:ascii="宋体" w:hAnsi="宋体" w:cs="宋体"/>
          <w:color w:val="000000"/>
          <w:sz w:val="24"/>
          <w:highlight w:val="none"/>
        </w:rPr>
        <w:t>提交的证明其有资格参加投标的文件</w:t>
      </w:r>
      <w:r>
        <w:rPr>
          <w:rFonts w:hint="eastAsia" w:ascii="宋体" w:hAnsi="宋体" w:cs="宋体"/>
          <w:color w:val="000000"/>
          <w:sz w:val="24"/>
          <w:highlight w:val="none"/>
        </w:rPr>
        <w:t>。</w:t>
      </w:r>
    </w:p>
    <w:p w14:paraId="0726B43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10.3</w:t>
      </w:r>
      <w:r>
        <w:rPr>
          <w:rFonts w:ascii="宋体" w:hAnsi="宋体" w:cs="宋体"/>
          <w:color w:val="000000"/>
          <w:sz w:val="24"/>
          <w:highlight w:val="none"/>
        </w:rPr>
        <w:t>商务部分系指</w:t>
      </w:r>
      <w:r>
        <w:rPr>
          <w:rFonts w:hint="eastAsia" w:ascii="宋体" w:hAnsi="宋体" w:cs="宋体"/>
          <w:color w:val="000000"/>
          <w:sz w:val="24"/>
          <w:highlight w:val="none"/>
        </w:rPr>
        <w:t>供应商</w:t>
      </w:r>
      <w:r>
        <w:rPr>
          <w:rFonts w:ascii="宋体" w:hAnsi="宋体" w:cs="宋体"/>
          <w:color w:val="000000"/>
          <w:sz w:val="24"/>
          <w:highlight w:val="none"/>
        </w:rPr>
        <w:t>提交的证明其中标后有能力履行合同的文件。</w:t>
      </w:r>
    </w:p>
    <w:p w14:paraId="63303DE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10.4</w:t>
      </w:r>
      <w:r>
        <w:rPr>
          <w:rFonts w:ascii="宋体" w:hAnsi="宋体" w:cs="宋体"/>
          <w:color w:val="000000"/>
          <w:sz w:val="24"/>
          <w:highlight w:val="none"/>
        </w:rPr>
        <w:t>技术部分系指</w:t>
      </w:r>
      <w:r>
        <w:rPr>
          <w:rFonts w:hint="eastAsia" w:ascii="宋体" w:hAnsi="宋体" w:cs="宋体"/>
          <w:color w:val="000000"/>
          <w:sz w:val="24"/>
          <w:highlight w:val="none"/>
        </w:rPr>
        <w:t>供应商</w:t>
      </w:r>
      <w:r>
        <w:rPr>
          <w:rFonts w:ascii="宋体" w:hAnsi="宋体" w:cs="宋体"/>
          <w:color w:val="000000"/>
          <w:sz w:val="24"/>
          <w:highlight w:val="none"/>
        </w:rPr>
        <w:t>提交的能够证明</w:t>
      </w:r>
      <w:r>
        <w:rPr>
          <w:rFonts w:hint="eastAsia" w:ascii="宋体" w:hAnsi="宋体" w:cs="宋体"/>
          <w:color w:val="000000"/>
          <w:sz w:val="24"/>
          <w:highlight w:val="none"/>
        </w:rPr>
        <w:t>供应商</w:t>
      </w:r>
      <w:r>
        <w:rPr>
          <w:rFonts w:ascii="宋体" w:hAnsi="宋体" w:cs="宋体"/>
          <w:color w:val="000000"/>
          <w:sz w:val="24"/>
          <w:highlight w:val="none"/>
        </w:rPr>
        <w:t>提供的货物（服务）符合</w:t>
      </w:r>
      <w:r>
        <w:rPr>
          <w:rFonts w:hint="eastAsia" w:ascii="宋体" w:hAnsi="宋体" w:cs="宋体"/>
          <w:color w:val="000000"/>
          <w:sz w:val="24"/>
          <w:highlight w:val="none"/>
        </w:rPr>
        <w:t>磋商文件</w:t>
      </w:r>
      <w:r>
        <w:rPr>
          <w:rFonts w:ascii="宋体" w:hAnsi="宋体" w:cs="宋体"/>
          <w:color w:val="000000"/>
          <w:sz w:val="24"/>
          <w:highlight w:val="none"/>
        </w:rPr>
        <w:t>规定的文件。</w:t>
      </w:r>
    </w:p>
    <w:p w14:paraId="70175AB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10.5</w:t>
      </w:r>
      <w:r>
        <w:rPr>
          <w:rFonts w:ascii="宋体" w:hAnsi="宋体" w:cs="宋体"/>
          <w:color w:val="000000"/>
          <w:sz w:val="24"/>
          <w:highlight w:val="none"/>
        </w:rPr>
        <w:t>具体填写格式详见</w:t>
      </w:r>
      <w:r>
        <w:rPr>
          <w:rFonts w:hint="eastAsia" w:ascii="宋体" w:hAnsi="宋体" w:cs="宋体"/>
          <w:color w:val="000000"/>
          <w:sz w:val="24"/>
          <w:highlight w:val="none"/>
        </w:rPr>
        <w:t>磋商文件</w:t>
      </w:r>
      <w:r>
        <w:rPr>
          <w:rFonts w:ascii="宋体" w:hAnsi="宋体" w:cs="宋体"/>
          <w:color w:val="000000"/>
          <w:sz w:val="24"/>
          <w:highlight w:val="none"/>
        </w:rPr>
        <w:t>第六部分。</w:t>
      </w:r>
    </w:p>
    <w:p w14:paraId="6F5194E0">
      <w:pPr>
        <w:pStyle w:val="236"/>
        <w:keepNext w:val="0"/>
        <w:keepLines w:val="0"/>
        <w:spacing w:before="0" w:after="0" w:line="360" w:lineRule="auto"/>
        <w:jc w:val="left"/>
        <w:rPr>
          <w:rFonts w:ascii="宋体" w:hAnsi="宋体" w:cs="宋体"/>
          <w:color w:val="000000"/>
          <w:sz w:val="24"/>
          <w:szCs w:val="24"/>
          <w:highlight w:val="none"/>
        </w:rPr>
      </w:pPr>
      <w:bookmarkStart w:id="76" w:name="_Toc105940820"/>
      <w:bookmarkStart w:id="77" w:name="_Toc105940902"/>
      <w:bookmarkStart w:id="78" w:name="_Toc105940903"/>
      <w:bookmarkStart w:id="79" w:name="_Toc105940821"/>
      <w:r>
        <w:rPr>
          <w:rFonts w:hint="eastAsia" w:ascii="宋体" w:hAnsi="宋体" w:cs="宋体"/>
          <w:color w:val="000000"/>
          <w:sz w:val="24"/>
          <w:szCs w:val="24"/>
          <w:highlight w:val="none"/>
        </w:rPr>
        <w:t>11、编制投标文件的工具</w:t>
      </w:r>
    </w:p>
    <w:p w14:paraId="0A2E542D">
      <w:pPr>
        <w:pStyle w:val="247"/>
        <w:spacing w:line="360" w:lineRule="auto"/>
        <w:ind w:firstLine="480"/>
        <w:rPr>
          <w:rFonts w:ascii="宋体" w:hAnsi="宋体" w:cs="宋体"/>
          <w:color w:val="000000"/>
          <w:sz w:val="24"/>
          <w:szCs w:val="24"/>
          <w:highlight w:val="none"/>
        </w:rPr>
      </w:pPr>
      <w:r>
        <w:rPr>
          <w:rFonts w:hint="eastAsia" w:ascii="宋体" w:hAnsi="宋体" w:eastAsia="宋体" w:cs="宋体"/>
          <w:color w:val="000000"/>
          <w:sz w:val="24"/>
          <w:szCs w:val="24"/>
          <w:highlight w:val="none"/>
        </w:rPr>
        <w:t>11.1供应商须通过江苏省政府采购网提供的最新响应文件制作软件编制磋商响应文件。</w:t>
      </w:r>
      <w:bookmarkEnd w:id="76"/>
      <w:bookmarkEnd w:id="77"/>
    </w:p>
    <w:p w14:paraId="056FCADF">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12、投标报价</w:t>
      </w:r>
      <w:bookmarkEnd w:id="78"/>
      <w:bookmarkEnd w:id="79"/>
    </w:p>
    <w:p w14:paraId="357F8DF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12.1供应商对所提供服务报价，该报价是供应商响应采购需求的全部工作内容的价格体现，应报出最具有竞争力的价格，项目总报价中需包括服务本身已支付或将支付的各种税费及其他一切与本项目相关的费用。</w:t>
      </w:r>
    </w:p>
    <w:p w14:paraId="3E27897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12.2供应商应按磋商的要求在磋商响应文件里提供磋商首轮报价，首轮报价不得高于项目预算或最高限价，并根据首轮报价在所附的首轮明细报价表上列明所提供服务的明细报价。供应商需根据项目需求及自身经验填写明细报价。</w:t>
      </w:r>
    </w:p>
    <w:p w14:paraId="62BBE50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12.3在磋商过程中未对磋商内容作出实质性变更、修改的情况下，如二轮报价超过首轮报价，则二轮报价无效。</w:t>
      </w:r>
    </w:p>
    <w:p w14:paraId="6E0E38B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12.4磋商最后报价即为合同签约价。</w:t>
      </w:r>
    </w:p>
    <w:p w14:paraId="43EA2AF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12.5最低磋商报价不能作为成交的唯一保证。</w:t>
      </w:r>
    </w:p>
    <w:p w14:paraId="70E27E33">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12.6磋商报价应以人民币报价。</w:t>
      </w:r>
    </w:p>
    <w:p w14:paraId="036AAF9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12.7磋商报价的其他要求：无</w:t>
      </w:r>
    </w:p>
    <w:p w14:paraId="3688F153">
      <w:pPr>
        <w:pStyle w:val="236"/>
        <w:keepNext w:val="0"/>
        <w:keepLines w:val="0"/>
        <w:spacing w:before="0" w:after="0" w:line="360" w:lineRule="auto"/>
        <w:jc w:val="left"/>
        <w:rPr>
          <w:rFonts w:ascii="宋体" w:hAnsi="宋体" w:cs="宋体"/>
          <w:color w:val="000000"/>
          <w:sz w:val="24"/>
          <w:szCs w:val="24"/>
          <w:highlight w:val="none"/>
        </w:rPr>
      </w:pPr>
      <w:bookmarkStart w:id="80" w:name="_Toc105940822"/>
      <w:bookmarkStart w:id="81" w:name="_Toc105940904"/>
      <w:r>
        <w:rPr>
          <w:rFonts w:hint="eastAsia" w:ascii="宋体" w:hAnsi="宋体" w:cs="宋体"/>
          <w:color w:val="000000"/>
          <w:sz w:val="24"/>
          <w:szCs w:val="24"/>
          <w:highlight w:val="none"/>
        </w:rPr>
        <w:t>13、技术规格要求和服务要求的响应</w:t>
      </w:r>
      <w:bookmarkEnd w:id="80"/>
      <w:bookmarkEnd w:id="81"/>
    </w:p>
    <w:p w14:paraId="0ACEAB7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13.1供应商必须依据技术要求及规格，逐条说明投标服务的技术参数、运行性能以及适用性。</w:t>
      </w:r>
    </w:p>
    <w:p w14:paraId="44E35F8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13.2供应商必须提供其所投标服务是符合磋商文件的技术响应文件。该文件可以是文字资料、拓扑图和数据，并须提供在技术规格中规定的保证服务正常和连续运转期间所需要的所有备件和专用工具的详细清单，包括其价格和供货来源资料。</w:t>
      </w:r>
    </w:p>
    <w:p w14:paraId="6BEA22C8">
      <w:pPr>
        <w:spacing w:line="360" w:lineRule="auto"/>
        <w:ind w:left="479"/>
        <w:rPr>
          <w:rFonts w:ascii="宋体" w:hAnsi="宋体"/>
          <w:color w:val="000000"/>
          <w:sz w:val="24"/>
          <w:highlight w:val="none"/>
          <w:u w:val="single"/>
        </w:rPr>
      </w:pPr>
      <w:r>
        <w:rPr>
          <w:rFonts w:hint="eastAsia" w:ascii="宋体" w:hAnsi="宋体" w:cs="宋体"/>
          <w:color w:val="000000"/>
          <w:sz w:val="24"/>
          <w:highlight w:val="none"/>
        </w:rPr>
        <w:t>13.3技术规格的响应，应对磋商文件中的技术规格逐项作出实质性响应。13.4供应商的服务承诺应按不低于磋商文件中服务要求的标准做出响应。</w:t>
      </w:r>
    </w:p>
    <w:p w14:paraId="2BC7BEE6">
      <w:pPr>
        <w:pStyle w:val="236"/>
        <w:keepNext w:val="0"/>
        <w:keepLines w:val="0"/>
        <w:spacing w:before="0" w:after="0" w:line="360" w:lineRule="auto"/>
        <w:jc w:val="left"/>
        <w:rPr>
          <w:rFonts w:ascii="宋体" w:hAnsi="宋体" w:cs="宋体"/>
          <w:color w:val="000000"/>
          <w:sz w:val="24"/>
          <w:szCs w:val="24"/>
          <w:highlight w:val="none"/>
        </w:rPr>
      </w:pPr>
      <w:bookmarkStart w:id="82" w:name="_Toc105940823"/>
      <w:bookmarkStart w:id="83" w:name="_Toc105940905"/>
      <w:r>
        <w:rPr>
          <w:rFonts w:hint="eastAsia" w:ascii="宋体" w:hAnsi="宋体" w:cs="宋体"/>
          <w:color w:val="000000"/>
          <w:sz w:val="24"/>
          <w:szCs w:val="24"/>
          <w:highlight w:val="none"/>
        </w:rPr>
        <w:t>14、供应商资格和能力的证明文件</w:t>
      </w:r>
      <w:bookmarkEnd w:id="82"/>
      <w:bookmarkEnd w:id="83"/>
    </w:p>
    <w:p w14:paraId="6C32278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14.1按照合格供应商的规定，供应商应提交证明其有资格参加投标和中标后有能力签订和履行合同的文件，并作为其磋商响应文件的一部分。</w:t>
      </w:r>
    </w:p>
    <w:p w14:paraId="59269ED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14.2供应商除必须具有履行合同所需提供的服务能力外，还必须具备相应的财务、技术等各方面的能力。</w:t>
      </w:r>
      <w:bookmarkStart w:id="84" w:name="_Toc105940824"/>
      <w:bookmarkEnd w:id="84"/>
      <w:bookmarkStart w:id="85" w:name="_Toc105940906"/>
      <w:bookmarkEnd w:id="85"/>
    </w:p>
    <w:p w14:paraId="5E77DD96">
      <w:pPr>
        <w:pStyle w:val="236"/>
        <w:keepNext w:val="0"/>
        <w:keepLines w:val="0"/>
        <w:spacing w:before="0" w:after="0" w:line="360" w:lineRule="auto"/>
        <w:jc w:val="left"/>
        <w:rPr>
          <w:rFonts w:ascii="宋体" w:hAnsi="宋体" w:cs="宋体"/>
          <w:color w:val="000000"/>
          <w:sz w:val="24"/>
          <w:szCs w:val="24"/>
          <w:highlight w:val="none"/>
        </w:rPr>
      </w:pPr>
      <w:bookmarkStart w:id="86" w:name="_Toc105940910"/>
      <w:bookmarkStart w:id="87" w:name="_Toc105940828"/>
      <w:bookmarkStart w:id="88" w:name="_Toc105940825"/>
      <w:bookmarkStart w:id="89" w:name="_Toc105940907"/>
      <w:r>
        <w:rPr>
          <w:rFonts w:hint="eastAsia" w:ascii="宋体" w:hAnsi="宋体" w:cs="宋体"/>
          <w:color w:val="000000"/>
          <w:sz w:val="24"/>
          <w:szCs w:val="24"/>
          <w:highlight w:val="none"/>
        </w:rPr>
        <w:t>15、投标</w:t>
      </w:r>
      <w:bookmarkEnd w:id="86"/>
      <w:bookmarkEnd w:id="87"/>
      <w:r>
        <w:rPr>
          <w:rFonts w:hint="eastAsia" w:ascii="宋体" w:hAnsi="宋体" w:cs="宋体"/>
          <w:color w:val="000000"/>
          <w:sz w:val="24"/>
          <w:szCs w:val="24"/>
          <w:highlight w:val="none"/>
        </w:rPr>
        <w:t>文件的提交</w:t>
      </w:r>
    </w:p>
    <w:p w14:paraId="52D2EF8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15.1.1供应商需在磋商文件规定的投标截止时间前，通过响应文件编制软件或登录电子交易平台在规定时间内完成提交，提交成功后系统将发送投标回执。</w:t>
      </w:r>
      <w:r>
        <w:rPr>
          <w:rFonts w:hint="eastAsia" w:ascii="宋体" w:hAnsi="宋体" w:cs="宋体"/>
          <w:b/>
          <w:color w:val="000000"/>
          <w:sz w:val="24"/>
          <w:highlight w:val="none"/>
          <w:u w:val="single"/>
        </w:rPr>
        <w:t>时间以电子交易平台时间为准。</w:t>
      </w:r>
    </w:p>
    <w:p w14:paraId="1968F96F">
      <w:pPr>
        <w:shd w:val="clear" w:color="auto" w:fill="FFFFFF"/>
        <w:spacing w:line="360" w:lineRule="auto"/>
        <w:ind w:left="1" w:firstLine="480"/>
        <w:jc w:val="left"/>
        <w:rPr>
          <w:rFonts w:ascii="宋体" w:hAnsi="宋体" w:cs="宋体"/>
          <w:b/>
          <w:color w:val="000000"/>
          <w:sz w:val="24"/>
          <w:highlight w:val="none"/>
          <w:u w:val="single"/>
        </w:rPr>
      </w:pPr>
      <w:r>
        <w:rPr>
          <w:rFonts w:hint="eastAsia" w:ascii="宋体" w:hAnsi="宋体" w:cs="宋体"/>
          <w:color w:val="000000"/>
          <w:sz w:val="24"/>
          <w:highlight w:val="none"/>
        </w:rPr>
        <w:t>15.1.2</w:t>
      </w:r>
      <w:r>
        <w:rPr>
          <w:rFonts w:hint="eastAsia" w:ascii="宋体" w:hAnsi="宋体" w:cs="宋体"/>
          <w:b/>
          <w:color w:val="000000"/>
          <w:sz w:val="24"/>
          <w:highlight w:val="none"/>
          <w:u w:val="single"/>
        </w:rPr>
        <w:t>截止时间以后提交的磋商响应文件，电子交易平台将拒绝接收。供应商应充分考虑网络环境、网络带宽等风险因素。</w:t>
      </w:r>
    </w:p>
    <w:p w14:paraId="5600E00A">
      <w:pPr>
        <w:shd w:val="clear" w:color="auto" w:fill="FFFFFF"/>
        <w:spacing w:line="360" w:lineRule="auto"/>
        <w:ind w:firstLine="480"/>
        <w:jc w:val="left"/>
        <w:rPr>
          <w:rFonts w:ascii="宋体" w:hAnsi="宋体" w:cs="宋体"/>
          <w:b/>
          <w:color w:val="000000"/>
          <w:sz w:val="24"/>
          <w:highlight w:val="none"/>
          <w:u w:val="single"/>
        </w:rPr>
      </w:pPr>
      <w:r>
        <w:rPr>
          <w:rFonts w:hint="eastAsia" w:ascii="宋体" w:hAnsi="宋体" w:cs="宋体"/>
          <w:color w:val="000000"/>
          <w:sz w:val="24"/>
          <w:highlight w:val="none"/>
        </w:rPr>
        <w:t>15.1.3</w:t>
      </w:r>
      <w:r>
        <w:rPr>
          <w:rFonts w:hint="eastAsia" w:ascii="宋体" w:hAnsi="宋体" w:cs="宋体"/>
          <w:b/>
          <w:color w:val="000000"/>
          <w:sz w:val="24"/>
          <w:highlight w:val="none"/>
          <w:u w:val="single"/>
        </w:rPr>
        <w:t>提交磋商响应文件时，供应商须使用制作该磋商响应文件的同一数字认证证书进行提交操作。</w:t>
      </w:r>
    </w:p>
    <w:p w14:paraId="6B91419B">
      <w:pPr>
        <w:shd w:val="clear" w:color="auto" w:fill="FFFFFF"/>
        <w:spacing w:line="360" w:lineRule="auto"/>
        <w:ind w:firstLine="480"/>
        <w:jc w:val="left"/>
        <w:rPr>
          <w:rFonts w:ascii="宋体" w:hAnsi="宋体" w:cs="宋体"/>
          <w:b/>
          <w:color w:val="000000"/>
          <w:sz w:val="24"/>
          <w:highlight w:val="none"/>
          <w:u w:val="single"/>
        </w:rPr>
      </w:pPr>
      <w:r>
        <w:rPr>
          <w:rFonts w:hint="eastAsia" w:ascii="宋体" w:hAnsi="宋体" w:cs="宋体"/>
          <w:color w:val="000000"/>
          <w:sz w:val="24"/>
          <w:highlight w:val="none"/>
        </w:rPr>
        <w:t>15.1.4</w:t>
      </w:r>
      <w:r>
        <w:rPr>
          <w:rFonts w:hint="eastAsia" w:ascii="宋体" w:hAnsi="宋体" w:cs="宋体"/>
          <w:b/>
          <w:color w:val="000000"/>
          <w:sz w:val="24"/>
          <w:highlight w:val="none"/>
          <w:u w:val="single"/>
        </w:rPr>
        <w:t>提交完成后至解密前，供应商不能对加密磋商响应文件时所使用的数字认证证书进行更新、续费，否则可能引起的磋商响应文件解密失败等相关后果由供应商自行承担。</w:t>
      </w:r>
    </w:p>
    <w:p w14:paraId="39927BCD">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15.1.5因不可抗力事件造成的投标文件的损坏、丢失的，采购代理机构不承担责任。</w:t>
      </w:r>
    </w:p>
    <w:p w14:paraId="34A1591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15.2采购代理机构可以通过修改磋商文件自行酌情延长提交截止时间，在此情况下，推迟的提交截止时间将在系统中以书面形式通知已获取磋商文件的潜在</w:t>
      </w:r>
      <w:r>
        <w:rPr>
          <w:rFonts w:ascii="宋体" w:hAnsi="宋体" w:cs="宋体"/>
          <w:color w:val="000000"/>
          <w:spacing w:val="-6"/>
          <w:sz w:val="24"/>
          <w:highlight w:val="none"/>
        </w:rPr>
        <w:t>供应商</w:t>
      </w:r>
      <w:r>
        <w:rPr>
          <w:rFonts w:hint="eastAsia" w:ascii="宋体" w:hAnsi="宋体" w:cs="宋体"/>
          <w:color w:val="000000"/>
          <w:sz w:val="24"/>
          <w:highlight w:val="none"/>
        </w:rPr>
        <w:t>，并在</w:t>
      </w:r>
      <w:r>
        <w:rPr>
          <w:rFonts w:hint="eastAsia" w:ascii="宋体" w:hAnsi="宋体" w:cs="宋体"/>
          <w:b/>
          <w:bCs/>
          <w:color w:val="000000"/>
          <w:sz w:val="24"/>
          <w:highlight w:val="none"/>
          <w:u w:val="single"/>
        </w:rPr>
        <w:t>原公告媒体</w:t>
      </w:r>
      <w:r>
        <w:rPr>
          <w:rFonts w:hint="eastAsia" w:ascii="宋体" w:hAnsi="宋体" w:cs="宋体"/>
          <w:color w:val="000000"/>
          <w:sz w:val="24"/>
          <w:highlight w:val="none"/>
        </w:rPr>
        <w:t>上发布公告。</w:t>
      </w:r>
      <w:r>
        <w:rPr>
          <w:rFonts w:ascii="宋体" w:hAnsi="宋体" w:cs="宋体"/>
          <w:color w:val="000000"/>
          <w:spacing w:val="-6"/>
          <w:sz w:val="24"/>
          <w:highlight w:val="none"/>
        </w:rPr>
        <w:t>供应商</w:t>
      </w:r>
      <w:r>
        <w:rPr>
          <w:rFonts w:hint="eastAsia" w:ascii="宋体" w:hAnsi="宋体" w:cs="宋体"/>
          <w:color w:val="000000"/>
          <w:sz w:val="24"/>
          <w:highlight w:val="none"/>
        </w:rPr>
        <w:t>应及时自行登录系统查看相应内容。</w:t>
      </w:r>
    </w:p>
    <w:p w14:paraId="10F16A15">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16、投标有效期</w:t>
      </w:r>
      <w:bookmarkEnd w:id="88"/>
      <w:bookmarkEnd w:id="89"/>
    </w:p>
    <w:p w14:paraId="33192B3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16.1投标有效期为：磋商响应文件自开标之日起</w:t>
      </w:r>
      <w:r>
        <w:rPr>
          <w:rFonts w:hint="eastAsia" w:ascii="宋体" w:hAnsi="宋体"/>
          <w:b/>
          <w:color w:val="000000"/>
          <w:sz w:val="24"/>
          <w:highlight w:val="none"/>
          <w:u w:val="single"/>
        </w:rPr>
        <w:t>90</w:t>
      </w:r>
      <w:r>
        <w:rPr>
          <w:rFonts w:hint="eastAsia" w:ascii="宋体" w:hAnsi="宋体" w:cs="宋体"/>
          <w:color w:val="000000"/>
          <w:sz w:val="24"/>
          <w:highlight w:val="none"/>
        </w:rPr>
        <w:t>天内有效。</w:t>
      </w:r>
      <w:r>
        <w:rPr>
          <w:rFonts w:ascii="宋体" w:hAnsi="宋体" w:cs="宋体"/>
          <w:color w:val="000000"/>
          <w:spacing w:val="-6"/>
          <w:sz w:val="24"/>
          <w:highlight w:val="none"/>
        </w:rPr>
        <w:t>供应商</w:t>
      </w:r>
      <w:r>
        <w:rPr>
          <w:rFonts w:hint="eastAsia" w:ascii="宋体" w:hAnsi="宋体" w:cs="宋体"/>
          <w:color w:val="000000"/>
          <w:sz w:val="24"/>
          <w:highlight w:val="none"/>
        </w:rPr>
        <w:t>一旦获取了本磋商文件并参加投标，即被认为接受了投标有效期的约定。</w:t>
      </w:r>
    </w:p>
    <w:p w14:paraId="6A9BCA62">
      <w:pPr>
        <w:spacing w:line="360" w:lineRule="auto"/>
        <w:ind w:firstLine="480"/>
        <w:rPr>
          <w:rFonts w:ascii="宋体" w:hAnsi="宋体" w:cs="宋体"/>
          <w:color w:val="000000"/>
          <w:sz w:val="24"/>
          <w:highlight w:val="none"/>
          <w:u w:val="single"/>
        </w:rPr>
      </w:pPr>
      <w:r>
        <w:rPr>
          <w:rFonts w:hint="eastAsia" w:ascii="宋体" w:hAnsi="宋体" w:cs="宋体"/>
          <w:color w:val="000000"/>
          <w:sz w:val="24"/>
          <w:highlight w:val="none"/>
        </w:rPr>
        <w:t>16.2在特殊情况下，采购人于原投标有效期满之前，可向</w:t>
      </w:r>
      <w:r>
        <w:rPr>
          <w:rFonts w:ascii="宋体" w:hAnsi="宋体" w:cs="宋体"/>
          <w:color w:val="000000"/>
          <w:spacing w:val="-6"/>
          <w:sz w:val="24"/>
          <w:highlight w:val="none"/>
        </w:rPr>
        <w:t>供应商</w:t>
      </w:r>
      <w:r>
        <w:rPr>
          <w:rFonts w:hint="eastAsia" w:ascii="宋体" w:hAnsi="宋体" w:cs="宋体"/>
          <w:color w:val="000000"/>
          <w:sz w:val="24"/>
          <w:highlight w:val="none"/>
        </w:rPr>
        <w:t>提出延长投标有效期的要求。这种要求与答复均应采用书面形式（如信件、传真或电报等）。</w:t>
      </w:r>
      <w:r>
        <w:rPr>
          <w:rFonts w:ascii="宋体" w:hAnsi="宋体" w:cs="宋体"/>
          <w:color w:val="000000"/>
          <w:spacing w:val="-6"/>
          <w:sz w:val="24"/>
          <w:highlight w:val="none"/>
        </w:rPr>
        <w:t>供应商</w:t>
      </w:r>
      <w:r>
        <w:rPr>
          <w:rFonts w:hint="eastAsia" w:ascii="宋体" w:hAnsi="宋体" w:cs="宋体"/>
          <w:color w:val="000000"/>
          <w:sz w:val="24"/>
          <w:highlight w:val="none"/>
        </w:rPr>
        <w:t>可以拒绝磋商组织方的这一要求而放弃投标。同意延长的</w:t>
      </w:r>
      <w:r>
        <w:rPr>
          <w:rFonts w:ascii="宋体" w:hAnsi="宋体" w:cs="宋体"/>
          <w:color w:val="000000"/>
          <w:spacing w:val="-6"/>
          <w:sz w:val="24"/>
          <w:highlight w:val="none"/>
        </w:rPr>
        <w:t>供应商</w:t>
      </w:r>
      <w:r>
        <w:rPr>
          <w:rFonts w:hint="eastAsia" w:ascii="宋体" w:hAnsi="宋体" w:cs="宋体"/>
          <w:color w:val="000000"/>
          <w:sz w:val="24"/>
          <w:highlight w:val="none"/>
        </w:rPr>
        <w:t>既不能要求也不允许修改其磋商响应文件。</w:t>
      </w:r>
    </w:p>
    <w:p w14:paraId="2F58562D">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17、投标文件的式样和签署</w:t>
      </w:r>
    </w:p>
    <w:p w14:paraId="0CD3B259">
      <w:pPr>
        <w:pStyle w:val="247"/>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17.1</w:t>
      </w:r>
      <w:r>
        <w:rPr>
          <w:rFonts w:ascii="宋体" w:hAnsi="宋体" w:eastAsia="宋体" w:cs="宋体"/>
          <w:color w:val="000000"/>
          <w:spacing w:val="-6"/>
          <w:sz w:val="24"/>
          <w:szCs w:val="24"/>
          <w:highlight w:val="none"/>
        </w:rPr>
        <w:t>供应商</w:t>
      </w:r>
      <w:r>
        <w:rPr>
          <w:rFonts w:hint="eastAsia" w:ascii="宋体" w:hAnsi="宋体" w:eastAsia="宋体" w:cs="宋体"/>
          <w:color w:val="000000"/>
          <w:sz w:val="24"/>
          <w:szCs w:val="24"/>
          <w:highlight w:val="none"/>
        </w:rPr>
        <w:t>应通过响应文件制作软件使用数字认证证书对磋商响应文件进行合成、电子签章及加密打包。</w:t>
      </w:r>
    </w:p>
    <w:p w14:paraId="775C0663">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18、磋商保证金</w:t>
      </w:r>
    </w:p>
    <w:p w14:paraId="79B06148">
      <w:pPr>
        <w:pStyle w:val="247"/>
        <w:spacing w:line="360" w:lineRule="auto"/>
        <w:ind w:firstLine="48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本项目无需缴纳磋商保证金。</w:t>
      </w:r>
    </w:p>
    <w:p w14:paraId="53B723D0">
      <w:pPr>
        <w:pStyle w:val="236"/>
        <w:keepNext w:val="0"/>
        <w:keepLines w:val="0"/>
        <w:spacing w:before="0" w:after="0" w:line="360" w:lineRule="auto"/>
        <w:jc w:val="left"/>
        <w:rPr>
          <w:rFonts w:ascii="宋体" w:hAnsi="宋体" w:cs="宋体"/>
          <w:color w:val="000000"/>
          <w:sz w:val="24"/>
          <w:szCs w:val="24"/>
          <w:highlight w:val="none"/>
        </w:rPr>
      </w:pPr>
      <w:bookmarkStart w:id="90" w:name="_Toc105940829"/>
      <w:bookmarkStart w:id="91" w:name="_Toc105940911"/>
      <w:r>
        <w:rPr>
          <w:rFonts w:hint="eastAsia" w:ascii="宋体" w:hAnsi="宋体" w:cs="宋体"/>
          <w:color w:val="000000"/>
          <w:sz w:val="24"/>
          <w:szCs w:val="24"/>
          <w:highlight w:val="none"/>
        </w:rPr>
        <w:t>19、磋商响应文件的补充、修改或者撤回</w:t>
      </w:r>
      <w:bookmarkEnd w:id="90"/>
      <w:bookmarkEnd w:id="91"/>
    </w:p>
    <w:p w14:paraId="2153E22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19.1</w:t>
      </w:r>
      <w:r>
        <w:rPr>
          <w:rFonts w:ascii="宋体" w:hAnsi="宋体" w:cs="宋体"/>
          <w:color w:val="000000"/>
          <w:spacing w:val="-6"/>
          <w:sz w:val="24"/>
          <w:highlight w:val="none"/>
        </w:rPr>
        <w:t>供应商</w:t>
      </w:r>
      <w:r>
        <w:rPr>
          <w:rFonts w:hint="eastAsia" w:ascii="宋体" w:hAnsi="宋体" w:cs="宋体"/>
          <w:color w:val="000000"/>
          <w:sz w:val="24"/>
          <w:highlight w:val="none"/>
        </w:rPr>
        <w:t>在提交截止时间前，可以对所提交的磋商响应文件进行补充、修改或者撤回。</w:t>
      </w:r>
    </w:p>
    <w:p w14:paraId="307CF98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19.2在提交截止时间之前</w:t>
      </w:r>
      <w:r>
        <w:rPr>
          <w:rFonts w:ascii="宋体" w:hAnsi="宋体" w:cs="宋体"/>
          <w:color w:val="000000"/>
          <w:sz w:val="24"/>
          <w:highlight w:val="none"/>
        </w:rPr>
        <w:t>需要对</w:t>
      </w:r>
      <w:r>
        <w:rPr>
          <w:rFonts w:hint="eastAsia" w:ascii="宋体" w:hAnsi="宋体" w:cs="宋体"/>
          <w:color w:val="000000"/>
          <w:sz w:val="24"/>
          <w:highlight w:val="none"/>
        </w:rPr>
        <w:t>磋商响应</w:t>
      </w:r>
      <w:r>
        <w:rPr>
          <w:rFonts w:ascii="宋体" w:hAnsi="宋体" w:cs="宋体"/>
          <w:color w:val="000000"/>
          <w:sz w:val="24"/>
          <w:highlight w:val="none"/>
        </w:rPr>
        <w:t>文件进行补充、修改的，应当使用响应文件制作软件重新制作并提交。</w:t>
      </w:r>
    </w:p>
    <w:p w14:paraId="518E22FF">
      <w:pPr>
        <w:spacing w:line="360" w:lineRule="auto"/>
        <w:ind w:firstLine="480"/>
        <w:rPr>
          <w:rFonts w:ascii="宋体" w:hAnsi="宋体" w:cs="宋体"/>
          <w:color w:val="000000"/>
          <w:sz w:val="24"/>
          <w:highlight w:val="none"/>
        </w:rPr>
      </w:pPr>
      <w:bookmarkStart w:id="92" w:name="_Toc105940912"/>
      <w:bookmarkStart w:id="93" w:name="_Toc105940830"/>
      <w:r>
        <w:rPr>
          <w:rFonts w:hint="eastAsia" w:ascii="宋体" w:hAnsi="宋体" w:cs="宋体"/>
          <w:color w:val="000000"/>
          <w:sz w:val="24"/>
          <w:highlight w:val="none"/>
        </w:rPr>
        <w:t>19.3</w:t>
      </w:r>
      <w:r>
        <w:rPr>
          <w:rFonts w:ascii="宋体" w:hAnsi="宋体" w:cs="宋体"/>
          <w:color w:val="000000"/>
          <w:sz w:val="24"/>
          <w:highlight w:val="none"/>
        </w:rPr>
        <w:t>在提交截止时间之后，</w:t>
      </w:r>
      <w:r>
        <w:rPr>
          <w:rFonts w:ascii="宋体" w:hAnsi="宋体" w:cs="宋体"/>
          <w:color w:val="000000"/>
          <w:spacing w:val="-6"/>
          <w:sz w:val="24"/>
          <w:highlight w:val="none"/>
        </w:rPr>
        <w:t>供应商</w:t>
      </w:r>
      <w:r>
        <w:rPr>
          <w:rFonts w:ascii="宋体" w:hAnsi="宋体" w:cs="宋体"/>
          <w:color w:val="000000"/>
          <w:sz w:val="24"/>
          <w:highlight w:val="none"/>
        </w:rPr>
        <w:t>不得对其投标文件作任何修改或撤回。</w:t>
      </w:r>
    </w:p>
    <w:p w14:paraId="60E9212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19.4在投标截止时间至磋商组织方在磋商文件中规定的投标有效期满之间的这段时间内，</w:t>
      </w:r>
      <w:r>
        <w:rPr>
          <w:rFonts w:ascii="宋体" w:hAnsi="宋体" w:cs="宋体"/>
          <w:color w:val="000000"/>
          <w:spacing w:val="-6"/>
          <w:sz w:val="24"/>
          <w:highlight w:val="none"/>
        </w:rPr>
        <w:t>供应商</w:t>
      </w:r>
      <w:r>
        <w:rPr>
          <w:rFonts w:hint="eastAsia" w:ascii="宋体" w:hAnsi="宋体" w:cs="宋体"/>
          <w:color w:val="000000"/>
          <w:sz w:val="24"/>
          <w:highlight w:val="none"/>
        </w:rPr>
        <w:t>不得撤回其投标。</w:t>
      </w:r>
      <w:bookmarkEnd w:id="92"/>
      <w:bookmarkEnd w:id="93"/>
    </w:p>
    <w:p w14:paraId="339B9F58">
      <w:pPr>
        <w:pStyle w:val="235"/>
        <w:keepNext w:val="0"/>
        <w:keepLines w:val="0"/>
        <w:spacing w:before="200" w:after="200" w:line="240" w:lineRule="auto"/>
        <w:rPr>
          <w:rFonts w:ascii="宋体" w:hAnsi="宋体" w:eastAsia="宋体" w:cs="宋体"/>
          <w:color w:val="000000"/>
          <w:sz w:val="28"/>
          <w:szCs w:val="28"/>
          <w:highlight w:val="none"/>
        </w:rPr>
      </w:pPr>
      <w:bookmarkStart w:id="94" w:name="_Toc105940913"/>
      <w:bookmarkStart w:id="95" w:name="_Toc105940831"/>
      <w:r>
        <w:rPr>
          <w:rFonts w:hint="eastAsia" w:ascii="宋体" w:hAnsi="宋体" w:eastAsia="宋体" w:cs="宋体"/>
          <w:color w:val="000000"/>
          <w:sz w:val="28"/>
          <w:szCs w:val="28"/>
          <w:highlight w:val="none"/>
          <w:lang w:val="en-US" w:eastAsia="zh-CN"/>
        </w:rPr>
        <w:t>四</w:t>
      </w:r>
      <w:r>
        <w:rPr>
          <w:rFonts w:hint="eastAsia" w:ascii="宋体" w:hAnsi="宋体" w:eastAsia="宋体" w:cs="宋体"/>
          <w:color w:val="000000"/>
          <w:sz w:val="28"/>
          <w:szCs w:val="28"/>
          <w:highlight w:val="none"/>
        </w:rPr>
        <w:t>、磋商与评定</w:t>
      </w:r>
      <w:bookmarkEnd w:id="94"/>
      <w:bookmarkEnd w:id="95"/>
    </w:p>
    <w:p w14:paraId="796B47A6">
      <w:pPr>
        <w:pStyle w:val="236"/>
        <w:keepNext w:val="0"/>
        <w:keepLines w:val="0"/>
        <w:spacing w:before="0" w:after="0" w:line="360" w:lineRule="auto"/>
        <w:jc w:val="left"/>
        <w:rPr>
          <w:rFonts w:ascii="宋体" w:hAnsi="宋体" w:cs="宋体"/>
          <w:color w:val="000000"/>
          <w:sz w:val="24"/>
          <w:szCs w:val="24"/>
          <w:highlight w:val="none"/>
        </w:rPr>
      </w:pPr>
      <w:bookmarkStart w:id="96" w:name="_Toc105940914"/>
      <w:bookmarkStart w:id="97" w:name="_Toc105940832"/>
      <w:r>
        <w:rPr>
          <w:rFonts w:hint="eastAsia" w:ascii="宋体" w:hAnsi="宋体" w:cs="宋体"/>
          <w:color w:val="000000"/>
          <w:sz w:val="24"/>
          <w:szCs w:val="24"/>
          <w:highlight w:val="none"/>
        </w:rPr>
        <w:t>20、磋商</w:t>
      </w:r>
      <w:bookmarkEnd w:id="96"/>
      <w:bookmarkEnd w:id="97"/>
    </w:p>
    <w:p w14:paraId="1C63534B">
      <w:pPr>
        <w:spacing w:line="360" w:lineRule="auto"/>
        <w:ind w:firstLine="480"/>
        <w:rPr>
          <w:rFonts w:ascii="宋体" w:hAnsi="宋体"/>
          <w:b/>
          <w:color w:val="000000"/>
          <w:sz w:val="24"/>
          <w:highlight w:val="none"/>
          <w:u w:val="single"/>
        </w:rPr>
      </w:pPr>
      <w:r>
        <w:rPr>
          <w:rFonts w:hint="eastAsia" w:ascii="宋体" w:hAnsi="宋体" w:cs="宋体"/>
          <w:color w:val="000000"/>
          <w:sz w:val="24"/>
          <w:highlight w:val="none"/>
        </w:rPr>
        <w:t>20.1磋商组织方将在“磋商文件”中规定的时间和地点主持开标。</w:t>
      </w:r>
    </w:p>
    <w:p w14:paraId="7696214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20.2</w:t>
      </w:r>
      <w:r>
        <w:rPr>
          <w:rFonts w:ascii="宋体" w:hAnsi="宋体" w:cs="宋体"/>
          <w:color w:val="000000"/>
          <w:spacing w:val="-6"/>
          <w:sz w:val="24"/>
          <w:highlight w:val="none"/>
        </w:rPr>
        <w:t>供应商</w:t>
      </w:r>
      <w:r>
        <w:rPr>
          <w:rFonts w:hint="eastAsia" w:ascii="宋体" w:hAnsi="宋体" w:cs="宋体"/>
          <w:color w:val="000000"/>
          <w:sz w:val="24"/>
          <w:highlight w:val="none"/>
        </w:rPr>
        <w:t>应当在开标前做好充分准备，使用制作该磋商响应文件的同一数字认证证书准时参加开标。</w:t>
      </w:r>
    </w:p>
    <w:p w14:paraId="29EEE8A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20.3</w:t>
      </w:r>
      <w:r>
        <w:rPr>
          <w:rFonts w:ascii="宋体" w:hAnsi="宋体" w:cs="宋体"/>
          <w:b/>
          <w:bCs/>
          <w:color w:val="000000"/>
          <w:spacing w:val="-13"/>
          <w:sz w:val="24"/>
          <w:highlight w:val="none"/>
        </w:rPr>
        <w:t>供应商不足3家，不进入解密程序。</w:t>
      </w:r>
    </w:p>
    <w:p w14:paraId="6C0C49DB">
      <w:pPr>
        <w:spacing w:line="360" w:lineRule="auto"/>
        <w:ind w:firstLine="480"/>
        <w:rPr>
          <w:rFonts w:ascii="宋体" w:hAnsi="宋体" w:cs="宋体"/>
          <w:b/>
          <w:bCs/>
          <w:color w:val="000000"/>
          <w:sz w:val="24"/>
          <w:highlight w:val="none"/>
        </w:rPr>
      </w:pPr>
      <w:r>
        <w:rPr>
          <w:rFonts w:hint="eastAsia" w:ascii="宋体" w:hAnsi="宋体" w:cs="宋体"/>
          <w:color w:val="000000"/>
          <w:sz w:val="24"/>
          <w:highlight w:val="none"/>
        </w:rPr>
        <w:t>20.4</w:t>
      </w:r>
      <w:r>
        <w:rPr>
          <w:rFonts w:hint="eastAsia" w:ascii="宋体" w:hAnsi="宋体" w:cs="宋体"/>
          <w:b/>
          <w:bCs/>
          <w:color w:val="000000"/>
          <w:sz w:val="24"/>
          <w:highlight w:val="none"/>
        </w:rPr>
        <w:t>磋商组织方将在系统内发出解密的指令，供应商自行实施解密，限定在主持人发布解密指令后30分钟内完成。解密时，供应商必须使用与制作响应文件时同一数字认证证书对响应文件进行解密，否则解密将会失败。</w:t>
      </w:r>
    </w:p>
    <w:p w14:paraId="41441B7C">
      <w:pPr>
        <w:spacing w:before="3" w:line="359" w:lineRule="auto"/>
        <w:ind w:left="41" w:right="121" w:firstLine="497"/>
        <w:rPr>
          <w:rFonts w:ascii="宋体" w:hAnsi="宋体" w:cs="宋体"/>
          <w:b/>
          <w:bCs/>
          <w:color w:val="000000"/>
          <w:sz w:val="24"/>
          <w:highlight w:val="none"/>
        </w:rPr>
      </w:pPr>
      <w:r>
        <w:rPr>
          <w:rFonts w:hint="eastAsia" w:ascii="宋体" w:hAnsi="宋体" w:cs="宋体"/>
          <w:color w:val="000000"/>
          <w:sz w:val="24"/>
          <w:highlight w:val="none"/>
        </w:rPr>
        <w:t>20.5</w:t>
      </w:r>
      <w:r>
        <w:rPr>
          <w:rFonts w:ascii="宋体" w:hAnsi="宋体" w:cs="宋体"/>
          <w:color w:val="000000"/>
          <w:spacing w:val="-6"/>
          <w:sz w:val="24"/>
          <w:highlight w:val="none"/>
        </w:rPr>
        <w:t>因供应商原因造成响应文件未解密或解密失败或无法正常打开响应文件的， 磋商</w:t>
      </w:r>
      <w:r>
        <w:rPr>
          <w:rFonts w:ascii="宋体" w:hAnsi="宋体" w:cs="宋体"/>
          <w:color w:val="000000"/>
          <w:sz w:val="24"/>
          <w:highlight w:val="none"/>
        </w:rPr>
        <w:t xml:space="preserve"> </w:t>
      </w:r>
      <w:r>
        <w:rPr>
          <w:rFonts w:ascii="宋体" w:hAnsi="宋体" w:cs="宋体"/>
          <w:color w:val="000000"/>
          <w:spacing w:val="-4"/>
          <w:sz w:val="24"/>
          <w:highlight w:val="none"/>
        </w:rPr>
        <w:t>组织方将拒绝其响应。部分供应商的响应文件未解密或解密失败的， 程序可以继续进</w:t>
      </w:r>
      <w:r>
        <w:rPr>
          <w:rFonts w:ascii="宋体" w:hAnsi="宋体" w:cs="宋体"/>
          <w:color w:val="000000"/>
          <w:spacing w:val="-3"/>
          <w:sz w:val="24"/>
          <w:highlight w:val="none"/>
        </w:rPr>
        <w:t>行</w:t>
      </w:r>
      <w:r>
        <w:rPr>
          <w:rFonts w:ascii="宋体" w:hAnsi="宋体" w:cs="宋体"/>
          <w:color w:val="000000"/>
          <w:sz w:val="24"/>
          <w:highlight w:val="none"/>
        </w:rPr>
        <w:t>。</w:t>
      </w:r>
      <w:r>
        <w:rPr>
          <w:rFonts w:ascii="宋体" w:hAnsi="宋体" w:cs="宋体"/>
          <w:b/>
          <w:bCs/>
          <w:color w:val="000000"/>
          <w:spacing w:val="1"/>
          <w:sz w:val="24"/>
          <w:highlight w:val="none"/>
        </w:rPr>
        <w:t>若解密成功的</w:t>
      </w:r>
      <w:r>
        <w:rPr>
          <w:rFonts w:ascii="宋体" w:hAnsi="宋体" w:cs="宋体"/>
          <w:b/>
          <w:bCs/>
          <w:color w:val="000000"/>
          <w:sz w:val="24"/>
          <w:highlight w:val="none"/>
        </w:rPr>
        <w:t>供应商不足三家，不进入后续程序。</w:t>
      </w:r>
    </w:p>
    <w:p w14:paraId="2CD89F26">
      <w:pPr>
        <w:spacing w:before="3" w:line="359" w:lineRule="auto"/>
        <w:ind w:left="41" w:right="121" w:firstLine="497"/>
        <w:rPr>
          <w:rFonts w:ascii="宋体" w:hAnsi="宋体" w:cs="宋体"/>
          <w:color w:val="000000"/>
          <w:sz w:val="24"/>
          <w:highlight w:val="none"/>
        </w:rPr>
      </w:pPr>
      <w:r>
        <w:rPr>
          <w:rFonts w:hint="eastAsia" w:ascii="宋体" w:hAnsi="宋体" w:cs="宋体"/>
          <w:color w:val="000000"/>
          <w:sz w:val="24"/>
          <w:highlight w:val="none"/>
        </w:rPr>
        <w:t>20.6本项目在限定的解密时间内，只要有任一家供应商解密成功，即视为电子交易平台运行无故障。</w:t>
      </w:r>
    </w:p>
    <w:p w14:paraId="27F09885">
      <w:pPr>
        <w:shd w:val="clear" w:color="auto" w:fill="FFFFFF"/>
        <w:spacing w:line="360" w:lineRule="auto"/>
        <w:ind w:left="1" w:firstLine="480"/>
        <w:jc w:val="left"/>
        <w:rPr>
          <w:rFonts w:ascii="宋体" w:hAnsi="宋体" w:cs="宋体"/>
          <w:color w:val="000000"/>
          <w:sz w:val="24"/>
          <w:highlight w:val="none"/>
        </w:rPr>
      </w:pPr>
      <w:r>
        <w:rPr>
          <w:rFonts w:hint="eastAsia" w:ascii="宋体" w:hAnsi="宋体" w:cs="宋体"/>
          <w:color w:val="000000"/>
          <w:sz w:val="24"/>
          <w:highlight w:val="none"/>
        </w:rPr>
        <w:t>20.</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电子交易平台自动记录开标过程，由参加开标的各供应商代表和相关工作人员确认开标结果。</w:t>
      </w:r>
    </w:p>
    <w:p w14:paraId="0D0FDE5D">
      <w:pPr>
        <w:spacing w:line="360" w:lineRule="auto"/>
        <w:ind w:firstLine="480"/>
        <w:rPr>
          <w:rFonts w:ascii="宋体" w:hAnsi="宋体" w:cs="宋体"/>
          <w:color w:val="000000"/>
          <w:spacing w:val="-8"/>
          <w:sz w:val="24"/>
          <w:highlight w:val="none"/>
        </w:rPr>
      </w:pPr>
      <w:r>
        <w:rPr>
          <w:rFonts w:hint="eastAsia" w:ascii="宋体" w:hAnsi="宋体" w:cs="宋体"/>
          <w:color w:val="000000"/>
          <w:sz w:val="24"/>
          <w:highlight w:val="none"/>
        </w:rPr>
        <w:t>20.</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供应商代表如对开标过程和开标记录有</w:t>
      </w:r>
      <w:r>
        <w:rPr>
          <w:rFonts w:hint="eastAsia" w:ascii="宋体" w:hAnsi="宋体" w:cs="宋体"/>
          <w:color w:val="000000"/>
          <w:sz w:val="24"/>
          <w:highlight w:val="none"/>
          <w:lang w:val="en-US" w:eastAsia="zh-CN"/>
        </w:rPr>
        <w:t>异议</w:t>
      </w:r>
      <w:r>
        <w:rPr>
          <w:rFonts w:hint="eastAsia" w:ascii="宋体" w:hAnsi="宋体" w:cs="宋体"/>
          <w:color w:val="000000"/>
          <w:sz w:val="24"/>
          <w:highlight w:val="none"/>
        </w:rPr>
        <w:t>，以及认为采购人、采购代理机构相关工作人员有需要回避的情形的，应在主持人发布确认指令后3分钟内线上提出询问或者回避申请。采购人、采购代理机构将及时处理供应商代表提出的询问或者回避申请。如在规定时间内未提出，视同认可开标结果。</w:t>
      </w:r>
    </w:p>
    <w:p w14:paraId="4557C880">
      <w:pPr>
        <w:spacing w:line="360" w:lineRule="auto"/>
        <w:ind w:firstLine="448"/>
        <w:rPr>
          <w:rFonts w:ascii="宋体" w:hAnsi="宋体" w:cs="宋体"/>
          <w:color w:val="000000"/>
          <w:sz w:val="24"/>
          <w:highlight w:val="none"/>
        </w:rPr>
      </w:pPr>
      <w:r>
        <w:rPr>
          <w:rFonts w:hint="eastAsia" w:ascii="宋体" w:hAnsi="宋体" w:cs="宋体"/>
          <w:color w:val="000000"/>
          <w:spacing w:val="-8"/>
          <w:sz w:val="24"/>
          <w:highlight w:val="none"/>
        </w:rPr>
        <w:t>20.</w:t>
      </w:r>
      <w:r>
        <w:rPr>
          <w:rFonts w:hint="eastAsia" w:ascii="宋体" w:hAnsi="宋体" w:cs="宋体"/>
          <w:color w:val="000000"/>
          <w:spacing w:val="-8"/>
          <w:sz w:val="24"/>
          <w:highlight w:val="none"/>
          <w:lang w:val="en-US" w:eastAsia="zh-CN"/>
        </w:rPr>
        <w:t>9</w:t>
      </w:r>
      <w:r>
        <w:rPr>
          <w:rFonts w:ascii="宋体" w:hAnsi="宋体" w:cs="宋体"/>
          <w:color w:val="000000"/>
          <w:spacing w:val="-4"/>
          <w:sz w:val="24"/>
          <w:highlight w:val="none"/>
        </w:rPr>
        <w:t>供应商须配合磋商工作，否则自行承担后果。</w:t>
      </w:r>
    </w:p>
    <w:p w14:paraId="23F952C0">
      <w:pPr>
        <w:pStyle w:val="236"/>
        <w:keepNext w:val="0"/>
        <w:keepLines w:val="0"/>
        <w:spacing w:before="0" w:after="0" w:line="360" w:lineRule="auto"/>
        <w:jc w:val="left"/>
        <w:rPr>
          <w:rFonts w:ascii="宋体" w:hAnsi="宋体" w:cs="宋体"/>
          <w:color w:val="000000"/>
          <w:sz w:val="24"/>
          <w:szCs w:val="24"/>
          <w:highlight w:val="none"/>
        </w:rPr>
      </w:pPr>
      <w:bookmarkStart w:id="98" w:name="_Toc105940915"/>
      <w:bookmarkStart w:id="99" w:name="_Toc105940833"/>
      <w:r>
        <w:rPr>
          <w:rFonts w:hint="eastAsia" w:ascii="宋体" w:hAnsi="宋体" w:cs="宋体"/>
          <w:color w:val="000000"/>
          <w:sz w:val="24"/>
          <w:szCs w:val="24"/>
          <w:highlight w:val="none"/>
        </w:rPr>
        <w:t>21、磋商过程的保密</w:t>
      </w:r>
      <w:bookmarkEnd w:id="98"/>
      <w:bookmarkEnd w:id="99"/>
    </w:p>
    <w:p w14:paraId="3453280E">
      <w:pPr>
        <w:shd w:val="clear" w:color="auto" w:fill="FFFFFF"/>
        <w:spacing w:line="360" w:lineRule="auto"/>
        <w:ind w:left="1" w:firstLine="480"/>
        <w:jc w:val="left"/>
        <w:rPr>
          <w:rFonts w:ascii="宋体" w:hAnsi="宋体" w:cs="宋体"/>
          <w:color w:val="000000"/>
          <w:sz w:val="24"/>
          <w:highlight w:val="none"/>
        </w:rPr>
      </w:pPr>
      <w:r>
        <w:rPr>
          <w:rFonts w:hint="eastAsia" w:ascii="宋体" w:hAnsi="宋体" w:cs="宋体"/>
          <w:color w:val="000000"/>
          <w:sz w:val="24"/>
          <w:highlight w:val="none"/>
        </w:rPr>
        <w:t>21.1</w:t>
      </w:r>
      <w:r>
        <w:rPr>
          <w:rFonts w:hint="eastAsia" w:ascii="宋体" w:hAnsi="宋体" w:cs="宋体"/>
          <w:b/>
          <w:bCs/>
          <w:color w:val="000000"/>
          <w:sz w:val="24"/>
          <w:highlight w:val="none"/>
          <w:u w:val="single"/>
        </w:rPr>
        <w:t>磋商</w:t>
      </w:r>
      <w:r>
        <w:rPr>
          <w:rFonts w:hint="eastAsia" w:ascii="宋体" w:hAnsi="宋体" w:cs="宋体"/>
          <w:b/>
          <w:color w:val="000000"/>
          <w:sz w:val="24"/>
          <w:highlight w:val="none"/>
          <w:u w:val="single"/>
        </w:rPr>
        <w:t>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417E46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21.2在磋商过程中，如果供应商试图在磋商响应文件审查、澄清、比较及授予建议等方面向磋商组织方或参加磋商的人员施加任何影响，都将会导致其投标无效。</w:t>
      </w:r>
    </w:p>
    <w:p w14:paraId="2005A487">
      <w:pPr>
        <w:pStyle w:val="236"/>
        <w:keepNext w:val="0"/>
        <w:keepLines w:val="0"/>
        <w:spacing w:before="0" w:after="0" w:line="360" w:lineRule="auto"/>
        <w:jc w:val="left"/>
        <w:rPr>
          <w:rFonts w:ascii="宋体" w:hAnsi="宋体" w:cs="宋体"/>
          <w:color w:val="000000"/>
          <w:sz w:val="24"/>
          <w:szCs w:val="24"/>
          <w:highlight w:val="none"/>
        </w:rPr>
      </w:pPr>
      <w:bookmarkStart w:id="100" w:name="_Toc105940834"/>
      <w:bookmarkStart w:id="101" w:name="_Toc105940916"/>
      <w:r>
        <w:rPr>
          <w:rFonts w:hint="eastAsia" w:ascii="宋体" w:hAnsi="宋体" w:cs="宋体"/>
          <w:color w:val="000000"/>
          <w:sz w:val="24"/>
          <w:szCs w:val="24"/>
          <w:highlight w:val="none"/>
        </w:rPr>
        <w:t>22、磋商小组评审纪律</w:t>
      </w:r>
      <w:bookmarkEnd w:id="100"/>
      <w:bookmarkEnd w:id="101"/>
    </w:p>
    <w:p w14:paraId="373D294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22.1磋商时，磋商小组各成员应当独立对每个供应商的磋商响应文件进行评价，并汇总每个供应商的得分。</w:t>
      </w:r>
    </w:p>
    <w:p w14:paraId="395A2E1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磋商小组成员应当按照客观、公正、审慎的原则，根据磋商文件规定的评审程序、评审方法和评审标准进行独立评审。</w:t>
      </w:r>
    </w:p>
    <w:p w14:paraId="66FC27D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22.2评审专家应当遵守评审工作纪律，不得泄露评审情况和评审中获悉的商业秘密。</w:t>
      </w:r>
    </w:p>
    <w:p w14:paraId="1C0AB89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磋商小组在评审过程中发现供应商有行贿、提供虚假材料或者串通等违法行为的，应当及时向财政部门报告。</w:t>
      </w:r>
    </w:p>
    <w:p w14:paraId="770343B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评审专家在评审过程中受到非法干涉的，应当及时向财政、监察等部门举报。</w:t>
      </w:r>
    </w:p>
    <w:p w14:paraId="6270386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22.3磋商将采取磋商小组所有成员集中与单一供应商分别进行磋商的方式（不向其他供应商公布、透露其价格等信息），并给予所有参加磋商的供应商平等的磋商机会。</w:t>
      </w:r>
    </w:p>
    <w:p w14:paraId="61972E0C">
      <w:pPr>
        <w:spacing w:line="360" w:lineRule="auto"/>
        <w:ind w:firstLine="482"/>
        <w:rPr>
          <w:rFonts w:ascii="宋体" w:hAnsi="宋体" w:cs="宋体"/>
          <w:b/>
          <w:bCs/>
          <w:color w:val="000000"/>
          <w:sz w:val="24"/>
          <w:highlight w:val="none"/>
        </w:rPr>
      </w:pPr>
      <w:bookmarkStart w:id="102" w:name="_Toc105940835"/>
      <w:bookmarkStart w:id="103" w:name="_Toc105940917"/>
      <w:r>
        <w:rPr>
          <w:rFonts w:hint="eastAsia" w:ascii="宋体" w:hAnsi="宋体" w:cs="宋体"/>
          <w:b/>
          <w:bCs/>
          <w:color w:val="000000"/>
          <w:sz w:val="24"/>
          <w:highlight w:val="none"/>
        </w:rPr>
        <w:t>22.4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bookmarkEnd w:id="102"/>
      <w:bookmarkEnd w:id="103"/>
    </w:p>
    <w:p w14:paraId="2764CDE1">
      <w:pPr>
        <w:pStyle w:val="236"/>
        <w:keepNext w:val="0"/>
        <w:keepLines w:val="0"/>
        <w:spacing w:before="0" w:after="0" w:line="360" w:lineRule="auto"/>
        <w:jc w:val="left"/>
        <w:rPr>
          <w:rFonts w:ascii="宋体" w:hAnsi="宋体" w:cs="宋体"/>
          <w:color w:val="000000"/>
          <w:sz w:val="24"/>
          <w:szCs w:val="24"/>
          <w:highlight w:val="none"/>
        </w:rPr>
      </w:pPr>
      <w:bookmarkStart w:id="104" w:name="_Toc105940838"/>
      <w:bookmarkStart w:id="105" w:name="_Toc105940920"/>
      <w:r>
        <w:rPr>
          <w:rFonts w:hint="eastAsia" w:ascii="宋体" w:hAnsi="宋体" w:cs="宋体"/>
          <w:color w:val="000000"/>
          <w:sz w:val="24"/>
          <w:szCs w:val="24"/>
          <w:highlight w:val="none"/>
        </w:rPr>
        <w:t>23、无效磋商的情形</w:t>
      </w:r>
      <w:bookmarkEnd w:id="104"/>
      <w:bookmarkEnd w:id="105"/>
    </w:p>
    <w:p w14:paraId="02970196">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供应商存在下列情况之一的，其投标无效：</w:t>
      </w:r>
    </w:p>
    <w:p w14:paraId="50481E99">
      <w:pPr>
        <w:spacing w:line="360" w:lineRule="auto"/>
        <w:ind w:firstLine="482"/>
        <w:rPr>
          <w:rFonts w:ascii="宋体" w:hAnsi="宋体" w:cs="宋体"/>
          <w:b/>
          <w:sz w:val="24"/>
          <w:highlight w:val="none"/>
          <w:u w:val="single"/>
        </w:rPr>
      </w:pPr>
      <w:r>
        <w:rPr>
          <w:rFonts w:hint="eastAsia" w:ascii="宋体" w:hAnsi="宋体" w:cs="宋体"/>
          <w:b/>
          <w:sz w:val="24"/>
          <w:highlight w:val="none"/>
          <w:u w:val="single"/>
        </w:rPr>
        <w:t>（1）响应文件未按招标文件要求进行有效签章的；</w:t>
      </w:r>
    </w:p>
    <w:p w14:paraId="7709BDC2">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（2）报价超过招标文件中规定的预算金额或最高限价的；</w:t>
      </w:r>
    </w:p>
    <w:p w14:paraId="2EE0BDE8">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（3）响应文件含有采购人不能接受的附加条件的;</w:t>
      </w:r>
    </w:p>
    <w:p w14:paraId="754ABDEF">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4）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518D6D49">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（5）供应商对根据修正原则修正后的报价不确认的；</w:t>
      </w:r>
    </w:p>
    <w:p w14:paraId="58059445">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（6）响应文件中提供了虚假或失实资料的；</w:t>
      </w:r>
    </w:p>
    <w:p w14:paraId="00F50C70">
      <w:pPr>
        <w:spacing w:line="360" w:lineRule="auto"/>
        <w:ind w:left="1" w:firstLine="482"/>
        <w:rPr>
          <w:rFonts w:ascii="宋体" w:hAnsi="宋体" w:cs="宋体"/>
          <w:b/>
          <w:bCs/>
          <w:sz w:val="24"/>
          <w:highlight w:val="none"/>
          <w:u w:val="single"/>
        </w:rPr>
      </w:pPr>
      <w:r>
        <w:rPr>
          <w:rFonts w:hint="eastAsia" w:ascii="宋体" w:hAnsi="宋体" w:cs="宋体"/>
          <w:b/>
          <w:bCs/>
          <w:sz w:val="24"/>
          <w:highlight w:val="none"/>
          <w:u w:val="single"/>
        </w:rPr>
        <w:t>（7）不同供应商的电子响应文件出自同一台电脑；</w:t>
      </w:r>
    </w:p>
    <w:p w14:paraId="183DBDE9">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（8）供应商存在串通投标情形的；</w:t>
      </w:r>
    </w:p>
    <w:p w14:paraId="638065F4">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（9）为本项目提供整体设计、规范编制或者项目管理、监理、检测等服务的；</w:t>
      </w:r>
    </w:p>
    <w:p w14:paraId="00C02E38">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（10）不同供应商的法定代表人或单位负责人为同一个人或者存在直接控股、管理关系的；</w:t>
      </w:r>
    </w:p>
    <w:p w14:paraId="4ECAFE0E">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（11）响应文件不满足招标文件的其它实质性要求的；</w:t>
      </w:r>
    </w:p>
    <w:p w14:paraId="11540A8F">
      <w:pPr>
        <w:spacing w:line="360" w:lineRule="auto"/>
        <w:ind w:left="1" w:firstLine="482"/>
        <w:rPr>
          <w:rFonts w:ascii="宋体" w:hAnsi="宋体" w:cs="宋体"/>
          <w:b/>
          <w:sz w:val="24"/>
          <w:highlight w:val="none"/>
          <w:u w:val="single"/>
        </w:rPr>
      </w:pPr>
      <w:r>
        <w:rPr>
          <w:rFonts w:hint="eastAsia" w:ascii="宋体" w:hAnsi="宋体" w:cs="宋体"/>
          <w:b/>
          <w:sz w:val="24"/>
          <w:highlight w:val="none"/>
          <w:u w:val="single"/>
        </w:rPr>
        <w:t>（12）采购需求中加“★”项有负偏离的（如有）。</w:t>
      </w:r>
    </w:p>
    <w:p w14:paraId="09E5B179">
      <w:pPr>
        <w:spacing w:line="360" w:lineRule="auto"/>
        <w:ind w:firstLine="442"/>
        <w:rPr>
          <w:rFonts w:ascii="宋体" w:hAnsi="宋体"/>
          <w:b/>
          <w:bCs/>
          <w:color w:val="000000"/>
          <w:sz w:val="24"/>
          <w:highlight w:val="none"/>
          <w:u w:val="single"/>
        </w:rPr>
      </w:pPr>
      <w:r>
        <w:rPr>
          <w:rFonts w:hint="eastAsia" w:ascii="宋体" w:hAnsi="宋体" w:cs="宋体"/>
          <w:b/>
          <w:sz w:val="24"/>
          <w:highlight w:val="none"/>
          <w:u w:val="single"/>
        </w:rPr>
        <w:t>（13）法律、法规、规章（适用本市的）及省级以上规范性文件（适用本市的）规定的其他无效情形。</w:t>
      </w:r>
    </w:p>
    <w:p w14:paraId="79672168">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24、磋商响应文件的澄清</w:t>
      </w:r>
    </w:p>
    <w:p w14:paraId="2DF93B4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232DD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24.2磋商小组要求供应商澄清、说明或者更正响应文件应当以书面形式作出。供应商的澄清、说明或者更正应当由法定代表人或其授权委托代理人签字或者加盖公章。由授权委托代理人签字的，应当附法定代表人授权书。供应商为自然人的，应当由本人签字并附身份证明。</w:t>
      </w:r>
    </w:p>
    <w:p w14:paraId="06E0BAC9">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25、磋商内容</w:t>
      </w:r>
    </w:p>
    <w:p w14:paraId="2F3328E2">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25.1磋商小组与符合条件的供应商就磋商文件中的技术、服务要求及合同草案条款等进行磋商。</w:t>
      </w:r>
    </w:p>
    <w:p w14:paraId="26DDFAEF">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25.2在磋商过程中，磋商小组可以根据磋商文件和磋商情况实质性变动采购需求中的技术、服务要求以及合同草案条款，但不得变动磋商文件中的其他内容。实质性变动的内容，须经采购人代表书面确认后进行。</w:t>
      </w:r>
    </w:p>
    <w:p w14:paraId="1894ED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根据磋商文件和磋商情况作出的实质性变动是磋商文件的有效组成部分，磋商小组将及时以书面形式同时通知所有参加磋商的供应商。</w:t>
      </w:r>
    </w:p>
    <w:p w14:paraId="6EF2C981">
      <w:pPr>
        <w:spacing w:line="360" w:lineRule="auto"/>
        <w:ind w:firstLine="482"/>
        <w:rPr>
          <w:rFonts w:ascii="宋体" w:hAnsi="宋体" w:cs="宋体"/>
          <w:b/>
          <w:bCs/>
          <w:color w:val="000000"/>
          <w:sz w:val="24"/>
          <w:highlight w:val="none"/>
          <w:u w:val="single"/>
        </w:rPr>
      </w:pPr>
      <w:r>
        <w:rPr>
          <w:rFonts w:hint="eastAsia" w:ascii="宋体" w:hAnsi="宋体" w:cs="宋体"/>
          <w:b/>
          <w:bCs/>
          <w:color w:val="000000"/>
          <w:sz w:val="24"/>
          <w:highlight w:val="none"/>
          <w:u w:val="single"/>
        </w:rPr>
        <w:t>供应商应当按照磋商文件的变动情况和磋商小组的要求重新提交响应文件，并由其法定代表人或授权委托代理人签字或者加盖公章。由授权委托代理人签字的，应当附法人授权委托书。</w:t>
      </w:r>
    </w:p>
    <w:p w14:paraId="737FA17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25.3已提交响应文件的供应商，由于磋商小组实质性变动采购需求中的技术、服务要求以及合同草案条款，在提交最后报价之前，可以根据磋商情况退出磋商。若采购需求未发生实质性变动，供应商不得退出磋商。</w:t>
      </w:r>
    </w:p>
    <w:p w14:paraId="202AED87">
      <w:pPr>
        <w:pStyle w:val="236"/>
        <w:keepNext w:val="0"/>
        <w:keepLines w:val="0"/>
        <w:spacing w:before="0" w:after="0" w:line="360" w:lineRule="auto"/>
        <w:jc w:val="left"/>
        <w:rPr>
          <w:rFonts w:ascii="宋体" w:hAnsi="宋体" w:cs="宋体"/>
          <w:color w:val="000000"/>
          <w:sz w:val="24"/>
          <w:szCs w:val="24"/>
          <w:highlight w:val="none"/>
        </w:rPr>
      </w:pPr>
      <w:bookmarkStart w:id="106" w:name="_Toc105940839"/>
      <w:bookmarkStart w:id="107" w:name="_Toc105940921"/>
      <w:r>
        <w:rPr>
          <w:rFonts w:hint="eastAsia" w:ascii="宋体" w:hAnsi="宋体" w:cs="宋体"/>
          <w:color w:val="000000"/>
          <w:sz w:val="24"/>
          <w:szCs w:val="24"/>
          <w:highlight w:val="none"/>
        </w:rPr>
        <w:t>26、最后报价的提交</w:t>
      </w:r>
      <w:bookmarkEnd w:id="106"/>
      <w:bookmarkEnd w:id="107"/>
    </w:p>
    <w:p w14:paraId="0FF532B1">
      <w:pPr>
        <w:spacing w:line="360" w:lineRule="auto"/>
        <w:ind w:firstLine="480"/>
        <w:rPr>
          <w:rFonts w:ascii="宋体" w:hAnsi="宋体" w:cs="宋体"/>
          <w:b/>
          <w:bCs/>
          <w:color w:val="000000"/>
          <w:sz w:val="24"/>
          <w:highlight w:val="none"/>
          <w:u w:val="single"/>
        </w:rPr>
      </w:pPr>
      <w:r>
        <w:rPr>
          <w:rFonts w:hint="eastAsia" w:ascii="宋体" w:hAnsi="宋体" w:cs="宋体"/>
          <w:color w:val="000000"/>
          <w:sz w:val="24"/>
          <w:highlight w:val="none"/>
        </w:rPr>
        <w:t>26.1磋商文件能够详细列明采购标的的技术、服务要求的，磋商结束后，磋商小组应当要求所有实质性响应的供应商在规定时间内提交最后总报价，</w:t>
      </w:r>
      <w:r>
        <w:rPr>
          <w:rFonts w:hint="eastAsia" w:ascii="宋体" w:hAnsi="宋体" w:cs="宋体"/>
          <w:b/>
          <w:bCs/>
          <w:color w:val="000000"/>
          <w:sz w:val="24"/>
          <w:highlight w:val="none"/>
          <w:u w:val="single"/>
        </w:rPr>
        <w:t>提交最后报价的供应商不得少于3家。</w:t>
      </w:r>
    </w:p>
    <w:p w14:paraId="33DB4AC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26.2磋商文件不能详细列明采购标的的技术、服务要求，需经磋商由供应商提供最终设计方案或解决方案的，磋商结束后，磋商小组应当按照少数服从多数的原则投票推荐3家及以上供应商的设计方案或者解决方案，并要求其在规定时间内提交最后明细报价。</w:t>
      </w:r>
    </w:p>
    <w:p w14:paraId="3039D51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成交供应商与采购人签订合同时，必须提交与合同价（最后总报价）一致的明细报价。</w:t>
      </w:r>
    </w:p>
    <w:p w14:paraId="783AC175">
      <w:pPr>
        <w:spacing w:line="360" w:lineRule="auto"/>
        <w:ind w:firstLine="482"/>
        <w:rPr>
          <w:rFonts w:ascii="宋体" w:hAnsi="宋体" w:cs="宋体"/>
          <w:color w:val="000000"/>
          <w:sz w:val="24"/>
          <w:highlight w:val="none"/>
        </w:rPr>
      </w:pPr>
      <w:r>
        <w:rPr>
          <w:rFonts w:hint="eastAsia" w:ascii="宋体" w:hAnsi="宋体" w:cs="宋体"/>
          <w:b/>
          <w:bCs/>
          <w:color w:val="000000"/>
          <w:sz w:val="24"/>
          <w:highlight w:val="none"/>
        </w:rPr>
        <w:t>本项目符合第一种情况</w:t>
      </w:r>
      <w:r>
        <w:rPr>
          <w:rFonts w:hint="eastAsia" w:ascii="宋体" w:hAnsi="宋体" w:cs="宋体"/>
          <w:color w:val="000000"/>
          <w:sz w:val="24"/>
          <w:highlight w:val="none"/>
        </w:rPr>
        <w:t>。</w:t>
      </w:r>
    </w:p>
    <w:p w14:paraId="042AAE84">
      <w:pPr>
        <w:spacing w:line="360" w:lineRule="auto"/>
        <w:ind w:firstLine="482"/>
        <w:rPr>
          <w:rFonts w:ascii="宋体" w:hAnsi="宋体" w:cs="宋体"/>
          <w:color w:val="000000"/>
          <w:sz w:val="24"/>
          <w:highlight w:val="none"/>
        </w:rPr>
      </w:pPr>
      <w:bookmarkStart w:id="108" w:name="_Toc105940922"/>
      <w:bookmarkStart w:id="109" w:name="_Toc105940840"/>
      <w:r>
        <w:rPr>
          <w:rFonts w:hint="eastAsia" w:ascii="宋体" w:hAnsi="宋体" w:cs="宋体"/>
          <w:b/>
          <w:bCs/>
          <w:color w:val="000000"/>
          <w:sz w:val="24"/>
          <w:highlight w:val="none"/>
        </w:rPr>
        <w:t>磋商小组认为供应商的最后报价明显低于其他通过符合性审查供应商的报价，有可能影响产品质量或者不能诚信履约的，应当要求其在磋商现场合理的时间内提供书面说明，必要时提交相关证明材料。供应商不能证明其报价合理性的，磋商小组应当将其作为无效磋商处理</w:t>
      </w:r>
      <w:r>
        <w:rPr>
          <w:rFonts w:hint="eastAsia" w:ascii="宋体" w:hAnsi="宋体" w:cs="宋体"/>
          <w:color w:val="000000"/>
          <w:sz w:val="24"/>
          <w:highlight w:val="none"/>
        </w:rPr>
        <w:t>。</w:t>
      </w:r>
      <w:bookmarkEnd w:id="10"/>
      <w:bookmarkEnd w:id="11"/>
      <w:bookmarkEnd w:id="12"/>
      <w:bookmarkEnd w:id="13"/>
      <w:bookmarkEnd w:id="14"/>
      <w:bookmarkEnd w:id="108"/>
      <w:bookmarkEnd w:id="109"/>
    </w:p>
    <w:p w14:paraId="46CDB6BC">
      <w:pPr>
        <w:pStyle w:val="236"/>
        <w:keepNext w:val="0"/>
        <w:keepLines w:val="0"/>
        <w:spacing w:before="0" w:after="0" w:line="360" w:lineRule="auto"/>
        <w:jc w:val="left"/>
        <w:rPr>
          <w:rFonts w:ascii="宋体" w:hAnsi="宋体" w:cs="宋体"/>
          <w:color w:val="000000"/>
          <w:sz w:val="24"/>
          <w:szCs w:val="24"/>
          <w:highlight w:val="none"/>
        </w:rPr>
      </w:pPr>
      <w:bookmarkStart w:id="110" w:name="_Toc98669730"/>
      <w:bookmarkStart w:id="111" w:name="_Toc20821546"/>
      <w:bookmarkStart w:id="112" w:name="_Toc98669372"/>
      <w:bookmarkStart w:id="113" w:name="_Toc100386076"/>
      <w:bookmarkStart w:id="114" w:name="_Toc76955302"/>
      <w:r>
        <w:rPr>
          <w:rFonts w:hint="eastAsia" w:ascii="宋体" w:hAnsi="宋体" w:cs="宋体"/>
          <w:color w:val="000000"/>
          <w:sz w:val="24"/>
          <w:szCs w:val="24"/>
          <w:highlight w:val="none"/>
        </w:rPr>
        <w:t>27、相同品牌产品的处理原则</w:t>
      </w:r>
    </w:p>
    <w:p w14:paraId="458B14E8">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27.1非单一产品采购项目，采购人应当根据采购项目技术构成、产品价格比重等合理确定核心产品。本项目核心产品见供应商须知前附表。</w:t>
      </w:r>
    </w:p>
    <w:p w14:paraId="292F1128">
      <w:pPr>
        <w:spacing w:line="360" w:lineRule="auto"/>
        <w:ind w:firstLine="440"/>
        <w:rPr>
          <w:rFonts w:ascii="宋体" w:hAnsi="宋体" w:cs="宋体"/>
          <w:color w:val="000000"/>
          <w:sz w:val="24"/>
          <w:highlight w:val="none"/>
        </w:rPr>
      </w:pPr>
      <w:r>
        <w:rPr>
          <w:rFonts w:hint="eastAsia" w:ascii="宋体" w:hAnsi="宋体" w:cs="宋体"/>
          <w:color w:val="000000"/>
          <w:sz w:val="24"/>
          <w:highlight w:val="none"/>
        </w:rPr>
        <w:t>27.2使用综合评分法的采购项目，核心产品提供相同品牌产品且通过资格审查、符合性审查的不同供应商参加同一合同项下投标的，按一家供应商计算，评审后得分最高的同品牌供应商获得中标候选人推荐资格；评审得分相同的，由采购人或者采购人委托评标委员会按照磋商文件规定的方式确定一个供应商获得中标供应商推荐资格，磋商文件未规定的采取随机抽取方式确定，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磋商文件规定的方式确定一个参加评标的供应商，磋商文件未规定的采取随机抽取方式确定，其他投标无效。</w:t>
      </w:r>
    </w:p>
    <w:p w14:paraId="1A2159CD">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28、竞争性磋商特殊情况处理</w:t>
      </w:r>
    </w:p>
    <w:p w14:paraId="6DEEF25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28.1出现下列情形之一的，应当终止竞争性磋商采购活动，发布项目终止公告并说明原因，重新开展采购活动：</w:t>
      </w:r>
    </w:p>
    <w:p w14:paraId="5ACFC80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（1）因情况变化，不再符合规定的竞争性磋商采购方式适用情形的；</w:t>
      </w:r>
    </w:p>
    <w:p w14:paraId="0C82AF3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（2）出现影响采购公正的违法、违规行为的。</w:t>
      </w:r>
    </w:p>
    <w:p w14:paraId="2EAF739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（3）除《政府采购竞争性磋商采购方式管理暂行办法》第三条第四项规定的情形外， 在采购过程中符合要求的供应商或者报价未超过采购预算的供应商不足3家的。</w:t>
      </w:r>
    </w:p>
    <w:p w14:paraId="6FD88C11">
      <w:pPr>
        <w:spacing w:line="360" w:lineRule="auto"/>
        <w:ind w:firstLine="480"/>
        <w:rPr>
          <w:rFonts w:ascii="宋体" w:hAnsi="宋体" w:cs="宋体"/>
          <w:b/>
          <w:bCs/>
          <w:color w:val="000000"/>
          <w:sz w:val="24"/>
          <w:highlight w:val="none"/>
        </w:rPr>
      </w:pPr>
      <w:r>
        <w:rPr>
          <w:rFonts w:hint="eastAsia" w:ascii="宋体" w:hAnsi="宋体" w:cs="宋体"/>
          <w:color w:val="000000"/>
          <w:sz w:val="24"/>
          <w:highlight w:val="none"/>
        </w:rPr>
        <w:t>28.2</w:t>
      </w:r>
      <w:r>
        <w:rPr>
          <w:rFonts w:hint="eastAsia" w:ascii="宋体" w:hAnsi="宋体" w:cs="宋体"/>
          <w:b/>
          <w:bCs/>
          <w:color w:val="000000"/>
          <w:sz w:val="24"/>
          <w:highlight w:val="none"/>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14E13CC2">
      <w:pPr>
        <w:pStyle w:val="86"/>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28.3因重大变故，采购任务取消的则该磋商活动取消，采购人应当将取消理由通知所有供应商。</w:t>
      </w:r>
    </w:p>
    <w:p w14:paraId="0511EC71">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29、允许组织重新评审的情形</w:t>
      </w:r>
    </w:p>
    <w:p w14:paraId="3B4AB8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29.1磋商结果汇总完成后，除下列情形外，任何人不得以任何理由组织重新评审：</w:t>
      </w:r>
    </w:p>
    <w:p w14:paraId="4CDAC74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（1）资格性检查认定错误的；</w:t>
      </w:r>
    </w:p>
    <w:p w14:paraId="72DC660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（2）分值汇总计算错误的；</w:t>
      </w:r>
    </w:p>
    <w:p w14:paraId="4DDD1F3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（3）分项评分超出评分标准范围的；</w:t>
      </w:r>
    </w:p>
    <w:p w14:paraId="4376093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（4）客观分评分不一致的；</w:t>
      </w:r>
    </w:p>
    <w:p w14:paraId="3EAD52C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（5）经磋商小组一致认定评分畸高、畸低的。</w:t>
      </w:r>
    </w:p>
    <w:p w14:paraId="147C323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采购人、采购代理机构发现磋商小组未按照磋商文件规定的评审标准进行评审的，应当重新开展采购活动，并同时书面报告本级财政部门。</w:t>
      </w:r>
    </w:p>
    <w:p w14:paraId="3F22D653">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五</w:t>
      </w:r>
      <w:r>
        <w:rPr>
          <w:rFonts w:hint="eastAsia" w:ascii="宋体" w:hAnsi="宋体" w:eastAsia="宋体" w:cs="宋体"/>
          <w:color w:val="000000"/>
          <w:sz w:val="28"/>
          <w:szCs w:val="28"/>
          <w:highlight w:val="none"/>
        </w:rPr>
        <w:t>、确定结果</w:t>
      </w:r>
    </w:p>
    <w:p w14:paraId="6334DC5F">
      <w:pPr>
        <w:pStyle w:val="236"/>
        <w:keepNext w:val="0"/>
        <w:keepLines w:val="0"/>
        <w:spacing w:before="0" w:after="0" w:line="360" w:lineRule="auto"/>
        <w:jc w:val="left"/>
        <w:rPr>
          <w:rFonts w:ascii="宋体" w:hAnsi="宋体" w:cs="宋体"/>
          <w:color w:val="000000"/>
          <w:sz w:val="24"/>
          <w:szCs w:val="24"/>
          <w:highlight w:val="none"/>
        </w:rPr>
      </w:pPr>
      <w:bookmarkStart w:id="115" w:name="_Toc105940923"/>
      <w:bookmarkStart w:id="116" w:name="_Toc105940841"/>
      <w:r>
        <w:rPr>
          <w:rFonts w:hint="eastAsia" w:ascii="宋体" w:hAnsi="宋体" w:cs="宋体"/>
          <w:color w:val="000000"/>
          <w:sz w:val="24"/>
          <w:szCs w:val="24"/>
          <w:highlight w:val="none"/>
        </w:rPr>
        <w:t>30、确定</w:t>
      </w:r>
      <w:bookmarkEnd w:id="115"/>
      <w:bookmarkEnd w:id="116"/>
      <w:r>
        <w:rPr>
          <w:rFonts w:hint="eastAsia" w:ascii="宋体" w:hAnsi="宋体" w:cs="宋体"/>
          <w:color w:val="000000"/>
          <w:sz w:val="24"/>
          <w:szCs w:val="24"/>
          <w:highlight w:val="none"/>
        </w:rPr>
        <w:t>成交供应商</w:t>
      </w:r>
    </w:p>
    <w:p w14:paraId="0C31C0E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30.1磋商小组在评标结束后2个工作日内将评标报告送采购人。</w:t>
      </w:r>
    </w:p>
    <w:p w14:paraId="38BBB54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30.2采购人自收到评标报告之日起5个工作日内，在评标报告确定的中标候选人名单中按顺序确定成交供应商。中标候选人并列的，按《政府采购货物和服务招标投标管理办法》（财政部87号令）相关规定执行。</w:t>
      </w:r>
    </w:p>
    <w:p w14:paraId="3D7A583C">
      <w:pPr>
        <w:pStyle w:val="235"/>
        <w:keepNext w:val="0"/>
        <w:keepLines w:val="0"/>
        <w:spacing w:before="200" w:after="200" w:line="240" w:lineRule="auto"/>
        <w:rPr>
          <w:rFonts w:ascii="宋体" w:hAnsi="宋体" w:eastAsia="宋体" w:cs="宋体"/>
          <w:color w:val="000000"/>
          <w:sz w:val="28"/>
          <w:szCs w:val="28"/>
          <w:highlight w:val="none"/>
        </w:rPr>
      </w:pPr>
      <w:bookmarkStart w:id="117" w:name="_Toc105940924"/>
      <w:bookmarkStart w:id="118" w:name="_Toc105940842"/>
      <w:r>
        <w:rPr>
          <w:rFonts w:hint="eastAsia" w:ascii="宋体" w:hAnsi="宋体" w:eastAsia="宋体" w:cs="宋体"/>
          <w:color w:val="000000"/>
          <w:sz w:val="28"/>
          <w:szCs w:val="28"/>
          <w:highlight w:val="none"/>
          <w:lang w:val="en-US" w:eastAsia="zh-CN"/>
        </w:rPr>
        <w:t>六</w:t>
      </w:r>
      <w:r>
        <w:rPr>
          <w:rFonts w:hint="eastAsia" w:ascii="宋体" w:hAnsi="宋体" w:eastAsia="宋体" w:cs="宋体"/>
          <w:color w:val="000000"/>
          <w:sz w:val="28"/>
          <w:szCs w:val="28"/>
          <w:highlight w:val="none"/>
        </w:rPr>
        <w:t>、授予合同</w:t>
      </w:r>
      <w:bookmarkEnd w:id="117"/>
      <w:bookmarkEnd w:id="118"/>
    </w:p>
    <w:p w14:paraId="7ED83C1D">
      <w:pPr>
        <w:pStyle w:val="236"/>
        <w:keepNext w:val="0"/>
        <w:keepLines w:val="0"/>
        <w:spacing w:before="0" w:after="0" w:line="360" w:lineRule="auto"/>
        <w:jc w:val="left"/>
        <w:rPr>
          <w:rFonts w:ascii="宋体" w:hAnsi="宋体" w:cs="宋体"/>
          <w:color w:val="000000"/>
          <w:sz w:val="24"/>
          <w:szCs w:val="24"/>
          <w:highlight w:val="none"/>
        </w:rPr>
      </w:pPr>
      <w:bookmarkStart w:id="119" w:name="_Toc105940925"/>
      <w:bookmarkStart w:id="120" w:name="_Toc105940843"/>
      <w:r>
        <w:rPr>
          <w:rFonts w:hint="eastAsia" w:ascii="宋体" w:hAnsi="宋体" w:cs="宋体"/>
          <w:color w:val="000000"/>
          <w:sz w:val="24"/>
          <w:szCs w:val="24"/>
          <w:highlight w:val="none"/>
        </w:rPr>
        <w:t>31、磋商组织方接受和拒绝任何或所有投标的权利</w:t>
      </w:r>
      <w:bookmarkEnd w:id="119"/>
      <w:bookmarkEnd w:id="120"/>
    </w:p>
    <w:p w14:paraId="4CD8DB0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31.1为维护国家和社会公共利益，磋商组织方保留在授标之前任何时候接受或拒绝任何供应商中标的权利，且对受影响的供应商不承担任何责任。</w:t>
      </w:r>
    </w:p>
    <w:p w14:paraId="1643B3AC">
      <w:pPr>
        <w:pStyle w:val="236"/>
        <w:keepNext w:val="0"/>
        <w:keepLines w:val="0"/>
        <w:spacing w:before="0" w:after="0" w:line="360" w:lineRule="auto"/>
        <w:jc w:val="left"/>
        <w:rPr>
          <w:rFonts w:ascii="宋体" w:hAnsi="宋体" w:cs="宋体"/>
          <w:color w:val="000000"/>
          <w:sz w:val="24"/>
          <w:szCs w:val="24"/>
          <w:highlight w:val="none"/>
        </w:rPr>
      </w:pPr>
      <w:bookmarkStart w:id="121" w:name="_Toc105940926"/>
      <w:bookmarkStart w:id="122" w:name="_Toc105940844"/>
      <w:r>
        <w:rPr>
          <w:rFonts w:hint="eastAsia" w:ascii="宋体" w:hAnsi="宋体" w:cs="宋体"/>
          <w:color w:val="000000"/>
          <w:sz w:val="24"/>
          <w:szCs w:val="24"/>
          <w:highlight w:val="none"/>
        </w:rPr>
        <w:t>32、</w:t>
      </w:r>
      <w:bookmarkEnd w:id="121"/>
      <w:bookmarkEnd w:id="122"/>
      <w:r>
        <w:rPr>
          <w:rFonts w:hint="eastAsia" w:ascii="宋体" w:hAnsi="宋体" w:cs="宋体"/>
          <w:color w:val="000000"/>
          <w:sz w:val="24"/>
          <w:szCs w:val="24"/>
          <w:highlight w:val="none"/>
        </w:rPr>
        <w:t>成交通知书</w:t>
      </w:r>
    </w:p>
    <w:p w14:paraId="55C63E5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32.1自成交供应商确定之日起2个工作日内，磋商组织方向成交供应商发出成交通知书，同时编制发布采购结果公告。</w:t>
      </w:r>
    </w:p>
    <w:p w14:paraId="2E33C0D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32.2成交通知书将是合同的一个组成部分。</w:t>
      </w:r>
    </w:p>
    <w:p w14:paraId="7615128F">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u w:val="single"/>
        </w:rPr>
        <w:t>32.3成交通知书发出后，采购人不得违法改变中标结果，成交供应商无正当理由不得放弃中标</w:t>
      </w:r>
      <w:r>
        <w:rPr>
          <w:rFonts w:hint="eastAsia" w:ascii="宋体" w:hAnsi="宋体" w:cs="宋体"/>
          <w:b/>
          <w:bCs/>
          <w:color w:val="000000"/>
          <w:sz w:val="24"/>
          <w:highlight w:val="none"/>
        </w:rPr>
        <w:t>。</w:t>
      </w:r>
    </w:p>
    <w:p w14:paraId="453FC651">
      <w:pPr>
        <w:pStyle w:val="236"/>
        <w:keepNext w:val="0"/>
        <w:keepLines w:val="0"/>
        <w:spacing w:before="0" w:after="0" w:line="360" w:lineRule="auto"/>
        <w:jc w:val="left"/>
        <w:rPr>
          <w:rFonts w:ascii="宋体" w:hAnsi="宋体" w:cs="宋体"/>
          <w:color w:val="000000"/>
          <w:sz w:val="24"/>
          <w:szCs w:val="24"/>
          <w:highlight w:val="none"/>
        </w:rPr>
      </w:pPr>
      <w:bookmarkStart w:id="123" w:name="_Toc105940928"/>
      <w:bookmarkStart w:id="124" w:name="_Toc105940846"/>
      <w:r>
        <w:rPr>
          <w:rFonts w:hint="eastAsia" w:ascii="宋体" w:hAnsi="宋体" w:cs="宋体"/>
          <w:color w:val="000000"/>
          <w:sz w:val="24"/>
          <w:szCs w:val="24"/>
          <w:highlight w:val="none"/>
        </w:rPr>
        <w:t>33、</w:t>
      </w:r>
      <w:bookmarkEnd w:id="123"/>
      <w:bookmarkEnd w:id="124"/>
      <w:r>
        <w:rPr>
          <w:rFonts w:hint="eastAsia" w:ascii="宋体" w:hAnsi="宋体" w:cs="宋体"/>
          <w:color w:val="000000"/>
          <w:sz w:val="24"/>
          <w:szCs w:val="24"/>
          <w:highlight w:val="none"/>
        </w:rPr>
        <w:t>履约保证金</w:t>
      </w:r>
    </w:p>
    <w:p w14:paraId="4FB1E121">
      <w:pPr>
        <w:pStyle w:val="12"/>
        <w:spacing w:line="360" w:lineRule="auto"/>
        <w:ind w:firstLine="440"/>
        <w:rPr>
          <w:rFonts w:ascii="宋体" w:hAnsi="宋体" w:cs="宋体"/>
          <w:sz w:val="24"/>
          <w:highlight w:val="none"/>
        </w:rPr>
      </w:pPr>
      <w:r>
        <w:rPr>
          <w:rFonts w:hint="eastAsia" w:ascii="宋体" w:hAnsi="宋体" w:cs="宋体"/>
          <w:color w:val="000000"/>
          <w:sz w:val="24"/>
          <w:highlight w:val="none"/>
        </w:rPr>
        <w:t>33.1</w:t>
      </w:r>
      <w:r>
        <w:rPr>
          <w:rFonts w:hint="eastAsia" w:ascii="宋体" w:hAnsi="宋体" w:cs="宋体"/>
          <w:sz w:val="24"/>
          <w:highlight w:val="none"/>
        </w:rPr>
        <w:t>A☑本项目不收取履约保证金。</w:t>
      </w:r>
    </w:p>
    <w:p w14:paraId="7B7D6C92">
      <w:pPr>
        <w:spacing w:line="360" w:lineRule="auto"/>
        <w:ind w:firstLine="440"/>
        <w:rPr>
          <w:sz w:val="24"/>
          <w:highlight w:val="none"/>
        </w:rPr>
      </w:pPr>
      <w:r>
        <w:rPr>
          <w:rFonts w:hint="eastAsia" w:ascii="宋体" w:hAnsi="宋体" w:cs="宋体"/>
          <w:sz w:val="24"/>
          <w:highlight w:val="none"/>
        </w:rPr>
        <w:t>B□本项目中标供应商应提交政府采购合同金额XX%的履约保证金（不得超过政府采购合同金额的10%），履约保证金应以支票、汇票、本票、保函、保险保单等非现金形式缴纳或提交。</w:t>
      </w:r>
      <w:r>
        <w:rPr>
          <w:rFonts w:hint="eastAsia" w:ascii="宋体" w:hAnsi="宋体" w:cs="宋体"/>
          <w:color w:val="000000"/>
          <w:sz w:val="24"/>
          <w:highlight w:val="none"/>
        </w:rPr>
        <w:t>支持和鼓励中标供应商自愿使用履约（保函）保险代替缴纳履约保证金。省财政厅已上线政府采购电子履约保函(保险)平台，平台可通过域名www.jsdzbh.com直接访问，也可通过江苏省政府采购网、“苏采云”系统链接访问。</w:t>
      </w:r>
    </w:p>
    <w:p w14:paraId="00700DDF">
      <w:pPr>
        <w:pStyle w:val="236"/>
        <w:keepNext w:val="0"/>
        <w:keepLines w:val="0"/>
        <w:spacing w:before="0" w:after="0" w:line="360" w:lineRule="auto"/>
        <w:jc w:val="left"/>
        <w:rPr>
          <w:rFonts w:ascii="宋体" w:hAnsi="宋体" w:cs="宋体"/>
          <w:color w:val="000000"/>
          <w:sz w:val="24"/>
          <w:szCs w:val="24"/>
          <w:highlight w:val="none"/>
        </w:rPr>
      </w:pPr>
      <w:bookmarkStart w:id="125" w:name="_Toc105940929"/>
      <w:bookmarkStart w:id="126" w:name="_Toc105940847"/>
      <w:r>
        <w:rPr>
          <w:rFonts w:hint="eastAsia" w:ascii="宋体" w:hAnsi="宋体" w:cs="宋体"/>
          <w:color w:val="000000"/>
          <w:sz w:val="24"/>
          <w:szCs w:val="24"/>
          <w:highlight w:val="none"/>
        </w:rPr>
        <w:t>34、签订合同</w:t>
      </w:r>
      <w:bookmarkEnd w:id="125"/>
      <w:bookmarkEnd w:id="126"/>
    </w:p>
    <w:p w14:paraId="726D84C5">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34.1采购人应当自中标通知书发出之日起</w:t>
      </w:r>
      <w:r>
        <w:rPr>
          <w:rFonts w:hint="eastAsia" w:ascii="宋体" w:hAnsi="宋体" w:cs="宋体"/>
          <w:b/>
          <w:bCs/>
          <w:color w:val="000000"/>
          <w:sz w:val="24"/>
          <w:highlight w:val="none"/>
          <w:u w:val="single"/>
        </w:rPr>
        <w:t>15</w:t>
      </w:r>
      <w:r>
        <w:rPr>
          <w:rFonts w:hint="eastAsia" w:ascii="宋体" w:hAnsi="宋体" w:cs="宋体"/>
          <w:color w:val="000000"/>
          <w:sz w:val="24"/>
          <w:highlight w:val="none"/>
        </w:rPr>
        <w:t>日内，按照磋商文件和成交供应商投标文件的规定，与成交供应商签订书面合同。所签订的合同不得对磋商文件确定的事项和成交供应商投标文件作实质性修改。采购人不得向成交供应商提出任何不合理的要求作为签订合同的条件。磋商文件、成交供应商的投标文件、澄清文件、中标通知书，均为签订合同的依据。</w:t>
      </w:r>
    </w:p>
    <w:p w14:paraId="31FDB888">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34.2中标供应商拒绝与采购人签订合同的，采购人可以按照评审报告推荐的成交供应商名单排序，确定下一候选人为中标供应商，也可以重新开展政府采购活动。中标供应商无正当理由拒不与采购人签订合同的，报政府采购监管部门依法处理。</w:t>
      </w:r>
    </w:p>
    <w:p w14:paraId="357DFD05">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34.3政府采购合同应当包括采购人与成交供应商的名称和住所、标的、数量、质量、价款或者报酬、履行期限及地点和方式、验收要求、违约责任、解决争议的方法等内容。</w:t>
      </w:r>
    </w:p>
    <w:p w14:paraId="1DD0C342">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34.4采购人应当自采购合同签订之日起2个工作日内，将政府采购合同在政府采购指定媒体予以公告。</w:t>
      </w:r>
    </w:p>
    <w:p w14:paraId="3B6D8E49">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34.5合同履行中，采购人需追加与合同标的相同的货物或者服务时，在不改变合同其他条款的前提下，可以与成交供应商协商签订补充合同，但所有补充合同的采购金额不得超过原合同采购金额的百分之十。</w:t>
      </w:r>
    </w:p>
    <w:p w14:paraId="2BE6BE16">
      <w:pPr>
        <w:spacing w:line="360" w:lineRule="auto"/>
        <w:ind w:firstLine="480"/>
        <w:rPr>
          <w:rFonts w:ascii="宋体" w:hAnsi="宋体" w:cs="宋体"/>
          <w:color w:val="000000"/>
          <w:sz w:val="22"/>
          <w:szCs w:val="22"/>
          <w:highlight w:val="none"/>
        </w:rPr>
      </w:pPr>
      <w:r>
        <w:rPr>
          <w:rFonts w:hint="eastAsia" w:ascii="宋体" w:hAnsi="宋体" w:cs="宋体"/>
          <w:color w:val="000000"/>
          <w:sz w:val="24"/>
          <w:highlight w:val="none"/>
        </w:rPr>
        <w:t>34.6采购人与成交供应商应当根据合同的约定依法履行合同义务。政府采购合同的履行、违约责任和解决争议的方法等适用《中华人民共和国民法典》。</w:t>
      </w:r>
    </w:p>
    <w:p w14:paraId="0A838E0A">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七</w:t>
      </w:r>
      <w:r>
        <w:rPr>
          <w:rFonts w:hint="eastAsia" w:ascii="宋体" w:hAnsi="宋体" w:eastAsia="宋体" w:cs="宋体"/>
          <w:color w:val="000000"/>
          <w:sz w:val="28"/>
          <w:szCs w:val="28"/>
          <w:highlight w:val="none"/>
        </w:rPr>
        <w:t>、询问、质疑、投诉</w:t>
      </w:r>
    </w:p>
    <w:p w14:paraId="4B7690C7">
      <w:pPr>
        <w:pStyle w:val="236"/>
        <w:keepNext w:val="0"/>
        <w:keepLines w:val="0"/>
        <w:spacing w:before="0" w:after="0" w:line="360" w:lineRule="auto"/>
        <w:jc w:val="left"/>
        <w:rPr>
          <w:rFonts w:ascii="宋体" w:hAnsi="宋体" w:cs="宋体"/>
          <w:color w:val="000000"/>
          <w:sz w:val="24"/>
          <w:szCs w:val="24"/>
          <w:highlight w:val="none"/>
        </w:rPr>
      </w:pPr>
      <w:bookmarkStart w:id="127" w:name="_Toc105940931"/>
      <w:bookmarkStart w:id="128" w:name="_Toc105940849"/>
      <w:r>
        <w:rPr>
          <w:rFonts w:hint="eastAsia" w:ascii="宋体" w:hAnsi="宋体" w:cs="宋体"/>
          <w:color w:val="000000"/>
          <w:sz w:val="24"/>
          <w:szCs w:val="24"/>
          <w:highlight w:val="none"/>
        </w:rPr>
        <w:t>35、询问</w:t>
      </w:r>
      <w:bookmarkEnd w:id="127"/>
      <w:bookmarkEnd w:id="128"/>
    </w:p>
    <w:p w14:paraId="44826ED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供应商对招标活动事项有疑问的，可以向采购人或磋商组织方提出询问，采购人或磋商组织方将在3个工作日内对供应商依法提出的询问作出答复，但答复的内容不涉及商业秘密。</w:t>
      </w:r>
    </w:p>
    <w:p w14:paraId="1BC33426">
      <w:pPr>
        <w:pStyle w:val="236"/>
        <w:keepNext w:val="0"/>
        <w:keepLines w:val="0"/>
        <w:spacing w:before="0" w:after="0" w:line="360" w:lineRule="auto"/>
        <w:jc w:val="left"/>
        <w:rPr>
          <w:rFonts w:ascii="宋体" w:hAnsi="宋体" w:cs="宋体"/>
          <w:color w:val="000000"/>
          <w:sz w:val="24"/>
          <w:szCs w:val="24"/>
          <w:highlight w:val="none"/>
        </w:rPr>
      </w:pPr>
      <w:bookmarkStart w:id="129" w:name="_Toc105940850"/>
      <w:bookmarkStart w:id="130" w:name="_Toc105940932"/>
      <w:r>
        <w:rPr>
          <w:rFonts w:hint="eastAsia" w:ascii="宋体" w:hAnsi="宋体" w:cs="宋体"/>
          <w:color w:val="000000"/>
          <w:sz w:val="24"/>
          <w:szCs w:val="24"/>
          <w:highlight w:val="none"/>
        </w:rPr>
        <w:t>36、质疑</w:t>
      </w:r>
      <w:bookmarkEnd w:id="129"/>
      <w:bookmarkEnd w:id="130"/>
    </w:p>
    <w:p w14:paraId="305FFE5D">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36.1提出质疑的供应商应当是参与所质疑项目采购活动的供应商。潜在供应商已依法获取其可质疑的磋商文件的，可以对该文件提出质疑。供应商认为磋商文件、采购过程和中标结果使自己的合法权益受到损害的，可以在知道或者应知其权益受到损害之日起七个工作日内，以书面形式向采购人、采购代理机构提出质疑。否则，采购人或者采购代理机构不予受理</w:t>
      </w:r>
    </w:p>
    <w:p w14:paraId="422FC82E">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以上规定的供应商应知其权益受到损害之日，是指：</w:t>
      </w:r>
    </w:p>
    <w:p w14:paraId="279F3BA1">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（1）对可以质疑的磋商文件提出质疑的，为收到磋商文件之日或者磋商文件公告期限届满之日；</w:t>
      </w:r>
    </w:p>
    <w:p w14:paraId="079CD82B">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（2）对采购过程提出质疑的，为各采购程序环节结束之日；</w:t>
      </w:r>
    </w:p>
    <w:p w14:paraId="61FE84DF">
      <w:pPr>
        <w:shd w:val="clear" w:color="auto" w:fill="FFFFFF"/>
        <w:spacing w:line="360" w:lineRule="auto"/>
        <w:ind w:firstLine="360"/>
        <w:jc w:val="left"/>
        <w:rPr>
          <w:rFonts w:ascii="宋体" w:hAnsi="宋体" w:cs="宋体"/>
          <w:color w:val="000000"/>
          <w:sz w:val="24"/>
          <w:highlight w:val="none"/>
        </w:rPr>
      </w:pPr>
      <w:r>
        <w:rPr>
          <w:rFonts w:hint="eastAsia" w:ascii="宋体" w:hAnsi="宋体" w:cs="宋体"/>
          <w:color w:val="000000"/>
          <w:sz w:val="24"/>
          <w:highlight w:val="none"/>
        </w:rPr>
        <w:t>（3）对中标结果提出质疑的，为中标结果公告期限届满之日。</w:t>
      </w:r>
    </w:p>
    <w:p w14:paraId="32B5C515">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31" w:name="_Hlk132706924"/>
      <w:r>
        <w:rPr>
          <w:rFonts w:hint="eastAsia" w:ascii="宋体" w:hAnsi="宋体" w:cs="宋体"/>
          <w:color w:val="000000"/>
          <w:sz w:val="24"/>
          <w:highlight w:val="none"/>
        </w:rPr>
        <w:t>政府采购监管部门</w:t>
      </w:r>
      <w:bookmarkEnd w:id="131"/>
      <w:r>
        <w:rPr>
          <w:rFonts w:hint="eastAsia" w:ascii="宋体" w:hAnsi="宋体" w:cs="宋体"/>
          <w:color w:val="000000"/>
          <w:sz w:val="24"/>
          <w:highlight w:val="none"/>
        </w:rPr>
        <w:t>将其列入不良行为记录名单，并依法予以处罚。</w:t>
      </w:r>
    </w:p>
    <w:p w14:paraId="17D72872">
      <w:pPr>
        <w:shd w:val="clear" w:color="auto" w:fill="FFFFFF"/>
        <w:spacing w:line="360" w:lineRule="auto"/>
        <w:ind w:firstLine="480"/>
        <w:jc w:val="left"/>
        <w:rPr>
          <w:rFonts w:ascii="宋体" w:hAnsi="宋体" w:cs="宋体"/>
          <w:b/>
          <w:color w:val="000000"/>
          <w:sz w:val="24"/>
          <w:highlight w:val="none"/>
        </w:rPr>
      </w:pPr>
      <w:r>
        <w:rPr>
          <w:rFonts w:hint="eastAsia" w:ascii="宋体" w:hAnsi="宋体" w:cs="宋体"/>
          <w:color w:val="000000"/>
          <w:sz w:val="24"/>
          <w:highlight w:val="none"/>
        </w:rPr>
        <w:t>36.3供应商应当在法定质疑期内一次性提出针对同一采购程序环节的质疑。供应商如在法定期限内对同一采购程序环节提出多次质疑的，将只对供应商第一次质疑作出答复。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000000"/>
          <w:sz w:val="24"/>
          <w:highlight w:val="none"/>
        </w:rPr>
        <w:t>供应商如对采购需求提出质疑，采购人负责处理和答复涉及采购需求的质疑内容。</w:t>
      </w:r>
    </w:p>
    <w:p w14:paraId="464357C8">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36.4采购人、采购代理机构不得拒收质疑供应商在法定质疑期内发出的质疑函，应当在收到质疑函后7个工作日内作出答复，并以书面形式通知质疑供应商和其他有关供应商。</w:t>
      </w:r>
    </w:p>
    <w:p w14:paraId="59D60CB5">
      <w:pPr>
        <w:pStyle w:val="236"/>
        <w:keepNext w:val="0"/>
        <w:keepLines w:val="0"/>
        <w:spacing w:before="0" w:after="0" w:line="360" w:lineRule="auto"/>
        <w:jc w:val="left"/>
        <w:rPr>
          <w:rFonts w:ascii="宋体" w:hAnsi="宋体" w:cs="宋体"/>
          <w:color w:val="000000"/>
          <w:sz w:val="24"/>
          <w:szCs w:val="24"/>
          <w:highlight w:val="none"/>
        </w:rPr>
      </w:pPr>
      <w:bookmarkStart w:id="132" w:name="_Toc105940851"/>
      <w:bookmarkStart w:id="133" w:name="_Toc105940933"/>
      <w:r>
        <w:rPr>
          <w:rFonts w:hint="eastAsia" w:ascii="宋体" w:hAnsi="宋体" w:cs="宋体"/>
          <w:color w:val="000000"/>
          <w:sz w:val="24"/>
          <w:szCs w:val="24"/>
          <w:highlight w:val="none"/>
        </w:rPr>
        <w:t>37、投诉</w:t>
      </w:r>
      <w:bookmarkEnd w:id="132"/>
      <w:bookmarkEnd w:id="133"/>
    </w:p>
    <w:p w14:paraId="0FCAE053">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37.1质疑供应商对采购人或磋商组织方的答复不满意，以及采购人或磋商组织方未在规定的时间内作出答复的，可以在答复期满后十五个工作日内向采购项目同级财政部门投诉。</w:t>
      </w:r>
    </w:p>
    <w:p w14:paraId="059761A2">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37.2投诉流程及注意事项见“江苏政府采购网”网站“办事指南”。</w:t>
      </w:r>
    </w:p>
    <w:p w14:paraId="654E8010">
      <w:pPr>
        <w:pStyle w:val="235"/>
        <w:keepNext w:val="0"/>
        <w:keepLines w:val="0"/>
        <w:spacing w:before="200" w:after="200" w:line="240" w:lineRule="auto"/>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八</w:t>
      </w:r>
      <w:r>
        <w:rPr>
          <w:rFonts w:hint="eastAsia" w:ascii="宋体" w:hAnsi="宋体" w:eastAsia="宋体" w:cs="宋体"/>
          <w:color w:val="000000"/>
          <w:sz w:val="28"/>
          <w:szCs w:val="28"/>
          <w:highlight w:val="none"/>
        </w:rPr>
        <w:t>、诚实信用和解释权</w:t>
      </w:r>
    </w:p>
    <w:p w14:paraId="11620617">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38、诚实信用</w:t>
      </w:r>
    </w:p>
    <w:p w14:paraId="4A638AC1">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38.1供应商之间不得相互串通投标报价，不得妨碍其他供应商的公平竞争，不得损害采购人和其他供应商的合法权益。</w:t>
      </w:r>
    </w:p>
    <w:p w14:paraId="51C5E034">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38.2供应商不得以向磋商组织方工作人员、磋商小组成员行贿或者采取其他不正当手段谋取中标。经查实供应商有此行为的将按照政府采购有关规定处理。</w:t>
      </w:r>
    </w:p>
    <w:p w14:paraId="0C4C8C08">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38.3供应商不得虚假承诺，否则，按照提供虚假材料谋取中标（成交）处理。</w:t>
      </w:r>
    </w:p>
    <w:p w14:paraId="15A1AFD6">
      <w:pPr>
        <w:spacing w:line="360" w:lineRule="auto"/>
        <w:ind w:left="2" w:firstLine="480"/>
        <w:rPr>
          <w:rFonts w:ascii="宋体" w:hAnsi="宋体" w:cs="宋体"/>
          <w:color w:val="000000"/>
          <w:sz w:val="24"/>
          <w:highlight w:val="none"/>
        </w:rPr>
      </w:pPr>
      <w:r>
        <w:rPr>
          <w:rFonts w:hint="eastAsia" w:ascii="宋体" w:hAnsi="宋体" w:cs="宋体"/>
          <w:color w:val="000000"/>
          <w:sz w:val="24"/>
          <w:highlight w:val="none"/>
        </w:rPr>
        <w:t>38.4供应商应自觉遵守开标、评标纪律，扰乱开标评标现场秩序的，属于失信行为，根据《江苏省政府采购供应商监督管理暂行办法》，失信行为将被记入供应商诚信档案。</w:t>
      </w:r>
    </w:p>
    <w:p w14:paraId="5AD8106A">
      <w:pPr>
        <w:spacing w:line="360" w:lineRule="auto"/>
        <w:ind w:left="2" w:firstLine="480"/>
        <w:rPr>
          <w:rFonts w:ascii="宋体" w:hAnsi="宋体" w:cs="宋体"/>
          <w:color w:val="000000"/>
          <w:sz w:val="24"/>
          <w:highlight w:val="none"/>
        </w:rPr>
      </w:pPr>
      <w:r>
        <w:rPr>
          <w:rFonts w:hint="eastAsia" w:ascii="宋体" w:hAnsi="宋体" w:cs="宋体"/>
          <w:color w:val="000000"/>
          <w:sz w:val="24"/>
          <w:highlight w:val="none"/>
        </w:rPr>
        <w:t>38.5根据《财政部关于在政府采购活动中查询及使用信息记录有关问题的通知》（财库〔2016〕125号）、江苏省财政厅《关于做好政府采购信用信息查询使用及登记等工作的通知》（苏财购〔2016〕50号）等文件精神，采购人在项目资格性审查时对参加本项目的各供应商进行信用记录查询，信用记录查询渠道为“信用中国”网站（www.creditchina.gov.cn）、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6FA387B">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39、解释权</w:t>
      </w:r>
    </w:p>
    <w:p w14:paraId="22EE0DC7">
      <w:pPr>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39.1除相关法律、法规规定外，本磋商文件的解释权归</w:t>
      </w:r>
      <w:r>
        <w:rPr>
          <w:rFonts w:hint="eastAsia" w:ascii="宋体" w:hAnsi="宋体" w:cs="宋体"/>
          <w:b/>
          <w:bCs/>
          <w:color w:val="000000"/>
          <w:sz w:val="24"/>
          <w:highlight w:val="none"/>
        </w:rPr>
        <w:t>江苏巍信项目管理有限公司</w:t>
      </w:r>
      <w:r>
        <w:rPr>
          <w:rFonts w:hint="eastAsia" w:ascii="宋体" w:hAnsi="宋体" w:cs="宋体"/>
          <w:color w:val="000000"/>
          <w:sz w:val="24"/>
          <w:highlight w:val="none"/>
        </w:rPr>
        <w:t>所有。</w:t>
      </w:r>
    </w:p>
    <w:p w14:paraId="7437E2FF">
      <w:pPr>
        <w:pStyle w:val="236"/>
        <w:keepNext w:val="0"/>
        <w:keepLines w:val="0"/>
        <w:spacing w:before="0" w:after="0" w:line="360" w:lineRule="auto"/>
        <w:jc w:val="left"/>
        <w:rPr>
          <w:rFonts w:ascii="宋体" w:hAnsi="宋体" w:cs="宋体"/>
          <w:color w:val="000000"/>
          <w:sz w:val="24"/>
          <w:szCs w:val="24"/>
          <w:highlight w:val="none"/>
        </w:rPr>
      </w:pPr>
      <w:r>
        <w:rPr>
          <w:rFonts w:hint="eastAsia" w:ascii="宋体" w:hAnsi="宋体" w:cs="宋体"/>
          <w:color w:val="000000"/>
          <w:sz w:val="24"/>
          <w:szCs w:val="24"/>
          <w:highlight w:val="none"/>
        </w:rPr>
        <w:t>40、适用法律及约束力</w:t>
      </w:r>
    </w:p>
    <w:p w14:paraId="2C670838">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40.1</w:t>
      </w:r>
      <w:r>
        <w:rPr>
          <w:rFonts w:hint="eastAsia" w:ascii="宋体" w:hAnsi="宋体" w:cs="宋体"/>
          <w:b/>
          <w:color w:val="000000"/>
          <w:sz w:val="24"/>
          <w:highlight w:val="none"/>
        </w:rPr>
        <w:t>供应商一旦获取了本磋商文件并参加磋商，即被认为接受了本磋商文件的规定和约束。</w:t>
      </w:r>
    </w:p>
    <w:p w14:paraId="76F4CC36">
      <w:pPr>
        <w:shd w:val="clear" w:color="auto" w:fill="FFFFFF"/>
        <w:spacing w:line="360" w:lineRule="auto"/>
        <w:ind w:firstLine="480"/>
        <w:jc w:val="left"/>
        <w:rPr>
          <w:rFonts w:ascii="宋体" w:hAnsi="宋体" w:cs="宋体"/>
          <w:color w:val="000000"/>
          <w:sz w:val="24"/>
          <w:highlight w:val="none"/>
        </w:rPr>
      </w:pPr>
      <w:r>
        <w:rPr>
          <w:rFonts w:hint="eastAsia" w:ascii="宋体" w:hAnsi="宋体" w:cs="宋体"/>
          <w:color w:val="000000"/>
          <w:sz w:val="24"/>
          <w:highlight w:val="none"/>
        </w:rPr>
        <w:t>40.2本次采购及由本次招标产生的合同受中华人民共和国法律制约和保护。</w:t>
      </w:r>
      <w:bookmarkStart w:id="134" w:name="_Toc105940935"/>
      <w:bookmarkStart w:id="135" w:name="_Toc105940853"/>
    </w:p>
    <w:p w14:paraId="79E28EF8">
      <w:pPr>
        <w:shd w:val="clear" w:color="auto" w:fill="FFFFFF"/>
        <w:spacing w:line="360" w:lineRule="auto"/>
        <w:ind w:firstLine="480"/>
        <w:jc w:val="center"/>
        <w:outlineLvl w:val="0"/>
        <w:rPr>
          <w:rFonts w:ascii="宋体" w:cs="宋体"/>
          <w:color w:val="000000"/>
          <w:highlight w:val="none"/>
        </w:rPr>
      </w:pPr>
      <w:r>
        <w:rPr>
          <w:rFonts w:hint="eastAsia" w:ascii="宋体" w:hAnsi="宋体" w:cs="宋体"/>
          <w:color w:val="000000"/>
          <w:sz w:val="22"/>
          <w:szCs w:val="22"/>
          <w:highlight w:val="none"/>
        </w:rPr>
        <w:br w:type="page" w:clear="all"/>
      </w:r>
      <w:bookmarkStart w:id="136" w:name="_Toc11670"/>
      <w:r>
        <w:rPr>
          <w:rStyle w:val="242"/>
          <w:rFonts w:hint="eastAsia" w:ascii="宋体" w:hAnsi="宋体" w:cs="宋体"/>
          <w:color w:val="000000"/>
          <w:sz w:val="28"/>
          <w:szCs w:val="28"/>
          <w:highlight w:val="none"/>
        </w:rPr>
        <w:t>第三部分  合同格式</w:t>
      </w:r>
      <w:bookmarkEnd w:id="134"/>
      <w:bookmarkEnd w:id="135"/>
      <w:bookmarkEnd w:id="136"/>
      <w:bookmarkStart w:id="137" w:name="_Toc237516017"/>
      <w:bookmarkStart w:id="138" w:name="_Toc105940854"/>
    </w:p>
    <w:p w14:paraId="164248B6">
      <w:pPr>
        <w:spacing w:line="600" w:lineRule="exact"/>
        <w:jc w:val="center"/>
        <w:rPr>
          <w:rFonts w:hint="eastAsia" w:ascii="宋体" w:hAnsi="宋体" w:cs="宋体"/>
          <w:b/>
          <w:color w:val="000000"/>
          <w:sz w:val="32"/>
          <w:szCs w:val="32"/>
          <w:highlight w:val="none"/>
        </w:rPr>
      </w:pPr>
      <w:bookmarkStart w:id="139" w:name="_Toc477072491"/>
      <w:r>
        <w:rPr>
          <w:rFonts w:hint="eastAsia" w:ascii="宋体" w:hAnsi="宋体"/>
          <w:b/>
          <w:color w:val="000000"/>
          <w:sz w:val="32"/>
          <w:szCs w:val="22"/>
          <w:highlight w:val="none"/>
          <w:lang w:eastAsia="zh-CN"/>
        </w:rPr>
        <w:t>医保业务信息系统省端维保项目</w:t>
      </w:r>
      <w:r>
        <w:rPr>
          <w:rFonts w:hint="eastAsia" w:ascii="宋体" w:hAnsi="宋体" w:cs="宋体"/>
          <w:b/>
          <w:color w:val="000000"/>
          <w:sz w:val="32"/>
          <w:szCs w:val="32"/>
          <w:highlight w:val="none"/>
        </w:rPr>
        <w:t>采购合同</w:t>
      </w:r>
    </w:p>
    <w:p w14:paraId="53D40FDD">
      <w:pPr>
        <w:pStyle w:val="311"/>
        <w:spacing w:after="0" w:line="360" w:lineRule="auto"/>
        <w:jc w:val="center"/>
        <w:rPr>
          <w:rFonts w:ascii="宋体" w:hAnsi="宋体"/>
          <w:b/>
          <w:bCs/>
          <w:sz w:val="52"/>
          <w:szCs w:val="52"/>
          <w:highlight w:val="none"/>
        </w:rPr>
      </w:pPr>
      <w:r>
        <w:rPr>
          <w:rFonts w:hint="eastAsia" w:ascii="仿宋_GB2312" w:hAnsi="仿宋_GB2312" w:eastAsia="仿宋_GB2312" w:cs="仿宋_GB2312"/>
          <w:b/>
          <w:color w:val="000000"/>
          <w:sz w:val="20"/>
          <w:szCs w:val="20"/>
          <w:highlight w:val="none"/>
        </w:rPr>
        <w:t>（</w:t>
      </w:r>
      <w:r>
        <w:rPr>
          <w:rFonts w:hint="eastAsia" w:ascii="仿宋_GB2312" w:hAnsi="仿宋_GB2312" w:eastAsia="仿宋_GB2312" w:cs="仿宋_GB2312"/>
          <w:b/>
          <w:sz w:val="20"/>
          <w:szCs w:val="20"/>
          <w:highlight w:val="none"/>
        </w:rPr>
        <w:t>以下为中标后签定本项目合同的通用条款，中标供应商不得提出实质性的修改，最终由采购单位与中标单位结合本项目具体情况协商后签订</w:t>
      </w:r>
      <w:r>
        <w:rPr>
          <w:rFonts w:hint="eastAsia" w:ascii="仿宋_GB2312" w:hAnsi="仿宋_GB2312" w:eastAsia="仿宋_GB2312" w:cs="仿宋_GB2312"/>
          <w:b/>
          <w:color w:val="000000"/>
          <w:sz w:val="20"/>
          <w:szCs w:val="20"/>
          <w:highlight w:val="none"/>
        </w:rPr>
        <w:t>）</w:t>
      </w:r>
    </w:p>
    <w:p w14:paraId="3F9AABC3">
      <w:pPr>
        <w:pStyle w:val="86"/>
        <w:ind w:left="0" w:leftChars="0" w:firstLine="0" w:firstLineChars="0"/>
        <w:rPr>
          <w:rFonts w:hint="eastAsia" w:ascii="宋体" w:hAnsi="宋体" w:cs="宋体"/>
          <w:b/>
          <w:color w:val="000000"/>
          <w:sz w:val="32"/>
          <w:szCs w:val="32"/>
          <w:highlight w:val="none"/>
        </w:rPr>
      </w:pPr>
    </w:p>
    <w:p w14:paraId="41471777">
      <w:pPr>
        <w:spacing w:line="360" w:lineRule="auto"/>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甲  方：</w:t>
      </w:r>
      <w:r>
        <w:rPr>
          <w:rFonts w:hint="eastAsia" w:ascii="宋体" w:hAnsi="宋体" w:cs="宋体"/>
          <w:b/>
          <w:color w:val="000000"/>
          <w:sz w:val="24"/>
          <w:highlight w:val="none"/>
          <w:lang w:eastAsia="zh-CN"/>
        </w:rPr>
        <w:t>镇江市</w:t>
      </w:r>
      <w:r>
        <w:rPr>
          <w:rFonts w:hint="eastAsia" w:ascii="宋体" w:hAnsi="宋体" w:cs="宋体"/>
          <w:b/>
          <w:color w:val="000000"/>
          <w:sz w:val="24"/>
          <w:highlight w:val="none"/>
          <w:lang w:val="en-US" w:eastAsia="zh-CN"/>
        </w:rPr>
        <w:t>医疗</w:t>
      </w:r>
      <w:r>
        <w:rPr>
          <w:rFonts w:hint="eastAsia" w:ascii="宋体" w:hAnsi="宋体" w:cs="宋体"/>
          <w:b/>
          <w:color w:val="000000"/>
          <w:sz w:val="24"/>
          <w:highlight w:val="none"/>
          <w:lang w:eastAsia="zh-CN"/>
        </w:rPr>
        <w:t>保障局</w:t>
      </w:r>
    </w:p>
    <w:p w14:paraId="74EE7E70">
      <w:pP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乙  方：</w:t>
      </w:r>
    </w:p>
    <w:p w14:paraId="1E9D2C28">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cs="宋体"/>
          <w:color w:val="000000"/>
          <w:sz w:val="24"/>
          <w:highlight w:val="none"/>
        </w:rPr>
      </w:pPr>
      <w:r>
        <w:rPr>
          <w:rFonts w:hint="eastAsia" w:ascii="宋体" w:hAnsi="宋体" w:cs="宋体"/>
          <w:color w:val="000000"/>
          <w:sz w:val="24"/>
          <w:highlight w:val="none"/>
          <w:lang w:eastAsia="zh-CN"/>
        </w:rPr>
        <w:t>镇江市</w:t>
      </w:r>
      <w:r>
        <w:rPr>
          <w:rFonts w:hint="eastAsia" w:ascii="宋体" w:hAnsi="宋体" w:cs="宋体"/>
          <w:color w:val="000000"/>
          <w:sz w:val="24"/>
          <w:highlight w:val="none"/>
          <w:lang w:val="en-US" w:eastAsia="zh-CN"/>
        </w:rPr>
        <w:t>医疗</w:t>
      </w:r>
      <w:r>
        <w:rPr>
          <w:rFonts w:hint="eastAsia" w:ascii="宋体" w:hAnsi="宋体" w:cs="宋体"/>
          <w:color w:val="000000"/>
          <w:sz w:val="24"/>
          <w:highlight w:val="none"/>
          <w:lang w:eastAsia="zh-CN"/>
        </w:rPr>
        <w:t>保障局</w:t>
      </w:r>
      <w:r>
        <w:rPr>
          <w:rFonts w:hint="eastAsia" w:ascii="宋体" w:hAnsi="宋体" w:cs="宋体"/>
          <w:color w:val="000000"/>
          <w:spacing w:val="5"/>
          <w:sz w:val="24"/>
          <w:highlight w:val="none"/>
        </w:rPr>
        <w:t>开展医保业务信息系统省端维保项目，委托</w:t>
      </w:r>
      <w:r>
        <w:rPr>
          <w:rFonts w:hint="eastAsia" w:ascii="宋体" w:hAnsi="宋体" w:cs="宋体"/>
          <w:color w:val="000000"/>
          <w:spacing w:val="5"/>
          <w:sz w:val="24"/>
          <w:highlight w:val="none"/>
          <w:u w:val="single"/>
          <w:lang w:val="en-US" w:eastAsia="zh-CN"/>
        </w:rPr>
        <w:t xml:space="preserve">      </w:t>
      </w:r>
      <w:r>
        <w:rPr>
          <w:rFonts w:hint="eastAsia" w:ascii="宋体" w:hAnsi="宋体" w:cs="宋体"/>
          <w:color w:val="000000"/>
          <w:spacing w:val="5"/>
          <w:sz w:val="24"/>
          <w:highlight w:val="none"/>
        </w:rPr>
        <w:t>负责具体实施，</w:t>
      </w:r>
      <w:r>
        <w:rPr>
          <w:rFonts w:hint="eastAsia" w:ascii="宋体" w:hAnsi="宋体" w:cs="宋体"/>
          <w:color w:val="000000"/>
          <w:sz w:val="24"/>
          <w:highlight w:val="none"/>
        </w:rPr>
        <w:t>甲、乙双方经友好协商并就</w:t>
      </w:r>
      <w:r>
        <w:rPr>
          <w:rFonts w:hint="eastAsia" w:ascii="宋体" w:hAnsi="宋体" w:cs="宋体"/>
          <w:color w:val="000000"/>
          <w:spacing w:val="5"/>
          <w:sz w:val="24"/>
          <w:highlight w:val="none"/>
        </w:rPr>
        <w:t>相关工作的顺利开展</w:t>
      </w:r>
      <w:r>
        <w:rPr>
          <w:rFonts w:hint="eastAsia" w:ascii="宋体" w:hAnsi="宋体" w:cs="宋体"/>
          <w:color w:val="000000"/>
          <w:sz w:val="24"/>
          <w:highlight w:val="none"/>
        </w:rPr>
        <w:t>签订合同</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"http://www.86exp.com/hetong/"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fldChar w:fldCharType="end"/>
      </w:r>
      <w:r>
        <w:rPr>
          <w:rFonts w:hint="eastAsia" w:ascii="宋体" w:hAnsi="宋体" w:cs="宋体"/>
          <w:color w:val="000000"/>
          <w:sz w:val="24"/>
          <w:highlight w:val="none"/>
        </w:rPr>
        <w:t>。具体内容如下：</w:t>
      </w:r>
    </w:p>
    <w:p w14:paraId="743942A8">
      <w:pPr>
        <w:widowControl/>
        <w:spacing w:line="360" w:lineRule="auto"/>
        <w:jc w:val="left"/>
        <w:rPr>
          <w:rFonts w:hint="eastAsia" w:ascii="宋体" w:hAnsi="宋体" w:eastAsia="宋体" w:cs="宋体"/>
          <w:b/>
          <w:color w:val="000000"/>
          <w:sz w:val="24"/>
          <w:szCs w:val="24"/>
          <w:highlight w:val="none"/>
          <w:lang w:val="en-US" w:eastAsia="zh-CN" w:bidi="ar-SA"/>
        </w:rPr>
      </w:pPr>
      <w:bookmarkStart w:id="140" w:name="_Toc22000633"/>
      <w:r>
        <w:rPr>
          <w:rFonts w:hint="eastAsia" w:ascii="宋体" w:hAnsi="宋体" w:eastAsia="宋体" w:cs="宋体"/>
          <w:b/>
          <w:color w:val="000000"/>
          <w:sz w:val="24"/>
          <w:szCs w:val="24"/>
          <w:highlight w:val="none"/>
          <w:lang w:val="en-US" w:eastAsia="zh-CN" w:bidi="ar-SA"/>
        </w:rPr>
        <w:t>1、合同文件</w:t>
      </w:r>
      <w:bookmarkEnd w:id="140"/>
    </w:p>
    <w:p w14:paraId="4F16456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下列关于江苏巍信项目管理有限公司就</w:t>
      </w:r>
      <w:r>
        <w:rPr>
          <w:rFonts w:hint="eastAsia" w:ascii="宋体" w:hAnsi="宋体" w:cs="宋体"/>
          <w:b w:val="0"/>
          <w:bCs w:val="0"/>
          <w:strike w:val="0"/>
          <w:dstrike w:val="0"/>
          <w:color w:val="000000"/>
          <w:sz w:val="24"/>
          <w:highlight w:val="none"/>
          <w:u w:val="single"/>
          <w:lang w:val="en-US" w:eastAsia="zh-CN"/>
        </w:rPr>
        <w:t xml:space="preserve">   </w:t>
      </w:r>
      <w:r>
        <w:rPr>
          <w:rFonts w:hint="eastAsia" w:cs="宋体" w:asciiTheme="minorEastAsia" w:hAnsiTheme="minorEastAsia" w:eastAsiaTheme="minorEastAsia"/>
          <w:b w:val="0"/>
          <w:bCs w:val="0"/>
          <w:strike w:val="0"/>
          <w:dstrike w:val="0"/>
          <w:color w:val="000000"/>
          <w:sz w:val="24"/>
          <w:szCs w:val="24"/>
          <w:highlight w:val="none"/>
          <w:u w:val="single"/>
          <w:lang w:eastAsia="zh-CN"/>
        </w:rPr>
        <w:t>（</w:t>
      </w:r>
      <w:r>
        <w:rPr>
          <w:rFonts w:hint="eastAsia" w:cs="宋体" w:asciiTheme="minorEastAsia" w:hAnsiTheme="minorEastAsia" w:eastAsiaTheme="minorEastAsia"/>
          <w:b w:val="0"/>
          <w:bCs w:val="0"/>
          <w:strike w:val="0"/>
          <w:dstrike w:val="0"/>
          <w:color w:val="000000"/>
          <w:sz w:val="24"/>
          <w:szCs w:val="24"/>
          <w:highlight w:val="none"/>
          <w:u w:val="single"/>
          <w:lang w:val="en-US" w:eastAsia="zh-CN"/>
        </w:rPr>
        <w:t>项目名称</w:t>
      </w:r>
      <w:r>
        <w:rPr>
          <w:rFonts w:hint="eastAsia" w:cs="宋体" w:asciiTheme="minorEastAsia" w:hAnsiTheme="minorEastAsia" w:eastAsiaTheme="minorEastAsia"/>
          <w:b w:val="0"/>
          <w:bCs w:val="0"/>
          <w:strike w:val="0"/>
          <w:dstrike w:val="0"/>
          <w:color w:val="000000"/>
          <w:sz w:val="24"/>
          <w:szCs w:val="24"/>
          <w:highlight w:val="none"/>
          <w:u w:val="single"/>
        </w:rPr>
        <w:t>）</w:t>
      </w:r>
      <w:r>
        <w:rPr>
          <w:rFonts w:hint="eastAsia" w:eastAsia="宋体" w:cs="宋体" w:asciiTheme="minorEastAsia" w:hAnsiTheme="minorEastAsia"/>
          <w:b w:val="0"/>
          <w:bCs w:val="0"/>
          <w:strike w:val="0"/>
          <w:dstrike w:val="0"/>
          <w:color w:val="000000"/>
          <w:sz w:val="24"/>
          <w:szCs w:val="24"/>
          <w:highlight w:val="none"/>
          <w:u w:val="single"/>
          <w:lang w:val="en-US" w:eastAsia="zh-CN"/>
        </w:rPr>
        <w:t xml:space="preserve"> </w:t>
      </w:r>
      <w:r>
        <w:rPr>
          <w:rFonts w:hint="eastAsia" w:cs="宋体" w:asciiTheme="minorEastAsia" w:hAnsiTheme="minorEastAsia" w:eastAsiaTheme="minorEastAsia"/>
          <w:b w:val="0"/>
          <w:bCs w:val="0"/>
          <w:strike w:val="0"/>
          <w:dstrike w:val="0"/>
          <w:color w:val="000000"/>
          <w:sz w:val="24"/>
          <w:szCs w:val="24"/>
          <w:highlight w:val="none"/>
          <w:u w:val="single"/>
        </w:rPr>
        <w:t>（项目编号</w:t>
      </w:r>
      <w:r>
        <w:rPr>
          <w:rFonts w:hint="eastAsia" w:cs="宋体" w:asciiTheme="minorEastAsia" w:hAnsiTheme="minorEastAsia"/>
          <w:b w:val="0"/>
          <w:bCs w:val="0"/>
          <w:strike w:val="0"/>
          <w:dstrike w:val="0"/>
          <w:color w:val="000000"/>
          <w:sz w:val="24"/>
          <w:szCs w:val="24"/>
          <w:highlight w:val="none"/>
          <w:u w:val="single"/>
          <w:lang w:eastAsia="zh-CN"/>
        </w:rPr>
        <w:t>）</w:t>
      </w:r>
      <w:r>
        <w:rPr>
          <w:rFonts w:hint="eastAsia" w:cs="宋体" w:asciiTheme="minorEastAsia" w:hAnsiTheme="minorEastAsia"/>
          <w:b w:val="0"/>
          <w:bCs w:val="0"/>
          <w:strike w:val="0"/>
          <w:dstrike w:val="0"/>
          <w:color w:val="000000"/>
          <w:sz w:val="24"/>
          <w:szCs w:val="24"/>
          <w:highlight w:val="none"/>
          <w:u w:val="single"/>
          <w:lang w:val="en-US" w:eastAsia="zh-CN"/>
        </w:rPr>
        <w:t xml:space="preserve"> </w:t>
      </w:r>
      <w:r>
        <w:rPr>
          <w:rFonts w:hint="eastAsia" w:ascii="宋体" w:hAnsi="宋体" w:cs="宋体"/>
          <w:color w:val="000000"/>
          <w:sz w:val="24"/>
          <w:highlight w:val="none"/>
        </w:rPr>
        <w:t>的</w:t>
      </w:r>
      <w:r>
        <w:rPr>
          <w:rFonts w:hint="eastAsia" w:ascii="宋体" w:hAnsi="宋体" w:cs="宋体"/>
          <w:color w:val="000000"/>
          <w:sz w:val="24"/>
          <w:highlight w:val="none"/>
          <w:lang w:val="en-US" w:eastAsia="zh-CN"/>
        </w:rPr>
        <w:t>招标</w:t>
      </w:r>
      <w:r>
        <w:rPr>
          <w:rFonts w:hint="eastAsia" w:ascii="宋体" w:hAnsi="宋体" w:cs="宋体"/>
          <w:color w:val="000000"/>
          <w:sz w:val="24"/>
          <w:highlight w:val="none"/>
        </w:rPr>
        <w:t>文件、乙方提交的响应文件是构成本合同不可分割的部分：</w:t>
      </w:r>
    </w:p>
    <w:p w14:paraId="271F304C">
      <w:pPr>
        <w:numPr>
          <w:ilvl w:val="0"/>
          <w:numId w:val="0"/>
        </w:numPr>
        <w:tabs>
          <w:tab w:val="left" w:pos="1365"/>
        </w:tabs>
        <w:spacing w:line="360" w:lineRule="auto"/>
        <w:ind w:firstLine="480" w:firstLineChars="0"/>
        <w:rPr>
          <w:rFonts w:hint="eastAsia" w:ascii="宋体" w:hAnsi="宋体" w:cs="宋体"/>
          <w:color w:val="000000"/>
          <w:sz w:val="24"/>
          <w:highlight w:val="none"/>
        </w:rPr>
      </w:pPr>
      <w:bookmarkStart w:id="141" w:name="_Toc22000634"/>
      <w:r>
        <w:rPr>
          <w:rFonts w:hint="eastAsia" w:ascii="宋体" w:hAnsi="宋体" w:eastAsia="宋体" w:cs="宋体"/>
          <w:color w:val="000000"/>
          <w:sz w:val="24"/>
          <w:szCs w:val="24"/>
          <w:highlight w:val="none"/>
          <w:lang w:val="en-US" w:eastAsia="zh-CN" w:bidi="ar-SA"/>
        </w:rPr>
        <w:t>1、</w:t>
      </w:r>
      <w:r>
        <w:rPr>
          <w:rFonts w:hint="eastAsia" w:ascii="宋体" w:hAnsi="宋体" w:cs="宋体"/>
          <w:color w:val="000000"/>
          <w:sz w:val="24"/>
          <w:highlight w:val="none"/>
        </w:rPr>
        <w:t>成交通知书；</w:t>
      </w:r>
    </w:p>
    <w:p w14:paraId="1670CF2C">
      <w:pPr>
        <w:numPr>
          <w:ilvl w:val="0"/>
          <w:numId w:val="0"/>
        </w:numPr>
        <w:tabs>
          <w:tab w:val="left" w:pos="1365"/>
        </w:tabs>
        <w:spacing w:line="360" w:lineRule="auto"/>
        <w:ind w:firstLine="480" w:firstLineChars="0"/>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2、</w:t>
      </w:r>
      <w:r>
        <w:rPr>
          <w:rFonts w:hint="eastAsia" w:ascii="宋体" w:hAnsi="宋体" w:cs="宋体"/>
          <w:color w:val="000000"/>
          <w:sz w:val="24"/>
          <w:highlight w:val="none"/>
          <w:lang w:val="en-US" w:eastAsia="zh-CN"/>
        </w:rPr>
        <w:t>磋商承诺</w:t>
      </w:r>
      <w:r>
        <w:rPr>
          <w:rFonts w:hint="eastAsia" w:ascii="宋体" w:hAnsi="宋体" w:cs="宋体"/>
          <w:color w:val="000000"/>
          <w:sz w:val="24"/>
          <w:highlight w:val="none"/>
        </w:rPr>
        <w:t>函；</w:t>
      </w:r>
    </w:p>
    <w:p w14:paraId="45D9D16A">
      <w:pPr>
        <w:numPr>
          <w:ilvl w:val="0"/>
          <w:numId w:val="0"/>
        </w:numPr>
        <w:tabs>
          <w:tab w:val="left" w:pos="1365"/>
        </w:tabs>
        <w:spacing w:line="360" w:lineRule="auto"/>
        <w:ind w:firstLine="480" w:firstLineChars="0"/>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3、</w:t>
      </w:r>
      <w:r>
        <w:rPr>
          <w:rFonts w:hint="eastAsia" w:ascii="宋体" w:hAnsi="宋体" w:cs="宋体"/>
          <w:color w:val="000000"/>
          <w:sz w:val="24"/>
          <w:highlight w:val="none"/>
          <w:lang w:val="en-US" w:eastAsia="zh-CN"/>
        </w:rPr>
        <w:t>最终报价表</w:t>
      </w:r>
      <w:r>
        <w:rPr>
          <w:rFonts w:hint="eastAsia" w:ascii="宋体" w:hAnsi="宋体" w:cs="宋体"/>
          <w:color w:val="000000"/>
          <w:sz w:val="24"/>
          <w:highlight w:val="none"/>
        </w:rPr>
        <w:t>；</w:t>
      </w:r>
    </w:p>
    <w:p w14:paraId="720EE348">
      <w:pPr>
        <w:numPr>
          <w:ilvl w:val="0"/>
          <w:numId w:val="0"/>
        </w:numPr>
        <w:tabs>
          <w:tab w:val="left" w:pos="1365"/>
        </w:tabs>
        <w:spacing w:line="360" w:lineRule="auto"/>
        <w:ind w:firstLine="480" w:firstLineChars="0"/>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4、</w:t>
      </w:r>
      <w:r>
        <w:rPr>
          <w:rFonts w:hint="eastAsia" w:ascii="宋体" w:hAnsi="宋体" w:cs="宋体"/>
          <w:color w:val="000000"/>
          <w:sz w:val="24"/>
          <w:highlight w:val="none"/>
        </w:rPr>
        <w:t>清单及报价明细表；</w:t>
      </w:r>
    </w:p>
    <w:p w14:paraId="0784DAF7">
      <w:pPr>
        <w:numPr>
          <w:ilvl w:val="0"/>
          <w:numId w:val="0"/>
        </w:numPr>
        <w:tabs>
          <w:tab w:val="left" w:pos="1365"/>
        </w:tabs>
        <w:spacing w:line="360" w:lineRule="auto"/>
        <w:ind w:firstLine="480" w:firstLineChars="0"/>
        <w:rPr>
          <w:rFonts w:hint="eastAsia" w:ascii="宋体" w:hAnsi="宋体" w:cs="宋体"/>
          <w:color w:val="000000"/>
          <w:sz w:val="24"/>
          <w:highlight w:val="none"/>
        </w:rPr>
      </w:pPr>
      <w:r>
        <w:rPr>
          <w:rFonts w:hint="eastAsia" w:ascii="宋体" w:hAnsi="宋体" w:eastAsia="宋体" w:cs="宋体"/>
          <w:color w:val="000000"/>
          <w:sz w:val="24"/>
          <w:szCs w:val="24"/>
          <w:highlight w:val="none"/>
          <w:lang w:val="en-US" w:eastAsia="zh-CN" w:bidi="ar-SA"/>
        </w:rPr>
        <w:t>5、</w:t>
      </w:r>
      <w:r>
        <w:rPr>
          <w:rFonts w:hint="eastAsia" w:ascii="宋体" w:hAnsi="宋体" w:cs="宋体"/>
          <w:color w:val="000000"/>
          <w:sz w:val="24"/>
          <w:highlight w:val="none"/>
        </w:rPr>
        <w:t>技术响应文件；</w:t>
      </w:r>
    </w:p>
    <w:p w14:paraId="06DB44D9">
      <w:pPr>
        <w:numPr>
          <w:ilvl w:val="0"/>
          <w:numId w:val="0"/>
        </w:numPr>
        <w:tabs>
          <w:tab w:val="left" w:pos="1365"/>
        </w:tabs>
        <w:spacing w:line="360" w:lineRule="auto"/>
        <w:ind w:firstLine="480" w:firstLineChars="0"/>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4"/>
          <w:highlight w:val="none"/>
          <w:lang w:val="en-US" w:eastAsia="zh-CN" w:bidi="ar-SA"/>
        </w:rPr>
        <w:t>6、</w:t>
      </w:r>
      <w:r>
        <w:rPr>
          <w:rFonts w:hint="eastAsia" w:ascii="宋体" w:hAnsi="宋体" w:cs="宋体"/>
          <w:color w:val="000000"/>
          <w:sz w:val="24"/>
          <w:highlight w:val="none"/>
        </w:rPr>
        <w:t>服务承诺</w:t>
      </w:r>
      <w:r>
        <w:rPr>
          <w:rFonts w:hint="eastAsia" w:ascii="宋体" w:hAnsi="宋体" w:cs="宋体"/>
          <w:color w:val="000000"/>
          <w:sz w:val="24"/>
          <w:highlight w:val="none"/>
          <w:lang w:eastAsia="zh-CN"/>
        </w:rPr>
        <w:t>。</w:t>
      </w:r>
    </w:p>
    <w:p w14:paraId="67C9FC0E">
      <w:pPr>
        <w:widowControl/>
        <w:spacing w:line="360" w:lineRule="auto"/>
        <w:jc w:val="lef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2、合同范围和条件</w:t>
      </w:r>
      <w:bookmarkEnd w:id="141"/>
    </w:p>
    <w:p w14:paraId="032ABB30">
      <w:pPr>
        <w:spacing w:line="360" w:lineRule="auto"/>
        <w:ind w:firstLine="480"/>
        <w:rPr>
          <w:rFonts w:hint="eastAsia" w:ascii="宋体" w:hAnsi="宋体" w:eastAsia="宋体" w:cs="宋体"/>
          <w:b/>
          <w:color w:val="000000"/>
          <w:sz w:val="32"/>
          <w:szCs w:val="32"/>
          <w:highlight w:val="none"/>
          <w:lang w:eastAsia="zh-CN"/>
        </w:rPr>
      </w:pPr>
      <w:r>
        <w:rPr>
          <w:rFonts w:hint="eastAsia" w:ascii="宋体" w:hAnsi="宋体" w:cs="宋体"/>
          <w:color w:val="000000"/>
          <w:sz w:val="24"/>
          <w:highlight w:val="none"/>
        </w:rPr>
        <w:t>本合同的范围和条件应与上述合同文件的规定相一致</w:t>
      </w:r>
      <w:r>
        <w:rPr>
          <w:rFonts w:hint="eastAsia" w:ascii="宋体" w:hAnsi="宋体" w:cs="宋体"/>
          <w:color w:val="000000"/>
          <w:sz w:val="24"/>
          <w:highlight w:val="none"/>
          <w:lang w:eastAsia="zh-CN"/>
        </w:rPr>
        <w:t>。</w:t>
      </w:r>
    </w:p>
    <w:p w14:paraId="071F86BC">
      <w:pPr>
        <w:widowControl/>
        <w:spacing w:line="360" w:lineRule="auto"/>
        <w:jc w:val="left"/>
        <w:rPr>
          <w:rFonts w:hint="eastAsia" w:ascii="宋体" w:hAnsi="宋体" w:eastAsia="宋体" w:cs="宋体"/>
          <w:b/>
          <w:color w:val="000000"/>
          <w:sz w:val="24"/>
          <w:szCs w:val="24"/>
          <w:highlight w:val="none"/>
          <w:lang w:val="en-US" w:eastAsia="zh-CN" w:bidi="ar-SA"/>
        </w:rPr>
      </w:pPr>
      <w:bookmarkStart w:id="142" w:name="_Toc22000635"/>
      <w:r>
        <w:rPr>
          <w:rFonts w:hint="eastAsia" w:ascii="宋体" w:hAnsi="宋体" w:eastAsia="宋体" w:cs="宋体"/>
          <w:b/>
          <w:color w:val="000000"/>
          <w:sz w:val="24"/>
          <w:szCs w:val="24"/>
          <w:highlight w:val="none"/>
          <w:lang w:val="en-US" w:eastAsia="zh-CN" w:bidi="ar-SA"/>
        </w:rPr>
        <w:t>3</w:t>
      </w:r>
      <w:bookmarkEnd w:id="142"/>
      <w:r>
        <w:rPr>
          <w:rFonts w:hint="eastAsia" w:ascii="宋体" w:hAnsi="宋体" w:eastAsia="宋体" w:cs="宋体"/>
          <w:b/>
          <w:color w:val="000000"/>
          <w:sz w:val="24"/>
          <w:szCs w:val="24"/>
          <w:highlight w:val="none"/>
          <w:lang w:val="en-US" w:eastAsia="zh-CN" w:bidi="ar-SA"/>
        </w:rPr>
        <w:t>、标的物</w:t>
      </w:r>
    </w:p>
    <w:p w14:paraId="65194E1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本合同所提供的标的物详见“清单及明细报价表”（</w:t>
      </w:r>
      <w:r>
        <w:rPr>
          <w:rFonts w:hint="eastAsia" w:ascii="宋体" w:hAnsi="宋体" w:cs="宋体"/>
          <w:bCs/>
          <w:color w:val="000000"/>
          <w:sz w:val="24"/>
          <w:highlight w:val="none"/>
        </w:rPr>
        <w:t>本项目为交钥匙项目，乙方必须完全实现磋商文件中的采购需求，如有不足或缺陷，由乙方自行负责弥补，甲方不再承担任何相关费用）</w:t>
      </w:r>
      <w:r>
        <w:rPr>
          <w:rFonts w:hint="eastAsia" w:ascii="宋体" w:hAnsi="宋体" w:cs="宋体"/>
          <w:color w:val="000000"/>
          <w:sz w:val="24"/>
          <w:highlight w:val="none"/>
        </w:rPr>
        <w:t>。</w:t>
      </w:r>
    </w:p>
    <w:p w14:paraId="0A25B73F">
      <w:pPr>
        <w:widowControl/>
        <w:spacing w:line="360" w:lineRule="auto"/>
        <w:jc w:val="left"/>
        <w:rPr>
          <w:rFonts w:hint="eastAsia" w:ascii="宋体" w:hAnsi="宋体" w:eastAsia="宋体" w:cs="宋体"/>
          <w:b/>
          <w:color w:val="000000"/>
          <w:sz w:val="24"/>
          <w:szCs w:val="24"/>
          <w:highlight w:val="none"/>
          <w:lang w:val="en-US" w:eastAsia="zh-CN" w:bidi="ar-SA"/>
        </w:rPr>
      </w:pPr>
      <w:bookmarkStart w:id="143" w:name="_Toc22000636"/>
      <w:r>
        <w:rPr>
          <w:rFonts w:hint="eastAsia" w:ascii="宋体" w:hAnsi="宋体" w:eastAsia="宋体" w:cs="宋体"/>
          <w:b/>
          <w:color w:val="000000"/>
          <w:sz w:val="24"/>
          <w:szCs w:val="24"/>
          <w:highlight w:val="none"/>
          <w:lang w:val="en-US" w:eastAsia="zh-CN" w:bidi="ar-SA"/>
        </w:rPr>
        <w:t>4、合同金额</w:t>
      </w:r>
      <w:bookmarkEnd w:id="143"/>
    </w:p>
    <w:p w14:paraId="04D839BA">
      <w:pPr>
        <w:spacing w:line="360" w:lineRule="auto"/>
        <w:ind w:firstLine="480"/>
        <w:rPr>
          <w:rFonts w:hint="eastAsia" w:ascii="宋体" w:hAnsi="宋体" w:cs="宋体"/>
          <w:b/>
          <w:color w:val="000000"/>
          <w:sz w:val="24"/>
          <w:highlight w:val="none"/>
        </w:rPr>
      </w:pPr>
      <w:r>
        <w:rPr>
          <w:rFonts w:hint="eastAsia" w:ascii="宋体" w:hAnsi="宋体" w:cs="宋体"/>
          <w:color w:val="000000"/>
          <w:sz w:val="24"/>
          <w:highlight w:val="none"/>
        </w:rPr>
        <w:t>根据上述合同文件要求，合同总金额（大写）为人民币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元整，</w:t>
      </w:r>
      <w:r>
        <w:rPr>
          <w:rFonts w:hint="eastAsia" w:ascii="宋体" w:hAnsi="宋体" w:cs="宋体"/>
          <w:color w:val="000000"/>
          <w:sz w:val="24"/>
          <w:highlight w:val="none"/>
          <w:lang w:val="en-US" w:eastAsia="zh-CN"/>
        </w:rPr>
        <w:t>¥</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元（项目增加费用不得超过原合同金额的10%，同时双方必须签订补充合同），分项价格在乙方提交的报价表中有明确规定。</w:t>
      </w:r>
      <w:bookmarkStart w:id="144" w:name="_Toc22000637"/>
    </w:p>
    <w:bookmarkEnd w:id="144"/>
    <w:p w14:paraId="3689D216">
      <w:pPr>
        <w:spacing w:line="360" w:lineRule="auto"/>
        <w:jc w:val="left"/>
        <w:outlineLvl w:val="1"/>
        <w:rPr>
          <w:rFonts w:ascii="宋体" w:hAnsi="宋体" w:cs="宋体"/>
          <w:b/>
          <w:sz w:val="24"/>
          <w:highlight w:val="none"/>
        </w:rPr>
      </w:pPr>
      <w:bookmarkStart w:id="145" w:name="_Toc22000638"/>
      <w:r>
        <w:rPr>
          <w:rFonts w:hint="eastAsia" w:ascii="宋体" w:hAnsi="宋体" w:cs="宋体"/>
          <w:b/>
          <w:sz w:val="24"/>
          <w:highlight w:val="none"/>
        </w:rPr>
        <w:t>5、付款方式</w:t>
      </w:r>
    </w:p>
    <w:p w14:paraId="2264F800">
      <w:pPr>
        <w:widowControl/>
        <w:spacing w:line="360" w:lineRule="auto"/>
        <w:ind w:firstLine="480" w:firstLineChars="200"/>
        <w:rPr>
          <w:rFonts w:hint="default" w:ascii="宋体" w:hAnsi="宋体" w:eastAsia="宋体"/>
          <w:color w:val="auto"/>
          <w:sz w:val="24"/>
          <w:highlight w:val="none"/>
          <w:lang w:val="en-US" w:eastAsia="zh-CN"/>
        </w:rPr>
      </w:pPr>
      <w:r>
        <w:rPr>
          <w:rFonts w:hint="eastAsia" w:ascii="宋体" w:hAnsi="宋体"/>
          <w:color w:val="auto"/>
          <w:sz w:val="24"/>
          <w:highlight w:val="none"/>
        </w:rPr>
        <w:t>5.1 合同签订，甲方收到发票后十个工作日内支付合同总额的50%；项目</w:t>
      </w:r>
      <w:r>
        <w:rPr>
          <w:rFonts w:hint="eastAsia" w:ascii="宋体" w:hAnsi="宋体"/>
          <w:color w:val="auto"/>
          <w:sz w:val="24"/>
          <w:highlight w:val="none"/>
          <w:lang w:val="en-US" w:eastAsia="zh-CN"/>
        </w:rPr>
        <w:t>服务运维期到期并进行</w:t>
      </w:r>
      <w:r>
        <w:rPr>
          <w:rFonts w:hint="eastAsia" w:ascii="宋体" w:hAnsi="宋体"/>
          <w:color w:val="auto"/>
          <w:sz w:val="24"/>
          <w:highlight w:val="none"/>
        </w:rPr>
        <w:t>验收合格后，甲方收到发票后十个工作日内支付合同总额的50%。</w:t>
      </w:r>
    </w:p>
    <w:p w14:paraId="234AAB91">
      <w:pPr>
        <w:spacing w:line="360" w:lineRule="auto"/>
        <w:ind w:firstLine="480" w:firstLineChars="200"/>
        <w:rPr>
          <w:rFonts w:hint="eastAsia" w:ascii="宋体" w:hAnsi="宋体"/>
          <w:color w:val="000000"/>
          <w:sz w:val="24"/>
          <w:szCs w:val="22"/>
          <w:highlight w:val="none"/>
        </w:rPr>
      </w:pPr>
      <w:r>
        <w:rPr>
          <w:rFonts w:hint="eastAsia" w:ascii="宋体" w:hAnsi="宋体"/>
          <w:color w:val="auto"/>
          <w:sz w:val="24"/>
          <w:highlight w:val="none"/>
        </w:rPr>
        <w:t>5.2 上述款项不另计利息。具体支付进度还应根据拨款进度执行，</w:t>
      </w:r>
      <w:r>
        <w:rPr>
          <w:rFonts w:hint="eastAsia" w:ascii="宋体" w:hAnsi="宋体"/>
          <w:sz w:val="24"/>
          <w:highlight w:val="none"/>
        </w:rPr>
        <w:t>延期支付甲方不承担利息及滞纳金。</w:t>
      </w:r>
    </w:p>
    <w:p w14:paraId="5EAF9C85">
      <w:pPr>
        <w:widowControl/>
        <w:spacing w:line="360" w:lineRule="auto"/>
        <w:jc w:val="left"/>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6、项目服务期和实施地点</w:t>
      </w:r>
      <w:bookmarkEnd w:id="145"/>
    </w:p>
    <w:p w14:paraId="7DAAEDB7">
      <w:pPr>
        <w:pStyle w:val="319"/>
        <w:spacing w:line="360" w:lineRule="auto"/>
        <w:ind w:left="0" w:leftChars="0" w:firstLine="480" w:firstLineChars="200"/>
        <w:jc w:val="lef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6.1 </w:t>
      </w:r>
      <w:r>
        <w:rPr>
          <w:rFonts w:hint="eastAsia" w:ascii="宋体" w:hAnsi="宋体" w:cs="宋体"/>
          <w:color w:val="000000"/>
          <w:sz w:val="24"/>
          <w:szCs w:val="24"/>
          <w:highlight w:val="none"/>
        </w:rPr>
        <w:t>项目</w:t>
      </w:r>
      <w:r>
        <w:rPr>
          <w:rFonts w:hint="eastAsia" w:ascii="宋体" w:hAnsi="宋体" w:cs="宋体"/>
          <w:color w:val="000000"/>
          <w:sz w:val="24"/>
          <w:szCs w:val="24"/>
          <w:highlight w:val="none"/>
          <w:lang w:val="en-US" w:eastAsia="zh-CN"/>
        </w:rPr>
        <w:t>服务</w:t>
      </w:r>
      <w:r>
        <w:rPr>
          <w:rFonts w:hint="eastAsia" w:ascii="宋体" w:hAnsi="宋体" w:cs="宋体"/>
          <w:color w:val="000000"/>
          <w:sz w:val="24"/>
          <w:szCs w:val="24"/>
          <w:highlight w:val="none"/>
        </w:rPr>
        <w:t>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r>
        <w:rPr>
          <w:rFonts w:hint="eastAsia" w:ascii="宋体" w:hAnsi="宋体" w:cs="宋体"/>
          <w:color w:val="000000"/>
          <w:sz w:val="24"/>
          <w:szCs w:val="24"/>
          <w:highlight w:val="none"/>
          <w:lang w:val="en-US" w:eastAsia="zh-CN"/>
        </w:rPr>
        <w:t>。</w:t>
      </w:r>
    </w:p>
    <w:p w14:paraId="2CD9AC37">
      <w:pPr>
        <w:pStyle w:val="319"/>
        <w:spacing w:line="360" w:lineRule="auto"/>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6.2 </w:t>
      </w:r>
      <w:r>
        <w:rPr>
          <w:rFonts w:hint="eastAsia" w:ascii="宋体" w:hAnsi="宋体" w:cs="宋体"/>
          <w:color w:val="000000"/>
          <w:sz w:val="24"/>
          <w:szCs w:val="24"/>
          <w:highlight w:val="none"/>
        </w:rPr>
        <w:t>项目实施地点：</w:t>
      </w:r>
      <w:r>
        <w:rPr>
          <w:rFonts w:hint="eastAsia" w:ascii="宋体" w:hAnsi="宋体" w:cs="宋体"/>
          <w:color w:val="000000"/>
          <w:sz w:val="24"/>
          <w:szCs w:val="24"/>
          <w:highlight w:val="none"/>
        </w:rPr>
        <w:t>甲方指定地点</w:t>
      </w:r>
      <w:r>
        <w:rPr>
          <w:rFonts w:hint="eastAsia" w:ascii="宋体" w:hAnsi="宋体" w:cs="宋体"/>
          <w:color w:val="000000"/>
          <w:sz w:val="24"/>
          <w:szCs w:val="24"/>
          <w:highlight w:val="none"/>
        </w:rPr>
        <w:t>。</w:t>
      </w:r>
    </w:p>
    <w:p w14:paraId="58CB5AB1">
      <w:pPr>
        <w:widowControl/>
        <w:spacing w:line="360" w:lineRule="auto"/>
        <w:jc w:val="left"/>
        <w:rPr>
          <w:rFonts w:hint="default"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7、服务内容</w:t>
      </w:r>
    </w:p>
    <w:p w14:paraId="50FD754E">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包括目前省医保布置的相关系统功能优化和完善，“完善性”功能调整是指单项业务发起的功能改造，工作量不超过7个工作人日，工作量由双方评审确定。因甲方业务开展需要产生的外部机构接口新增或调整、业务升级和整合的软件改造均包含在本次服务外包范围内（不包含系统核心平台版本重大升级、重大机构组织调整、重大政策改革、非业务性的系统新增），运维和调整过程中产出的各类软件文档、软件源代码、设计方案的知识产权归甲方，在交付时以纸介质和电子介质两种形式提交给甲方。</w:t>
      </w:r>
    </w:p>
    <w:p w14:paraId="3EECE933">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（一）省系统平台维护</w:t>
      </w:r>
    </w:p>
    <w:p w14:paraId="017713A7">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1）对“镇江市医疗保障信息平台”、网上服务大厅、江苏医保云APP、医保移动支付平台、医保处方流转平台、医保自助服务终端对接对接及两定联网接口服务等省端应用服务进行日常状态监控。主要包括各项服务的运行状态检查、故障分析、问题提交、结果反馈等事宜。</w:t>
      </w:r>
    </w:p>
    <w:p w14:paraId="3748070E">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2）“镇江市医疗保障信息平台”、网上服务大厅、江苏医保云APP、医保移动支付平台、医保处方流转平台、医保自助服务终端对接对接及两定联网接口服务等省端应用系统的版本发布和更新工作，并完成系统版本更新自测工作。</w:t>
      </w:r>
    </w:p>
    <w:p w14:paraId="5770FB52">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3）省系统数据库服务器软件维护和硬件运行状态的监控：主要包括数据库系统的安装、调试，运行状态监控、有关系统数据库的巡检、调优、有关代码检测、故障分析、判断、排除以及协调数据库及服务器的维保等事宜。</w:t>
      </w:r>
    </w:p>
    <w:p w14:paraId="6B89039A">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4）提供数据库急救服务，对数据库紧急故障，在通过电话、远程诊断的同时及时派遣专职工程师联系本地运维工程师解决实际问题，协助数据库备份软件供应商对数据库因数据灾难或数据丢失进行数据恢复服务。</w:t>
      </w:r>
    </w:p>
    <w:p w14:paraId="585F753C">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（5）省系统平台的安全运维，及时升级所用系统软件补丁等，驻场工程师严格遵守甲方制定的信息系统安全运维制度。</w:t>
      </w:r>
    </w:p>
    <w:p w14:paraId="1F506FAB">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（6）根据业务部门和相关医保政策法规要求，调整镇江市医疗保障信息平台相关征缴规则及其他系统相关业务参数。</w:t>
      </w:r>
    </w:p>
    <w:p w14:paraId="35B30253">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（二）省系统改造工作</w:t>
      </w:r>
    </w:p>
    <w:p w14:paraId="16475D26">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1）全省统一执行的各项政策需求调整工作，涉及到的“镇江市医疗保障信息平台”、网上服务大厅、江苏医保云APP、医保移动支付平台、医保处方流转平台、医保自助服务终端对接对接及两定联网接口服务等省端应用系统的改造类工作。</w:t>
      </w:r>
    </w:p>
    <w:p w14:paraId="2B26CDF8">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（2）镇江市本地与省平台差异性需求，涉及到的网上服务大厅、江苏医保云APP、医保移动支付平台、医保处方流转平台、医保自助服务终端对接及两定联网接口服务等省端应用系统的改造类工作。</w:t>
      </w:r>
    </w:p>
    <w:p w14:paraId="7C772D37">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（3）现有系统各项功能模块的优化完善与扩充。现有业务框架下的业务调整、流程优化，以及不影响现有架构前提下的功能补充、修改；及时处理涉及应用软件的相关改善与优化；优化及安全审计等。</w:t>
      </w:r>
    </w:p>
    <w:p w14:paraId="62F8AB3F">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（4）省端软件应用系统故障类问题的及时修正及反馈。</w:t>
      </w:r>
    </w:p>
    <w:p w14:paraId="0850DB10">
      <w:pPr>
        <w:spacing w:line="360" w:lineRule="auto"/>
        <w:ind w:firstLine="480"/>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（三）地市运维问题解答及指导</w:t>
      </w:r>
    </w:p>
    <w:p w14:paraId="2F1EC3DA">
      <w:pPr>
        <w:spacing w:line="360" w:lineRule="auto"/>
        <w:ind w:firstLine="480"/>
        <w:rPr>
          <w:rFonts w:hint="eastAsia" w:ascii="宋体" w:hAnsi="宋体" w:eastAsia="宋体" w:cs="宋体"/>
          <w:bCs/>
          <w:color w:val="000000"/>
          <w:sz w:val="24"/>
          <w:highlight w:val="none"/>
        </w:rPr>
      </w:pPr>
      <w:r>
        <w:rPr>
          <w:rFonts w:hint="eastAsia" w:ascii="宋体" w:hAnsi="宋体" w:cs="宋体"/>
          <w:bCs/>
          <w:color w:val="000000"/>
          <w:sz w:val="24"/>
          <w:highlight w:val="none"/>
          <w:lang w:val="en-US" w:eastAsia="zh-CN"/>
        </w:rPr>
        <w:t>对地市业务人员及本地项目组反馈的省系统各类问题进行及时沟通及解答；省厅下达的各项工作及时进行工作内容说明及处理方式的指导。</w:t>
      </w:r>
      <w:r>
        <w:rPr>
          <w:rFonts w:hint="eastAsia" w:ascii="宋体" w:hAnsi="宋体" w:eastAsia="宋体" w:cs="宋体"/>
          <w:bCs/>
          <w:color w:val="000000"/>
          <w:sz w:val="24"/>
          <w:highlight w:val="none"/>
        </w:rPr>
        <w:t xml:space="preserve"> </w:t>
      </w:r>
    </w:p>
    <w:p w14:paraId="74F06FB8">
      <w:pPr>
        <w:widowControl/>
        <w:spacing w:line="360" w:lineRule="auto"/>
        <w:jc w:val="left"/>
        <w:rPr>
          <w:rFonts w:hint="default" w:ascii="宋体" w:hAnsi="宋体" w:cs="宋体"/>
          <w:b/>
          <w:color w:val="000000"/>
          <w:sz w:val="24"/>
          <w:szCs w:val="24"/>
          <w:highlight w:val="none"/>
          <w:lang w:val="en-US" w:eastAsia="zh-CN" w:bidi="ar-SA"/>
        </w:rPr>
      </w:pPr>
      <w:r>
        <w:rPr>
          <w:rFonts w:hint="eastAsia" w:ascii="宋体" w:hAnsi="宋体" w:cs="宋体"/>
          <w:b/>
          <w:color w:val="000000"/>
          <w:sz w:val="24"/>
          <w:szCs w:val="24"/>
          <w:highlight w:val="none"/>
          <w:lang w:val="en-US" w:eastAsia="zh-CN" w:bidi="ar-SA"/>
        </w:rPr>
        <w:t>8、验收标准</w:t>
      </w:r>
    </w:p>
    <w:p w14:paraId="41139F4F">
      <w:pPr>
        <w:spacing w:line="360" w:lineRule="auto"/>
        <w:ind w:firstLine="480"/>
        <w:rPr>
          <w:rFonts w:hint="default"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符合国家标准有关软件技术规范、软件文档管理和软件验收标准，以及招标文件、投标文件要求与承诺。</w:t>
      </w:r>
    </w:p>
    <w:p w14:paraId="2002F7B2">
      <w:pPr>
        <w:spacing w:line="360" w:lineRule="auto"/>
        <w:jc w:val="left"/>
        <w:outlineLvl w:val="1"/>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9</w:t>
      </w:r>
      <w:r>
        <w:rPr>
          <w:rFonts w:hint="eastAsia" w:ascii="宋体" w:hAnsi="宋体" w:cs="宋体"/>
          <w:b/>
          <w:color w:val="000000"/>
          <w:sz w:val="24"/>
          <w:highlight w:val="none"/>
        </w:rPr>
        <w:t>、合同纠纷处理</w:t>
      </w:r>
    </w:p>
    <w:p w14:paraId="722D2ECE">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.1对本合同履行过程中发生的一切争议，双方应友好协商解决，如协商不能解决，双方选择向甲方所在地的人民法院提起诉讼解决。</w:t>
      </w:r>
    </w:p>
    <w:p w14:paraId="0AB83155">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.2如对任何争议向人民法院提起诉讼，除争议事项或争议事项所涉及的条款外，双方应继续履行本合同项下的其它义务。</w:t>
      </w:r>
    </w:p>
    <w:p w14:paraId="686BD4F6">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lang w:val="en-US" w:eastAsia="zh-CN"/>
        </w:rPr>
        <w:t>10</w:t>
      </w:r>
      <w:r>
        <w:rPr>
          <w:rFonts w:hint="eastAsia" w:ascii="宋体" w:hAnsi="宋体" w:cs="宋体"/>
          <w:b/>
          <w:color w:val="000000"/>
          <w:sz w:val="24"/>
          <w:highlight w:val="none"/>
        </w:rPr>
        <w:t>、甲、乙双方违约责任</w:t>
      </w:r>
    </w:p>
    <w:p w14:paraId="3ADEBBB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.1甲方违约责任</w:t>
      </w:r>
    </w:p>
    <w:p w14:paraId="634D2601">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.1.1合同签订后，由于甲方原因停止项目而终止合同的，乙方未进入现场工作前，乙方必须全额返还预付款；乙方已进入现场工作，但因甲方过错导致的项目停止和终止，甲方应按完成的实际工作量支付合同款。</w:t>
      </w:r>
    </w:p>
    <w:p w14:paraId="4DE4732F">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.2乙方违约责任</w:t>
      </w:r>
    </w:p>
    <w:p w14:paraId="632E9A8D">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.2.1合同签订后，由于乙方原因停止项目而终止合同的，甲方有权不支付乙方剩余合同款项。</w:t>
      </w:r>
    </w:p>
    <w:p w14:paraId="7F2B250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2.2如乙方没有按照合同规定的时间交货，乙方支付给甲方的损失费以每延迟交货一天以合同价款每日万分之三的标准计算，但赔偿损失费的最高限额不超过合同总款的2%。当达到最高限额时，甲方有权解除合同，乙方应当退还甲方支付的预付款，同时支付合同总价30%的违约金。必要时可通过签订补充合同。</w:t>
      </w:r>
    </w:p>
    <w:p w14:paraId="565E7782">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.2.3在甲方提供了必要的工作，并且保证了合同款按时到位，乙方提供的相关服务未能达到合同规定质量要求时，乙方应当按照甲方的要求立即进行整改，同时应向甲方赔偿损失费，损失费以每拖延履行一天以</w:t>
      </w:r>
      <w:r>
        <w:rPr>
          <w:rFonts w:hint="eastAsia" w:ascii="宋体" w:hAnsi="宋体" w:cs="宋体"/>
          <w:sz w:val="24"/>
          <w:highlight w:val="none"/>
        </w:rPr>
        <w:t>合同价款每日万分之三的标准计算</w:t>
      </w:r>
      <w:r>
        <w:rPr>
          <w:rFonts w:hint="eastAsia" w:ascii="宋体" w:hAnsi="宋体" w:cs="宋体"/>
          <w:color w:val="000000"/>
          <w:sz w:val="24"/>
          <w:highlight w:val="none"/>
        </w:rPr>
        <w:t>，但损失费的总数不超过合同总额的2%。当乙方经过三次整改仍不能达到合同规定的质量要求，或乙方延期提供服务超过20日时，视为乙方根本违约，甲方有权解除合同，不再支付剩余合同款项，同时乙方需向甲方支付合同总价30%的违约金。项目因不可抗力、甲方违约等影响作业的客观原因造成乙方拖期履行服务，乙方不承担赔偿责任。</w:t>
      </w:r>
    </w:p>
    <w:p w14:paraId="01114214">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.2.4乙方须在合同约定的时限内完成并通过验收，因项目未通过验收而延期的，每延期一天扣罚以</w:t>
      </w:r>
      <w:r>
        <w:rPr>
          <w:rFonts w:hint="eastAsia" w:ascii="宋体" w:hAnsi="宋体" w:cs="宋体"/>
          <w:sz w:val="24"/>
          <w:highlight w:val="none"/>
        </w:rPr>
        <w:t>合同价款每日万分之三的标准计算</w:t>
      </w:r>
      <w:r>
        <w:rPr>
          <w:rFonts w:hint="eastAsia" w:ascii="宋体" w:hAnsi="宋体" w:cs="宋体"/>
          <w:color w:val="000000"/>
          <w:sz w:val="24"/>
          <w:highlight w:val="none"/>
        </w:rPr>
        <w:t>。项目经三次验收后仍未通过的，视为乙方根本违约，甲方有权解除合同，乙方应当退还甲方支付的预付款，同时支付合同总价30%的违约金。</w:t>
      </w:r>
    </w:p>
    <w:p w14:paraId="049CDA83">
      <w:pPr>
        <w:pStyle w:val="37"/>
        <w:ind w:firstLine="480"/>
        <w:rPr>
          <w:rFonts w:ascii="宋体" w:hAnsi="宋体" w:eastAsia="宋体" w:cs="宋体"/>
          <w:color w:val="000000"/>
          <w:sz w:val="24"/>
          <w:szCs w:val="24"/>
          <w:highlight w:val="none"/>
        </w:rPr>
      </w:pPr>
      <w:r>
        <w:rPr>
          <w:rFonts w:hint="eastAsia" w:ascii="宋体" w:hAnsi="宋体" w:eastAsia="宋体" w:cs="宋体"/>
          <w:color w:val="000000"/>
          <w:kern w:val="2"/>
          <w:sz w:val="24"/>
          <w:szCs w:val="24"/>
          <w:highlight w:val="none"/>
          <w:lang w:val="en-US" w:eastAsia="zh-CN"/>
        </w:rPr>
        <w:t>10</w:t>
      </w:r>
      <w:r>
        <w:rPr>
          <w:rFonts w:hint="eastAsia" w:ascii="宋体" w:hAnsi="宋体" w:eastAsia="宋体" w:cs="宋体"/>
          <w:color w:val="000000"/>
          <w:kern w:val="2"/>
          <w:sz w:val="24"/>
          <w:szCs w:val="24"/>
          <w:highlight w:val="none"/>
        </w:rPr>
        <w:t>.2.5在甲方根据上述规定，终止了全部或部分合同后，甲方可以依其认为适当的条件和方法购买与未提供服务类似的服务，乙方应对甲方购买类似服务所超出部分费用负责。</w:t>
      </w:r>
    </w:p>
    <w:p w14:paraId="7EA99DEE">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1</w:t>
      </w:r>
      <w:r>
        <w:rPr>
          <w:rFonts w:hint="eastAsia" w:ascii="宋体" w:hAnsi="宋体" w:cs="宋体"/>
          <w:b/>
          <w:color w:val="000000"/>
          <w:sz w:val="24"/>
          <w:highlight w:val="none"/>
        </w:rPr>
        <w:t>、转让</w:t>
      </w:r>
    </w:p>
    <w:p w14:paraId="41DE32A6">
      <w:pPr>
        <w:widowControl/>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rPr>
        <w:t>.1</w:t>
      </w:r>
      <w:r>
        <w:rPr>
          <w:rFonts w:hint="eastAsia" w:ascii="宋体" w:hAnsi="宋体" w:cs="宋体"/>
          <w:sz w:val="24"/>
          <w:highlight w:val="none"/>
        </w:rPr>
        <w:t>为保证本项目的质量，本项目的部分和全部都不得转让和分包。否则，甲方有权解除本合同，乙方已经收取的费用全部返还甲方，同时向甲方赔偿合同金额30%的违约金。</w:t>
      </w:r>
    </w:p>
    <w:p w14:paraId="4848BD11">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2</w:t>
      </w:r>
      <w:r>
        <w:rPr>
          <w:rFonts w:hint="eastAsia" w:ascii="宋体" w:hAnsi="宋体" w:cs="宋体"/>
          <w:b/>
          <w:color w:val="000000"/>
          <w:sz w:val="24"/>
          <w:highlight w:val="none"/>
        </w:rPr>
        <w:t>、不可抗力</w:t>
      </w:r>
    </w:p>
    <w:p w14:paraId="1AF643FD">
      <w:pPr>
        <w:widowControl/>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.1如果双方由于不可抗拒力的任何事故（须经双方认同），致使影响合同履行时，履行合同的期限应予延长，延长期限相当于事故影响的时间。</w:t>
      </w:r>
    </w:p>
    <w:p w14:paraId="3524040E">
      <w:pPr>
        <w:widowControl/>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lang w:val="en-US" w:eastAsia="zh-CN"/>
        </w:rPr>
        <w:t>12</w:t>
      </w:r>
      <w:r>
        <w:rPr>
          <w:rFonts w:hint="eastAsia" w:ascii="宋体" w:hAnsi="宋体" w:cs="宋体"/>
          <w:color w:val="000000"/>
          <w:sz w:val="24"/>
          <w:highlight w:val="none"/>
        </w:rPr>
        <w:t>.2本条所述的“不可抗拒力”系指双方无法控制、不可预见的事件。这些事件包括但不限于：战争、严重水灾、台风、地震以及其他双方商定的事件。</w:t>
      </w:r>
    </w:p>
    <w:p w14:paraId="4AE4AC5A">
      <w:pPr>
        <w:widowControl/>
        <w:spacing w:line="360" w:lineRule="auto"/>
        <w:ind w:firstLine="480" w:firstLineChars="200"/>
        <w:jc w:val="left"/>
        <w:rPr>
          <w:rFonts w:ascii="宋体" w:hAnsi="宋体" w:cs="宋体"/>
          <w:color w:val="000000"/>
          <w:sz w:val="24"/>
          <w:highlight w:val="none"/>
        </w:rPr>
      </w:pPr>
      <w:r>
        <w:rPr>
          <w:rFonts w:hint="eastAsia" w:ascii="宋体" w:hAnsi="宋体" w:cs="宋体"/>
          <w:color w:val="000000"/>
          <w:sz w:val="24"/>
          <w:highlight w:val="none"/>
          <w:lang w:val="en-US" w:eastAsia="zh-CN"/>
        </w:rPr>
        <w:t>12</w:t>
      </w:r>
      <w:r>
        <w:rPr>
          <w:rFonts w:hint="eastAsia" w:ascii="宋体" w:hAnsi="宋体" w:cs="宋体"/>
          <w:color w:val="000000"/>
          <w:sz w:val="24"/>
          <w:highlight w:val="none"/>
        </w:rPr>
        <w:t>.3受事故影响的一方应在不可抗拒力事故发后尽快以包括但不限于传真等方式通知对方，双方应通过友好协商在合理时间内达成进一步履行合同的协议。</w:t>
      </w:r>
    </w:p>
    <w:p w14:paraId="7D4AC0A4">
      <w:pPr>
        <w:spacing w:line="360" w:lineRule="auto"/>
        <w:jc w:val="left"/>
        <w:outlineLvl w:val="1"/>
        <w:rPr>
          <w:rFonts w:ascii="宋体" w:hAnsi="宋体" w:cs="宋体"/>
          <w:b/>
          <w:color w:val="000000"/>
          <w:sz w:val="24"/>
          <w:highlight w:val="none"/>
        </w:rPr>
      </w:pPr>
      <w:r>
        <w:rPr>
          <w:rFonts w:hint="eastAsia" w:ascii="宋体" w:hAnsi="宋体" w:cs="宋体"/>
          <w:b/>
          <w:color w:val="000000"/>
          <w:sz w:val="24"/>
          <w:highlight w:val="none"/>
        </w:rPr>
        <w:t>1</w:t>
      </w: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rPr>
        <w:t>、合同生效及其它</w:t>
      </w:r>
    </w:p>
    <w:p w14:paraId="55905A7D">
      <w:pPr>
        <w:widowControl/>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.1合同应在双方签字盖章后生效。</w:t>
      </w:r>
    </w:p>
    <w:p w14:paraId="1BB6C3AB">
      <w:pPr>
        <w:widowControl/>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.2本合同正本一式肆份，甲方贰份、乙方贰份，具有同等法律效力。</w:t>
      </w:r>
    </w:p>
    <w:p w14:paraId="20A70E9C">
      <w:pPr>
        <w:widowControl/>
        <w:spacing w:line="360" w:lineRule="auto"/>
        <w:ind w:firstLine="480" w:firstLineChars="200"/>
        <w:rPr>
          <w:rFonts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lang w:val="en-US" w:eastAsia="zh-CN"/>
        </w:rPr>
        <w:t>3</w:t>
      </w:r>
      <w:r>
        <w:rPr>
          <w:rFonts w:hint="eastAsia" w:ascii="宋体" w:hAnsi="宋体" w:cs="宋体"/>
          <w:bCs/>
          <w:sz w:val="24"/>
          <w:highlight w:val="none"/>
        </w:rPr>
        <w:t>.3在履行本合同中所发生的或与本合同有关的一切争端，双方应通过友好协商的方式解决。协商不成的，双方均可选择向甲方所在地人民法院提起诉讼。</w:t>
      </w:r>
    </w:p>
    <w:p w14:paraId="0AAF5D71">
      <w:pPr>
        <w:widowControl/>
        <w:spacing w:line="360" w:lineRule="auto"/>
        <w:ind w:firstLine="480" w:firstLineChars="200"/>
        <w:rPr>
          <w:rFonts w:ascii="宋体" w:hAnsi="宋体" w:cs="宋体"/>
          <w:color w:val="000000"/>
          <w:sz w:val="24"/>
          <w:highlight w:val="none"/>
        </w:rPr>
      </w:pPr>
      <w:r>
        <w:rPr>
          <w:rFonts w:hint="eastAsia" w:ascii="宋体" w:hAnsi="宋体" w:cs="宋体"/>
          <w:bCs/>
          <w:color w:val="000000"/>
          <w:sz w:val="24"/>
          <w:highlight w:val="none"/>
        </w:rPr>
        <w:t>1</w:t>
      </w:r>
      <w:r>
        <w:rPr>
          <w:rFonts w:hint="eastAsia" w:ascii="宋体" w:hAnsi="宋体" w:cs="宋体"/>
          <w:bCs/>
          <w:color w:val="000000"/>
          <w:sz w:val="24"/>
          <w:highlight w:val="none"/>
          <w:lang w:val="en-US" w:eastAsia="zh-CN"/>
        </w:rPr>
        <w:t>3</w:t>
      </w:r>
      <w:r>
        <w:rPr>
          <w:rFonts w:hint="eastAsia" w:ascii="宋体" w:hAnsi="宋体" w:cs="宋体"/>
          <w:bCs/>
          <w:color w:val="000000"/>
          <w:sz w:val="24"/>
          <w:highlight w:val="none"/>
        </w:rPr>
        <w:t>.4</w:t>
      </w:r>
      <w:r>
        <w:rPr>
          <w:rFonts w:hint="eastAsia" w:ascii="宋体" w:hAnsi="宋体" w:cs="宋体"/>
          <w:color w:val="000000"/>
          <w:sz w:val="24"/>
          <w:highlight w:val="none"/>
        </w:rPr>
        <w:t>本合同未尽事宜，遵照《中华人民共和国民法典》有关条文执行。</w:t>
      </w:r>
    </w:p>
    <w:p w14:paraId="2C331F07">
      <w:pPr>
        <w:widowControl/>
        <w:spacing w:line="360" w:lineRule="auto"/>
        <w:ind w:firstLine="480" w:firstLineChars="200"/>
        <w:rPr>
          <w:rFonts w:ascii="宋体" w:hAnsi="宋体" w:cs="宋体"/>
          <w:bCs/>
          <w:color w:val="000000"/>
          <w:sz w:val="24"/>
          <w:highlight w:val="none"/>
        </w:rPr>
      </w:pPr>
      <w:r>
        <w:rPr>
          <w:rFonts w:hint="eastAsia" w:ascii="宋体" w:hAnsi="宋体" w:cs="宋体"/>
          <w:bCs/>
          <w:color w:val="000000"/>
          <w:sz w:val="24"/>
          <w:highlight w:val="none"/>
        </w:rPr>
        <w:t>（以下无合同正文）</w:t>
      </w:r>
    </w:p>
    <w:p w14:paraId="0A4C568C">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甲方（单位盖章）：</w:t>
      </w:r>
    </w:p>
    <w:p w14:paraId="126AFFEB">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地    址：</w:t>
      </w:r>
    </w:p>
    <w:p w14:paraId="753C8B41">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联系电话：</w:t>
      </w:r>
    </w:p>
    <w:p w14:paraId="6D633CE8">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代表签字：</w:t>
      </w:r>
    </w:p>
    <w:p w14:paraId="102A5366">
      <w:pPr>
        <w:spacing w:before="4" w:line="359" w:lineRule="auto"/>
        <w:ind w:right="65"/>
        <w:rPr>
          <w:rFonts w:hint="eastAsia" w:ascii="宋体" w:hAnsi="宋体" w:cs="宋体"/>
          <w:color w:val="000000"/>
          <w:sz w:val="24"/>
          <w:highlight w:val="none"/>
        </w:rPr>
      </w:pPr>
    </w:p>
    <w:p w14:paraId="62DD7EB5">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乙方（单位盖章）：</w:t>
      </w:r>
    </w:p>
    <w:p w14:paraId="4CA048F7">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地    址：</w:t>
      </w:r>
    </w:p>
    <w:p w14:paraId="27BFADF6">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联系电话：</w:t>
      </w:r>
    </w:p>
    <w:p w14:paraId="6FD7B669">
      <w:pPr>
        <w:spacing w:before="4" w:line="359" w:lineRule="auto"/>
        <w:ind w:left="37" w:right="65" w:firstLine="498"/>
        <w:rPr>
          <w:rFonts w:hint="eastAsia" w:ascii="宋体" w:hAnsi="宋体" w:cs="宋体"/>
          <w:color w:val="000000"/>
          <w:sz w:val="24"/>
          <w:highlight w:val="none"/>
        </w:rPr>
      </w:pPr>
      <w:r>
        <w:rPr>
          <w:rFonts w:hint="eastAsia" w:ascii="宋体" w:hAnsi="宋体" w:cs="宋体"/>
          <w:color w:val="000000"/>
          <w:sz w:val="24"/>
          <w:highlight w:val="none"/>
        </w:rPr>
        <w:t>代表签字：</w:t>
      </w:r>
    </w:p>
    <w:p w14:paraId="7695780C">
      <w:pPr>
        <w:spacing w:line="360" w:lineRule="auto"/>
        <w:ind w:firstLine="357"/>
        <w:jc w:val="right"/>
        <w:rPr>
          <w:rFonts w:ascii="宋体" w:hAnsi="宋体" w:cs="宋体"/>
          <w:bCs/>
          <w:color w:val="000000"/>
          <w:sz w:val="24"/>
          <w:highlight w:val="none"/>
        </w:rPr>
      </w:pPr>
      <w:r>
        <w:rPr>
          <w:rFonts w:hint="eastAsia" w:ascii="宋体" w:hAnsi="宋体" w:cs="宋体"/>
          <w:bCs/>
          <w:color w:val="000000"/>
          <w:sz w:val="24"/>
          <w:highlight w:val="none"/>
        </w:rPr>
        <w:t>合同签订日期：    年  月  日</w:t>
      </w:r>
      <w:r>
        <w:rPr>
          <w:rFonts w:hint="eastAsia" w:ascii="宋体" w:hAnsi="宋体" w:cs="宋体"/>
          <w:bCs/>
          <w:color w:val="000000"/>
          <w:sz w:val="24"/>
          <w:highlight w:val="none"/>
        </w:rPr>
        <w:br w:type="page"/>
      </w:r>
    </w:p>
    <w:p w14:paraId="03575449">
      <w:pPr>
        <w:shd w:val="clear" w:color="auto" w:fill="FFFFFF"/>
        <w:spacing w:line="360" w:lineRule="auto"/>
        <w:ind w:firstLine="480"/>
        <w:jc w:val="center"/>
        <w:outlineLvl w:val="0"/>
        <w:rPr>
          <w:rStyle w:val="242"/>
          <w:rFonts w:ascii="宋体" w:hAnsi="宋体" w:cs="宋体"/>
          <w:color w:val="000000"/>
          <w:sz w:val="28"/>
          <w:szCs w:val="28"/>
          <w:highlight w:val="none"/>
        </w:rPr>
      </w:pPr>
      <w:bookmarkStart w:id="146" w:name="_Toc12977"/>
      <w:r>
        <w:rPr>
          <w:rStyle w:val="242"/>
          <w:rFonts w:hint="eastAsia" w:ascii="宋体" w:hAnsi="宋体" w:cs="宋体"/>
          <w:color w:val="000000"/>
          <w:sz w:val="28"/>
          <w:szCs w:val="28"/>
          <w:highlight w:val="none"/>
        </w:rPr>
        <w:t xml:space="preserve">第四部分 </w:t>
      </w:r>
      <w:bookmarkEnd w:id="137"/>
      <w:r>
        <w:rPr>
          <w:rStyle w:val="242"/>
          <w:rFonts w:hint="eastAsia" w:ascii="宋体" w:hAnsi="宋体" w:cs="宋体"/>
          <w:color w:val="000000"/>
          <w:sz w:val="28"/>
          <w:szCs w:val="28"/>
          <w:highlight w:val="none"/>
        </w:rPr>
        <w:t xml:space="preserve"> 项目采购需求</w:t>
      </w:r>
      <w:bookmarkEnd w:id="138"/>
      <w:bookmarkEnd w:id="139"/>
      <w:bookmarkEnd w:id="146"/>
    </w:p>
    <w:p w14:paraId="2AC6C59C">
      <w:pPr>
        <w:spacing w:line="360" w:lineRule="auto"/>
        <w:jc w:val="left"/>
        <w:rPr>
          <w:rFonts w:ascii="宋体" w:hAnsi="宋体" w:cs="宋体"/>
          <w:b/>
          <w:bCs/>
          <w:sz w:val="24"/>
          <w:highlight w:val="none"/>
        </w:rPr>
      </w:pPr>
      <w:bookmarkStart w:id="147" w:name="_Toc1600901986"/>
      <w:r>
        <w:rPr>
          <w:rFonts w:hint="eastAsia" w:ascii="宋体" w:hAnsi="宋体" w:cs="宋体"/>
          <w:b/>
          <w:bCs/>
          <w:sz w:val="24"/>
          <w:highlight w:val="none"/>
        </w:rPr>
        <w:t>一、项目背景</w:t>
      </w:r>
    </w:p>
    <w:p w14:paraId="00DF9D7F">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2021年12月底，在江苏省医保局的指导下，遵循安全、平稳、精准的原则，扎实推进镇江市医疗保障信息平台落地应用，实现联网实时结算和零星报销业务的省集中管理，并与镇江市医保统一经办管理系统两套系统同时运行，通过数据同步的方式保障系统数据的一致性。</w:t>
      </w:r>
    </w:p>
    <w:p w14:paraId="1C20FABF">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2022年9月份，以（苏医保办发〔2022〕14号）关于印发全省医疗保障信息平台参保征缴功能上线工作方案的通知和苏医保发〔2022〕26号）江苏省医疗保障局关于印发进一步深化推进医保信息化标准化重点任务实施方案的通知等有关文件为指导，充分结合省一体化信息平台运行体系和数据归集规范，立足我市医保本地化业务管理和运行需求，将镇江市医保统一经办管理系统中的业务迁移至镇江市医疗保障信息平台进行省集中管理。</w:t>
      </w:r>
    </w:p>
    <w:p w14:paraId="559379BA">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截止目前为止，江苏省医疗保障局建设在用系统包含：江苏省医疗保障信息平台、江苏省医疗保障局网上服务大厅、江苏医保云APP、移动支付平台、电子处方流转平台、一人一档、异地就医平台、两定交流平台等。镇江市医疗保障信息平台主要包含：统一门户、参保管理、缴费管理、个人账户管理、医疗救助管理、个人待遇管理、基金财务支付、异地就医业务、综合查询、月结管理等业务。其中，省级医保系统运维服务，负责协调省级项目各承建厂商，归集镇江市在使用省级医保系统期间所产生的业务及技术问题，组织问题上报、对接跟进并配合开展联合排查工作；镇江市本地医保平台相关运维保障工作，由镇江地市项目组负责实施。</w:t>
      </w:r>
    </w:p>
    <w:p w14:paraId="76E99CE7">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随着镇江医保各项改革工作的推进，对信息化的要求不断提高，系统应用的需求也越来越多，迫切需要组建信息系统的运维服务团队，加强信息系统运行维护，保障医保信息系统的平稳运行。</w:t>
      </w:r>
    </w:p>
    <w:p w14:paraId="0AD36AC2">
      <w:pPr>
        <w:spacing w:line="360" w:lineRule="auto"/>
        <w:jc w:val="left"/>
        <w:rPr>
          <w:rFonts w:ascii="宋体" w:hAnsi="宋体" w:cs="宋体"/>
          <w:b/>
          <w:bCs/>
          <w:sz w:val="24"/>
          <w:highlight w:val="none"/>
        </w:rPr>
      </w:pPr>
      <w:r>
        <w:rPr>
          <w:rFonts w:hint="eastAsia" w:ascii="宋体" w:hAnsi="宋体" w:cs="宋体"/>
          <w:b/>
          <w:bCs/>
          <w:sz w:val="24"/>
          <w:highlight w:val="none"/>
        </w:rPr>
        <w:t>二、维保内容及规范要求</w:t>
      </w:r>
    </w:p>
    <w:p w14:paraId="3B437DD5">
      <w:pPr>
        <w:spacing w:line="360" w:lineRule="auto"/>
        <w:ind w:firstLine="420"/>
        <w:rPr>
          <w:rFonts w:hint="eastAsia" w:ascii="宋体" w:hAnsi="宋体" w:eastAsia="宋体" w:cs="Times New Roman"/>
          <w:b/>
          <w:bCs/>
          <w:sz w:val="24"/>
          <w:szCs w:val="24"/>
          <w:highlight w:val="none"/>
          <w:shd w:val="clear" w:color="auto" w:fill="FFFFFF"/>
        </w:rPr>
      </w:pPr>
      <w:r>
        <w:rPr>
          <w:rFonts w:hint="eastAsia" w:ascii="宋体" w:hAnsi="宋体" w:eastAsia="宋体" w:cs="Times New Roman"/>
          <w:b/>
          <w:bCs/>
          <w:sz w:val="24"/>
          <w:szCs w:val="24"/>
          <w:highlight w:val="none"/>
          <w:shd w:val="clear" w:color="auto" w:fill="FFFFFF"/>
        </w:rPr>
        <w:t>1、维保范围和期限</w:t>
      </w:r>
    </w:p>
    <w:p w14:paraId="08198ABC">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（1）本项目：医保业务信息系统省端维保项目，预算</w:t>
      </w:r>
      <w:r>
        <w:rPr>
          <w:rFonts w:hint="eastAsia" w:ascii="宋体" w:hAnsi="宋体" w:eastAsia="宋体" w:cs="宋体"/>
          <w:sz w:val="24"/>
          <w:highlight w:val="none"/>
          <w:lang w:val="en-US" w:eastAsia="zh-CN"/>
        </w:rPr>
        <w:t>102</w:t>
      </w:r>
      <w:r>
        <w:rPr>
          <w:rFonts w:hint="eastAsia" w:ascii="宋体" w:hAnsi="宋体" w:eastAsia="宋体" w:cs="宋体"/>
          <w:sz w:val="24"/>
          <w:highlight w:val="none"/>
        </w:rPr>
        <w:t>万。</w:t>
      </w:r>
    </w:p>
    <w:p w14:paraId="2ABE7DC3">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（2）按照运维服务要求现场派驻软件技术人员，日常驻场人数至少</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人，另外</w:t>
      </w:r>
      <w:r>
        <w:rPr>
          <w:rFonts w:hint="eastAsia" w:ascii="宋体" w:hAnsi="宋体" w:eastAsia="宋体" w:cs="宋体"/>
          <w:sz w:val="24"/>
          <w:highlight w:val="none"/>
          <w:lang w:val="en-US" w:eastAsia="zh-CN"/>
        </w:rPr>
        <w:t>安排3</w:t>
      </w:r>
      <w:r>
        <w:rPr>
          <w:rFonts w:hint="eastAsia" w:ascii="宋体" w:hAnsi="宋体" w:eastAsia="宋体" w:cs="宋体"/>
          <w:sz w:val="24"/>
          <w:highlight w:val="none"/>
          <w:lang w:eastAsia="zh-CN"/>
        </w:rPr>
        <w:t>人按需提供现场</w:t>
      </w:r>
      <w:r>
        <w:rPr>
          <w:rFonts w:hint="eastAsia" w:ascii="宋体" w:hAnsi="宋体" w:eastAsia="宋体" w:cs="宋体"/>
          <w:sz w:val="24"/>
          <w:highlight w:val="none"/>
          <w:lang w:val="en-US" w:eastAsia="zh-CN"/>
        </w:rPr>
        <w:t>或远程支持</w:t>
      </w:r>
      <w:r>
        <w:rPr>
          <w:rFonts w:hint="eastAsia" w:ascii="宋体" w:hAnsi="宋体" w:eastAsia="宋体" w:cs="宋体"/>
          <w:sz w:val="24"/>
          <w:highlight w:val="none"/>
          <w:lang w:eastAsia="zh-CN"/>
        </w:rPr>
        <w:t>服务；</w:t>
      </w:r>
    </w:p>
    <w:p w14:paraId="260BE267">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（3）本次软件运维服务期12个月，</w:t>
      </w:r>
      <w:r>
        <w:rPr>
          <w:rFonts w:hint="eastAsia" w:ascii="宋体" w:hAnsi="宋体" w:cs="宋体"/>
          <w:sz w:val="24"/>
          <w:highlight w:val="none"/>
          <w:lang w:val="en-US" w:eastAsia="zh-CN"/>
        </w:rPr>
        <w:t>具体时间由甲方确认</w:t>
      </w:r>
      <w:r>
        <w:rPr>
          <w:rFonts w:hint="eastAsia" w:ascii="宋体" w:hAnsi="宋体" w:eastAsia="宋体" w:cs="宋体"/>
          <w:sz w:val="24"/>
          <w:highlight w:val="none"/>
          <w:lang w:eastAsia="zh-CN"/>
        </w:rPr>
        <w:t>。</w:t>
      </w:r>
    </w:p>
    <w:p w14:paraId="17148C59">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（4）镇江市医疗保障局将根据合同的执行情况及服务质量考核情况（服务质量考核办法见第六条）进行年度服务费用的支付。</w:t>
      </w:r>
    </w:p>
    <w:p w14:paraId="443A83B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包括目前省医保</w:t>
      </w:r>
      <w:r>
        <w:rPr>
          <w:rFonts w:hint="eastAsia" w:ascii="宋体" w:hAnsi="宋体" w:eastAsia="宋体" w:cs="宋体"/>
          <w:sz w:val="24"/>
          <w:highlight w:val="none"/>
          <w:lang w:val="en-US" w:eastAsia="zh-CN"/>
        </w:rPr>
        <w:t>布置</w:t>
      </w:r>
      <w:r>
        <w:rPr>
          <w:rFonts w:hint="eastAsia" w:ascii="宋体" w:hAnsi="宋体" w:eastAsia="宋体" w:cs="宋体"/>
          <w:sz w:val="24"/>
          <w:highlight w:val="none"/>
          <w:lang w:eastAsia="zh-CN"/>
        </w:rPr>
        <w:t>的相关系统功能优化和完善，“完善性”功能调整是指单项业务发起的功能改造，工作量不超过7个工作人日，工作量由双方评审确定。因镇江市医疗保障局业务开展需要产生的外部机构接口新增或调整、业务升级和整合的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均包含在本次服务外包范围内（不包含系统核心平台版本重大升级、重大机构组织调整、重大政策改革、非业务性的系统新增），运维和调整过程中产出的各类软件文档、软件源代码、设计方案的知识产权归镇江市医疗保障局，在交付时以纸介质和电子介质两种形式提交给镇江市医疗保障局。</w:t>
      </w:r>
    </w:p>
    <w:p w14:paraId="5E5EF2F6">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（一）省系统平台维护</w:t>
      </w:r>
    </w:p>
    <w:p w14:paraId="7834D7FE">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对“镇江市医疗保障信息平台”、网上服务大厅、江苏医保云APP、医保移动支付平台、医保处方流转平台、医保自助服务终端对接对接及两定联网接口服务等省端应用服务进行日常状态监控。主要包括各项服务的运行状态检查、故障分析、问题提交、结果反馈等事宜。</w:t>
      </w:r>
    </w:p>
    <w:p w14:paraId="36C4CB79">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镇江市医疗保障信息平台”、网上服务大厅、江苏医保云APP、医保移动支付平台、医保处方流转平台、医保自助服务终端对接对接及两定联网接口服务等省端应用系统的版本发布和更新工作，并完成系统版本更新自测工作。</w:t>
      </w:r>
    </w:p>
    <w:p w14:paraId="53BB4E17">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省系统数据库服务器软件维护和硬件运行状态的监控：主要包括数据库系统的安装、调试，运行状态监控、有关系统数据库的巡检、调优、有关代码检测、故障分析、判断、排除以及协调数据库及服务器的维保等事宜。</w:t>
      </w:r>
    </w:p>
    <w:p w14:paraId="05C14339">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提供数据库急救服务，对数据库紧急故障，在通过电话、远程诊断的同时及时派遣专职工程师联系本地运维工程师解决实际问题，协助数据库备份软件供应商对数据库因数据灾难或数据丢失进行数据恢复服务。</w:t>
      </w:r>
    </w:p>
    <w:p w14:paraId="1C292DC3">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（5）省系统平台的安全运维，及时升级所用系统软件补丁等，驻场工程师严格遵守医保局制定的信息系统安全运维制度。</w:t>
      </w:r>
    </w:p>
    <w:p w14:paraId="39E494E4">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（6）根据业务部门和相关医保政策法规要求，调整镇江市医疗保障信息平台相关征缴规则及其他系统相关业务参数。</w:t>
      </w:r>
    </w:p>
    <w:p w14:paraId="75BC3A82">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（二）省系统</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工作</w:t>
      </w:r>
    </w:p>
    <w:p w14:paraId="6F94E8D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全省统一执行的各项政策需求调整工作，涉及到的“镇江市医疗保障信息平台”、网上服务大厅、江苏医保云APP、医保移动支付平台、医保处方流转平台、医保自助服务终端对接对接及两定联网接口服务等省端应用系统的改造类工作。</w:t>
      </w:r>
    </w:p>
    <w:p w14:paraId="013B6E76">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（2）镇江市本地与省平台差异性需求，涉及到的网上服务大厅、江苏医保云APP、医保移动支付平台、医保处方流转平台、医保自助服务终端对接对接及两定联网接口服务等省端应用系统的改造类工作。</w:t>
      </w:r>
    </w:p>
    <w:p w14:paraId="008E1FE0">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（3）现有系统各项功能模块的优化完善与扩充。现有业务框架下的业务调整、流程优化，以及不影响现有架构前提下的功能补充、修改；及时处理涉及应用软件的相关改善与优化；优化及安全审计等。</w:t>
      </w:r>
    </w:p>
    <w:p w14:paraId="07D9D729">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（4）省端软件应用系统故障类问题的及时修正及反馈。</w:t>
      </w:r>
    </w:p>
    <w:p w14:paraId="18DB2895">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（三）地市运维问题解答及指导</w:t>
      </w:r>
    </w:p>
    <w:p w14:paraId="52D2F895">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对地市业务人员及本地项目组反馈的省系统各类问题进行及时沟通及解答；省厅下达的各项工作及时进行工作内容说明及处理方式的指导。</w:t>
      </w:r>
    </w:p>
    <w:p w14:paraId="471C934F">
      <w:pPr>
        <w:spacing w:line="360" w:lineRule="auto"/>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三、维保的规范要求及考核办法</w:t>
      </w:r>
    </w:p>
    <w:p w14:paraId="5B2CCB42">
      <w:pPr>
        <w:spacing w:line="360" w:lineRule="auto"/>
        <w:ind w:firstLine="482" w:firstLineChars="200"/>
        <w:jc w:val="lef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1、软件服务规范要求</w:t>
      </w:r>
    </w:p>
    <w:p w14:paraId="5C6B2771">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（一）</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须按软件项目</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的实际需要组织后台</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人员,现场技术人员与后端支持按照</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和维护服务要求配置资源，主要</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人员要备份机制，防止人员变动影响服务质量，确保软件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和维护工作按计划顺利完成；现场维护人员需经</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同意后方可发生变动，包含请假外出。</w:t>
      </w:r>
    </w:p>
    <w:p w14:paraId="21439F2F">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二）对于镇江市医疗保障局提出的业务性应用软件升级需求，由成交供应商现场工程师与镇江市医疗保障局业务部门进行沟通，了解镇江市医疗保障局业务部门对应用软件的升级需求，形成需求文档，经镇江市医疗保障局信息管理部门和业务部门确认后，按双方商定的</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进度进行</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和实施。</w:t>
      </w:r>
    </w:p>
    <w:p w14:paraId="54EB38CE">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（三）对于修改或新上的模块要求严格规范的测试，应进行穷举所有程序路径的全面自动化回归测试，将重大隐患、BUG消灭在上线前。所有维护项目相关的代码应及时更新到本地代码服务器。</w:t>
      </w:r>
    </w:p>
    <w:p w14:paraId="09494BF7">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（四）完成升级需求后，需经医保局相关负责人确认。软件版本的升级原则上应安排在非工作时间。</w:t>
      </w:r>
    </w:p>
    <w:p w14:paraId="36EC27FD">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（五）软件升级完成，并运行稳定两周（以封版时间为准）后，向镇江市医疗保障局提供相关技术文档，并及时组织对技术人员的培训工作。</w:t>
      </w:r>
    </w:p>
    <w:p w14:paraId="299EF2E1">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（六）软件升级完善遇到不能按时完成等重大问题时，成交供应商须提前提出，双方协商解决。</w:t>
      </w:r>
    </w:p>
    <w:p w14:paraId="2239023F">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（七）成交供应商需提供书面材料配合镇江市医疗保障局进行需求确认、测试、上线、验收、变更等环节的流转、留存。</w:t>
      </w:r>
    </w:p>
    <w:p w14:paraId="3673AD4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（八）省系统运维成交供应商须设立专门技术对接人员，对镇江本地运维提出的技术问题及时响应，并提供工作留痕和规范答复。</w:t>
      </w:r>
    </w:p>
    <w:p w14:paraId="38E0591E">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（九）成交供应商在项目维护过程中，若出现相应数据安全事故、以及维护代码错误等情况给</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带来经济损失和造成安全事故，需全额赔偿相关经济损失和承担有关法律责任。</w:t>
      </w:r>
    </w:p>
    <w:p w14:paraId="64660DDC">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（十）项目质量管理要求。成交供应商必须按照软件质量管理和质量保证体系，提出具体措施，确保在维保器件应用软件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质量。符合国家标准有关软件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技术规范、软件文档管理和软件验收标准的要求。具体参考标准：</w:t>
      </w:r>
    </w:p>
    <w:p w14:paraId="0436A480">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eastAsia="zh-CN"/>
        </w:rPr>
        <w:t>）GB9385-88* 计算机软件需求说明编制指南；</w:t>
      </w:r>
    </w:p>
    <w:p w14:paraId="438411D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eastAsia="zh-CN"/>
        </w:rPr>
        <w:t>）GB9386-88* 计算机软件测试文件编制规范；</w:t>
      </w:r>
    </w:p>
    <w:p w14:paraId="6FEFCDD3">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eastAsia="zh-CN"/>
        </w:rPr>
        <w:t>）GB/T 12504-90 计算机软件质量保证计划规范；</w:t>
      </w:r>
    </w:p>
    <w:p w14:paraId="264A4BA7">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eastAsia="zh-CN"/>
        </w:rPr>
        <w:t>）其他相关的计算机软件工程规范国家标准；</w:t>
      </w:r>
    </w:p>
    <w:p w14:paraId="2D886451">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eastAsia="zh-CN"/>
        </w:rPr>
        <w:t>）其它公认的相关的中国国家标准；</w:t>
      </w:r>
    </w:p>
    <w:p w14:paraId="199C9FDF">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十一）安全性要求。遵循国家和省市有关计算机信息系统的安全保密规定，同步实施系统的安全保密体系，以确保数据的保密、完整、可用，确保系统的安全、可靠、稳定和实用。维护系统数据安全，接触的用户口令、敏感信息负有保密义务，若有泄密，将依法追究相关法律责任。确保内外网建设内容符合信息安全等级保护“三级”的要求。</w:t>
      </w:r>
    </w:p>
    <w:p w14:paraId="34BD1C5A">
      <w:pPr>
        <w:spacing w:line="360" w:lineRule="auto"/>
        <w:ind w:firstLine="482" w:firstLineChars="200"/>
        <w:jc w:val="lef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2、现场服务制度要求</w:t>
      </w:r>
    </w:p>
    <w:p w14:paraId="57F7AF06">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（1）在本合同期限内，</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派驻相关医保行业系统经验的工程师常驻现场，由镇江市医疗保障局统一安排其服务工作任务；现场项目经理牵头协调与</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的相关事宜，确保整个系统高效、安全、稳定的运行，同时负责协调与</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的商务、技术、人员安排、项目管理及进度控制等事宜。在此基础上，</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还将按需指派后台</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人员负责镇江市医疗保障局应用软件的升级，对于镇江市医疗保障局提出的业务性修改、升级需求，由</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现场工程师进行需求调研，形成需求分析报告，经甲乙双方签字确认后，由</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人员按双方商定的</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进度进行</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和实施；</w:t>
      </w:r>
    </w:p>
    <w:p w14:paraId="2BF4DE80">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（2）定期召开例会，给医保局相关负责人员以文档形式定期上报总结软件服务工作、存在问题及下周工作安排（执行过程中可按</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 xml:space="preserve">需要及时、适当地调整例会频次与方式）、需要协调内容； </w:t>
      </w:r>
    </w:p>
    <w:p w14:paraId="7C5696DA">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现场服务人员的变动，需提前一个月向医保局提出书面申请，经医保局负责人同意后方可安排相应的工作交接，在工作交接完毕后医保局检查、认可后</w:t>
      </w:r>
      <w:r>
        <w:rPr>
          <w:rFonts w:hint="eastAsia" w:ascii="宋体" w:hAnsi="宋体" w:eastAsia="宋体" w:cs="宋体"/>
          <w:b w:val="0"/>
          <w:bCs w:val="0"/>
          <w:sz w:val="24"/>
          <w:highlight w:val="none"/>
          <w:lang w:val="en-US" w:eastAsia="zh-CN"/>
        </w:rPr>
        <w:t>供应商</w:t>
      </w:r>
      <w:r>
        <w:rPr>
          <w:rFonts w:hint="eastAsia" w:ascii="宋体" w:hAnsi="宋体" w:eastAsia="宋体" w:cs="宋体"/>
          <w:sz w:val="24"/>
          <w:highlight w:val="none"/>
          <w:lang w:eastAsia="zh-CN"/>
        </w:rPr>
        <w:t>相关人员方可离场。另外，医保局有权要求对不合格工程师进行调整与置换；</w:t>
      </w:r>
    </w:p>
    <w:p w14:paraId="23D2C0B3">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现场人员必须遵守医保局的管理规章制度，应严格遵守作息时间；在关键时刻如重大事件期间、软件升级期等，应按</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要求加班，及时解决出现问题；</w:t>
      </w:r>
    </w:p>
    <w:p w14:paraId="4FDFDDED">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（5）成交供应商须做出无推诿承诺。即</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应提供特殊措施，无论由于哪一方产生的问题而使系统发生不正常情况时，并在得到</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或系统集成商通知后，须立即派工程师响应，全力协助</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和其他</w:t>
      </w:r>
      <w:r>
        <w:rPr>
          <w:rFonts w:hint="eastAsia" w:ascii="宋体" w:hAnsi="宋体" w:eastAsia="宋体" w:cs="宋体"/>
          <w:sz w:val="24"/>
          <w:highlight w:val="none"/>
          <w:lang w:val="en-US" w:eastAsia="zh-CN"/>
        </w:rPr>
        <w:t>单位</w:t>
      </w:r>
      <w:r>
        <w:rPr>
          <w:rFonts w:hint="eastAsia" w:ascii="宋体" w:hAnsi="宋体" w:eastAsia="宋体" w:cs="宋体"/>
          <w:sz w:val="24"/>
          <w:highlight w:val="none"/>
          <w:lang w:eastAsia="zh-CN"/>
        </w:rPr>
        <w:t>，使系统尽快恢复正常。</w:t>
      </w:r>
    </w:p>
    <w:p w14:paraId="6150CB65">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（6）为了保证及时快速地响应服务请求，维护工作小组为用户提供5×8小时日常工作时间服务；</w:t>
      </w:r>
      <w:r>
        <w:rPr>
          <w:rFonts w:hint="eastAsia" w:ascii="宋体" w:hAnsi="宋体" w:eastAsia="宋体" w:cs="宋体"/>
          <w:sz w:val="24"/>
          <w:highlight w:val="none"/>
          <w:lang w:val="en-US" w:eastAsia="zh-CN"/>
        </w:rPr>
        <w:t>发生</w:t>
      </w:r>
      <w:r>
        <w:rPr>
          <w:rFonts w:hint="eastAsia" w:ascii="宋体" w:hAnsi="宋体" w:eastAsia="宋体" w:cs="宋体"/>
          <w:sz w:val="24"/>
          <w:highlight w:val="none"/>
          <w:lang w:eastAsia="zh-CN"/>
        </w:rPr>
        <w:t>重大问题必须0.5个工作日内做出故障诊断报告和48小时的故障修复。如遇到疑难问题，必须指派具有解决故障能力的工程师并在与</w:t>
      </w:r>
      <w:r>
        <w:rPr>
          <w:rFonts w:hint="eastAsia" w:ascii="宋体" w:hAnsi="宋体" w:eastAsia="宋体" w:cs="宋体"/>
          <w:sz w:val="24"/>
          <w:highlight w:val="none"/>
          <w:lang w:val="en-US" w:eastAsia="zh-CN"/>
        </w:rPr>
        <w:t>采购人</w:t>
      </w:r>
      <w:r>
        <w:rPr>
          <w:rFonts w:hint="eastAsia" w:ascii="宋体" w:hAnsi="宋体" w:eastAsia="宋体" w:cs="宋体"/>
          <w:sz w:val="24"/>
          <w:highlight w:val="none"/>
          <w:lang w:eastAsia="zh-CN"/>
        </w:rPr>
        <w:t>沟通后，解决问题排除故障。</w:t>
      </w:r>
    </w:p>
    <w:p w14:paraId="58679374">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（7）重大节假日</w:t>
      </w:r>
      <w:r>
        <w:rPr>
          <w:rFonts w:hint="eastAsia" w:ascii="宋体" w:hAnsi="宋体" w:eastAsia="宋体" w:cs="宋体"/>
          <w:sz w:val="24"/>
          <w:highlight w:val="none"/>
          <w:lang w:val="en-US" w:eastAsia="zh-CN"/>
        </w:rPr>
        <w:t>供应商</w:t>
      </w:r>
      <w:r>
        <w:rPr>
          <w:rFonts w:hint="eastAsia" w:ascii="宋体" w:hAnsi="宋体" w:eastAsia="宋体" w:cs="宋体"/>
          <w:sz w:val="24"/>
          <w:highlight w:val="none"/>
          <w:lang w:eastAsia="zh-CN"/>
        </w:rPr>
        <w:t>须提供值班人员名单及联系方式。</w:t>
      </w:r>
    </w:p>
    <w:p w14:paraId="7620B6C8">
      <w:pPr>
        <w:spacing w:line="360" w:lineRule="auto"/>
        <w:ind w:firstLine="482" w:firstLineChars="200"/>
        <w:jc w:val="lef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3、培训要求</w:t>
      </w:r>
    </w:p>
    <w:p w14:paraId="348E222A">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（1）供应商应根据业务工作需要，对镇江市医疗保障局应用软件操作人员进行免费培训，并提交掌握系统操作所需要的培训资料；</w:t>
      </w:r>
    </w:p>
    <w:p w14:paraId="7286B127">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（2）供应商应会对技术应用和软件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，对医保局技术人员进行相关技术培训，帮其熟悉软件各项功能及日常处理办法，并掌握必要的软件维护技术，具体培训方式与培训时间可与医保局商定；</w:t>
      </w:r>
    </w:p>
    <w:p w14:paraId="4614B6C4">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（3）供应商定期组织镇江市医疗保障局业务人员、技术人员与软件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人员之间的技术、业务交流活动。</w:t>
      </w:r>
    </w:p>
    <w:p w14:paraId="6E88EF9A">
      <w:pPr>
        <w:spacing w:line="360" w:lineRule="auto"/>
        <w:ind w:firstLine="482" w:firstLineChars="200"/>
        <w:jc w:val="left"/>
        <w:rPr>
          <w:rFonts w:hint="eastAsia" w:ascii="宋体" w:hAnsi="宋体" w:eastAsia="宋体" w:cs="宋体"/>
          <w:b/>
          <w:bCs/>
          <w:sz w:val="24"/>
          <w:highlight w:val="none"/>
          <w:lang w:eastAsia="zh-CN"/>
        </w:rPr>
      </w:pPr>
      <w:r>
        <w:rPr>
          <w:rFonts w:hint="eastAsia" w:ascii="宋体" w:hAnsi="宋体" w:eastAsia="宋体" w:cs="宋体"/>
          <w:b/>
          <w:bCs/>
          <w:sz w:val="24"/>
          <w:highlight w:val="none"/>
          <w:lang w:eastAsia="zh-CN"/>
        </w:rPr>
        <w:t>4、服务质量考核办法</w:t>
      </w:r>
    </w:p>
    <w:p w14:paraId="7D6A6D74">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合同签订后供应商按照承诺安排现场软件维护服务人员进驻现场，约定以一年度为服务质量考核周期,由医保局组织相关部门进行总结评分，该评分作为年度软件服务外包质量考核的重要组成部分。具体评分制度为：</w:t>
      </w:r>
    </w:p>
    <w:p w14:paraId="56F91C86">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a、评分采用百分制，满分为100分</w:t>
      </w:r>
    </w:p>
    <w:p w14:paraId="67329FD6">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b、在服务周期结束后从几个角度进行评分（加分或扣分），具体如下表：</w:t>
      </w:r>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5"/>
        <w:gridCol w:w="774"/>
        <w:gridCol w:w="1077"/>
        <w:gridCol w:w="652"/>
        <w:gridCol w:w="889"/>
        <w:gridCol w:w="769"/>
        <w:gridCol w:w="2377"/>
        <w:gridCol w:w="933"/>
      </w:tblGrid>
      <w:tr w14:paraId="2FF7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02" w:type="pct"/>
            <w:gridSpan w:val="2"/>
            <w:noWrap w:val="0"/>
            <w:vAlign w:val="center"/>
          </w:tcPr>
          <w:p w14:paraId="1FDD6BF8">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服务年度内</w:t>
            </w:r>
          </w:p>
          <w:p w14:paraId="68785933">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计划内达成率(%)</w:t>
            </w:r>
          </w:p>
        </w:tc>
        <w:tc>
          <w:tcPr>
            <w:tcW w:w="981" w:type="pct"/>
            <w:gridSpan w:val="2"/>
            <w:noWrap w:val="0"/>
            <w:vAlign w:val="center"/>
          </w:tcPr>
          <w:p w14:paraId="406E4228">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特别关注类问题延期时间（天）</w:t>
            </w:r>
          </w:p>
        </w:tc>
        <w:tc>
          <w:tcPr>
            <w:tcW w:w="940" w:type="pct"/>
            <w:gridSpan w:val="2"/>
            <w:noWrap w:val="0"/>
            <w:vAlign w:val="center"/>
          </w:tcPr>
          <w:p w14:paraId="5E15C153">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医保局整体满意度</w:t>
            </w:r>
          </w:p>
        </w:tc>
        <w:tc>
          <w:tcPr>
            <w:tcW w:w="1877" w:type="pct"/>
            <w:gridSpan w:val="2"/>
            <w:noWrap w:val="0"/>
            <w:vAlign w:val="center"/>
          </w:tcPr>
          <w:p w14:paraId="5734CA11">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其他</w:t>
            </w:r>
          </w:p>
        </w:tc>
      </w:tr>
      <w:tr w14:paraId="3725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40E46DF9">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达成率水平</w:t>
            </w:r>
          </w:p>
        </w:tc>
        <w:tc>
          <w:tcPr>
            <w:tcW w:w="439" w:type="pct"/>
            <w:noWrap w:val="0"/>
            <w:vAlign w:val="center"/>
          </w:tcPr>
          <w:p w14:paraId="7D529E36">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评分</w:t>
            </w:r>
          </w:p>
          <w:p w14:paraId="5F1CF969">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标准</w:t>
            </w:r>
          </w:p>
        </w:tc>
        <w:tc>
          <w:tcPr>
            <w:tcW w:w="611" w:type="pct"/>
            <w:noWrap w:val="0"/>
            <w:vAlign w:val="center"/>
          </w:tcPr>
          <w:p w14:paraId="0C0948EB">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延期程度</w:t>
            </w:r>
          </w:p>
        </w:tc>
        <w:tc>
          <w:tcPr>
            <w:tcW w:w="370" w:type="pct"/>
            <w:noWrap w:val="0"/>
            <w:vAlign w:val="center"/>
          </w:tcPr>
          <w:p w14:paraId="423ED953">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评分标准</w:t>
            </w:r>
          </w:p>
        </w:tc>
        <w:tc>
          <w:tcPr>
            <w:tcW w:w="504" w:type="pct"/>
            <w:noWrap w:val="0"/>
            <w:vAlign w:val="center"/>
          </w:tcPr>
          <w:p w14:paraId="539B2BF5">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成效</w:t>
            </w:r>
          </w:p>
        </w:tc>
        <w:tc>
          <w:tcPr>
            <w:tcW w:w="436" w:type="pct"/>
            <w:noWrap w:val="0"/>
            <w:vAlign w:val="center"/>
          </w:tcPr>
          <w:p w14:paraId="1AA8DB00">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评分标准</w:t>
            </w:r>
          </w:p>
        </w:tc>
        <w:tc>
          <w:tcPr>
            <w:tcW w:w="1348" w:type="pct"/>
            <w:noWrap w:val="0"/>
            <w:vAlign w:val="center"/>
          </w:tcPr>
          <w:p w14:paraId="3977F951">
            <w:pPr>
              <w:pStyle w:val="299"/>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其他</w:t>
            </w:r>
          </w:p>
        </w:tc>
        <w:tc>
          <w:tcPr>
            <w:tcW w:w="529" w:type="pct"/>
            <w:noWrap w:val="0"/>
            <w:vAlign w:val="center"/>
          </w:tcPr>
          <w:p w14:paraId="2AF62F12">
            <w:pPr>
              <w:pStyle w:val="299"/>
              <w:keepNext w:val="0"/>
              <w:keepLines w:val="0"/>
              <w:pageBreakBefore w:val="0"/>
              <w:widowControl w:val="0"/>
              <w:kinsoku/>
              <w:wordWrap/>
              <w:overflowPunct/>
              <w:topLinePunct w:val="0"/>
              <w:autoSpaceDE/>
              <w:autoSpaceDN/>
              <w:bidi w:val="0"/>
              <w:adjustRightInd/>
              <w:snapToGrid/>
              <w:spacing w:line="240" w:lineRule="auto"/>
              <w:ind w:left="0" w:firstLine="0" w:firstLineChars="0"/>
              <w:jc w:val="center"/>
              <w:textAlignment w:val="auto"/>
              <w:rPr>
                <w:rFonts w:hint="eastAsia" w:asciiTheme="minorEastAsia" w:hAnsiTheme="minorEastAsia" w:eastAsiaTheme="minorEastAsia" w:cstheme="minorEastAsia"/>
                <w:b/>
                <w:kern w:val="2"/>
                <w:sz w:val="21"/>
                <w:szCs w:val="21"/>
                <w:highlight w:val="none"/>
                <w:lang w:eastAsia="zh-CN"/>
              </w:rPr>
            </w:pPr>
            <w:r>
              <w:rPr>
                <w:rFonts w:hint="eastAsia" w:asciiTheme="minorEastAsia" w:hAnsiTheme="minorEastAsia" w:eastAsiaTheme="minorEastAsia" w:cstheme="minorEastAsia"/>
                <w:b/>
                <w:kern w:val="2"/>
                <w:sz w:val="21"/>
                <w:szCs w:val="21"/>
                <w:highlight w:val="none"/>
                <w:lang w:eastAsia="zh-CN"/>
              </w:rPr>
              <w:t>评分标准</w:t>
            </w:r>
          </w:p>
        </w:tc>
      </w:tr>
      <w:tr w14:paraId="0D52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25340CF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达成率≥95%</w:t>
            </w:r>
          </w:p>
        </w:tc>
        <w:tc>
          <w:tcPr>
            <w:tcW w:w="439" w:type="pct"/>
            <w:noWrap w:val="0"/>
            <w:vAlign w:val="center"/>
          </w:tcPr>
          <w:p w14:paraId="4809D51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611" w:type="pct"/>
            <w:noWrap w:val="0"/>
            <w:vAlign w:val="center"/>
          </w:tcPr>
          <w:p w14:paraId="6D54954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10≥延期&gt;0</w:t>
            </w:r>
          </w:p>
        </w:tc>
        <w:tc>
          <w:tcPr>
            <w:tcW w:w="370" w:type="pct"/>
            <w:noWrap w:val="0"/>
            <w:vAlign w:val="center"/>
          </w:tcPr>
          <w:p w14:paraId="43232C0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p>
        </w:tc>
        <w:tc>
          <w:tcPr>
            <w:tcW w:w="504" w:type="pct"/>
            <w:noWrap w:val="0"/>
            <w:vAlign w:val="center"/>
          </w:tcPr>
          <w:p w14:paraId="05686BE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好</w:t>
            </w:r>
          </w:p>
        </w:tc>
        <w:tc>
          <w:tcPr>
            <w:tcW w:w="436" w:type="pct"/>
            <w:noWrap w:val="0"/>
            <w:vAlign w:val="center"/>
          </w:tcPr>
          <w:p w14:paraId="4AEB658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w:t>
            </w:r>
          </w:p>
        </w:tc>
        <w:tc>
          <w:tcPr>
            <w:tcW w:w="1348" w:type="pct"/>
            <w:noWrap w:val="0"/>
            <w:vAlign w:val="center"/>
          </w:tcPr>
          <w:p w14:paraId="7FC9949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用户投诉次数</w:t>
            </w:r>
          </w:p>
        </w:tc>
        <w:tc>
          <w:tcPr>
            <w:tcW w:w="529" w:type="pct"/>
            <w:noWrap w:val="0"/>
            <w:vAlign w:val="center"/>
          </w:tcPr>
          <w:p w14:paraId="3C08A72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-1/次</w:t>
            </w:r>
          </w:p>
        </w:tc>
      </w:tr>
      <w:tr w14:paraId="25274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5ACD094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95%&gt;达成率≥80%</w:t>
            </w:r>
          </w:p>
        </w:tc>
        <w:tc>
          <w:tcPr>
            <w:tcW w:w="439" w:type="pct"/>
            <w:noWrap w:val="0"/>
            <w:vAlign w:val="center"/>
          </w:tcPr>
          <w:p w14:paraId="3EA6794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0</w:t>
            </w:r>
          </w:p>
        </w:tc>
        <w:tc>
          <w:tcPr>
            <w:tcW w:w="611" w:type="pct"/>
            <w:noWrap w:val="0"/>
            <w:vAlign w:val="center"/>
          </w:tcPr>
          <w:p w14:paraId="30916AB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20≥延期&gt;10</w:t>
            </w:r>
          </w:p>
        </w:tc>
        <w:tc>
          <w:tcPr>
            <w:tcW w:w="370" w:type="pct"/>
            <w:noWrap w:val="0"/>
            <w:vAlign w:val="center"/>
          </w:tcPr>
          <w:p w14:paraId="6FE0E664">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504" w:type="pct"/>
            <w:noWrap w:val="0"/>
            <w:vAlign w:val="center"/>
          </w:tcPr>
          <w:p w14:paraId="619D8F7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一般</w:t>
            </w:r>
          </w:p>
        </w:tc>
        <w:tc>
          <w:tcPr>
            <w:tcW w:w="436" w:type="pct"/>
            <w:noWrap w:val="0"/>
            <w:vAlign w:val="center"/>
          </w:tcPr>
          <w:p w14:paraId="4C01F71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1348" w:type="pct"/>
            <w:noWrap w:val="0"/>
            <w:vAlign w:val="center"/>
          </w:tcPr>
          <w:p w14:paraId="3CCE30A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有效解决投诉</w:t>
            </w:r>
          </w:p>
        </w:tc>
        <w:tc>
          <w:tcPr>
            <w:tcW w:w="529" w:type="pct"/>
            <w:noWrap w:val="0"/>
            <w:vAlign w:val="center"/>
          </w:tcPr>
          <w:p w14:paraId="61AD71D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+0.5/次</w:t>
            </w:r>
          </w:p>
        </w:tc>
      </w:tr>
      <w:tr w14:paraId="5F7AD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2B7C91F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80%&gt;达成率≥70%</w:t>
            </w:r>
          </w:p>
        </w:tc>
        <w:tc>
          <w:tcPr>
            <w:tcW w:w="439" w:type="pct"/>
            <w:noWrap w:val="0"/>
            <w:vAlign w:val="center"/>
          </w:tcPr>
          <w:p w14:paraId="0DE8568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611" w:type="pct"/>
            <w:noWrap w:val="0"/>
            <w:vAlign w:val="center"/>
          </w:tcPr>
          <w:p w14:paraId="502FDBB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30≥延期&gt;20</w:t>
            </w:r>
          </w:p>
        </w:tc>
        <w:tc>
          <w:tcPr>
            <w:tcW w:w="370" w:type="pct"/>
            <w:noWrap w:val="0"/>
            <w:vAlign w:val="center"/>
          </w:tcPr>
          <w:p w14:paraId="1910EEB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p>
        </w:tc>
        <w:tc>
          <w:tcPr>
            <w:tcW w:w="504" w:type="pct"/>
            <w:noWrap w:val="0"/>
            <w:vAlign w:val="center"/>
          </w:tcPr>
          <w:p w14:paraId="69656AF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差</w:t>
            </w:r>
          </w:p>
        </w:tc>
        <w:tc>
          <w:tcPr>
            <w:tcW w:w="436" w:type="pct"/>
            <w:noWrap w:val="0"/>
            <w:vAlign w:val="center"/>
          </w:tcPr>
          <w:p w14:paraId="3366CB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p>
        </w:tc>
        <w:tc>
          <w:tcPr>
            <w:tcW w:w="1348" w:type="pct"/>
            <w:noWrap w:val="0"/>
            <w:vAlign w:val="center"/>
          </w:tcPr>
          <w:p w14:paraId="2F857EA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软件质量问题造成危害</w:t>
            </w:r>
          </w:p>
        </w:tc>
        <w:tc>
          <w:tcPr>
            <w:tcW w:w="529" w:type="pct"/>
            <w:noWrap w:val="0"/>
            <w:vAlign w:val="center"/>
          </w:tcPr>
          <w:p w14:paraId="6B28A7F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-5/次</w:t>
            </w:r>
          </w:p>
        </w:tc>
      </w:tr>
      <w:tr w14:paraId="7CA21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395DF1B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70%&gt;达成率≥60%</w:t>
            </w:r>
          </w:p>
        </w:tc>
        <w:tc>
          <w:tcPr>
            <w:tcW w:w="439" w:type="pct"/>
            <w:noWrap w:val="0"/>
            <w:vAlign w:val="center"/>
          </w:tcPr>
          <w:p w14:paraId="5F58B0A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611" w:type="pct"/>
            <w:noWrap w:val="0"/>
            <w:vAlign w:val="center"/>
          </w:tcPr>
          <w:p w14:paraId="130AF9A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60≥延期&gt;30</w:t>
            </w:r>
          </w:p>
        </w:tc>
        <w:tc>
          <w:tcPr>
            <w:tcW w:w="370" w:type="pct"/>
            <w:noWrap w:val="0"/>
            <w:vAlign w:val="center"/>
          </w:tcPr>
          <w:p w14:paraId="24B27BA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504" w:type="pct"/>
            <w:noWrap w:val="0"/>
            <w:vAlign w:val="center"/>
          </w:tcPr>
          <w:p w14:paraId="7B8691C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很差</w:t>
            </w:r>
          </w:p>
        </w:tc>
        <w:tc>
          <w:tcPr>
            <w:tcW w:w="436" w:type="pct"/>
            <w:noWrap w:val="0"/>
            <w:vAlign w:val="center"/>
          </w:tcPr>
          <w:p w14:paraId="419FD26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p>
        </w:tc>
        <w:tc>
          <w:tcPr>
            <w:tcW w:w="1348" w:type="pct"/>
            <w:noWrap w:val="0"/>
            <w:vAlign w:val="center"/>
          </w:tcPr>
          <w:p w14:paraId="7043070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有效减小造成的危害</w:t>
            </w:r>
          </w:p>
        </w:tc>
        <w:tc>
          <w:tcPr>
            <w:tcW w:w="529" w:type="pct"/>
            <w:noWrap w:val="0"/>
            <w:vAlign w:val="center"/>
          </w:tcPr>
          <w:p w14:paraId="2DF6B74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+3/次</w:t>
            </w:r>
          </w:p>
        </w:tc>
      </w:tr>
      <w:tr w14:paraId="032A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763" w:type="pct"/>
            <w:noWrap w:val="0"/>
            <w:vAlign w:val="center"/>
          </w:tcPr>
          <w:p w14:paraId="667D3ED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达成率&lt;60%</w:t>
            </w:r>
          </w:p>
        </w:tc>
        <w:tc>
          <w:tcPr>
            <w:tcW w:w="439" w:type="pct"/>
            <w:noWrap w:val="0"/>
            <w:vAlign w:val="center"/>
          </w:tcPr>
          <w:p w14:paraId="163001E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p>
        </w:tc>
        <w:tc>
          <w:tcPr>
            <w:tcW w:w="611" w:type="pct"/>
            <w:noWrap w:val="0"/>
            <w:vAlign w:val="center"/>
          </w:tcPr>
          <w:p w14:paraId="1ED87C2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延期≥60</w:t>
            </w:r>
          </w:p>
        </w:tc>
        <w:tc>
          <w:tcPr>
            <w:tcW w:w="370" w:type="pct"/>
            <w:noWrap w:val="0"/>
            <w:vAlign w:val="center"/>
          </w:tcPr>
          <w:p w14:paraId="46E7075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w:t>
            </w:r>
          </w:p>
        </w:tc>
        <w:tc>
          <w:tcPr>
            <w:tcW w:w="504" w:type="pct"/>
            <w:noWrap w:val="0"/>
            <w:vAlign w:val="center"/>
          </w:tcPr>
          <w:p w14:paraId="2CEBB4C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非常差</w:t>
            </w:r>
          </w:p>
        </w:tc>
        <w:tc>
          <w:tcPr>
            <w:tcW w:w="436" w:type="pct"/>
            <w:noWrap w:val="0"/>
            <w:vAlign w:val="center"/>
          </w:tcPr>
          <w:p w14:paraId="46E801C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w:t>
            </w:r>
          </w:p>
        </w:tc>
        <w:tc>
          <w:tcPr>
            <w:tcW w:w="1348" w:type="pct"/>
            <w:noWrap w:val="0"/>
            <w:vAlign w:val="center"/>
          </w:tcPr>
          <w:p w14:paraId="177E560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同一位置再次出现相同类型故障</w:t>
            </w:r>
          </w:p>
        </w:tc>
        <w:tc>
          <w:tcPr>
            <w:tcW w:w="529" w:type="pct"/>
            <w:noWrap w:val="0"/>
            <w:vAlign w:val="center"/>
          </w:tcPr>
          <w:p w14:paraId="44201FE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-2/次</w:t>
            </w:r>
          </w:p>
        </w:tc>
      </w:tr>
    </w:tbl>
    <w:p w14:paraId="0BE0BB8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说明：</w:t>
      </w:r>
    </w:p>
    <w:p w14:paraId="0988C005">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1）计划内达成率（%）：在服务周期内，计划内达成率=供应商实际处理完毕的问题/镇江市医疗保障局期望关闭时间内完成的问题数；在个体问题处理过程中，如因非供应商原因造成问题处理周期加长，则供应商有权利与镇江市医疗保障局协商将计划完成时间进行顺延；</w:t>
      </w:r>
    </w:p>
    <w:p w14:paraId="2C8F2D7A">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2）特别关注类问题延期时间：对于医保局确定为‘特别关注’类的问题，延期时间=实际完成日期-镇江市医疗保障局期望关闭日期；</w:t>
      </w:r>
    </w:p>
    <w:p w14:paraId="5E1BA45F">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3）医保局整体满意度：由医保局负责人综合相关技术人员的评价后统一进行评分；</w:t>
      </w:r>
    </w:p>
    <w:p w14:paraId="3E3DF29B">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4）用户投诉次数指人民群众或业务经办人员针对软件维保过程中的有效投诉次数；有效解决投诉指在用户投诉后及时整改并使得用户满意；软件质量问题造成危害指因质量问题,给有关单位及个人的业务经办工作、商业经营活动及个人经济利益造成损害、不利影响、干扰、阻碍、延迟以及产生相关经济损失及法律责任等情况；有效减小造成的危害指对于已经出现的危害，及时高效处理，减小社会影响；同一位置再次出现相同类型故障指每个故障解决后，同一位置（或软件模块等）再次出现相同类型故障或造成相关软件模块出现故障。</w:t>
      </w:r>
    </w:p>
    <w:p w14:paraId="1B54350D">
      <w:pPr>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综合评分后如总分低于70分，每降低一分镇江市医疗保障局将可视情况扣除相应年度服务款1万元（但最多累计扣除金额不超过年度服务费总额的20%），并要求供应商限期整改，组织力量，提高软件</w:t>
      </w:r>
      <w:r>
        <w:rPr>
          <w:rFonts w:hint="eastAsia" w:ascii="宋体" w:hAnsi="宋体" w:eastAsia="宋体" w:cs="宋体"/>
          <w:sz w:val="24"/>
          <w:highlight w:val="none"/>
          <w:lang w:val="en-US" w:eastAsia="zh-CN"/>
        </w:rPr>
        <w:t>改造</w:t>
      </w:r>
      <w:r>
        <w:rPr>
          <w:rFonts w:hint="eastAsia" w:ascii="宋体" w:hAnsi="宋体" w:eastAsia="宋体" w:cs="宋体"/>
          <w:sz w:val="24"/>
          <w:highlight w:val="none"/>
          <w:lang w:eastAsia="zh-CN"/>
        </w:rPr>
        <w:t>及运行维护的质量，提高镇江市医疗保障局满意度。</w:t>
      </w:r>
    </w:p>
    <w:p w14:paraId="575FE93E">
      <w:pPr>
        <w:spacing w:line="360" w:lineRule="auto"/>
        <w:jc w:val="lef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四、服务要求</w:t>
      </w:r>
    </w:p>
    <w:p w14:paraId="4E7C820B">
      <w:pPr>
        <w:spacing w:line="360" w:lineRule="auto"/>
        <w:ind w:firstLine="420"/>
        <w:rPr>
          <w:rFonts w:hint="eastAsia" w:ascii="宋体" w:hAnsi="宋体" w:eastAsia="宋体" w:cs="Times New Roman"/>
          <w:sz w:val="24"/>
          <w:szCs w:val="24"/>
          <w:highlight w:val="none"/>
          <w:shd w:val="clear" w:color="auto" w:fill="FFFFFF"/>
          <w:lang w:eastAsia="zh-CN"/>
        </w:rPr>
      </w:pPr>
      <w:r>
        <w:rPr>
          <w:rFonts w:hint="eastAsia" w:ascii="宋体" w:hAnsi="宋体" w:eastAsia="宋体" w:cs="Times New Roman"/>
          <w:sz w:val="24"/>
          <w:szCs w:val="24"/>
          <w:highlight w:val="none"/>
          <w:shd w:val="clear" w:color="auto" w:fill="FFFFFF"/>
          <w:lang w:val="en-US" w:eastAsia="zh-CN"/>
        </w:rPr>
        <w:t>1、供应商</w:t>
      </w:r>
      <w:r>
        <w:rPr>
          <w:rFonts w:hint="eastAsia" w:ascii="宋体" w:hAnsi="宋体" w:eastAsia="宋体" w:cs="Times New Roman"/>
          <w:sz w:val="24"/>
          <w:szCs w:val="24"/>
          <w:highlight w:val="none"/>
          <w:shd w:val="clear" w:color="auto" w:fill="FFFFFF"/>
          <w:lang w:eastAsia="zh-CN"/>
        </w:rPr>
        <w:t>必须根据本次</w:t>
      </w:r>
      <w:r>
        <w:rPr>
          <w:rFonts w:hint="eastAsia" w:ascii="宋体" w:hAnsi="宋体" w:eastAsia="宋体" w:cs="Times New Roman"/>
          <w:sz w:val="24"/>
          <w:szCs w:val="24"/>
          <w:highlight w:val="none"/>
          <w:shd w:val="clear" w:color="auto" w:fill="FFFFFF"/>
          <w:lang w:val="en-US" w:eastAsia="zh-CN"/>
        </w:rPr>
        <w:t>采购</w:t>
      </w:r>
      <w:r>
        <w:rPr>
          <w:rFonts w:hint="eastAsia" w:ascii="宋体" w:hAnsi="宋体" w:eastAsia="宋体" w:cs="Times New Roman"/>
          <w:sz w:val="24"/>
          <w:szCs w:val="24"/>
          <w:highlight w:val="none"/>
          <w:shd w:val="clear" w:color="auto" w:fill="FFFFFF"/>
          <w:lang w:eastAsia="zh-CN"/>
        </w:rPr>
        <w:t>文件所制定的目标和范围，提出相应的运维服务方案，并作为</w:t>
      </w:r>
      <w:r>
        <w:rPr>
          <w:rFonts w:hint="eastAsia" w:ascii="宋体" w:hAnsi="宋体" w:eastAsia="宋体" w:cs="Times New Roman"/>
          <w:sz w:val="24"/>
          <w:szCs w:val="24"/>
          <w:highlight w:val="none"/>
          <w:shd w:val="clear" w:color="auto" w:fill="FFFFFF"/>
          <w:lang w:val="en-US" w:eastAsia="zh-CN"/>
        </w:rPr>
        <w:t>响应</w:t>
      </w:r>
      <w:r>
        <w:rPr>
          <w:rFonts w:hint="eastAsia" w:ascii="宋体" w:hAnsi="宋体" w:eastAsia="宋体" w:cs="Times New Roman"/>
          <w:sz w:val="24"/>
          <w:szCs w:val="24"/>
          <w:highlight w:val="none"/>
          <w:shd w:val="clear" w:color="auto" w:fill="FFFFFF"/>
          <w:lang w:eastAsia="zh-CN"/>
        </w:rPr>
        <w:t>文件的一部分提交。</w:t>
      </w:r>
    </w:p>
    <w:p w14:paraId="686099E7">
      <w:pPr>
        <w:spacing w:line="360" w:lineRule="auto"/>
        <w:ind w:firstLine="420"/>
        <w:rPr>
          <w:rFonts w:hint="eastAsia" w:ascii="宋体" w:hAnsi="宋体" w:eastAsia="宋体" w:cs="Times New Roman"/>
          <w:color w:val="auto"/>
          <w:sz w:val="24"/>
          <w:szCs w:val="24"/>
          <w:highlight w:val="none"/>
          <w:shd w:val="clear" w:color="auto" w:fill="FFFFFF"/>
          <w:lang w:eastAsia="zh-CN"/>
        </w:rPr>
      </w:pPr>
      <w:r>
        <w:rPr>
          <w:rFonts w:hint="eastAsia" w:ascii="宋体" w:hAnsi="宋体" w:eastAsia="宋体" w:cs="Times New Roman"/>
          <w:sz w:val="24"/>
          <w:szCs w:val="24"/>
          <w:highlight w:val="none"/>
          <w:shd w:val="clear" w:color="auto" w:fill="FFFFFF"/>
          <w:lang w:val="en-US" w:eastAsia="zh-CN"/>
        </w:rPr>
        <w:t>2、</w:t>
      </w:r>
      <w:r>
        <w:rPr>
          <w:rFonts w:hint="eastAsia" w:ascii="宋体" w:hAnsi="宋体" w:eastAsia="宋体" w:cs="Times New Roman"/>
          <w:sz w:val="24"/>
          <w:szCs w:val="24"/>
          <w:highlight w:val="none"/>
          <w:shd w:val="clear" w:color="auto" w:fill="FFFFFF"/>
          <w:lang w:eastAsia="zh-CN"/>
        </w:rPr>
        <w:t>成交供应商在项目实施过程中出现资源、进度、质量协调控制不力的情况，</w:t>
      </w:r>
      <w:r>
        <w:rPr>
          <w:rFonts w:hint="eastAsia" w:ascii="宋体" w:hAnsi="宋体" w:eastAsia="宋体" w:cs="Times New Roman"/>
          <w:sz w:val="24"/>
          <w:szCs w:val="24"/>
          <w:highlight w:val="none"/>
          <w:shd w:val="clear" w:color="auto" w:fill="FFFFFF"/>
          <w:lang w:val="en-US" w:eastAsia="zh-CN"/>
        </w:rPr>
        <w:t>采购人</w:t>
      </w:r>
      <w:r>
        <w:rPr>
          <w:rFonts w:hint="eastAsia" w:ascii="宋体" w:hAnsi="宋体" w:eastAsia="宋体" w:cs="Times New Roman"/>
          <w:sz w:val="24"/>
          <w:szCs w:val="24"/>
          <w:highlight w:val="none"/>
          <w:shd w:val="clear" w:color="auto" w:fill="FFFFFF"/>
          <w:lang w:eastAsia="zh-CN"/>
        </w:rPr>
        <w:t>有</w:t>
      </w:r>
      <w:r>
        <w:rPr>
          <w:rFonts w:hint="eastAsia" w:ascii="宋体" w:hAnsi="宋体" w:eastAsia="宋体" w:cs="Times New Roman"/>
          <w:color w:val="auto"/>
          <w:sz w:val="24"/>
          <w:szCs w:val="24"/>
          <w:highlight w:val="none"/>
          <w:shd w:val="clear" w:color="auto" w:fill="FFFFFF"/>
          <w:lang w:eastAsia="zh-CN"/>
        </w:rPr>
        <w:t>权要求更换相关责任人，成交供应商必须予以配合，并确保不影响维保的进度和质量。</w:t>
      </w:r>
    </w:p>
    <w:p w14:paraId="3E9B9FBA">
      <w:pPr>
        <w:spacing w:line="360" w:lineRule="auto"/>
        <w:ind w:firstLine="420"/>
        <w:rPr>
          <w:rFonts w:hint="eastAsia" w:ascii="宋体" w:hAnsi="宋体" w:eastAsia="宋体" w:cs="Times New Roman"/>
          <w:color w:val="auto"/>
          <w:sz w:val="24"/>
          <w:szCs w:val="24"/>
          <w:highlight w:val="none"/>
          <w:shd w:val="clear" w:color="auto" w:fill="FFFFFF"/>
          <w:lang w:eastAsia="zh-CN"/>
        </w:rPr>
      </w:pPr>
      <w:r>
        <w:rPr>
          <w:rFonts w:hint="eastAsia" w:ascii="宋体" w:hAnsi="宋体" w:eastAsia="宋体" w:cs="Times New Roman"/>
          <w:color w:val="auto"/>
          <w:sz w:val="24"/>
          <w:szCs w:val="24"/>
          <w:highlight w:val="none"/>
          <w:shd w:val="clear" w:color="auto" w:fill="FFFFFF"/>
          <w:lang w:val="en-US" w:eastAsia="zh-CN"/>
        </w:rPr>
        <w:t>3、</w:t>
      </w:r>
      <w:r>
        <w:rPr>
          <w:rFonts w:hint="eastAsia" w:ascii="宋体" w:hAnsi="宋体" w:eastAsia="宋体" w:cs="Times New Roman"/>
          <w:color w:val="auto"/>
          <w:sz w:val="24"/>
          <w:szCs w:val="24"/>
          <w:highlight w:val="none"/>
          <w:shd w:val="clear" w:color="auto" w:fill="FFFFFF"/>
          <w:lang w:eastAsia="zh-CN"/>
        </w:rPr>
        <w:t>成交供应商须保持与用户的联系，随时交流系统的应用情况，成立专门工作小组为用户解决遇到的问题。</w:t>
      </w:r>
    </w:p>
    <w:p w14:paraId="1EEB8207">
      <w:pPr>
        <w:spacing w:line="360" w:lineRule="auto"/>
        <w:rPr>
          <w:rFonts w:hint="eastAsia" w:ascii="宋体" w:hAnsi="宋体" w:eastAsia="宋体" w:cs="Times New Roman"/>
          <w:b/>
          <w:color w:val="auto"/>
          <w:sz w:val="24"/>
          <w:szCs w:val="24"/>
          <w:highlight w:val="none"/>
          <w:lang w:val="en-US" w:eastAsia="zh-CN"/>
        </w:rPr>
      </w:pPr>
      <w:r>
        <w:rPr>
          <w:rFonts w:hint="eastAsia" w:ascii="宋体" w:hAnsi="宋体" w:eastAsia="宋体" w:cs="Times New Roman"/>
          <w:b/>
          <w:color w:val="auto"/>
          <w:sz w:val="24"/>
          <w:szCs w:val="24"/>
          <w:highlight w:val="none"/>
          <w:lang w:val="en-US" w:eastAsia="zh-CN"/>
        </w:rPr>
        <w:t>五、项目实施要求</w:t>
      </w:r>
    </w:p>
    <w:p w14:paraId="4A15E2AD">
      <w:pPr>
        <w:keepNext w:val="0"/>
        <w:keepLines w:val="0"/>
        <w:widowControl/>
        <w:suppressLineNumbers w:val="0"/>
        <w:spacing w:line="360" w:lineRule="auto"/>
        <w:ind w:firstLine="480"/>
        <w:jc w:val="left"/>
        <w:rPr>
          <w:rFonts w:hint="default" w:ascii="宋体" w:hAnsi="宋体" w:eastAsia="宋体" w:cs="Times New Roman"/>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lang w:val="en-US" w:eastAsia="zh-CN" w:bidi="ar"/>
        </w:rPr>
        <w:t>供应商要提供完整且合理的项目技术方案，应包含</w:t>
      </w:r>
      <w:r>
        <w:rPr>
          <w:rFonts w:hint="eastAsia" w:ascii="宋体" w:hAnsi="宋体" w:cs="宋体"/>
          <w:color w:val="auto"/>
          <w:sz w:val="24"/>
          <w:szCs w:val="24"/>
          <w:highlight w:val="none"/>
          <w:lang w:val="en-US" w:eastAsia="zh-CN" w:bidi="ar"/>
        </w:rPr>
        <w:t>：项目理解评价、项目运维需求分析、项目服务方案评价、运维管理体系评价</w:t>
      </w:r>
      <w:r>
        <w:rPr>
          <w:rFonts w:hint="eastAsia" w:ascii="宋体" w:hAnsi="宋体" w:eastAsia="宋体" w:cs="宋体"/>
          <w:color w:val="auto"/>
          <w:sz w:val="24"/>
          <w:szCs w:val="24"/>
          <w:highlight w:val="none"/>
          <w:lang w:val="en-US" w:eastAsia="zh-CN" w:bidi="ar"/>
        </w:rPr>
        <w:t>。供应商</w:t>
      </w:r>
      <w:r>
        <w:rPr>
          <w:rFonts w:hint="eastAsia" w:ascii="宋体" w:hAnsi="宋体" w:cs="宋体"/>
          <w:color w:val="auto"/>
          <w:sz w:val="24"/>
          <w:szCs w:val="24"/>
          <w:highlight w:val="none"/>
          <w:lang w:val="en-US" w:eastAsia="zh-CN" w:bidi="ar"/>
        </w:rPr>
        <w:t>还应配备对应团队人员，以保障项目按计划推进，高质量完成，实现项目目标与预期效益。</w:t>
      </w:r>
    </w:p>
    <w:p w14:paraId="2AEB4DEC">
      <w:pP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六、付款方式</w:t>
      </w:r>
    </w:p>
    <w:p w14:paraId="18E300BA">
      <w:pPr>
        <w:numPr>
          <w:ilvl w:val="0"/>
          <w:numId w:val="0"/>
        </w:numPr>
        <w:spacing w:line="360" w:lineRule="auto"/>
        <w:ind w:left="0" w:leftChars="0" w:firstLine="480" w:firstLineChars="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合同签订，采购人收到发票后十个工作日内支付合同总额的50%；</w:t>
      </w:r>
      <w:r>
        <w:rPr>
          <w:rFonts w:hint="eastAsia" w:ascii="宋体" w:hAnsi="宋体"/>
          <w:color w:val="auto"/>
          <w:sz w:val="24"/>
          <w:highlight w:val="none"/>
        </w:rPr>
        <w:t>项目</w:t>
      </w:r>
      <w:r>
        <w:rPr>
          <w:rFonts w:hint="eastAsia" w:ascii="宋体" w:hAnsi="宋体"/>
          <w:color w:val="auto"/>
          <w:sz w:val="24"/>
          <w:highlight w:val="none"/>
          <w:lang w:val="en-US" w:eastAsia="zh-CN"/>
        </w:rPr>
        <w:t>服务运维期到期并进行</w:t>
      </w:r>
      <w:r>
        <w:rPr>
          <w:rFonts w:hint="eastAsia" w:ascii="宋体" w:hAnsi="宋体"/>
          <w:color w:val="auto"/>
          <w:sz w:val="24"/>
          <w:highlight w:val="none"/>
        </w:rPr>
        <w:t>验收合格后</w:t>
      </w:r>
      <w:r>
        <w:rPr>
          <w:rFonts w:hint="eastAsia" w:ascii="宋体" w:hAnsi="宋体" w:cs="宋体"/>
          <w:color w:val="auto"/>
          <w:sz w:val="24"/>
          <w:highlight w:val="none"/>
          <w:lang w:val="en-US" w:eastAsia="zh-CN"/>
        </w:rPr>
        <w:t>，采购人收到发票后十个工作日内支付合同总额的50%。</w:t>
      </w:r>
      <w:bookmarkStart w:id="148" w:name="_Toc7242"/>
    </w:p>
    <w:p w14:paraId="13DD6933">
      <w:pPr>
        <w:rPr>
          <w:rStyle w:val="242"/>
          <w:rFonts w:hint="eastAsia" w:ascii="宋体" w:hAnsi="宋体" w:cs="宋体"/>
          <w:color w:val="000000"/>
          <w:sz w:val="28"/>
          <w:szCs w:val="28"/>
          <w:highlight w:val="none"/>
        </w:rPr>
      </w:pPr>
      <w:r>
        <w:rPr>
          <w:rStyle w:val="242"/>
          <w:rFonts w:hint="eastAsia" w:ascii="宋体" w:hAnsi="宋体" w:cs="宋体"/>
          <w:color w:val="000000"/>
          <w:sz w:val="28"/>
          <w:szCs w:val="28"/>
          <w:highlight w:val="none"/>
        </w:rPr>
        <w:br w:type="page"/>
      </w:r>
    </w:p>
    <w:p w14:paraId="7F2F4870">
      <w:pPr>
        <w:shd w:val="clear" w:color="auto" w:fill="FFFFFF"/>
        <w:spacing w:line="360" w:lineRule="auto"/>
        <w:ind w:firstLine="480"/>
        <w:jc w:val="center"/>
        <w:outlineLvl w:val="0"/>
        <w:rPr>
          <w:rStyle w:val="242"/>
          <w:rFonts w:ascii="宋体" w:hAnsi="宋体" w:cs="宋体"/>
          <w:color w:val="000000"/>
          <w:sz w:val="28"/>
          <w:szCs w:val="28"/>
          <w:highlight w:val="none"/>
        </w:rPr>
      </w:pPr>
      <w:r>
        <w:rPr>
          <w:rStyle w:val="242"/>
          <w:rFonts w:hint="eastAsia" w:ascii="宋体" w:hAnsi="宋体" w:cs="宋体"/>
          <w:color w:val="000000"/>
          <w:sz w:val="28"/>
          <w:szCs w:val="28"/>
          <w:highlight w:val="none"/>
        </w:rPr>
        <w:t>第五部分  磋商及评审</w:t>
      </w:r>
      <w:bookmarkEnd w:id="147"/>
      <w:bookmarkEnd w:id="148"/>
    </w:p>
    <w:p w14:paraId="04378DC3">
      <w:pPr>
        <w:spacing w:before="101" w:after="240" w:line="412" w:lineRule="exact"/>
        <w:ind w:left="451"/>
        <w:outlineLvl w:val="1"/>
        <w:rPr>
          <w:rFonts w:ascii="宋体" w:hAnsi="宋体" w:cs="宋体"/>
          <w:b/>
          <w:bCs/>
          <w:color w:val="000000"/>
          <w:spacing w:val="10"/>
          <w:position w:val="2"/>
          <w:sz w:val="24"/>
          <w:highlight w:val="none"/>
        </w:rPr>
      </w:pPr>
      <w:bookmarkStart w:id="149" w:name="_bookmark59"/>
      <w:bookmarkEnd w:id="149"/>
      <w:r>
        <w:rPr>
          <w:rFonts w:ascii="宋体" w:hAnsi="宋体" w:cs="宋体"/>
          <w:b/>
          <w:bCs/>
          <w:color w:val="000000"/>
          <w:spacing w:val="10"/>
          <w:position w:val="2"/>
          <w:sz w:val="24"/>
          <w:highlight w:val="none"/>
        </w:rPr>
        <w:t>1</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磋商小组职责</w:t>
      </w:r>
    </w:p>
    <w:p w14:paraId="75351DDB">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1.1熟悉和理解磋商文件，如磋商文件内容违反国家有关强制性规定的，磋商小组应当停止评审并向采购人或者采购代理机构说明情况。</w:t>
      </w:r>
    </w:p>
    <w:p w14:paraId="6C2961B0">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1.2按照客观、公正、审慎的原则，根据磋商文件规定的评审程序、评审方法和评审标准进行独立评审。</w:t>
      </w:r>
    </w:p>
    <w:p w14:paraId="4E3B992F">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1.3起草评审报告并进行签署。</w:t>
      </w:r>
    </w:p>
    <w:p w14:paraId="01295B1C">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1.4推荐成交供应商。</w:t>
      </w:r>
    </w:p>
    <w:p w14:paraId="1D5DB928">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1.5向采购人、采购代理机构、财政部门或者其他监督部门报告非法干预评审工作的行为。</w:t>
      </w:r>
    </w:p>
    <w:p w14:paraId="4DD8BE2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1.6法律、法规和规章规定的其他职责。</w:t>
      </w:r>
    </w:p>
    <w:p w14:paraId="5983F54A">
      <w:pPr>
        <w:spacing w:before="101" w:after="240" w:line="412" w:lineRule="exact"/>
        <w:ind w:left="451"/>
        <w:outlineLvl w:val="1"/>
        <w:rPr>
          <w:rFonts w:ascii="宋体" w:hAnsi="宋体" w:cs="宋体"/>
          <w:b/>
          <w:bCs/>
          <w:color w:val="000000"/>
          <w:spacing w:val="10"/>
          <w:position w:val="2"/>
          <w:sz w:val="24"/>
          <w:highlight w:val="none"/>
        </w:rPr>
      </w:pPr>
      <w:bookmarkStart w:id="150" w:name="_bookmark60"/>
      <w:bookmarkEnd w:id="150"/>
      <w:r>
        <w:rPr>
          <w:rFonts w:ascii="宋体" w:hAnsi="宋体" w:cs="宋体"/>
          <w:b/>
          <w:bCs/>
          <w:color w:val="000000"/>
          <w:spacing w:val="10"/>
          <w:position w:val="2"/>
          <w:sz w:val="24"/>
          <w:highlight w:val="none"/>
        </w:rPr>
        <w:t>2</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磋商及评审程序</w:t>
      </w:r>
    </w:p>
    <w:p w14:paraId="086DEB53">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2.1磋商组织方按磋商小组名单核对身份并签到。</w:t>
      </w:r>
    </w:p>
    <w:p w14:paraId="6D022245">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2.2磋商组织方宣布磋商及评审纪律，磋商小组确认有无回避的情形。</w:t>
      </w:r>
    </w:p>
    <w:p w14:paraId="526F3879">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2.3磋商小组推选组长，负责组织磋商及评审活动，采购人代表不得担任组长。</w:t>
      </w:r>
    </w:p>
    <w:p w14:paraId="761263C4">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2.4磋商小组正式评审前，应当对磋商文件进行熟悉和理解，审查磋商文件。</w:t>
      </w:r>
    </w:p>
    <w:p w14:paraId="494E7802">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2.5磋商小组将对供应商进行资格审查，对首次响应文件进行有效性、完整性和响应程度审查。未通过审查的供应商不得参与磋商，磋商小组应书面告知供应商并说明理由。</w:t>
      </w:r>
    </w:p>
    <w:p w14:paraId="29B457AB">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7B3ABDB9">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2.7磋商小组应集中与符合要求的单一供应商分别进行磋商，并给予所有参加磋商的供应商平等的磋商机会</w:t>
      </w:r>
      <w:r>
        <w:rPr>
          <w:rFonts w:hint="eastAsia" w:ascii="宋体" w:hAnsi="宋体" w:cs="宋体"/>
          <w:color w:val="000000"/>
          <w:spacing w:val="-1"/>
          <w:sz w:val="24"/>
          <w:highlight w:val="none"/>
        </w:rPr>
        <w:t>。</w:t>
      </w:r>
    </w:p>
    <w:p w14:paraId="6C1E292A">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4FE4EC9F">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2.9磋商文件能够详细列明采购标的的技术、服务要求的，磋商结束后，磋商小组应要求所有实质性响应的供应商在规定时间内提交最后报价。</w:t>
      </w:r>
    </w:p>
    <w:p w14:paraId="4E119075">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06556C3E">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符合磋商文件供应商须知规定情形的，提交最后报价的供应商可以为2家。</w:t>
      </w:r>
    </w:p>
    <w:p w14:paraId="1E61A459">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2.10经磋商确定最终采购需求和提交最后报价的供应商后，磋商小组应对提交最后报价的供应商的响应文件和最后报价进行评审。</w:t>
      </w:r>
    </w:p>
    <w:p w14:paraId="50C3B917">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2.11磋商小组对磋商供应商得分按照从高到低进行排序，得分相同的磋商供应商，报价低者排名在前，评审得分且最后报价相同的，按技术指标优劣顺序排列。</w:t>
      </w:r>
    </w:p>
    <w:p w14:paraId="4CF433AE">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2.12推荐成交候选供应商，并出具书面评审报告。</w:t>
      </w:r>
    </w:p>
    <w:p w14:paraId="2525268D">
      <w:pPr>
        <w:spacing w:before="101" w:after="240" w:line="412" w:lineRule="exact"/>
        <w:ind w:left="451"/>
        <w:outlineLvl w:val="1"/>
        <w:rPr>
          <w:rFonts w:ascii="宋体" w:hAnsi="宋体" w:cs="宋体"/>
          <w:b/>
          <w:bCs/>
          <w:color w:val="000000"/>
          <w:spacing w:val="10"/>
          <w:position w:val="2"/>
          <w:sz w:val="24"/>
          <w:highlight w:val="none"/>
        </w:rPr>
      </w:pPr>
      <w:bookmarkStart w:id="151" w:name="_bookmark61"/>
      <w:bookmarkEnd w:id="151"/>
      <w:r>
        <w:rPr>
          <w:rFonts w:ascii="宋体" w:hAnsi="宋体" w:cs="宋体"/>
          <w:b/>
          <w:bCs/>
          <w:color w:val="000000"/>
          <w:spacing w:val="10"/>
          <w:position w:val="2"/>
          <w:sz w:val="24"/>
          <w:highlight w:val="none"/>
        </w:rPr>
        <w:t>3</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供应商资格审查</w:t>
      </w:r>
    </w:p>
    <w:p w14:paraId="464B5C29">
      <w:pPr>
        <w:spacing w:before="79" w:line="219" w:lineRule="auto"/>
        <w:ind w:left="601"/>
        <w:rPr>
          <w:rFonts w:ascii="宋体" w:hAnsi="宋体" w:cs="宋体"/>
          <w:color w:val="000000"/>
          <w:sz w:val="24"/>
          <w:highlight w:val="none"/>
        </w:rPr>
      </w:pPr>
      <w:r>
        <w:rPr>
          <w:rFonts w:ascii="宋体" w:hAnsi="宋体" w:cs="宋体"/>
          <w:color w:val="000000"/>
          <w:spacing w:val="-10"/>
          <w:sz w:val="24"/>
          <w:highlight w:val="none"/>
        </w:rPr>
        <w:t>开</w:t>
      </w:r>
      <w:r>
        <w:rPr>
          <w:rFonts w:ascii="宋体" w:hAnsi="宋体" w:cs="宋体"/>
          <w:color w:val="000000"/>
          <w:spacing w:val="-8"/>
          <w:sz w:val="24"/>
          <w:highlight w:val="none"/>
        </w:rPr>
        <w:t>启</w:t>
      </w:r>
      <w:r>
        <w:rPr>
          <w:rFonts w:ascii="宋体" w:hAnsi="宋体" w:cs="宋体"/>
          <w:color w:val="000000"/>
          <w:spacing w:val="-5"/>
          <w:sz w:val="24"/>
          <w:highlight w:val="none"/>
        </w:rPr>
        <w:t>结束后，采购人将依法对供应商的资格进行审查。资格审查的内容如下：</w:t>
      </w:r>
    </w:p>
    <w:tbl>
      <w:tblPr>
        <w:tblStyle w:val="39"/>
        <w:tblpPr w:leftFromText="180" w:rightFromText="180" w:vertAnchor="text" w:horzAnchor="page" w:tblpX="1692" w:tblpY="294"/>
        <w:tblOverlap w:val="never"/>
        <w:tblW w:w="85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2124"/>
        <w:gridCol w:w="5772"/>
      </w:tblGrid>
      <w:tr w14:paraId="0395A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08" w:type="dxa"/>
            <w:vAlign w:val="center"/>
          </w:tcPr>
          <w:p w14:paraId="3487CA8C">
            <w:pPr>
              <w:jc w:val="center"/>
              <w:rPr>
                <w:rFonts w:asciiTheme="minorEastAsia" w:hAnsiTheme="minorEastAsia" w:eastAsiaTheme="minorEastAsia" w:cstheme="minorEastAsia"/>
                <w:color w:val="000000"/>
                <w:szCs w:val="21"/>
                <w:highlight w:val="none"/>
              </w:rPr>
            </w:pPr>
            <w:bookmarkStart w:id="152" w:name="_bookmark62"/>
            <w:bookmarkEnd w:id="152"/>
            <w:r>
              <w:rPr>
                <w:rFonts w:hint="eastAsia" w:asciiTheme="minorEastAsia" w:hAnsiTheme="minorEastAsia" w:eastAsiaTheme="minorEastAsia" w:cstheme="minorEastAsia"/>
                <w:color w:val="000000"/>
                <w:szCs w:val="21"/>
                <w:highlight w:val="none"/>
              </w:rPr>
              <w:t>序号</w:t>
            </w:r>
          </w:p>
        </w:tc>
        <w:tc>
          <w:tcPr>
            <w:tcW w:w="2124" w:type="dxa"/>
            <w:vAlign w:val="center"/>
          </w:tcPr>
          <w:p w14:paraId="406B3389">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审查要素</w:t>
            </w:r>
          </w:p>
        </w:tc>
        <w:tc>
          <w:tcPr>
            <w:tcW w:w="5772" w:type="dxa"/>
            <w:vAlign w:val="center"/>
          </w:tcPr>
          <w:p w14:paraId="132617DC">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审查内容</w:t>
            </w:r>
          </w:p>
        </w:tc>
      </w:tr>
      <w:tr w14:paraId="1051A0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08" w:type="dxa"/>
            <w:vAlign w:val="center"/>
          </w:tcPr>
          <w:p w14:paraId="57D7FF93">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2124" w:type="dxa"/>
            <w:vAlign w:val="center"/>
          </w:tcPr>
          <w:p w14:paraId="22921B65">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具有独立承担民事责任的能力</w:t>
            </w:r>
          </w:p>
        </w:tc>
        <w:tc>
          <w:tcPr>
            <w:tcW w:w="5772" w:type="dxa"/>
            <w:vAlign w:val="center"/>
          </w:tcPr>
          <w:p w14:paraId="61753041">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法人或者其他组织的营业执照等证明文件；自然人的身份证。</w:t>
            </w:r>
          </w:p>
        </w:tc>
      </w:tr>
      <w:tr w14:paraId="4BA47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608" w:type="dxa"/>
            <w:vAlign w:val="center"/>
          </w:tcPr>
          <w:p w14:paraId="66DDA1B1">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2124" w:type="dxa"/>
            <w:vAlign w:val="center"/>
          </w:tcPr>
          <w:p w14:paraId="6356842A">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具有良好的商业信誉和健全的财务会计制度</w:t>
            </w:r>
          </w:p>
        </w:tc>
        <w:tc>
          <w:tcPr>
            <w:tcW w:w="5772" w:type="dxa"/>
            <w:vAlign w:val="center"/>
          </w:tcPr>
          <w:p w14:paraId="625BC31B">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2025年度财务报告(成立不满一年的提供至少一个月)，或银行出具的资信证明，或财政部门认可的政府采购专业担保机构出具的磋商担保函等。(或提供资格承诺函)</w:t>
            </w:r>
          </w:p>
        </w:tc>
      </w:tr>
      <w:tr w14:paraId="2BC05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08" w:type="dxa"/>
            <w:vAlign w:val="center"/>
          </w:tcPr>
          <w:p w14:paraId="62AA2B96">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2124" w:type="dxa"/>
            <w:vAlign w:val="center"/>
          </w:tcPr>
          <w:p w14:paraId="3069BC2F">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具有履行合同所必需的设备和专业技术能力</w:t>
            </w:r>
          </w:p>
        </w:tc>
        <w:tc>
          <w:tcPr>
            <w:tcW w:w="5772" w:type="dxa"/>
            <w:vAlign w:val="center"/>
          </w:tcPr>
          <w:p w14:paraId="1D05A13E">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供应商相关信息一览表。(或提供资格承诺函)</w:t>
            </w:r>
          </w:p>
        </w:tc>
      </w:tr>
      <w:tr w14:paraId="7B9C4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608" w:type="dxa"/>
            <w:vAlign w:val="center"/>
          </w:tcPr>
          <w:p w14:paraId="1E184C4A">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4</w:t>
            </w:r>
          </w:p>
        </w:tc>
        <w:tc>
          <w:tcPr>
            <w:tcW w:w="2124" w:type="dxa"/>
            <w:vAlign w:val="center"/>
          </w:tcPr>
          <w:p w14:paraId="486144F9">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有依法缴纳税收和社会保障资金的良好记录</w:t>
            </w:r>
          </w:p>
        </w:tc>
        <w:tc>
          <w:tcPr>
            <w:tcW w:w="5772" w:type="dxa"/>
            <w:vAlign w:val="center"/>
          </w:tcPr>
          <w:p w14:paraId="47F595D3">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参加本次政府采购活动前半年内(至少一个月)依法缴纳税收和社会保险资金的相关材料。(或提供资格承诺函)</w:t>
            </w:r>
          </w:p>
        </w:tc>
      </w:tr>
      <w:tr w14:paraId="35F14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8" w:hRule="atLeast"/>
        </w:trPr>
        <w:tc>
          <w:tcPr>
            <w:tcW w:w="608" w:type="dxa"/>
            <w:vAlign w:val="center"/>
          </w:tcPr>
          <w:p w14:paraId="4A261BC8">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5</w:t>
            </w:r>
          </w:p>
        </w:tc>
        <w:tc>
          <w:tcPr>
            <w:tcW w:w="2124" w:type="dxa"/>
            <w:vAlign w:val="center"/>
          </w:tcPr>
          <w:p w14:paraId="15725964">
            <w:pPr>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参加政府采购活动前三年内，在经营活动中没有重大违法记录</w:t>
            </w:r>
          </w:p>
        </w:tc>
        <w:tc>
          <w:tcPr>
            <w:tcW w:w="5772" w:type="dxa"/>
            <w:vAlign w:val="center"/>
          </w:tcPr>
          <w:p w14:paraId="184810D4">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(1)磋商承诺函。</w:t>
            </w:r>
          </w:p>
          <w:p w14:paraId="7A8C5215">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51905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608" w:type="dxa"/>
            <w:vAlign w:val="center"/>
          </w:tcPr>
          <w:p w14:paraId="4420DBEA">
            <w:pPr>
              <w:jc w:val="center"/>
              <w:rPr>
                <w:rFonts w:hint="eastAsia"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highlight w:val="none"/>
                <w:lang w:val="en-US" w:eastAsia="zh-CN"/>
              </w:rPr>
              <w:t>6</w:t>
            </w:r>
          </w:p>
        </w:tc>
        <w:tc>
          <w:tcPr>
            <w:tcW w:w="2124" w:type="dxa"/>
            <w:vAlign w:val="center"/>
          </w:tcPr>
          <w:p w14:paraId="6FB9E436">
            <w:pPr>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落实政府采购政策需满足的资格要求</w:t>
            </w:r>
          </w:p>
        </w:tc>
        <w:tc>
          <w:tcPr>
            <w:tcW w:w="5772" w:type="dxa"/>
            <w:vAlign w:val="center"/>
          </w:tcPr>
          <w:p w14:paraId="6CB0338C">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见“第一部分”。</w:t>
            </w:r>
          </w:p>
        </w:tc>
      </w:tr>
    </w:tbl>
    <w:p w14:paraId="577A151A">
      <w:pPr>
        <w:spacing w:before="101" w:after="240" w:line="412" w:lineRule="exact"/>
        <w:ind w:left="451"/>
        <w:outlineLvl w:val="1"/>
        <w:rPr>
          <w:rFonts w:ascii="宋体" w:hAnsi="宋体" w:cs="宋体"/>
          <w:b/>
          <w:bCs/>
          <w:color w:val="000000"/>
          <w:spacing w:val="10"/>
          <w:position w:val="2"/>
          <w:sz w:val="24"/>
          <w:highlight w:val="none"/>
        </w:rPr>
      </w:pPr>
      <w:r>
        <w:rPr>
          <w:rFonts w:ascii="宋体" w:hAnsi="宋体" w:cs="宋体"/>
          <w:b/>
          <w:bCs/>
          <w:color w:val="000000"/>
          <w:spacing w:val="10"/>
          <w:position w:val="2"/>
          <w:sz w:val="24"/>
          <w:highlight w:val="none"/>
        </w:rPr>
        <w:t>4</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磋商响应文件的有效性、完整性和响应程度审查</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8"/>
        <w:gridCol w:w="1687"/>
        <w:gridCol w:w="6251"/>
      </w:tblGrid>
      <w:tr w14:paraId="666C6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80BC63A">
            <w:pPr>
              <w:pStyle w:val="301"/>
              <w:jc w:val="center"/>
              <w:rPr>
                <w:rFonts w:ascii="宋体" w:hAnsi="宋体" w:eastAsia="宋体" w:cs="宋体"/>
                <w:sz w:val="21"/>
                <w:szCs w:val="21"/>
                <w:highlight w:val="none"/>
              </w:rPr>
            </w:pPr>
            <w:r>
              <w:rPr>
                <w:rFonts w:ascii="宋体" w:hAnsi="宋体" w:eastAsia="宋体" w:cs="宋体"/>
                <w:sz w:val="21"/>
                <w:szCs w:val="21"/>
                <w:highlight w:val="none"/>
              </w:rPr>
              <w:t>序号</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286691">
            <w:pPr>
              <w:pStyle w:val="301"/>
              <w:jc w:val="center"/>
              <w:rPr>
                <w:rFonts w:ascii="宋体" w:hAnsi="宋体" w:eastAsia="宋体" w:cs="宋体"/>
                <w:sz w:val="21"/>
                <w:szCs w:val="21"/>
                <w:highlight w:val="none"/>
              </w:rPr>
            </w:pPr>
            <w:r>
              <w:rPr>
                <w:rFonts w:ascii="宋体" w:hAnsi="宋体" w:eastAsia="宋体" w:cs="宋体"/>
                <w:sz w:val="21"/>
                <w:szCs w:val="21"/>
                <w:highlight w:val="none"/>
              </w:rPr>
              <w:t>审查要素</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5ADBB56">
            <w:pPr>
              <w:pStyle w:val="301"/>
              <w:jc w:val="center"/>
              <w:rPr>
                <w:rFonts w:ascii="宋体" w:hAnsi="宋体" w:eastAsia="宋体" w:cs="宋体"/>
                <w:sz w:val="21"/>
                <w:szCs w:val="21"/>
                <w:highlight w:val="none"/>
              </w:rPr>
            </w:pPr>
            <w:r>
              <w:rPr>
                <w:rFonts w:ascii="宋体" w:hAnsi="宋体" w:eastAsia="宋体" w:cs="宋体"/>
                <w:sz w:val="21"/>
                <w:szCs w:val="21"/>
                <w:highlight w:val="none"/>
              </w:rPr>
              <w:t>审查内容</w:t>
            </w:r>
          </w:p>
        </w:tc>
      </w:tr>
      <w:tr w14:paraId="5A22C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76E7D82">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1</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0719FE5">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报价符合性</w:t>
            </w:r>
          </w:p>
          <w:p w14:paraId="62C7F76A">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审查</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BEAE60D">
            <w:pPr>
              <w:pStyle w:val="301"/>
              <w:jc w:val="both"/>
              <w:rPr>
                <w:rFonts w:ascii="宋体" w:hAnsi="宋体" w:eastAsia="宋体" w:cs="宋体"/>
                <w:sz w:val="21"/>
                <w:szCs w:val="21"/>
                <w:highlight w:val="none"/>
              </w:rPr>
            </w:pPr>
            <w:r>
              <w:rPr>
                <w:rFonts w:hint="eastAsia" w:ascii="宋体" w:hAnsi="宋体" w:eastAsia="宋体" w:cs="宋体"/>
                <w:sz w:val="21"/>
                <w:szCs w:val="21"/>
                <w:highlight w:val="none"/>
              </w:rPr>
              <w:t>属于投标（响应）报价低于采购项目最高限价</w:t>
            </w: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%的，即投标（响应）报价&lt;采购项目最高限价×</w:t>
            </w: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%，供应商可随投标（响应）文件一并提交相关书面说明及必要的证明材料。</w:t>
            </w:r>
          </w:p>
        </w:tc>
      </w:tr>
      <w:tr w14:paraId="790D01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962D7B5">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FF300A">
            <w:pPr>
              <w:pStyle w:val="301"/>
              <w:jc w:val="center"/>
              <w:rPr>
                <w:rFonts w:ascii="宋体" w:hAnsi="宋体" w:eastAsia="宋体" w:cs="宋体"/>
                <w:sz w:val="21"/>
                <w:szCs w:val="21"/>
                <w:highlight w:val="none"/>
              </w:rPr>
            </w:pPr>
            <w:r>
              <w:rPr>
                <w:rFonts w:ascii="宋体" w:hAnsi="宋体" w:eastAsia="宋体" w:cs="宋体"/>
                <w:sz w:val="21"/>
                <w:szCs w:val="21"/>
                <w:highlight w:val="none"/>
              </w:rPr>
              <w:t>投标文件</w:t>
            </w:r>
          </w:p>
          <w:p w14:paraId="1D312DCF">
            <w:pPr>
              <w:pStyle w:val="301"/>
              <w:jc w:val="center"/>
              <w:rPr>
                <w:rFonts w:ascii="宋体" w:hAnsi="宋体" w:eastAsia="宋体" w:cs="宋体"/>
                <w:sz w:val="21"/>
                <w:szCs w:val="21"/>
                <w:highlight w:val="none"/>
              </w:rPr>
            </w:pPr>
            <w:r>
              <w:rPr>
                <w:rFonts w:ascii="宋体" w:hAnsi="宋体" w:eastAsia="宋体" w:cs="宋体"/>
                <w:sz w:val="21"/>
                <w:szCs w:val="21"/>
                <w:highlight w:val="none"/>
              </w:rPr>
              <w:t>有效性</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34E837">
            <w:pPr>
              <w:pStyle w:val="301"/>
              <w:jc w:val="both"/>
              <w:rPr>
                <w:rFonts w:ascii="宋体" w:hAnsi="宋体" w:eastAsia="宋体" w:cs="宋体"/>
                <w:sz w:val="21"/>
                <w:szCs w:val="21"/>
                <w:highlight w:val="none"/>
              </w:rPr>
            </w:pPr>
            <w:r>
              <w:rPr>
                <w:rFonts w:ascii="宋体" w:hAnsi="宋体" w:eastAsia="宋体" w:cs="宋体"/>
                <w:sz w:val="21"/>
                <w:szCs w:val="21"/>
                <w:highlight w:val="none"/>
              </w:rPr>
              <w:t>电子投标文件的有效电子签章。未发现属无效投标的其他情形。</w:t>
            </w:r>
          </w:p>
        </w:tc>
      </w:tr>
      <w:tr w14:paraId="3BE55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3EFEC8">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3</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7B80A8">
            <w:pPr>
              <w:pStyle w:val="301"/>
              <w:jc w:val="center"/>
              <w:rPr>
                <w:rFonts w:ascii="宋体" w:hAnsi="宋体" w:eastAsia="宋体" w:cs="宋体"/>
                <w:sz w:val="21"/>
                <w:szCs w:val="21"/>
                <w:highlight w:val="none"/>
              </w:rPr>
            </w:pPr>
            <w:r>
              <w:rPr>
                <w:rFonts w:ascii="宋体" w:hAnsi="宋体" w:eastAsia="宋体" w:cs="宋体"/>
                <w:sz w:val="21"/>
                <w:szCs w:val="21"/>
                <w:highlight w:val="none"/>
              </w:rPr>
              <w:t>对招标文件响应程度</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32CB4B">
            <w:pPr>
              <w:pStyle w:val="301"/>
              <w:jc w:val="both"/>
              <w:rPr>
                <w:rFonts w:ascii="宋体" w:hAnsi="宋体" w:eastAsia="宋体" w:cs="宋体"/>
                <w:sz w:val="21"/>
                <w:szCs w:val="21"/>
                <w:highlight w:val="none"/>
              </w:rPr>
            </w:pPr>
            <w:r>
              <w:rPr>
                <w:rFonts w:ascii="宋体" w:hAnsi="宋体" w:eastAsia="宋体" w:cs="宋体"/>
                <w:sz w:val="21"/>
                <w:szCs w:val="21"/>
                <w:highlight w:val="none"/>
              </w:rPr>
              <w:t>审查投标文件与招标文件要求的主要条款、条件和技术规格是否相符，是否存在重大偏离或保留。</w:t>
            </w:r>
          </w:p>
        </w:tc>
      </w:tr>
    </w:tbl>
    <w:p w14:paraId="55106B92">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6FB3BBCF">
      <w:pPr>
        <w:spacing w:before="101" w:after="240" w:line="412" w:lineRule="exact"/>
        <w:ind w:left="451"/>
        <w:outlineLvl w:val="1"/>
        <w:rPr>
          <w:rFonts w:ascii="宋体" w:hAnsi="宋体" w:cs="宋体"/>
          <w:b/>
          <w:bCs/>
          <w:color w:val="000000"/>
          <w:spacing w:val="10"/>
          <w:position w:val="2"/>
          <w:sz w:val="24"/>
          <w:highlight w:val="none"/>
        </w:rPr>
      </w:pPr>
      <w:bookmarkStart w:id="153" w:name="_bookmark63"/>
      <w:bookmarkEnd w:id="153"/>
      <w:r>
        <w:rPr>
          <w:rFonts w:ascii="宋体" w:hAnsi="宋体" w:cs="宋体"/>
          <w:b/>
          <w:bCs/>
          <w:color w:val="000000"/>
          <w:spacing w:val="10"/>
          <w:position w:val="2"/>
          <w:sz w:val="24"/>
          <w:highlight w:val="none"/>
        </w:rPr>
        <w:t>5</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磋商记录</w:t>
      </w:r>
    </w:p>
    <w:p w14:paraId="697BC0AD">
      <w:pPr>
        <w:spacing w:before="240"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5.1《磋商记录》包括供应商答复或承诺的内容、磋商文件的变动情况及最后报价等。</w:t>
      </w:r>
    </w:p>
    <w:p w14:paraId="562A7526">
      <w:pPr>
        <w:spacing w:before="101" w:after="240" w:line="412" w:lineRule="exact"/>
        <w:ind w:left="451"/>
        <w:outlineLvl w:val="1"/>
        <w:rPr>
          <w:rFonts w:ascii="宋体" w:hAnsi="宋体" w:cs="宋体"/>
          <w:b/>
          <w:bCs/>
          <w:color w:val="FF0000"/>
          <w:spacing w:val="10"/>
          <w:position w:val="2"/>
          <w:sz w:val="24"/>
          <w:highlight w:val="none"/>
        </w:rPr>
      </w:pPr>
      <w:bookmarkStart w:id="154" w:name="_bookmark64"/>
      <w:bookmarkEnd w:id="154"/>
      <w:r>
        <w:rPr>
          <w:rFonts w:ascii="宋体" w:hAnsi="宋体" w:cs="宋体"/>
          <w:b/>
          <w:bCs/>
          <w:color w:val="000000"/>
          <w:spacing w:val="10"/>
          <w:position w:val="2"/>
          <w:sz w:val="24"/>
          <w:highlight w:val="none"/>
        </w:rPr>
        <w:t>6</w:t>
      </w:r>
      <w:r>
        <w:rPr>
          <w:rFonts w:hint="eastAsia" w:ascii="宋体" w:hAnsi="宋体" w:cs="宋体"/>
          <w:b/>
          <w:bCs/>
          <w:color w:val="000000"/>
          <w:spacing w:val="10"/>
          <w:position w:val="2"/>
          <w:sz w:val="24"/>
          <w:highlight w:val="none"/>
        </w:rPr>
        <w:t>、</w:t>
      </w:r>
      <w:r>
        <w:rPr>
          <w:rFonts w:ascii="宋体" w:hAnsi="宋体" w:cs="宋体"/>
          <w:b/>
          <w:bCs/>
          <w:color w:val="000000"/>
          <w:spacing w:val="10"/>
          <w:position w:val="2"/>
          <w:sz w:val="24"/>
          <w:highlight w:val="none"/>
        </w:rPr>
        <w:t>综合评分</w:t>
      </w:r>
    </w:p>
    <w:p w14:paraId="62B2E266">
      <w:pPr>
        <w:spacing w:line="360" w:lineRule="auto"/>
        <w:ind w:firstLine="476"/>
        <w:rPr>
          <w:rFonts w:ascii="宋体" w:hAnsi="宋体" w:cs="宋体"/>
          <w:color w:val="000000"/>
          <w:spacing w:val="-1"/>
          <w:sz w:val="24"/>
          <w:highlight w:val="none"/>
        </w:rPr>
      </w:pPr>
      <w:r>
        <w:rPr>
          <w:rFonts w:ascii="宋体" w:hAnsi="宋体" w:cs="宋体"/>
          <w:color w:val="000000"/>
          <w:spacing w:val="-1"/>
          <w:sz w:val="24"/>
          <w:highlight w:val="none"/>
        </w:rPr>
        <w:t>经磋商确定最终采购需求和提交最后报价的供应商后，磋商小组采用综合评分法对提交最后报价的供应商的磋商响应文件和最后报价进行综合评分</w:t>
      </w:r>
      <w:r>
        <w:rPr>
          <w:rFonts w:hint="eastAsia" w:ascii="宋体" w:hAnsi="宋体" w:cs="宋体"/>
          <w:color w:val="000000"/>
          <w:spacing w:val="-1"/>
          <w:sz w:val="24"/>
          <w:highlight w:val="none"/>
        </w:rPr>
        <w:t>，</w:t>
      </w:r>
      <w:r>
        <w:rPr>
          <w:rFonts w:ascii="宋体" w:hAnsi="宋体" w:cs="宋体"/>
          <w:color w:val="000000"/>
          <w:spacing w:val="-1"/>
          <w:sz w:val="24"/>
          <w:highlight w:val="none"/>
        </w:rPr>
        <w:t>总分100分。</w:t>
      </w:r>
    </w:p>
    <w:tbl>
      <w:tblPr>
        <w:tblStyle w:val="39"/>
        <w:tblW w:w="517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451"/>
        <w:gridCol w:w="1051"/>
        <w:gridCol w:w="6049"/>
        <w:gridCol w:w="508"/>
        <w:gridCol w:w="850"/>
      </w:tblGrid>
      <w:tr w14:paraId="02E2E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tblHeader/>
          <w:jc w:val="center"/>
        </w:trPr>
        <w:tc>
          <w:tcPr>
            <w:tcW w:w="253" w:type="pct"/>
          </w:tcPr>
          <w:p w14:paraId="6D53DB83">
            <w:pPr>
              <w:spacing w:before="122" w:line="288" w:lineRule="auto"/>
              <w:jc w:val="center"/>
              <w:rPr>
                <w:rFonts w:ascii="宋体" w:hAnsi="宋体" w:cs="宋体"/>
                <w:b/>
                <w:bCs/>
                <w:color w:val="000000"/>
                <w:spacing w:val="-3"/>
                <w:highlight w:val="none"/>
              </w:rPr>
            </w:pPr>
            <w:r>
              <w:rPr>
                <w:rFonts w:ascii="宋体" w:hAnsi="宋体" w:cs="宋体"/>
                <w:b/>
                <w:bCs/>
                <w:color w:val="000000"/>
                <w:spacing w:val="-3"/>
                <w:highlight w:val="none"/>
              </w:rPr>
              <w:t>序号</w:t>
            </w:r>
          </w:p>
        </w:tc>
        <w:tc>
          <w:tcPr>
            <w:tcW w:w="590" w:type="pct"/>
          </w:tcPr>
          <w:p w14:paraId="6A04BDCB">
            <w:pPr>
              <w:spacing w:before="122" w:line="288" w:lineRule="auto"/>
              <w:jc w:val="center"/>
              <w:rPr>
                <w:rFonts w:ascii="宋体" w:hAnsi="宋体" w:cs="宋体"/>
                <w:b/>
                <w:bCs/>
                <w:color w:val="000000"/>
                <w:spacing w:val="-3"/>
                <w:highlight w:val="none"/>
              </w:rPr>
            </w:pPr>
            <w:r>
              <w:rPr>
                <w:rFonts w:ascii="宋体" w:hAnsi="宋体" w:cs="宋体"/>
                <w:b/>
                <w:bCs/>
                <w:color w:val="000000"/>
                <w:spacing w:val="-3"/>
                <w:highlight w:val="none"/>
              </w:rPr>
              <w:t>评审因素</w:t>
            </w:r>
          </w:p>
        </w:tc>
        <w:tc>
          <w:tcPr>
            <w:tcW w:w="3395" w:type="pct"/>
          </w:tcPr>
          <w:p w14:paraId="45016F60">
            <w:pPr>
              <w:spacing w:before="122" w:line="288" w:lineRule="auto"/>
              <w:jc w:val="center"/>
              <w:rPr>
                <w:rFonts w:ascii="宋体" w:hAnsi="宋体" w:cs="宋体"/>
                <w:b/>
                <w:bCs/>
                <w:color w:val="000000"/>
                <w:spacing w:val="-3"/>
                <w:highlight w:val="none"/>
              </w:rPr>
            </w:pPr>
            <w:r>
              <w:rPr>
                <w:rFonts w:ascii="宋体" w:hAnsi="宋体" w:cs="宋体"/>
                <w:b/>
                <w:bCs/>
                <w:color w:val="000000"/>
                <w:spacing w:val="-3"/>
                <w:highlight w:val="none"/>
              </w:rPr>
              <w:t>评审细则</w:t>
            </w:r>
          </w:p>
        </w:tc>
        <w:tc>
          <w:tcPr>
            <w:tcW w:w="285" w:type="pct"/>
          </w:tcPr>
          <w:p w14:paraId="4EC92B87">
            <w:pPr>
              <w:spacing w:before="122" w:line="288" w:lineRule="auto"/>
              <w:jc w:val="center"/>
              <w:rPr>
                <w:rFonts w:ascii="宋体" w:hAnsi="宋体" w:cs="宋体"/>
                <w:b/>
                <w:bCs/>
                <w:color w:val="000000"/>
                <w:spacing w:val="-3"/>
                <w:highlight w:val="none"/>
              </w:rPr>
            </w:pPr>
            <w:r>
              <w:rPr>
                <w:rFonts w:ascii="宋体" w:hAnsi="宋体" w:cs="宋体"/>
                <w:b/>
                <w:bCs/>
                <w:color w:val="000000"/>
                <w:spacing w:val="-3"/>
                <w:highlight w:val="none"/>
              </w:rPr>
              <w:t>分值</w:t>
            </w:r>
          </w:p>
        </w:tc>
        <w:tc>
          <w:tcPr>
            <w:tcW w:w="473" w:type="pct"/>
          </w:tcPr>
          <w:p w14:paraId="6CB9A9A2">
            <w:pPr>
              <w:spacing w:before="122" w:line="288" w:lineRule="auto"/>
              <w:jc w:val="center"/>
              <w:rPr>
                <w:rFonts w:ascii="宋体" w:hAnsi="宋体" w:cs="宋体"/>
                <w:b/>
                <w:bCs/>
                <w:color w:val="000000"/>
                <w:spacing w:val="-3"/>
                <w:highlight w:val="none"/>
              </w:rPr>
            </w:pPr>
            <w:r>
              <w:rPr>
                <w:rFonts w:ascii="宋体" w:hAnsi="宋体" w:cs="宋体"/>
                <w:b/>
                <w:bCs/>
                <w:color w:val="000000"/>
                <w:spacing w:val="-3"/>
                <w:highlight w:val="none"/>
              </w:rPr>
              <w:t>类型</w:t>
            </w:r>
          </w:p>
        </w:tc>
      </w:tr>
      <w:tr w14:paraId="57B70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5000" w:type="pct"/>
            <w:gridSpan w:val="5"/>
          </w:tcPr>
          <w:p w14:paraId="2BF51F87">
            <w:pPr>
              <w:spacing w:before="122" w:line="264" w:lineRule="auto"/>
              <w:ind w:left="114"/>
              <w:jc w:val="center"/>
              <w:rPr>
                <w:rFonts w:ascii="宋体" w:hAnsi="宋体" w:cs="宋体"/>
                <w:color w:val="000000"/>
                <w:highlight w:val="none"/>
              </w:rPr>
            </w:pPr>
            <w:r>
              <w:rPr>
                <w:rFonts w:hint="eastAsia" w:ascii="宋体" w:hAnsi="宋体" w:cs="宋体"/>
                <w:b/>
                <w:bCs/>
                <w:color w:val="000000"/>
                <w:spacing w:val="-3"/>
                <w:highlight w:val="none"/>
              </w:rPr>
              <w:t>一、价格部分（</w:t>
            </w:r>
            <w:r>
              <w:rPr>
                <w:rFonts w:hint="eastAsia" w:ascii="宋体" w:hAnsi="宋体" w:cs="宋体"/>
                <w:b/>
                <w:bCs/>
                <w:color w:val="000000"/>
                <w:spacing w:val="-3"/>
                <w:highlight w:val="none"/>
                <w:lang w:val="en-US" w:eastAsia="zh-CN"/>
              </w:rPr>
              <w:t>2</w:t>
            </w:r>
            <w:r>
              <w:rPr>
                <w:rFonts w:hint="eastAsia" w:ascii="宋体" w:hAnsi="宋体" w:cs="宋体"/>
                <w:b/>
                <w:bCs/>
                <w:color w:val="000000"/>
                <w:spacing w:val="-3"/>
                <w:highlight w:val="none"/>
              </w:rPr>
              <w:t>0分）</w:t>
            </w:r>
          </w:p>
        </w:tc>
      </w:tr>
      <w:tr w14:paraId="10062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592FB2D1">
            <w:pPr>
              <w:spacing w:before="68" w:line="264" w:lineRule="auto"/>
              <w:jc w:val="center"/>
              <w:rPr>
                <w:rFonts w:ascii="宋体" w:hAnsi="宋体" w:cs="宋体"/>
                <w:color w:val="000000"/>
                <w:highlight w:val="none"/>
              </w:rPr>
            </w:pPr>
            <w:r>
              <w:rPr>
                <w:rFonts w:hint="eastAsia" w:ascii="宋体" w:hAnsi="宋体" w:cs="宋体"/>
                <w:color w:val="000000"/>
                <w:spacing w:val="-6"/>
                <w:highlight w:val="none"/>
              </w:rPr>
              <w:t>1</w:t>
            </w:r>
          </w:p>
        </w:tc>
        <w:tc>
          <w:tcPr>
            <w:tcW w:w="590" w:type="pct"/>
            <w:vAlign w:val="center"/>
          </w:tcPr>
          <w:p w14:paraId="7105D6CC">
            <w:pPr>
              <w:spacing w:before="68" w:line="264" w:lineRule="auto"/>
              <w:jc w:val="center"/>
              <w:rPr>
                <w:rFonts w:ascii="宋体" w:hAnsi="宋体" w:cs="宋体"/>
                <w:color w:val="000000"/>
                <w:highlight w:val="none"/>
              </w:rPr>
            </w:pPr>
            <w:r>
              <w:rPr>
                <w:rFonts w:hint="eastAsia" w:ascii="宋体" w:hAnsi="宋体" w:cs="宋体"/>
                <w:color w:val="000000"/>
                <w:highlight w:val="none"/>
              </w:rPr>
              <w:t>投标报价</w:t>
            </w:r>
          </w:p>
        </w:tc>
        <w:tc>
          <w:tcPr>
            <w:tcW w:w="3395" w:type="pct"/>
            <w:vAlign w:val="center"/>
          </w:tcPr>
          <w:p w14:paraId="24DB7D8B">
            <w:pPr>
              <w:spacing w:line="264" w:lineRule="auto"/>
              <w:jc w:val="left"/>
              <w:rPr>
                <w:rFonts w:hint="eastAsia" w:ascii="宋体" w:hAnsi="宋体" w:cs="宋体"/>
                <w:bCs/>
                <w:szCs w:val="21"/>
                <w:highlight w:val="none"/>
              </w:rPr>
            </w:pPr>
            <w:r>
              <w:rPr>
                <w:rFonts w:hint="eastAsia" w:ascii="宋体" w:hAnsi="宋体" w:cs="宋体"/>
                <w:bCs/>
                <w:szCs w:val="21"/>
                <w:highlight w:val="none"/>
              </w:rPr>
              <w:t>综合评分法中的价格分采用低价优先法计算，即满足磋商文件要求且最后报价最低的供应商的价格为磋商基准价，其价格分为满分</w:t>
            </w:r>
            <w:r>
              <w:rPr>
                <w:rFonts w:hint="eastAsia" w:ascii="宋体" w:hAnsi="宋体" w:cs="宋体"/>
                <w:bCs/>
                <w:szCs w:val="21"/>
                <w:highlight w:val="none"/>
                <w:lang w:val="en-US" w:eastAsia="zh-CN"/>
              </w:rPr>
              <w:t>20</w:t>
            </w:r>
            <w:r>
              <w:rPr>
                <w:rFonts w:hint="eastAsia" w:ascii="宋体" w:hAnsi="宋体" w:cs="宋体"/>
                <w:bCs/>
                <w:szCs w:val="21"/>
                <w:highlight w:val="none"/>
              </w:rPr>
              <w:t>分。其他供应商的价格分统一按照下列公式计算：磋商报价得分=(磋商基准价／最后磋商报价)×</w:t>
            </w:r>
            <w:r>
              <w:rPr>
                <w:rFonts w:hint="eastAsia" w:ascii="宋体" w:hAnsi="宋体" w:cs="宋体"/>
                <w:bCs/>
                <w:szCs w:val="21"/>
                <w:highlight w:val="none"/>
                <w:lang w:val="en-US" w:eastAsia="zh-CN"/>
              </w:rPr>
              <w:t>20</w:t>
            </w:r>
            <w:r>
              <w:rPr>
                <w:rFonts w:hint="eastAsia" w:ascii="宋体" w:hAnsi="宋体" w:cs="宋体"/>
                <w:bCs/>
                <w:szCs w:val="21"/>
                <w:highlight w:val="none"/>
              </w:rPr>
              <w:t>。</w:t>
            </w:r>
          </w:p>
          <w:p w14:paraId="383E98B1">
            <w:pPr>
              <w:spacing w:line="264" w:lineRule="auto"/>
              <w:jc w:val="left"/>
              <w:rPr>
                <w:rFonts w:ascii="宋体" w:hAnsi="宋体" w:cs="宋体"/>
                <w:b/>
                <w:bCs/>
                <w:color w:val="000000"/>
                <w:spacing w:val="-1"/>
                <w:highlight w:val="none"/>
              </w:rPr>
            </w:pPr>
            <w:r>
              <w:rPr>
                <w:rFonts w:hint="eastAsia" w:ascii="宋体" w:hAnsi="宋体" w:cs="宋体"/>
                <w:b/>
                <w:bCs/>
                <w:color w:val="000000"/>
                <w:spacing w:val="-1"/>
                <w:highlight w:val="none"/>
              </w:rPr>
              <w:t>注1：根据财政部、工信部《政府采购促进中小企业发展管理办法》的规定，对小型和微型企业提供服务的，对其价格给予10%的调减，以调减后的价格计算价格分。《中小企业声明函》填写格式见第六部分磋商响应文件格式。</w:t>
            </w:r>
          </w:p>
          <w:p w14:paraId="567FFB5A">
            <w:pPr>
              <w:spacing w:line="264" w:lineRule="auto"/>
              <w:jc w:val="left"/>
              <w:rPr>
                <w:highlight w:val="none"/>
              </w:rPr>
            </w:pPr>
            <w:r>
              <w:rPr>
                <w:rFonts w:hint="eastAsia" w:ascii="宋体" w:hAnsi="宋体" w:cs="宋体"/>
                <w:b/>
                <w:bCs/>
                <w:color w:val="000000"/>
                <w:spacing w:val="-1"/>
                <w:highlight w:val="none"/>
              </w:rPr>
              <w:t>注2：如果供应商报价属于财库〔2026〕2号文审查情形的，评审委员会将开展异常低价审查。</w:t>
            </w:r>
          </w:p>
        </w:tc>
        <w:tc>
          <w:tcPr>
            <w:tcW w:w="285" w:type="pct"/>
            <w:vAlign w:val="center"/>
          </w:tcPr>
          <w:p w14:paraId="0AD147B1">
            <w:pPr>
              <w:spacing w:before="68" w:line="264" w:lineRule="auto"/>
              <w:jc w:val="center"/>
              <w:rPr>
                <w:rFonts w:hint="default" w:ascii="宋体" w:hAnsi="宋体" w:eastAsia="宋体" w:cs="宋体"/>
                <w:color w:val="000000"/>
                <w:spacing w:val="-4"/>
                <w:highlight w:val="none"/>
                <w:lang w:val="en-US" w:eastAsia="zh-CN"/>
              </w:rPr>
            </w:pPr>
            <w:r>
              <w:rPr>
                <w:rFonts w:hint="eastAsia" w:ascii="宋体" w:hAnsi="宋体" w:cs="宋体"/>
                <w:color w:val="000000"/>
                <w:spacing w:val="-4"/>
                <w:highlight w:val="none"/>
                <w:lang w:val="en-US" w:eastAsia="zh-CN"/>
              </w:rPr>
              <w:t>20</w:t>
            </w:r>
          </w:p>
        </w:tc>
        <w:tc>
          <w:tcPr>
            <w:tcW w:w="473" w:type="pct"/>
            <w:vAlign w:val="center"/>
          </w:tcPr>
          <w:p w14:paraId="36BFAB6D">
            <w:pPr>
              <w:spacing w:before="68" w:line="264" w:lineRule="auto"/>
              <w:jc w:val="center"/>
              <w:rPr>
                <w:rFonts w:ascii="宋体" w:hAnsi="宋体" w:cs="宋体"/>
                <w:color w:val="000000"/>
                <w:spacing w:val="-4"/>
                <w:highlight w:val="none"/>
              </w:rPr>
            </w:pPr>
            <w:r>
              <w:rPr>
                <w:rFonts w:hint="eastAsia" w:ascii="宋体" w:hAnsi="宋体" w:cs="宋体"/>
                <w:color w:val="000000"/>
                <w:spacing w:val="-4"/>
                <w:highlight w:val="none"/>
              </w:rPr>
              <w:t>客观分</w:t>
            </w:r>
          </w:p>
        </w:tc>
      </w:tr>
      <w:tr w14:paraId="3558B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5000" w:type="pct"/>
            <w:gridSpan w:val="5"/>
          </w:tcPr>
          <w:p w14:paraId="1E4F9805">
            <w:pPr>
              <w:spacing w:before="123" w:line="264" w:lineRule="auto"/>
              <w:ind w:left="114"/>
              <w:jc w:val="center"/>
              <w:rPr>
                <w:highlight w:val="none"/>
              </w:rPr>
            </w:pPr>
            <w:r>
              <w:rPr>
                <w:rFonts w:hint="eastAsia" w:ascii="宋体" w:hAnsi="宋体" w:cs="宋体"/>
                <w:b/>
                <w:bCs/>
                <w:color w:val="000000"/>
                <w:spacing w:val="-3"/>
                <w:highlight w:val="none"/>
              </w:rPr>
              <w:t>二、技术部分（</w:t>
            </w:r>
            <w:r>
              <w:rPr>
                <w:rFonts w:hint="eastAsia" w:ascii="宋体" w:hAnsi="宋体" w:cs="宋体"/>
                <w:b/>
                <w:bCs/>
                <w:color w:val="000000"/>
                <w:spacing w:val="-3"/>
                <w:highlight w:val="none"/>
                <w:lang w:val="en-US" w:eastAsia="zh-CN"/>
              </w:rPr>
              <w:t>44</w:t>
            </w:r>
            <w:r>
              <w:rPr>
                <w:rFonts w:hint="eastAsia" w:ascii="宋体" w:hAnsi="宋体" w:cs="宋体"/>
                <w:b/>
                <w:bCs/>
                <w:color w:val="000000"/>
                <w:spacing w:val="-3"/>
                <w:highlight w:val="none"/>
              </w:rPr>
              <w:t>分）</w:t>
            </w:r>
          </w:p>
        </w:tc>
      </w:tr>
      <w:tr w14:paraId="4145AF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445C5F47">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1</w:t>
            </w:r>
          </w:p>
        </w:tc>
        <w:tc>
          <w:tcPr>
            <w:tcW w:w="590" w:type="pct"/>
            <w:vAlign w:val="center"/>
          </w:tcPr>
          <w:p w14:paraId="36849FED">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项目理解评价</w:t>
            </w:r>
          </w:p>
        </w:tc>
        <w:tc>
          <w:tcPr>
            <w:tcW w:w="3395" w:type="pct"/>
            <w:vAlign w:val="center"/>
          </w:tcPr>
          <w:p w14:paraId="1A04EA2D">
            <w:pP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根据供应商提供的对本项目的理解</w:t>
            </w:r>
            <w:r>
              <w:rPr>
                <w:rFonts w:hint="eastAsia" w:asciiTheme="minorEastAsia" w:hAnsiTheme="minorEastAsia" w:eastAsiaTheme="minorEastAsia" w:cstheme="minorEastAsia"/>
                <w:color w:val="auto"/>
                <w:szCs w:val="21"/>
                <w:highlight w:val="none"/>
              </w:rPr>
              <w:t>进行评分</w:t>
            </w:r>
            <w:r>
              <w:rPr>
                <w:rFonts w:hint="eastAsia" w:asciiTheme="minorEastAsia" w:hAnsiTheme="minorEastAsia" w:eastAsiaTheme="minorEastAsia" w:cstheme="minorEastAsia"/>
                <w:highlight w:val="none"/>
                <w:lang w:val="en-US" w:eastAsia="zh-CN"/>
              </w:rPr>
              <w:t>，包括①国家医疗保障信息平台总体思路、②国家医疗保障局医疗保障信息平台在江苏省建设实现路径。</w:t>
            </w:r>
          </w:p>
          <w:p w14:paraId="4D4E476E">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完全包含上述要点的得</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分，缺一项扣</w:t>
            </w: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rPr>
              <w:t>分，未提供方案的不得分。</w:t>
            </w:r>
          </w:p>
          <w:p w14:paraId="1015BF2B">
            <w:pPr>
              <w:pStyle w:val="15"/>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方案能够结合</w:t>
            </w:r>
            <w:r>
              <w:rPr>
                <w:rFonts w:hint="eastAsia" w:asciiTheme="minorEastAsia" w:hAnsiTheme="minorEastAsia" w:eastAsiaTheme="minorEastAsia" w:cstheme="minorEastAsia"/>
                <w:highlight w:val="none"/>
                <w:lang w:val="en-US" w:eastAsia="zh-CN"/>
              </w:rPr>
              <w:t>平台</w:t>
            </w:r>
            <w:r>
              <w:rPr>
                <w:rFonts w:hint="eastAsia" w:asciiTheme="minorEastAsia" w:hAnsiTheme="minorEastAsia" w:eastAsiaTheme="minorEastAsia" w:cstheme="minorEastAsia"/>
                <w:highlight w:val="none"/>
              </w:rPr>
              <w:t>现状</w:t>
            </w:r>
            <w:r>
              <w:rPr>
                <w:rFonts w:hint="eastAsia" w:asciiTheme="minorEastAsia" w:hAnsiTheme="minorEastAsia" w:eastAsiaTheme="minorEastAsia" w:cstheme="minorEastAsia"/>
                <w:highlight w:val="none"/>
                <w:lang w:val="en-US" w:eastAsia="zh-CN"/>
              </w:rPr>
              <w:t>及采购人实际需求</w:t>
            </w:r>
            <w:r>
              <w:rPr>
                <w:rFonts w:hint="eastAsia" w:asciiTheme="minorEastAsia" w:hAnsiTheme="minorEastAsia" w:eastAsiaTheme="minorEastAsia" w:cstheme="minorEastAsia"/>
                <w:highlight w:val="none"/>
              </w:rPr>
              <w:t>开展分析的加2分。</w:t>
            </w:r>
          </w:p>
          <w:p w14:paraId="2A4580EA">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提供</w:t>
            </w:r>
            <w:r>
              <w:rPr>
                <w:rFonts w:hint="eastAsia" w:asciiTheme="minorEastAsia" w:hAnsiTheme="minorEastAsia" w:eastAsiaTheme="minorEastAsia" w:cstheme="minorEastAsia"/>
                <w:highlight w:val="none"/>
              </w:rPr>
              <w:t>项目整体实施工作计划</w:t>
            </w:r>
            <w:r>
              <w:rPr>
                <w:rFonts w:hint="eastAsia" w:asciiTheme="minorEastAsia" w:hAnsiTheme="minorEastAsia" w:eastAsiaTheme="minorEastAsia" w:cstheme="minorEastAsia"/>
                <w:highlight w:val="none"/>
                <w:lang w:eastAsia="zh-CN"/>
              </w:rPr>
              <w:t>的</w:t>
            </w:r>
            <w:r>
              <w:rPr>
                <w:rFonts w:hint="eastAsia" w:asciiTheme="minorEastAsia" w:hAnsiTheme="minorEastAsia" w:eastAsiaTheme="minorEastAsia" w:cstheme="minorEastAsia"/>
                <w:highlight w:val="none"/>
                <w:lang w:val="en-US" w:eastAsia="zh-CN"/>
              </w:rPr>
              <w:t>加2分。</w:t>
            </w:r>
          </w:p>
          <w:p w14:paraId="2BB7BB6D">
            <w:pPr>
              <w:snapToGrid w:val="0"/>
              <w:ind w:hanging="2" w:firstLineChars="0"/>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highlight w:val="none"/>
                <w:lang w:val="en-US" w:eastAsia="zh-CN"/>
              </w:rPr>
              <w:t>本项最高可得10分。</w:t>
            </w:r>
          </w:p>
        </w:tc>
        <w:tc>
          <w:tcPr>
            <w:tcW w:w="285" w:type="pct"/>
            <w:vAlign w:val="center"/>
          </w:tcPr>
          <w:p w14:paraId="5F0F82B9">
            <w:pPr>
              <w:spacing w:before="68" w:line="264" w:lineRule="auto"/>
              <w:jc w:val="center"/>
              <w:rPr>
                <w:rFonts w:hint="default" w:ascii="宋体" w:hAnsi="宋体" w:eastAsia="宋体" w:cs="宋体"/>
                <w:color w:val="000000"/>
                <w:spacing w:val="-4"/>
                <w:highlight w:val="none"/>
                <w:lang w:val="en-US" w:eastAsia="zh-CN"/>
              </w:rPr>
            </w:pPr>
            <w:r>
              <w:rPr>
                <w:rFonts w:hint="eastAsia" w:ascii="宋体" w:hAnsi="宋体" w:cs="宋体"/>
                <w:color w:val="000000"/>
                <w:spacing w:val="-4"/>
                <w:highlight w:val="none"/>
                <w:lang w:val="en-US" w:eastAsia="zh-CN"/>
              </w:rPr>
              <w:t>10</w:t>
            </w:r>
          </w:p>
        </w:tc>
        <w:tc>
          <w:tcPr>
            <w:tcW w:w="473" w:type="pct"/>
            <w:vAlign w:val="center"/>
          </w:tcPr>
          <w:p w14:paraId="3AC1D274">
            <w:pPr>
              <w:spacing w:before="68" w:line="264" w:lineRule="auto"/>
              <w:jc w:val="center"/>
              <w:rPr>
                <w:rFonts w:ascii="宋体" w:hAnsi="宋体" w:cs="宋体"/>
                <w:color w:val="000000"/>
                <w:spacing w:val="-6"/>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76F3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7892D526">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2</w:t>
            </w:r>
          </w:p>
        </w:tc>
        <w:tc>
          <w:tcPr>
            <w:tcW w:w="590" w:type="pct"/>
            <w:vAlign w:val="center"/>
          </w:tcPr>
          <w:p w14:paraId="32DF836F">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项目运维需求分析</w:t>
            </w:r>
          </w:p>
        </w:tc>
        <w:tc>
          <w:tcPr>
            <w:tcW w:w="3395" w:type="pct"/>
            <w:vAlign w:val="center"/>
          </w:tcPr>
          <w:p w14:paraId="4CA7CFC8">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根据供应商提供的</w:t>
            </w:r>
            <w:r>
              <w:rPr>
                <w:rFonts w:hint="eastAsia" w:asciiTheme="minorEastAsia" w:hAnsiTheme="minorEastAsia" w:eastAsiaTheme="minorEastAsia" w:cstheme="minorEastAsia"/>
                <w:highlight w:val="none"/>
              </w:rPr>
              <w:t>对本项目运维需求</w:t>
            </w:r>
            <w:r>
              <w:rPr>
                <w:rFonts w:hint="eastAsia" w:asciiTheme="minorEastAsia" w:hAnsiTheme="minorEastAsia" w:eastAsiaTheme="minorEastAsia" w:cstheme="minorEastAsia"/>
                <w:highlight w:val="none"/>
                <w:lang w:val="en-US" w:eastAsia="zh-CN"/>
              </w:rPr>
              <w:t>分析</w:t>
            </w:r>
            <w:r>
              <w:rPr>
                <w:rFonts w:hint="eastAsia" w:asciiTheme="minorEastAsia" w:hAnsiTheme="minorEastAsia" w:eastAsiaTheme="minorEastAsia" w:cstheme="minorEastAsia"/>
                <w:color w:val="auto"/>
                <w:szCs w:val="21"/>
                <w:highlight w:val="none"/>
              </w:rPr>
              <w:t>进行评分</w:t>
            </w:r>
            <w:r>
              <w:rPr>
                <w:rFonts w:hint="eastAsia" w:asciiTheme="minorEastAsia" w:hAnsiTheme="minorEastAsia" w:eastAsiaTheme="minorEastAsia" w:cstheme="minorEastAsia"/>
                <w:highlight w:val="none"/>
              </w:rPr>
              <w:t>，包括①对</w:t>
            </w:r>
            <w:r>
              <w:rPr>
                <w:rFonts w:hint="eastAsia" w:asciiTheme="minorEastAsia" w:hAnsiTheme="minorEastAsia" w:eastAsiaTheme="minorEastAsia" w:cstheme="minorEastAsia"/>
                <w:highlight w:val="none"/>
                <w:lang w:val="en-US" w:eastAsia="zh-CN"/>
              </w:rPr>
              <w:t>镇江</w:t>
            </w:r>
            <w:r>
              <w:rPr>
                <w:rFonts w:hint="eastAsia" w:asciiTheme="minorEastAsia" w:hAnsiTheme="minorEastAsia" w:eastAsiaTheme="minorEastAsia" w:cstheme="minorEastAsia"/>
                <w:highlight w:val="none"/>
              </w:rPr>
              <w:t>市医保信息化现状</w:t>
            </w:r>
            <w:r>
              <w:rPr>
                <w:rFonts w:hint="eastAsia" w:asciiTheme="minorEastAsia" w:hAnsiTheme="minorEastAsia" w:eastAsiaTheme="minorEastAsia" w:cstheme="minorEastAsia"/>
                <w:highlight w:val="none"/>
                <w:lang w:val="en-US" w:eastAsia="zh-CN"/>
              </w:rPr>
              <w:t>分析</w:t>
            </w:r>
            <w:r>
              <w:rPr>
                <w:rFonts w:hint="eastAsia" w:asciiTheme="minorEastAsia" w:hAnsiTheme="minorEastAsia" w:eastAsiaTheme="minorEastAsia" w:cstheme="minorEastAsia"/>
                <w:highlight w:val="none"/>
              </w:rPr>
              <w:t>、②本项目需求理解</w:t>
            </w:r>
            <w:r>
              <w:rPr>
                <w:rFonts w:hint="eastAsia" w:asciiTheme="minorEastAsia" w:hAnsiTheme="minorEastAsia" w:eastAsiaTheme="minorEastAsia" w:cstheme="minorEastAsia"/>
                <w:highlight w:val="none"/>
                <w:lang w:val="en-US" w:eastAsia="zh-CN"/>
              </w:rPr>
              <w:t>及</w:t>
            </w:r>
            <w:r>
              <w:rPr>
                <w:rFonts w:hint="eastAsia" w:asciiTheme="minorEastAsia" w:hAnsiTheme="minorEastAsia" w:eastAsiaTheme="minorEastAsia" w:cstheme="minorEastAsia"/>
                <w:highlight w:val="none"/>
              </w:rPr>
              <w:t>重难点问题分析应对等。</w:t>
            </w:r>
          </w:p>
          <w:p w14:paraId="53C2AE87">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完全包含上述要点的得</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分，缺一项扣</w:t>
            </w: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rPr>
              <w:t>分，未提供方案的不得分。</w:t>
            </w:r>
          </w:p>
          <w:p w14:paraId="4BFA6803">
            <w:pPr>
              <w:pStyle w:val="15"/>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充分考虑新旧维保服务商交替衔接风险，明确交接过渡流程、资料移交、风险处置措施的加2分</w:t>
            </w:r>
            <w:r>
              <w:rPr>
                <w:rFonts w:hint="eastAsia" w:asciiTheme="minorEastAsia" w:hAnsiTheme="minorEastAsia" w:eastAsiaTheme="minorEastAsia" w:cstheme="minorEastAsia"/>
                <w:highlight w:val="none"/>
                <w:lang w:eastAsia="zh-CN"/>
              </w:rPr>
              <w:t>。</w:t>
            </w:r>
          </w:p>
          <w:p w14:paraId="7E367D48">
            <w:pPr>
              <w:snapToGrid w:val="0"/>
              <w:rPr>
                <w:rFonts w:hint="eastAsia" w:asciiTheme="minorEastAsia" w:hAnsiTheme="minorEastAsia" w:eastAsiaTheme="minorEastAsia" w:cstheme="minorEastAsia"/>
                <w:b/>
                <w:bCs/>
                <w:highlight w:val="none"/>
                <w:lang w:val="en-US" w:eastAsia="zh-CN"/>
              </w:rPr>
            </w:pPr>
            <w:r>
              <w:rPr>
                <w:rFonts w:hint="eastAsia" w:asciiTheme="minorEastAsia" w:hAnsiTheme="minorEastAsia" w:eastAsiaTheme="minorEastAsia" w:cstheme="minorEastAsia"/>
                <w:highlight w:val="none"/>
                <w:lang w:val="en-US" w:eastAsia="zh-CN"/>
              </w:rPr>
              <w:t>针对</w:t>
            </w:r>
            <w:r>
              <w:rPr>
                <w:rFonts w:hint="eastAsia" w:asciiTheme="minorEastAsia" w:hAnsiTheme="minorEastAsia" w:eastAsiaTheme="minorEastAsia" w:cstheme="minorEastAsia"/>
                <w:highlight w:val="none"/>
              </w:rPr>
              <w:t>本项目</w:t>
            </w:r>
            <w:r>
              <w:rPr>
                <w:rFonts w:hint="eastAsia" w:asciiTheme="minorEastAsia" w:hAnsiTheme="minorEastAsia" w:eastAsiaTheme="minorEastAsia" w:cstheme="minorEastAsia"/>
                <w:highlight w:val="none"/>
                <w:lang w:val="en-US" w:eastAsia="zh-CN"/>
              </w:rPr>
              <w:t>实施</w:t>
            </w:r>
            <w:r>
              <w:rPr>
                <w:rFonts w:hint="eastAsia" w:asciiTheme="minorEastAsia" w:hAnsiTheme="minorEastAsia" w:eastAsiaTheme="minorEastAsia" w:cstheme="minorEastAsia"/>
                <w:highlight w:val="none"/>
              </w:rPr>
              <w:t>重难点</w:t>
            </w:r>
            <w:r>
              <w:rPr>
                <w:rFonts w:hint="eastAsia" w:asciiTheme="minorEastAsia" w:hAnsiTheme="minorEastAsia" w:eastAsiaTheme="minorEastAsia" w:cstheme="minorEastAsia"/>
                <w:highlight w:val="none"/>
                <w:lang w:val="en-US" w:eastAsia="zh-CN"/>
              </w:rPr>
              <w:t>能够</w:t>
            </w:r>
            <w:r>
              <w:rPr>
                <w:rFonts w:hint="eastAsia" w:asciiTheme="minorEastAsia" w:hAnsiTheme="minorEastAsia" w:eastAsiaTheme="minorEastAsia" w:cstheme="minorEastAsia"/>
                <w:highlight w:val="none"/>
              </w:rPr>
              <w:t>提出对应</w:t>
            </w:r>
            <w:r>
              <w:rPr>
                <w:rFonts w:hint="eastAsia" w:asciiTheme="minorEastAsia" w:hAnsiTheme="minorEastAsia" w:eastAsiaTheme="minorEastAsia" w:cstheme="minorEastAsia"/>
                <w:highlight w:val="none"/>
                <w:lang w:val="en-US" w:eastAsia="zh-CN"/>
              </w:rPr>
              <w:t>可行</w:t>
            </w:r>
            <w:r>
              <w:rPr>
                <w:rFonts w:hint="eastAsia" w:asciiTheme="minorEastAsia" w:hAnsiTheme="minorEastAsia" w:eastAsiaTheme="minorEastAsia" w:cstheme="minorEastAsia"/>
                <w:highlight w:val="none"/>
              </w:rPr>
              <w:t>处置思路的加2分</w:t>
            </w:r>
            <w:r>
              <w:rPr>
                <w:rFonts w:hint="eastAsia" w:asciiTheme="minorEastAsia" w:hAnsiTheme="minorEastAsia" w:eastAsiaTheme="minorEastAsia" w:cstheme="minorEastAsia"/>
                <w:highlight w:val="none"/>
                <w:lang w:eastAsia="zh-CN"/>
              </w:rPr>
              <w:t>。</w:t>
            </w:r>
          </w:p>
          <w:p w14:paraId="13313E3E">
            <w:pPr>
              <w:snapToGrid w:val="0"/>
              <w:rPr>
                <w:rFonts w:hint="eastAsia" w:asciiTheme="minorEastAsia" w:hAnsiTheme="minorEastAsia" w:eastAsiaTheme="minorEastAsia" w:cstheme="minorEastAsia"/>
                <w:color w:val="000000"/>
                <w:spacing w:val="-1"/>
                <w:highlight w:val="none"/>
              </w:rPr>
            </w:pPr>
            <w:r>
              <w:rPr>
                <w:rFonts w:hint="eastAsia" w:asciiTheme="minorEastAsia" w:hAnsiTheme="minorEastAsia" w:eastAsiaTheme="minorEastAsia" w:cstheme="minorEastAsia"/>
                <w:b/>
                <w:bCs/>
                <w:highlight w:val="none"/>
                <w:lang w:val="en-US" w:eastAsia="zh-CN"/>
              </w:rPr>
              <w:t>本项最高可得10分。</w:t>
            </w:r>
          </w:p>
        </w:tc>
        <w:tc>
          <w:tcPr>
            <w:tcW w:w="285" w:type="pct"/>
            <w:vAlign w:val="center"/>
          </w:tcPr>
          <w:p w14:paraId="21CFFCC2">
            <w:pPr>
              <w:spacing w:before="68" w:line="264" w:lineRule="auto"/>
              <w:jc w:val="center"/>
              <w:rPr>
                <w:rFonts w:hint="default" w:ascii="宋体" w:hAnsi="宋体" w:eastAsia="宋体" w:cs="宋体"/>
                <w:color w:val="000000"/>
                <w:spacing w:val="-4"/>
                <w:szCs w:val="21"/>
                <w:highlight w:val="none"/>
                <w:lang w:val="en-US" w:eastAsia="zh-CN"/>
              </w:rPr>
            </w:pPr>
            <w:r>
              <w:rPr>
                <w:rFonts w:hint="eastAsia" w:ascii="宋体" w:hAnsi="宋体" w:cs="宋体"/>
                <w:color w:val="000000"/>
                <w:spacing w:val="-4"/>
                <w:highlight w:val="none"/>
                <w:lang w:val="en-US" w:eastAsia="zh-CN"/>
              </w:rPr>
              <w:t>10</w:t>
            </w:r>
          </w:p>
        </w:tc>
        <w:tc>
          <w:tcPr>
            <w:tcW w:w="473" w:type="pct"/>
            <w:vAlign w:val="center"/>
          </w:tcPr>
          <w:p w14:paraId="24EE032A">
            <w:pPr>
              <w:spacing w:before="68" w:line="264" w:lineRule="auto"/>
              <w:jc w:val="center"/>
              <w:rPr>
                <w:rFonts w:ascii="宋体" w:hAnsi="宋体" w:cs="宋体"/>
                <w:color w:val="000000"/>
                <w:szCs w:val="21"/>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68E0E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219934DB">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3</w:t>
            </w:r>
          </w:p>
        </w:tc>
        <w:tc>
          <w:tcPr>
            <w:tcW w:w="590" w:type="pct"/>
            <w:vAlign w:val="center"/>
          </w:tcPr>
          <w:p w14:paraId="57F5AF01">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项目</w:t>
            </w:r>
            <w:r>
              <w:rPr>
                <w:rFonts w:hint="eastAsia" w:ascii="宋体" w:hAnsi="宋体" w:eastAsia="宋体" w:cs="宋体"/>
                <w:color w:val="000000"/>
                <w:highlight w:val="none"/>
                <w:lang w:val="en-US" w:eastAsia="zh-CN"/>
              </w:rPr>
              <w:t>服务方案评价</w:t>
            </w:r>
          </w:p>
        </w:tc>
        <w:tc>
          <w:tcPr>
            <w:tcW w:w="3395" w:type="pct"/>
            <w:vAlign w:val="center"/>
          </w:tcPr>
          <w:p w14:paraId="77F9F58B">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根据供应商提供的针对</w:t>
            </w:r>
            <w:r>
              <w:rPr>
                <w:rFonts w:hint="eastAsia" w:asciiTheme="minorEastAsia" w:hAnsiTheme="minorEastAsia" w:eastAsiaTheme="minorEastAsia" w:cstheme="minorEastAsia"/>
                <w:highlight w:val="none"/>
              </w:rPr>
              <w:t>本项目</w:t>
            </w:r>
            <w:r>
              <w:rPr>
                <w:rFonts w:hint="eastAsia" w:asciiTheme="minorEastAsia" w:hAnsiTheme="minorEastAsia" w:eastAsiaTheme="minorEastAsia" w:cstheme="minorEastAsia"/>
                <w:highlight w:val="none"/>
                <w:lang w:val="en-US" w:eastAsia="zh-CN"/>
              </w:rPr>
              <w:t>特点拟定的</w:t>
            </w:r>
            <w:r>
              <w:rPr>
                <w:rFonts w:hint="eastAsia" w:asciiTheme="minorEastAsia" w:hAnsiTheme="minorEastAsia" w:eastAsiaTheme="minorEastAsia" w:cstheme="minorEastAsia"/>
                <w:highlight w:val="none"/>
              </w:rPr>
              <w:t>系统运维服务方案</w:t>
            </w:r>
            <w:r>
              <w:rPr>
                <w:rFonts w:hint="eastAsia" w:asciiTheme="minorEastAsia" w:hAnsiTheme="minorEastAsia" w:eastAsiaTheme="minorEastAsia" w:cstheme="minorEastAsia"/>
                <w:highlight w:val="none"/>
                <w:lang w:val="en-US" w:eastAsia="zh-CN"/>
              </w:rPr>
              <w:t>进行评分</w:t>
            </w:r>
            <w:r>
              <w:rPr>
                <w:rFonts w:hint="eastAsia" w:asciiTheme="minorEastAsia" w:hAnsiTheme="minorEastAsia" w:eastAsiaTheme="minorEastAsia" w:cstheme="minorEastAsia"/>
                <w:highlight w:val="none"/>
              </w:rPr>
              <w:t>，包括①服务渠道</w:t>
            </w:r>
            <w:r>
              <w:rPr>
                <w:rFonts w:hint="eastAsia" w:asciiTheme="minorEastAsia" w:hAnsiTheme="minorEastAsia" w:eastAsiaTheme="minorEastAsia" w:cstheme="minorEastAsia"/>
                <w:highlight w:val="none"/>
                <w:lang w:val="en-US" w:eastAsia="zh-CN"/>
              </w:rPr>
              <w:t>及</w:t>
            </w:r>
            <w:r>
              <w:rPr>
                <w:rFonts w:hint="eastAsia" w:asciiTheme="minorEastAsia" w:hAnsiTheme="minorEastAsia" w:eastAsiaTheme="minorEastAsia" w:cstheme="minorEastAsia"/>
                <w:highlight w:val="none"/>
              </w:rPr>
              <w:t>服务方式、②岗位设置</w:t>
            </w:r>
            <w:r>
              <w:rPr>
                <w:rFonts w:hint="eastAsia" w:asciiTheme="minorEastAsia" w:hAnsiTheme="minorEastAsia" w:eastAsiaTheme="minorEastAsia" w:cstheme="minorEastAsia"/>
                <w:highlight w:val="none"/>
                <w:lang w:val="en-US" w:eastAsia="zh-CN"/>
              </w:rPr>
              <w:t>及人员保障</w:t>
            </w:r>
            <w:r>
              <w:rPr>
                <w:rFonts w:hint="eastAsia" w:asciiTheme="minorEastAsia" w:hAnsiTheme="minorEastAsia" w:eastAsiaTheme="minorEastAsia" w:cstheme="minorEastAsia"/>
                <w:highlight w:val="none"/>
              </w:rPr>
              <w:t>、③服务流程</w:t>
            </w:r>
            <w:r>
              <w:rPr>
                <w:rFonts w:hint="eastAsia" w:asciiTheme="minorEastAsia" w:hAnsiTheme="minorEastAsia" w:eastAsiaTheme="minorEastAsia" w:cstheme="minorEastAsia"/>
                <w:highlight w:val="none"/>
                <w:lang w:val="en-US" w:eastAsia="zh-CN"/>
              </w:rPr>
              <w:t>及响应时效</w:t>
            </w:r>
            <w:r>
              <w:rPr>
                <w:rFonts w:hint="eastAsia" w:asciiTheme="minorEastAsia" w:hAnsiTheme="minorEastAsia" w:eastAsiaTheme="minorEastAsia" w:cstheme="minorEastAsia"/>
                <w:highlight w:val="none"/>
              </w:rPr>
              <w:t>等。</w:t>
            </w:r>
          </w:p>
          <w:p w14:paraId="303B1EFA">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完全包含上述要点的得</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分，缺一项扣</w:t>
            </w:r>
            <w:r>
              <w:rPr>
                <w:rFonts w:hint="eastAsia" w:asciiTheme="minorEastAsia" w:hAnsiTheme="minorEastAsia" w:eastAsiaTheme="minorEastAsia" w:cstheme="minorEastAsia"/>
                <w:highlight w:val="none"/>
                <w:lang w:val="en-US" w:eastAsia="zh-CN"/>
              </w:rPr>
              <w:t>2</w:t>
            </w:r>
            <w:r>
              <w:rPr>
                <w:rFonts w:hint="eastAsia" w:asciiTheme="minorEastAsia" w:hAnsiTheme="minorEastAsia" w:eastAsiaTheme="minorEastAsia" w:cstheme="minorEastAsia"/>
                <w:highlight w:val="none"/>
              </w:rPr>
              <w:t>分，未提供方案的不得分。</w:t>
            </w:r>
          </w:p>
          <w:p w14:paraId="22A4146C">
            <w:pPr>
              <w:snapToGrid w:val="0"/>
              <w:ind w:hanging="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能够紧密贴合采购人需求并提供重大业务中断故障专项处置流程的加3分。</w:t>
            </w:r>
          </w:p>
          <w:p w14:paraId="2812A4BD">
            <w:pPr>
              <w:snapToGrid w:val="0"/>
              <w:ind w:hanging="2"/>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驻场工程师岗位职责定位清晰的、作息及值班机制贴合采购人实际工作的加3分。</w:t>
            </w:r>
          </w:p>
          <w:p w14:paraId="0C3E6209">
            <w:pPr>
              <w:snapToGrid w:val="0"/>
              <w:ind w:hanging="2" w:firstLineChars="0"/>
              <w:rPr>
                <w:rFonts w:hint="eastAsia" w:asciiTheme="minorEastAsia" w:hAnsiTheme="minorEastAsia" w:eastAsiaTheme="minorEastAsia" w:cstheme="minorEastAsia"/>
                <w:color w:val="000000"/>
                <w:spacing w:val="-1"/>
                <w:highlight w:val="none"/>
              </w:rPr>
            </w:pPr>
            <w:r>
              <w:rPr>
                <w:rFonts w:hint="eastAsia" w:asciiTheme="minorEastAsia" w:hAnsiTheme="minorEastAsia" w:eastAsiaTheme="minorEastAsia" w:cstheme="minorEastAsia"/>
                <w:b/>
                <w:bCs/>
                <w:highlight w:val="none"/>
                <w:lang w:val="en-US" w:eastAsia="zh-CN"/>
              </w:rPr>
              <w:t>本项最高可得12分。</w:t>
            </w:r>
          </w:p>
        </w:tc>
        <w:tc>
          <w:tcPr>
            <w:tcW w:w="285" w:type="pct"/>
            <w:vAlign w:val="center"/>
          </w:tcPr>
          <w:p w14:paraId="7EAD6B79">
            <w:pPr>
              <w:spacing w:before="68" w:line="264" w:lineRule="auto"/>
              <w:jc w:val="center"/>
              <w:rPr>
                <w:rFonts w:hint="default" w:ascii="宋体" w:hAnsi="宋体" w:eastAsia="宋体" w:cs="宋体"/>
                <w:color w:val="000000"/>
                <w:spacing w:val="-4"/>
                <w:szCs w:val="21"/>
                <w:highlight w:val="none"/>
                <w:lang w:val="en-US" w:eastAsia="zh-CN"/>
              </w:rPr>
            </w:pPr>
            <w:r>
              <w:rPr>
                <w:rFonts w:hint="eastAsia" w:ascii="宋体" w:hAnsi="宋体" w:cs="宋体"/>
                <w:color w:val="000000"/>
                <w:spacing w:val="-4"/>
                <w:highlight w:val="none"/>
                <w:lang w:val="en-US" w:eastAsia="zh-CN"/>
              </w:rPr>
              <w:t>12</w:t>
            </w:r>
          </w:p>
        </w:tc>
        <w:tc>
          <w:tcPr>
            <w:tcW w:w="473" w:type="pct"/>
            <w:vAlign w:val="center"/>
          </w:tcPr>
          <w:p w14:paraId="13F512E9">
            <w:pPr>
              <w:spacing w:before="68" w:line="264" w:lineRule="auto"/>
              <w:jc w:val="center"/>
              <w:rPr>
                <w:rFonts w:ascii="宋体" w:hAnsi="宋体" w:cs="宋体"/>
                <w:color w:val="000000"/>
                <w:szCs w:val="21"/>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04AA2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4C94BA8E">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4</w:t>
            </w:r>
          </w:p>
        </w:tc>
        <w:tc>
          <w:tcPr>
            <w:tcW w:w="590" w:type="pct"/>
            <w:vAlign w:val="center"/>
          </w:tcPr>
          <w:p w14:paraId="125E01EB">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运维管理体系</w:t>
            </w:r>
            <w:r>
              <w:rPr>
                <w:rFonts w:hint="eastAsia" w:ascii="宋体" w:hAnsi="宋体" w:eastAsia="宋体" w:cs="宋体"/>
                <w:color w:val="000000"/>
                <w:highlight w:val="none"/>
                <w:lang w:val="en-US" w:eastAsia="zh-CN"/>
              </w:rPr>
              <w:t>评价</w:t>
            </w:r>
          </w:p>
        </w:tc>
        <w:tc>
          <w:tcPr>
            <w:tcW w:w="3395" w:type="pct"/>
            <w:vAlign w:val="center"/>
          </w:tcPr>
          <w:p w14:paraId="1BFF1785">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根据供应商提供的针对</w:t>
            </w:r>
            <w:r>
              <w:rPr>
                <w:rFonts w:hint="eastAsia" w:asciiTheme="minorEastAsia" w:hAnsiTheme="minorEastAsia" w:eastAsiaTheme="minorEastAsia" w:cstheme="minorEastAsia"/>
                <w:highlight w:val="none"/>
              </w:rPr>
              <w:t>本项目</w:t>
            </w:r>
            <w:r>
              <w:rPr>
                <w:rFonts w:hint="eastAsia" w:asciiTheme="minorEastAsia" w:hAnsiTheme="minorEastAsia" w:eastAsiaTheme="minorEastAsia" w:cstheme="minorEastAsia"/>
                <w:highlight w:val="none"/>
                <w:lang w:val="en-US" w:eastAsia="zh-CN"/>
              </w:rPr>
              <w:t>特点拟定的</w:t>
            </w:r>
            <w:r>
              <w:rPr>
                <w:rFonts w:hint="eastAsia" w:asciiTheme="minorEastAsia" w:hAnsiTheme="minorEastAsia" w:eastAsiaTheme="minorEastAsia" w:cstheme="minorEastAsia"/>
                <w:highlight w:val="none"/>
              </w:rPr>
              <w:t>运维管理体系方案</w:t>
            </w:r>
            <w:r>
              <w:rPr>
                <w:rFonts w:hint="eastAsia" w:asciiTheme="minorEastAsia" w:hAnsiTheme="minorEastAsia" w:eastAsiaTheme="minorEastAsia" w:cstheme="minorEastAsia"/>
                <w:highlight w:val="none"/>
                <w:lang w:val="en-US" w:eastAsia="zh-CN"/>
              </w:rPr>
              <w:t>进行评分</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highlight w:val="none"/>
                <w:lang w:val="en-US" w:eastAsia="zh-CN"/>
              </w:rPr>
              <w:t>包括①</w:t>
            </w:r>
            <w:r>
              <w:rPr>
                <w:rFonts w:hint="eastAsia" w:asciiTheme="minorEastAsia" w:hAnsiTheme="minorEastAsia" w:eastAsiaTheme="minorEastAsia" w:cstheme="minorEastAsia"/>
                <w:highlight w:val="none"/>
              </w:rPr>
              <w:t>专业化运维管理制度、②作业规范</w:t>
            </w:r>
            <w:r>
              <w:rPr>
                <w:rFonts w:hint="eastAsia" w:asciiTheme="minorEastAsia" w:hAnsiTheme="minorEastAsia" w:eastAsiaTheme="minorEastAsia" w:cstheme="minorEastAsia"/>
                <w:highlight w:val="none"/>
                <w:lang w:eastAsia="zh-CN"/>
              </w:rPr>
              <w:t>、③</w:t>
            </w:r>
            <w:r>
              <w:rPr>
                <w:rFonts w:hint="eastAsia" w:asciiTheme="minorEastAsia" w:hAnsiTheme="minorEastAsia" w:eastAsiaTheme="minorEastAsia" w:cstheme="minorEastAsia"/>
                <w:highlight w:val="none"/>
              </w:rPr>
              <w:t>考核方案。</w:t>
            </w:r>
          </w:p>
          <w:p w14:paraId="05C9F41E">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完全包含上述要点的得</w:t>
            </w:r>
            <w:r>
              <w:rPr>
                <w:rFonts w:hint="eastAsia" w:asciiTheme="minorEastAsia" w:hAnsiTheme="minorEastAsia" w:eastAsiaTheme="minorEastAsia" w:cstheme="minorEastAsia"/>
                <w:highlight w:val="none"/>
                <w:lang w:val="en-US" w:eastAsia="zh-CN"/>
              </w:rPr>
              <w:t>6</w:t>
            </w:r>
            <w:r>
              <w:rPr>
                <w:rFonts w:hint="eastAsia" w:asciiTheme="minorEastAsia" w:hAnsiTheme="minorEastAsia" w:eastAsiaTheme="minorEastAsia" w:cstheme="minorEastAsia"/>
                <w:highlight w:val="none"/>
              </w:rPr>
              <w:t>分，缺一项扣</w:t>
            </w:r>
            <w:r>
              <w:rPr>
                <w:rFonts w:hint="eastAsia" w:asciiTheme="minorEastAsia" w:hAnsiTheme="minorEastAsia" w:eastAsiaTheme="minorEastAsia" w:cstheme="minorEastAsia"/>
                <w:highlight w:val="none"/>
                <w:lang w:val="en-US" w:eastAsia="zh-CN"/>
              </w:rPr>
              <w:t>2</w:t>
            </w:r>
            <w:r>
              <w:rPr>
                <w:rFonts w:hint="eastAsia" w:asciiTheme="minorEastAsia" w:hAnsiTheme="minorEastAsia" w:eastAsiaTheme="minorEastAsia" w:cstheme="minorEastAsia"/>
                <w:highlight w:val="none"/>
              </w:rPr>
              <w:t>分，未提供方案的不得分。</w:t>
            </w:r>
          </w:p>
          <w:p w14:paraId="069DD2E6">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szCs w:val="21"/>
                <w:highlight w:val="none"/>
              </w:rPr>
              <w:t>具有监督、检查与改进机制的加</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分。</w:t>
            </w:r>
          </w:p>
          <w:p w14:paraId="391D116F">
            <w:pPr>
              <w:snapToGrid w:val="0"/>
              <w:ind w:hanging="2"/>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szCs w:val="21"/>
                <w:highlight w:val="none"/>
                <w:lang w:val="en-US" w:eastAsia="zh-CN"/>
              </w:rPr>
              <w:t>具有详细</w:t>
            </w:r>
            <w:r>
              <w:rPr>
                <w:rFonts w:hint="eastAsia" w:asciiTheme="minorEastAsia" w:hAnsiTheme="minorEastAsia" w:eastAsiaTheme="minorEastAsia" w:cstheme="minorEastAsia"/>
                <w:color w:val="auto"/>
                <w:szCs w:val="21"/>
                <w:highlight w:val="none"/>
              </w:rPr>
              <w:t>培训管理制度的加</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rPr>
              <w:t>分。</w:t>
            </w:r>
          </w:p>
          <w:p w14:paraId="259C60B9">
            <w:pPr>
              <w:snapToGrid w:val="0"/>
              <w:ind w:hanging="2" w:firstLineChars="0"/>
              <w:rPr>
                <w:rFonts w:hint="eastAsia" w:asciiTheme="minorEastAsia" w:hAnsiTheme="minorEastAsia" w:eastAsiaTheme="minorEastAsia" w:cstheme="minorEastAsia"/>
                <w:color w:val="000000"/>
                <w:spacing w:val="-1"/>
                <w:highlight w:val="none"/>
              </w:rPr>
            </w:pPr>
            <w:r>
              <w:rPr>
                <w:rFonts w:hint="eastAsia" w:asciiTheme="minorEastAsia" w:hAnsiTheme="minorEastAsia" w:eastAsiaTheme="minorEastAsia" w:cstheme="minorEastAsia"/>
                <w:b/>
                <w:bCs/>
                <w:highlight w:val="none"/>
                <w:lang w:val="en-US" w:eastAsia="zh-CN"/>
              </w:rPr>
              <w:t>本项最高可得12分。</w:t>
            </w:r>
          </w:p>
        </w:tc>
        <w:tc>
          <w:tcPr>
            <w:tcW w:w="285" w:type="pct"/>
            <w:vAlign w:val="center"/>
          </w:tcPr>
          <w:p w14:paraId="41A996E2">
            <w:pPr>
              <w:spacing w:before="68" w:line="264" w:lineRule="auto"/>
              <w:jc w:val="center"/>
              <w:rPr>
                <w:rFonts w:hint="default" w:ascii="宋体" w:hAnsi="宋体" w:eastAsia="宋体" w:cs="宋体"/>
                <w:color w:val="000000"/>
                <w:spacing w:val="-4"/>
                <w:szCs w:val="21"/>
                <w:highlight w:val="none"/>
                <w:lang w:val="en-US" w:eastAsia="zh-CN"/>
              </w:rPr>
            </w:pPr>
            <w:r>
              <w:rPr>
                <w:rFonts w:hint="eastAsia" w:ascii="宋体" w:hAnsi="宋体" w:cs="宋体"/>
                <w:color w:val="000000"/>
                <w:spacing w:val="-4"/>
                <w:highlight w:val="none"/>
                <w:lang w:val="en-US" w:eastAsia="zh-CN"/>
              </w:rPr>
              <w:t>12</w:t>
            </w:r>
          </w:p>
        </w:tc>
        <w:tc>
          <w:tcPr>
            <w:tcW w:w="473" w:type="pct"/>
            <w:vAlign w:val="center"/>
          </w:tcPr>
          <w:p w14:paraId="45A6FCA1">
            <w:pPr>
              <w:spacing w:before="68" w:line="264" w:lineRule="auto"/>
              <w:jc w:val="center"/>
              <w:rPr>
                <w:rFonts w:ascii="宋体" w:hAnsi="宋体" w:cs="宋体"/>
                <w:color w:val="000000"/>
                <w:szCs w:val="21"/>
                <w:highlight w:val="none"/>
              </w:rPr>
            </w:pPr>
            <w:r>
              <w:rPr>
                <w:rFonts w:ascii="宋体" w:hAnsi="宋体" w:cs="宋体"/>
                <w:color w:val="000000"/>
                <w:spacing w:val="-6"/>
                <w:highlight w:val="none"/>
              </w:rPr>
              <w:t>主</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4CAEC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5000" w:type="pct"/>
            <w:gridSpan w:val="5"/>
            <w:vAlign w:val="center"/>
          </w:tcPr>
          <w:p w14:paraId="73D6C542">
            <w:pPr>
              <w:spacing w:before="123" w:line="264" w:lineRule="auto"/>
              <w:ind w:left="114"/>
              <w:jc w:val="center"/>
              <w:rPr>
                <w:rFonts w:ascii="宋体" w:hAnsi="宋体" w:cs="宋体"/>
                <w:b/>
                <w:bCs/>
                <w:color w:val="000000"/>
                <w:spacing w:val="-3"/>
                <w:highlight w:val="none"/>
              </w:rPr>
            </w:pPr>
            <w:r>
              <w:rPr>
                <w:rFonts w:hint="eastAsia" w:ascii="宋体" w:hAnsi="宋体" w:cs="宋体"/>
                <w:b/>
                <w:bCs/>
                <w:color w:val="000000"/>
                <w:spacing w:val="-3"/>
                <w:highlight w:val="none"/>
              </w:rPr>
              <w:t>三、商务部分（36分）</w:t>
            </w:r>
          </w:p>
        </w:tc>
      </w:tr>
      <w:tr w14:paraId="5D5C6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3AB0EDD1">
            <w:pPr>
              <w:spacing w:before="68" w:line="264" w:lineRule="auto"/>
              <w:jc w:val="center"/>
              <w:rPr>
                <w:rFonts w:ascii="宋体" w:hAnsi="宋体" w:cs="宋体"/>
                <w:spacing w:val="-2"/>
                <w:highlight w:val="none"/>
              </w:rPr>
            </w:pPr>
            <w:r>
              <w:rPr>
                <w:rFonts w:hint="eastAsia" w:ascii="宋体" w:hAnsi="宋体" w:cs="宋体"/>
                <w:spacing w:val="-2"/>
                <w:highlight w:val="none"/>
              </w:rPr>
              <w:t>1</w:t>
            </w:r>
          </w:p>
        </w:tc>
        <w:tc>
          <w:tcPr>
            <w:tcW w:w="1015" w:type="dxa"/>
            <w:vAlign w:val="center"/>
          </w:tcPr>
          <w:p w14:paraId="31F753F6">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供应商能力评价</w:t>
            </w:r>
          </w:p>
        </w:tc>
        <w:tc>
          <w:tcPr>
            <w:tcW w:w="5835" w:type="dxa"/>
            <w:vAlign w:val="center"/>
          </w:tcPr>
          <w:p w14:paraId="4021F41D">
            <w:pPr>
              <w:snapToGrid w:val="0"/>
              <w:ind w:hanging="2" w:firstLineChars="0"/>
              <w:rPr>
                <w:rFonts w:hint="eastAsia" w:asciiTheme="minorEastAsia" w:hAnsiTheme="minorEastAsia" w:eastAsiaTheme="minorEastAsia" w:cstheme="minorEastAsia"/>
                <w:spacing w:val="-1"/>
                <w:highlight w:val="none"/>
              </w:rPr>
            </w:pPr>
            <w:r>
              <w:rPr>
                <w:rFonts w:hint="eastAsia" w:asciiTheme="minorEastAsia" w:hAnsiTheme="minorEastAsia" w:eastAsiaTheme="minorEastAsia" w:cstheme="minorEastAsia"/>
                <w:highlight w:val="none"/>
              </w:rPr>
              <w:t>1.供应商具有有效的ISO20000信息技术服务管理体系认证证书的，得</w:t>
            </w: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rPr>
              <w:t>分；</w:t>
            </w:r>
            <w:r>
              <w:rPr>
                <w:rFonts w:hint="eastAsia" w:asciiTheme="minorEastAsia" w:hAnsiTheme="minorEastAsia" w:eastAsiaTheme="minorEastAsia" w:cstheme="minorEastAsia"/>
                <w:highlight w:val="none"/>
              </w:rPr>
              <w:br w:type="textWrapping"/>
            </w:r>
            <w:r>
              <w:rPr>
                <w:rFonts w:hint="eastAsia" w:asciiTheme="minorEastAsia" w:hAnsiTheme="minorEastAsia" w:eastAsiaTheme="minorEastAsia" w:cstheme="minorEastAsia"/>
                <w:highlight w:val="none"/>
              </w:rPr>
              <w:t xml:space="preserve">2.供应商具有有效的ISO27001信息安全管理体系认证证书的，得 </w:t>
            </w:r>
            <w:r>
              <w:rPr>
                <w:rFonts w:hint="eastAsia" w:asciiTheme="minorEastAsia" w:hAnsiTheme="minorEastAsia" w:eastAsiaTheme="minorEastAsia" w:cstheme="minorEastAsia"/>
                <w:highlight w:val="none"/>
                <w:lang w:val="en-US" w:eastAsia="zh-CN"/>
              </w:rPr>
              <w:t>3</w:t>
            </w:r>
            <w:r>
              <w:rPr>
                <w:rFonts w:hint="eastAsia" w:asciiTheme="minorEastAsia" w:hAnsiTheme="minorEastAsia" w:eastAsiaTheme="minorEastAsia" w:cstheme="minorEastAsia"/>
                <w:highlight w:val="none"/>
              </w:rPr>
              <w:t>分。</w:t>
            </w:r>
            <w:r>
              <w:rPr>
                <w:rFonts w:hint="eastAsia" w:asciiTheme="minorEastAsia" w:hAnsiTheme="minorEastAsia" w:eastAsiaTheme="minorEastAsia" w:cstheme="minorEastAsia"/>
                <w:b/>
                <w:bCs/>
                <w:highlight w:val="none"/>
                <w:lang w:val="en-US" w:eastAsia="zh-CN"/>
              </w:rPr>
              <w:t>本项最高得6分。</w:t>
            </w:r>
            <w:r>
              <w:rPr>
                <w:rFonts w:hint="eastAsia" w:asciiTheme="minorEastAsia" w:hAnsiTheme="minorEastAsia" w:eastAsiaTheme="minorEastAsia" w:cstheme="minorEastAsia"/>
                <w:b/>
                <w:bCs/>
                <w:highlight w:val="none"/>
              </w:rPr>
              <w:br w:type="textWrapping"/>
            </w:r>
            <w:r>
              <w:rPr>
                <w:rFonts w:hint="eastAsia" w:asciiTheme="minorEastAsia" w:hAnsiTheme="minorEastAsia" w:eastAsiaTheme="minorEastAsia" w:cstheme="minorEastAsia"/>
                <w:b/>
                <w:bCs/>
                <w:highlight w:val="none"/>
                <w:lang w:val="en-US" w:eastAsia="zh-CN"/>
              </w:rPr>
              <w:t>注：</w:t>
            </w:r>
            <w:r>
              <w:rPr>
                <w:rFonts w:hint="eastAsia" w:asciiTheme="minorEastAsia" w:hAnsiTheme="minorEastAsia" w:eastAsiaTheme="minorEastAsia" w:cstheme="minorEastAsia"/>
                <w:b/>
                <w:bCs/>
                <w:highlight w:val="none"/>
              </w:rPr>
              <w:t>上述证书在投标文件中须提供有效证书扫描件</w:t>
            </w:r>
            <w:r>
              <w:rPr>
                <w:rFonts w:hint="eastAsia" w:asciiTheme="minorEastAsia" w:hAnsiTheme="minorEastAsia" w:eastAsiaTheme="minorEastAsia" w:cstheme="minorEastAsia"/>
                <w:b/>
                <w:bCs/>
                <w:highlight w:val="none"/>
                <w:lang w:val="en-US" w:eastAsia="zh-CN"/>
              </w:rPr>
              <w:t>加盖公章</w:t>
            </w:r>
            <w:r>
              <w:rPr>
                <w:rFonts w:hint="eastAsia" w:asciiTheme="minorEastAsia" w:hAnsiTheme="minorEastAsia" w:eastAsiaTheme="minorEastAsia" w:cstheme="minorEastAsia"/>
                <w:b/>
                <w:bCs/>
                <w:highlight w:val="none"/>
              </w:rPr>
              <w:t>。</w:t>
            </w:r>
          </w:p>
        </w:tc>
        <w:tc>
          <w:tcPr>
            <w:tcW w:w="285" w:type="pct"/>
            <w:vAlign w:val="center"/>
          </w:tcPr>
          <w:p w14:paraId="09BFADC5">
            <w:pPr>
              <w:spacing w:before="68" w:line="264" w:lineRule="auto"/>
              <w:jc w:val="center"/>
              <w:rPr>
                <w:rFonts w:ascii="宋体" w:hAnsi="宋体" w:cs="宋体"/>
                <w:spacing w:val="-4"/>
                <w:highlight w:val="none"/>
              </w:rPr>
            </w:pPr>
            <w:r>
              <w:rPr>
                <w:rFonts w:hint="eastAsia" w:ascii="宋体" w:hAnsi="宋体" w:cs="宋体"/>
                <w:spacing w:val="-4"/>
                <w:highlight w:val="none"/>
              </w:rPr>
              <w:t>6</w:t>
            </w:r>
          </w:p>
        </w:tc>
        <w:tc>
          <w:tcPr>
            <w:tcW w:w="473" w:type="pct"/>
            <w:vAlign w:val="center"/>
          </w:tcPr>
          <w:p w14:paraId="2AE26691">
            <w:pPr>
              <w:spacing w:before="68" w:line="264" w:lineRule="auto"/>
              <w:jc w:val="center"/>
              <w:rPr>
                <w:rFonts w:ascii="宋体" w:hAnsi="宋体" w:cs="宋体"/>
                <w:highlight w:val="none"/>
              </w:rPr>
            </w:pPr>
            <w:r>
              <w:rPr>
                <w:rFonts w:hint="eastAsia" w:ascii="宋体" w:hAnsi="宋体" w:cs="宋体"/>
                <w:spacing w:val="-6"/>
                <w:highlight w:val="none"/>
              </w:rPr>
              <w:t>客</w:t>
            </w:r>
            <w:r>
              <w:rPr>
                <w:rFonts w:hint="eastAsia" w:ascii="宋体" w:hAnsi="宋体" w:cs="宋体"/>
                <w:spacing w:val="-4"/>
                <w:highlight w:val="none"/>
              </w:rPr>
              <w:t>观分</w:t>
            </w:r>
          </w:p>
        </w:tc>
      </w:tr>
      <w:tr w14:paraId="3F6A5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15B3D27D">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2</w:t>
            </w:r>
          </w:p>
        </w:tc>
        <w:tc>
          <w:tcPr>
            <w:tcW w:w="1015" w:type="dxa"/>
            <w:vAlign w:val="center"/>
          </w:tcPr>
          <w:p w14:paraId="500509DD">
            <w:pPr>
              <w:spacing w:before="69" w:line="264"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经验评价</w:t>
            </w:r>
          </w:p>
        </w:tc>
        <w:tc>
          <w:tcPr>
            <w:tcW w:w="5835" w:type="dxa"/>
            <w:vAlign w:val="center"/>
          </w:tcPr>
          <w:p w14:paraId="26FDCA8F">
            <w:pPr>
              <w:snapToGrid w:val="0"/>
              <w:ind w:hanging="2" w:firstLineChars="0"/>
              <w:rPr>
                <w:rFonts w:hint="eastAsia" w:asciiTheme="minorEastAsia" w:hAnsiTheme="minorEastAsia" w:eastAsiaTheme="minorEastAsia" w:cstheme="minorEastAsia"/>
                <w:color w:val="auto"/>
                <w:spacing w:val="-1"/>
                <w:highlight w:val="none"/>
              </w:rPr>
            </w:pPr>
            <w:r>
              <w:rPr>
                <w:rFonts w:hint="eastAsia" w:asciiTheme="minorEastAsia" w:hAnsiTheme="minorEastAsia" w:eastAsiaTheme="minorEastAsia" w:cstheme="minorEastAsia"/>
                <w:color w:val="auto"/>
                <w:highlight w:val="none"/>
              </w:rPr>
              <w:t>自202</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年1月1日以来（以合同签订时间为准），供应商成功实施过类似信息系统运维项目的，一个得</w:t>
            </w:r>
            <w:r>
              <w:rPr>
                <w:rFonts w:hint="eastAsia" w:asciiTheme="minorEastAsia" w:hAnsiTheme="minorEastAsia" w:eastAsiaTheme="minorEastAsia" w:cstheme="minorEastAsia"/>
                <w:color w:val="auto"/>
                <w:highlight w:val="none"/>
                <w:lang w:val="en-US" w:eastAsia="zh-CN"/>
              </w:rPr>
              <w:t>3</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b/>
                <w:bCs/>
                <w:color w:val="auto"/>
                <w:highlight w:val="none"/>
              </w:rPr>
              <w:t>本项最高得12分。</w:t>
            </w:r>
            <w:r>
              <w:rPr>
                <w:rFonts w:hint="eastAsia" w:asciiTheme="minorEastAsia" w:hAnsiTheme="minorEastAsia" w:eastAsiaTheme="minorEastAsia" w:cstheme="minorEastAsia"/>
                <w:color w:val="auto"/>
                <w:highlight w:val="none"/>
              </w:rPr>
              <w:br w:type="textWrapping"/>
            </w:r>
            <w:r>
              <w:rPr>
                <w:rFonts w:hint="eastAsia" w:asciiTheme="minorEastAsia" w:hAnsiTheme="minorEastAsia" w:eastAsiaTheme="minorEastAsia" w:cstheme="minorEastAsia"/>
                <w:b/>
                <w:bCs/>
                <w:color w:val="auto"/>
                <w:highlight w:val="none"/>
                <w:lang w:val="en-US" w:eastAsia="zh-CN"/>
              </w:rPr>
              <w:t>注：</w:t>
            </w:r>
            <w:r>
              <w:rPr>
                <w:rFonts w:hint="eastAsia" w:asciiTheme="minorEastAsia" w:hAnsiTheme="minorEastAsia" w:eastAsiaTheme="minorEastAsia" w:cstheme="minorEastAsia"/>
                <w:b/>
                <w:bCs/>
                <w:color w:val="auto"/>
                <w:highlight w:val="none"/>
              </w:rPr>
              <w:t>投标文件中须提供有效合同扫描件</w:t>
            </w:r>
            <w:r>
              <w:rPr>
                <w:rFonts w:hint="eastAsia" w:asciiTheme="minorEastAsia" w:hAnsiTheme="minorEastAsia" w:eastAsiaTheme="minorEastAsia" w:cstheme="minorEastAsia"/>
                <w:b/>
                <w:bCs/>
                <w:color w:val="auto"/>
                <w:highlight w:val="none"/>
                <w:lang w:val="en-US" w:eastAsia="zh-CN"/>
              </w:rPr>
              <w:t>加盖公章。</w:t>
            </w:r>
          </w:p>
        </w:tc>
        <w:tc>
          <w:tcPr>
            <w:tcW w:w="285" w:type="pct"/>
            <w:vAlign w:val="center"/>
          </w:tcPr>
          <w:p w14:paraId="0786B603">
            <w:pPr>
              <w:spacing w:before="68" w:line="264" w:lineRule="auto"/>
              <w:jc w:val="center"/>
              <w:rPr>
                <w:rFonts w:hint="default" w:ascii="宋体" w:hAnsi="宋体" w:eastAsia="宋体" w:cs="宋体"/>
                <w:color w:val="000000"/>
                <w:spacing w:val="-4"/>
                <w:highlight w:val="none"/>
                <w:lang w:val="en-US" w:eastAsia="zh-CN"/>
              </w:rPr>
            </w:pPr>
            <w:r>
              <w:rPr>
                <w:rFonts w:hint="eastAsia" w:ascii="宋体" w:hAnsi="宋体" w:cs="宋体"/>
                <w:color w:val="000000"/>
                <w:spacing w:val="-4"/>
                <w:highlight w:val="none"/>
                <w:lang w:val="en-US" w:eastAsia="zh-CN"/>
              </w:rPr>
              <w:t>12</w:t>
            </w:r>
          </w:p>
        </w:tc>
        <w:tc>
          <w:tcPr>
            <w:tcW w:w="473" w:type="pct"/>
            <w:vAlign w:val="center"/>
          </w:tcPr>
          <w:p w14:paraId="65914048">
            <w:pPr>
              <w:spacing w:before="68" w:line="264" w:lineRule="auto"/>
              <w:jc w:val="center"/>
              <w:rPr>
                <w:rFonts w:ascii="宋体" w:hAnsi="宋体" w:cs="宋体"/>
                <w:color w:val="000000"/>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328A3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611E9EE0">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3</w:t>
            </w:r>
          </w:p>
        </w:tc>
        <w:tc>
          <w:tcPr>
            <w:tcW w:w="1015" w:type="dxa"/>
            <w:vAlign w:val="center"/>
          </w:tcPr>
          <w:p w14:paraId="3A4585CC">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项目经理评价</w:t>
            </w:r>
          </w:p>
        </w:tc>
        <w:tc>
          <w:tcPr>
            <w:tcW w:w="5835" w:type="dxa"/>
            <w:vAlign w:val="center"/>
          </w:tcPr>
          <w:p w14:paraId="169B1435">
            <w:pPr>
              <w:snapToGrid w:val="0"/>
              <w:ind w:hanging="2"/>
              <w:rPr>
                <w:rFonts w:hint="eastAsia"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供应商安排的项目经理具有信息技术类（包含计算机技术、电子技术、数字技术等专业）高级职称证书、数据库系统工程师证书，每提供一个证书得</w:t>
            </w:r>
            <w:r>
              <w:rPr>
                <w:rFonts w:hint="eastAsia" w:asciiTheme="minorEastAsia" w:hAnsiTheme="minorEastAsia" w:eastAsiaTheme="minorEastAsia" w:cstheme="minorEastAsia"/>
                <w:bCs/>
                <w:szCs w:val="21"/>
                <w:highlight w:val="none"/>
                <w:lang w:val="en-US" w:eastAsia="zh-CN"/>
              </w:rPr>
              <w:t>3</w:t>
            </w:r>
            <w:r>
              <w:rPr>
                <w:rFonts w:hint="eastAsia" w:asciiTheme="minorEastAsia" w:hAnsiTheme="minorEastAsia" w:eastAsiaTheme="minorEastAsia" w:cstheme="minorEastAsia"/>
                <w:bCs/>
                <w:szCs w:val="21"/>
                <w:highlight w:val="none"/>
              </w:rPr>
              <w:t>分</w:t>
            </w:r>
            <w:r>
              <w:rPr>
                <w:rFonts w:hint="eastAsia" w:asciiTheme="minorEastAsia" w:hAnsiTheme="minorEastAsia" w:eastAsiaTheme="minorEastAsia" w:cstheme="minorEastAsia"/>
                <w:bCs/>
                <w:szCs w:val="21"/>
                <w:highlight w:val="none"/>
                <w:lang w:eastAsia="zh-CN"/>
              </w:rPr>
              <w:t>。</w:t>
            </w:r>
            <w:r>
              <w:rPr>
                <w:rFonts w:hint="eastAsia" w:asciiTheme="minorEastAsia" w:hAnsiTheme="minorEastAsia" w:eastAsiaTheme="minorEastAsia" w:cstheme="minorEastAsia"/>
                <w:b/>
                <w:bCs w:val="0"/>
                <w:szCs w:val="21"/>
                <w:highlight w:val="none"/>
                <w:lang w:val="en-US" w:eastAsia="zh-CN"/>
              </w:rPr>
              <w:t>本项</w:t>
            </w:r>
            <w:r>
              <w:rPr>
                <w:rFonts w:hint="eastAsia" w:asciiTheme="minorEastAsia" w:hAnsiTheme="minorEastAsia" w:eastAsiaTheme="minorEastAsia" w:cstheme="minorEastAsia"/>
                <w:b/>
                <w:bCs w:val="0"/>
                <w:szCs w:val="21"/>
                <w:highlight w:val="none"/>
              </w:rPr>
              <w:t>最高得</w:t>
            </w:r>
            <w:r>
              <w:rPr>
                <w:rFonts w:hint="eastAsia" w:asciiTheme="minorEastAsia" w:hAnsiTheme="minorEastAsia" w:eastAsiaTheme="minorEastAsia" w:cstheme="minorEastAsia"/>
                <w:b/>
                <w:bCs w:val="0"/>
                <w:szCs w:val="21"/>
                <w:highlight w:val="none"/>
                <w:lang w:val="en-US" w:eastAsia="zh-CN"/>
              </w:rPr>
              <w:t>6</w:t>
            </w:r>
            <w:r>
              <w:rPr>
                <w:rFonts w:hint="eastAsia" w:asciiTheme="minorEastAsia" w:hAnsiTheme="minorEastAsia" w:eastAsiaTheme="minorEastAsia" w:cstheme="minorEastAsia"/>
                <w:b/>
                <w:bCs w:val="0"/>
                <w:szCs w:val="21"/>
                <w:highlight w:val="none"/>
              </w:rPr>
              <w:t>分。</w:t>
            </w:r>
          </w:p>
          <w:p w14:paraId="2EA075FF">
            <w:pPr>
              <w:snapToGrid w:val="0"/>
              <w:ind w:hanging="2" w:firstLineChars="0"/>
              <w:rPr>
                <w:rFonts w:hint="eastAsia" w:asciiTheme="minorEastAsia" w:hAnsiTheme="minorEastAsia" w:eastAsiaTheme="minorEastAsia" w:cstheme="minorEastAsia"/>
                <w:spacing w:val="-1"/>
                <w:highlight w:val="none"/>
              </w:rPr>
            </w:pPr>
            <w:r>
              <w:rPr>
                <w:rFonts w:hint="eastAsia" w:asciiTheme="minorEastAsia" w:hAnsiTheme="minorEastAsia" w:eastAsiaTheme="minorEastAsia" w:cstheme="minorEastAsia"/>
                <w:b/>
                <w:bCs/>
                <w:highlight w:val="none"/>
                <w:lang w:val="en-US" w:eastAsia="zh-CN"/>
              </w:rPr>
              <w:t>注：</w:t>
            </w:r>
            <w:r>
              <w:rPr>
                <w:rFonts w:hint="eastAsia" w:asciiTheme="minorEastAsia" w:hAnsiTheme="minorEastAsia" w:eastAsiaTheme="minorEastAsia" w:cstheme="minorEastAsia"/>
                <w:b/>
                <w:bCs/>
                <w:highlight w:val="none"/>
              </w:rPr>
              <w:t>投标文件中须提供相应证书扫描件及供应商为其缴纳的202</w:t>
            </w:r>
            <w:r>
              <w:rPr>
                <w:rFonts w:hint="eastAsia" w:asciiTheme="minorEastAsia" w:hAnsiTheme="minorEastAsia" w:eastAsiaTheme="minorEastAsia" w:cstheme="minorEastAsia"/>
                <w:b/>
                <w:bCs/>
                <w:highlight w:val="none"/>
                <w:lang w:val="en-US" w:eastAsia="zh-CN"/>
              </w:rPr>
              <w:t>6</w:t>
            </w:r>
            <w:r>
              <w:rPr>
                <w:rFonts w:hint="eastAsia" w:asciiTheme="minorEastAsia" w:hAnsiTheme="minorEastAsia" w:eastAsiaTheme="minorEastAsia" w:cstheme="minorEastAsia"/>
                <w:b/>
                <w:bCs/>
                <w:highlight w:val="none"/>
              </w:rPr>
              <w:t>年1月份以来任意一个月的社保证明材料扫描件，</w:t>
            </w:r>
            <w:r>
              <w:rPr>
                <w:rFonts w:hint="eastAsia" w:asciiTheme="minorEastAsia" w:hAnsiTheme="minorEastAsia" w:eastAsiaTheme="minorEastAsia" w:cstheme="minorEastAsia"/>
                <w:b/>
                <w:bCs/>
                <w:highlight w:val="none"/>
                <w:lang w:val="en-US" w:eastAsia="zh-CN"/>
              </w:rPr>
              <w:t>以上材料加盖公章</w:t>
            </w:r>
            <w:r>
              <w:rPr>
                <w:rFonts w:hint="eastAsia" w:asciiTheme="minorEastAsia" w:hAnsiTheme="minorEastAsia" w:eastAsiaTheme="minorEastAsia" w:cstheme="minorEastAsia"/>
                <w:b/>
                <w:bCs/>
                <w:highlight w:val="none"/>
              </w:rPr>
              <w:t>。</w:t>
            </w:r>
          </w:p>
        </w:tc>
        <w:tc>
          <w:tcPr>
            <w:tcW w:w="285" w:type="pct"/>
            <w:vAlign w:val="center"/>
          </w:tcPr>
          <w:p w14:paraId="739DCFDD">
            <w:pPr>
              <w:spacing w:before="68" w:line="264" w:lineRule="auto"/>
              <w:jc w:val="center"/>
              <w:rPr>
                <w:rFonts w:hint="eastAsia" w:ascii="宋体" w:hAnsi="宋体" w:eastAsia="宋体" w:cs="宋体"/>
                <w:color w:val="000000"/>
                <w:spacing w:val="-4"/>
                <w:highlight w:val="none"/>
                <w:lang w:eastAsia="zh-CN"/>
              </w:rPr>
            </w:pPr>
            <w:r>
              <w:rPr>
                <w:rFonts w:hint="eastAsia" w:ascii="宋体" w:hAnsi="宋体" w:cs="宋体"/>
                <w:color w:val="000000"/>
                <w:spacing w:val="-4"/>
                <w:highlight w:val="none"/>
                <w:lang w:val="en-US" w:eastAsia="zh-CN"/>
              </w:rPr>
              <w:t>6</w:t>
            </w:r>
          </w:p>
        </w:tc>
        <w:tc>
          <w:tcPr>
            <w:tcW w:w="473" w:type="pct"/>
            <w:vAlign w:val="center"/>
          </w:tcPr>
          <w:p w14:paraId="758C221D">
            <w:pPr>
              <w:spacing w:before="68" w:line="264" w:lineRule="auto"/>
              <w:jc w:val="center"/>
              <w:rPr>
                <w:rFonts w:ascii="宋体" w:hAnsi="宋体" w:cs="宋体"/>
                <w:color w:val="000000"/>
                <w:spacing w:val="-6"/>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p>
        </w:tc>
      </w:tr>
      <w:tr w14:paraId="2C910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3" w:hRule="atLeast"/>
          <w:jc w:val="center"/>
        </w:trPr>
        <w:tc>
          <w:tcPr>
            <w:tcW w:w="253" w:type="pct"/>
            <w:vAlign w:val="center"/>
          </w:tcPr>
          <w:p w14:paraId="309D220D">
            <w:pPr>
              <w:spacing w:before="68" w:line="264" w:lineRule="auto"/>
              <w:jc w:val="center"/>
              <w:rPr>
                <w:rFonts w:ascii="宋体" w:hAnsi="宋体" w:cs="宋体"/>
                <w:color w:val="000000"/>
                <w:spacing w:val="-2"/>
                <w:highlight w:val="none"/>
              </w:rPr>
            </w:pPr>
            <w:r>
              <w:rPr>
                <w:rFonts w:hint="eastAsia" w:ascii="宋体" w:hAnsi="宋体" w:cs="宋体"/>
                <w:color w:val="000000"/>
                <w:spacing w:val="-2"/>
                <w:highlight w:val="none"/>
              </w:rPr>
              <w:t>4</w:t>
            </w:r>
          </w:p>
        </w:tc>
        <w:tc>
          <w:tcPr>
            <w:tcW w:w="1015" w:type="dxa"/>
            <w:vAlign w:val="center"/>
          </w:tcPr>
          <w:p w14:paraId="76B36A89">
            <w:pPr>
              <w:spacing w:before="69" w:line="264" w:lineRule="auto"/>
              <w:jc w:val="center"/>
              <w:rPr>
                <w:rFonts w:hint="eastAsia" w:ascii="宋体" w:hAnsi="宋体" w:eastAsia="宋体" w:cs="宋体"/>
                <w:color w:val="000000"/>
                <w:highlight w:val="none"/>
              </w:rPr>
            </w:pPr>
            <w:r>
              <w:rPr>
                <w:rFonts w:hint="eastAsia" w:ascii="宋体" w:hAnsi="宋体" w:eastAsia="宋体" w:cs="宋体"/>
                <w:color w:val="000000"/>
                <w:highlight w:val="none"/>
              </w:rPr>
              <w:t>项目实施成员评价</w:t>
            </w:r>
          </w:p>
        </w:tc>
        <w:tc>
          <w:tcPr>
            <w:tcW w:w="5835" w:type="dxa"/>
            <w:vAlign w:val="center"/>
          </w:tcPr>
          <w:p w14:paraId="4DCF5821">
            <w:pPr>
              <w:snapToGrid w:val="0"/>
              <w:ind w:hanging="2" w:firstLineChars="0"/>
              <w:rPr>
                <w:rFonts w:hint="eastAsia" w:asciiTheme="minorEastAsia" w:hAnsiTheme="minorEastAsia" w:eastAsiaTheme="minorEastAsia" w:cstheme="minorEastAsia"/>
                <w:spacing w:val="-1"/>
                <w:highlight w:val="none"/>
              </w:rPr>
            </w:pPr>
            <w:r>
              <w:rPr>
                <w:rFonts w:hint="eastAsia" w:asciiTheme="minorEastAsia" w:hAnsiTheme="minorEastAsia" w:eastAsiaTheme="minorEastAsia" w:cstheme="minorEastAsia"/>
                <w:highlight w:val="none"/>
              </w:rPr>
              <w:t>供应商拟派驻本项目的驻场运维服务工程师中（不包含项目经理）：</w:t>
            </w:r>
            <w:r>
              <w:rPr>
                <w:rFonts w:hint="eastAsia" w:asciiTheme="minorEastAsia" w:hAnsiTheme="minorEastAsia" w:eastAsiaTheme="minorEastAsia" w:cstheme="minorEastAsia"/>
                <w:bCs/>
                <w:szCs w:val="21"/>
                <w:highlight w:val="none"/>
              </w:rPr>
              <w:t>具有</w:t>
            </w:r>
            <w:r>
              <w:rPr>
                <w:rFonts w:hint="eastAsia" w:asciiTheme="minorEastAsia" w:hAnsiTheme="minorEastAsia" w:eastAsiaTheme="minorEastAsia" w:cstheme="minorEastAsia"/>
                <w:bCs/>
                <w:szCs w:val="21"/>
                <w:highlight w:val="none"/>
                <w:lang w:val="en-US" w:eastAsia="zh-CN"/>
              </w:rPr>
              <w:t>1.</w:t>
            </w:r>
            <w:r>
              <w:rPr>
                <w:rFonts w:hint="eastAsia" w:asciiTheme="minorEastAsia" w:hAnsiTheme="minorEastAsia" w:eastAsiaTheme="minorEastAsia" w:cstheme="minorEastAsia"/>
                <w:bCs/>
                <w:highlight w:val="none"/>
              </w:rPr>
              <w:t>信息技术类（包含计算机、电子信息、数字技术等专业）中级及以上职称证书</w:t>
            </w:r>
            <w:r>
              <w:rPr>
                <w:rFonts w:hint="eastAsia" w:asciiTheme="minorEastAsia" w:hAnsiTheme="minorEastAsia" w:eastAsiaTheme="minorEastAsia" w:cstheme="minorEastAsia"/>
                <w:bCs/>
                <w:highlight w:val="none"/>
                <w:lang w:eastAsia="zh-CN"/>
              </w:rPr>
              <w:t>；</w:t>
            </w:r>
            <w:r>
              <w:rPr>
                <w:rFonts w:hint="eastAsia" w:asciiTheme="minorEastAsia" w:hAnsiTheme="minorEastAsia" w:eastAsiaTheme="minorEastAsia" w:cstheme="minorEastAsia"/>
                <w:bCs/>
                <w:highlight w:val="none"/>
                <w:lang w:val="en-US" w:eastAsia="zh-CN"/>
              </w:rPr>
              <w:t>2.</w:t>
            </w:r>
            <w:r>
              <w:rPr>
                <w:rFonts w:hint="eastAsia" w:asciiTheme="minorEastAsia" w:hAnsiTheme="minorEastAsia" w:eastAsiaTheme="minorEastAsia" w:cstheme="minorEastAsia"/>
                <w:bCs/>
                <w:highlight w:val="none"/>
              </w:rPr>
              <w:t>系统集成项目管理工程师证书</w:t>
            </w:r>
            <w:r>
              <w:rPr>
                <w:rFonts w:hint="eastAsia" w:asciiTheme="minorEastAsia" w:hAnsiTheme="minorEastAsia" w:eastAsiaTheme="minorEastAsia" w:cstheme="minorEastAsia"/>
                <w:bCs/>
                <w:highlight w:val="none"/>
                <w:lang w:eastAsia="zh-CN"/>
              </w:rPr>
              <w:t>的</w:t>
            </w:r>
            <w:r>
              <w:rPr>
                <w:rFonts w:hint="eastAsia" w:asciiTheme="minorEastAsia" w:hAnsiTheme="minorEastAsia" w:eastAsiaTheme="minorEastAsia" w:cstheme="minorEastAsia"/>
                <w:bCs/>
                <w:szCs w:val="21"/>
                <w:highlight w:val="none"/>
              </w:rPr>
              <w:t>每有一项</w:t>
            </w:r>
            <w:r>
              <w:rPr>
                <w:rFonts w:hint="eastAsia" w:asciiTheme="minorEastAsia" w:hAnsiTheme="minorEastAsia" w:eastAsiaTheme="minorEastAsia" w:cstheme="minorEastAsia"/>
                <w:bCs/>
                <w:szCs w:val="21"/>
                <w:highlight w:val="none"/>
                <w:lang w:val="en-US" w:eastAsia="zh-CN"/>
              </w:rPr>
              <w:t>证书</w:t>
            </w:r>
            <w:r>
              <w:rPr>
                <w:rFonts w:hint="eastAsia" w:asciiTheme="minorEastAsia" w:hAnsiTheme="minorEastAsia" w:eastAsiaTheme="minorEastAsia" w:cstheme="minorEastAsia"/>
                <w:bCs/>
                <w:szCs w:val="21"/>
                <w:highlight w:val="none"/>
              </w:rPr>
              <w:t>得</w:t>
            </w:r>
            <w:r>
              <w:rPr>
                <w:rFonts w:hint="eastAsia" w:asciiTheme="minorEastAsia" w:hAnsiTheme="minorEastAsia" w:eastAsiaTheme="minorEastAsia" w:cstheme="minorEastAsia"/>
                <w:bCs/>
                <w:szCs w:val="21"/>
                <w:highlight w:val="none"/>
                <w:lang w:val="en-US" w:eastAsia="zh-CN"/>
              </w:rPr>
              <w:t>2</w:t>
            </w:r>
            <w:r>
              <w:rPr>
                <w:rFonts w:hint="eastAsia" w:asciiTheme="minorEastAsia" w:hAnsiTheme="minorEastAsia" w:eastAsiaTheme="minorEastAsia" w:cstheme="minorEastAsia"/>
                <w:bCs/>
                <w:szCs w:val="21"/>
                <w:highlight w:val="none"/>
              </w:rPr>
              <w:t>分，</w:t>
            </w:r>
            <w:r>
              <w:rPr>
                <w:rFonts w:hint="eastAsia" w:asciiTheme="minorEastAsia" w:hAnsiTheme="minorEastAsia" w:eastAsiaTheme="minorEastAsia" w:cstheme="minorEastAsia"/>
                <w:bCs/>
                <w:szCs w:val="21"/>
                <w:highlight w:val="none"/>
                <w:lang w:val="en-US" w:eastAsia="zh-CN"/>
              </w:rPr>
              <w:t>同一人同时具有上述证书的可重复记分。</w:t>
            </w:r>
            <w:r>
              <w:rPr>
                <w:rFonts w:hint="eastAsia" w:asciiTheme="minorEastAsia" w:hAnsiTheme="minorEastAsia" w:eastAsiaTheme="minorEastAsia" w:cstheme="minorEastAsia"/>
                <w:b/>
                <w:bCs w:val="0"/>
                <w:szCs w:val="21"/>
                <w:highlight w:val="none"/>
                <w:lang w:val="en-US" w:eastAsia="zh-CN"/>
              </w:rPr>
              <w:t>本项</w:t>
            </w:r>
            <w:r>
              <w:rPr>
                <w:rFonts w:hint="eastAsia" w:asciiTheme="minorEastAsia" w:hAnsiTheme="minorEastAsia" w:eastAsiaTheme="minorEastAsia" w:cstheme="minorEastAsia"/>
                <w:b/>
                <w:bCs w:val="0"/>
                <w:szCs w:val="21"/>
                <w:highlight w:val="none"/>
              </w:rPr>
              <w:t>最高得</w:t>
            </w:r>
            <w:r>
              <w:rPr>
                <w:rFonts w:hint="eastAsia" w:asciiTheme="minorEastAsia" w:hAnsiTheme="minorEastAsia" w:eastAsiaTheme="minorEastAsia" w:cstheme="minorEastAsia"/>
                <w:b/>
                <w:bCs w:val="0"/>
                <w:szCs w:val="21"/>
                <w:highlight w:val="none"/>
                <w:lang w:val="en-US" w:eastAsia="zh-CN"/>
              </w:rPr>
              <w:t>12</w:t>
            </w:r>
            <w:r>
              <w:rPr>
                <w:rFonts w:hint="eastAsia" w:asciiTheme="minorEastAsia" w:hAnsiTheme="minorEastAsia" w:eastAsiaTheme="minorEastAsia" w:cstheme="minorEastAsia"/>
                <w:b/>
                <w:bCs w:val="0"/>
                <w:szCs w:val="21"/>
                <w:highlight w:val="none"/>
              </w:rPr>
              <w:t>分</w:t>
            </w:r>
            <w:r>
              <w:rPr>
                <w:rFonts w:hint="eastAsia" w:asciiTheme="minorEastAsia" w:hAnsiTheme="minorEastAsia" w:eastAsiaTheme="minorEastAsia" w:cstheme="minorEastAsia"/>
                <w:b/>
                <w:bCs w:val="0"/>
                <w:szCs w:val="21"/>
                <w:highlight w:val="none"/>
                <w:lang w:eastAsia="zh-CN"/>
              </w:rPr>
              <w:t>。</w:t>
            </w:r>
            <w:r>
              <w:rPr>
                <w:rFonts w:hint="eastAsia" w:asciiTheme="minorEastAsia" w:hAnsiTheme="minorEastAsia" w:eastAsiaTheme="minorEastAsia" w:cstheme="minorEastAsia"/>
                <w:highlight w:val="none"/>
              </w:rPr>
              <w:br w:type="textWrapping"/>
            </w:r>
            <w:r>
              <w:rPr>
                <w:rFonts w:hint="eastAsia" w:asciiTheme="minorEastAsia" w:hAnsiTheme="minorEastAsia" w:eastAsiaTheme="minorEastAsia" w:cstheme="minorEastAsia"/>
                <w:b/>
                <w:bCs/>
                <w:highlight w:val="none"/>
                <w:lang w:val="en-US" w:eastAsia="zh-CN"/>
              </w:rPr>
              <w:t>注：</w:t>
            </w:r>
            <w:r>
              <w:rPr>
                <w:rFonts w:hint="eastAsia" w:asciiTheme="minorEastAsia" w:hAnsiTheme="minorEastAsia" w:eastAsiaTheme="minorEastAsia" w:cstheme="minorEastAsia"/>
                <w:b/>
                <w:bCs/>
                <w:highlight w:val="none"/>
              </w:rPr>
              <w:t>投标文件中须提供相应证书扫描件及供应商为其缴纳的202</w:t>
            </w:r>
            <w:r>
              <w:rPr>
                <w:rFonts w:hint="eastAsia" w:asciiTheme="minorEastAsia" w:hAnsiTheme="minorEastAsia" w:eastAsiaTheme="minorEastAsia" w:cstheme="minorEastAsia"/>
                <w:b/>
                <w:bCs/>
                <w:highlight w:val="none"/>
                <w:lang w:val="en-US" w:eastAsia="zh-CN"/>
              </w:rPr>
              <w:t>6</w:t>
            </w:r>
            <w:r>
              <w:rPr>
                <w:rFonts w:hint="eastAsia" w:asciiTheme="minorEastAsia" w:hAnsiTheme="minorEastAsia" w:eastAsiaTheme="minorEastAsia" w:cstheme="minorEastAsia"/>
                <w:b/>
                <w:bCs/>
                <w:highlight w:val="none"/>
              </w:rPr>
              <w:t>年1月份以来任意一个月的社保证明材料扫描件，</w:t>
            </w:r>
            <w:r>
              <w:rPr>
                <w:rFonts w:hint="eastAsia" w:asciiTheme="minorEastAsia" w:hAnsiTheme="minorEastAsia" w:eastAsiaTheme="minorEastAsia" w:cstheme="minorEastAsia"/>
                <w:b/>
                <w:bCs/>
                <w:highlight w:val="none"/>
                <w:lang w:val="en-US" w:eastAsia="zh-CN"/>
              </w:rPr>
              <w:t>以上材料加盖公章</w:t>
            </w:r>
            <w:r>
              <w:rPr>
                <w:rFonts w:hint="eastAsia" w:asciiTheme="minorEastAsia" w:hAnsiTheme="minorEastAsia" w:eastAsiaTheme="minorEastAsia" w:cstheme="minorEastAsia"/>
                <w:b/>
                <w:bCs/>
                <w:highlight w:val="none"/>
              </w:rPr>
              <w:t>。</w:t>
            </w:r>
          </w:p>
        </w:tc>
        <w:tc>
          <w:tcPr>
            <w:tcW w:w="285" w:type="pct"/>
            <w:vAlign w:val="center"/>
          </w:tcPr>
          <w:p w14:paraId="1F8F049E">
            <w:pPr>
              <w:spacing w:before="68" w:line="264" w:lineRule="auto"/>
              <w:jc w:val="center"/>
              <w:rPr>
                <w:rFonts w:hint="default" w:ascii="宋体" w:hAnsi="宋体" w:cs="宋体"/>
                <w:color w:val="000000"/>
                <w:spacing w:val="-4"/>
                <w:highlight w:val="none"/>
                <w:lang w:val="en-US"/>
              </w:rPr>
            </w:pPr>
            <w:r>
              <w:rPr>
                <w:rFonts w:hint="eastAsia" w:ascii="宋体" w:hAnsi="宋体" w:cs="宋体"/>
                <w:color w:val="000000"/>
                <w:spacing w:val="-4"/>
                <w:highlight w:val="none"/>
                <w:lang w:val="en-US" w:eastAsia="zh-CN"/>
              </w:rPr>
              <w:t>12</w:t>
            </w:r>
          </w:p>
        </w:tc>
        <w:tc>
          <w:tcPr>
            <w:tcW w:w="473" w:type="pct"/>
            <w:vAlign w:val="center"/>
          </w:tcPr>
          <w:p w14:paraId="0ADFBA69">
            <w:pPr>
              <w:spacing w:before="68" w:line="264" w:lineRule="auto"/>
              <w:jc w:val="center"/>
              <w:rPr>
                <w:rFonts w:ascii="宋体" w:hAnsi="宋体" w:cs="宋体"/>
                <w:color w:val="000000"/>
                <w:highlight w:val="none"/>
              </w:rPr>
            </w:pPr>
            <w:r>
              <w:rPr>
                <w:rFonts w:hint="eastAsia" w:ascii="宋体" w:hAnsi="宋体" w:cs="宋体"/>
                <w:color w:val="000000"/>
                <w:spacing w:val="-6"/>
                <w:highlight w:val="none"/>
              </w:rPr>
              <w:t>客</w:t>
            </w:r>
            <w:r>
              <w:rPr>
                <w:rFonts w:ascii="宋体" w:hAnsi="宋体" w:cs="宋体"/>
                <w:color w:val="000000"/>
                <w:spacing w:val="-4"/>
                <w:highlight w:val="none"/>
              </w:rPr>
              <w:t>观</w:t>
            </w:r>
            <w:r>
              <w:rPr>
                <w:rFonts w:hint="eastAsia" w:ascii="宋体" w:hAnsi="宋体" w:cs="宋体"/>
                <w:color w:val="000000"/>
                <w:spacing w:val="-4"/>
                <w:highlight w:val="none"/>
              </w:rPr>
              <w:t>分</w:t>
            </w:r>
          </w:p>
        </w:tc>
      </w:tr>
    </w:tbl>
    <w:p w14:paraId="5CB33B7F">
      <w:pPr>
        <w:spacing w:before="101" w:after="240" w:line="412" w:lineRule="exact"/>
        <w:ind w:firstLine="482"/>
        <w:outlineLvl w:val="1"/>
        <w:rPr>
          <w:rFonts w:ascii="宋体" w:hAnsi="宋体" w:cs="宋体"/>
          <w:b/>
          <w:bCs/>
          <w:color w:val="000000"/>
          <w:spacing w:val="10"/>
          <w:position w:val="2"/>
          <w:sz w:val="22"/>
          <w:szCs w:val="22"/>
          <w:highlight w:val="none"/>
        </w:rPr>
      </w:pPr>
      <w:r>
        <w:rPr>
          <w:rFonts w:ascii="宋体" w:hAnsi="宋体" w:cs="宋体"/>
          <w:b/>
          <w:bCs/>
          <w:color w:val="000000"/>
          <w:spacing w:val="10"/>
          <w:position w:val="2"/>
          <w:sz w:val="22"/>
          <w:szCs w:val="22"/>
          <w:highlight w:val="none"/>
        </w:rPr>
        <w:t>7．推荐成交供应商</w:t>
      </w:r>
    </w:p>
    <w:p w14:paraId="3BE30484">
      <w:pPr>
        <w:spacing w:line="360" w:lineRule="auto"/>
        <w:ind w:firstLine="476" w:firstLineChars="200"/>
        <w:rPr>
          <w:rFonts w:ascii="宋体" w:hAnsi="宋体" w:cs="宋体"/>
          <w:color w:val="000000"/>
          <w:spacing w:val="-1"/>
          <w:sz w:val="24"/>
          <w:highlight w:val="none"/>
        </w:rPr>
      </w:pPr>
      <w:r>
        <w:rPr>
          <w:rFonts w:ascii="宋体" w:hAnsi="宋体" w:cs="宋体"/>
          <w:color w:val="000000"/>
          <w:spacing w:val="-1"/>
          <w:sz w:val="24"/>
          <w:highlight w:val="none"/>
        </w:rPr>
        <w:t>磋商小组应当根据综合评分情况，按照评审得分由高到低顺序推荐3名</w:t>
      </w:r>
      <w:r>
        <w:rPr>
          <w:rFonts w:hint="eastAsia" w:ascii="宋体" w:hAnsi="宋体" w:cs="宋体"/>
          <w:color w:val="000000"/>
          <w:spacing w:val="-1"/>
          <w:sz w:val="24"/>
          <w:highlight w:val="none"/>
          <w:lang w:val="en-US" w:eastAsia="zh-CN"/>
        </w:rPr>
        <w:t>及</w:t>
      </w:r>
      <w:r>
        <w:rPr>
          <w:rFonts w:ascii="宋体" w:hAnsi="宋体" w:cs="宋体"/>
          <w:color w:val="000000"/>
          <w:spacing w:val="-1"/>
          <w:sz w:val="24"/>
          <w:highlight w:val="none"/>
        </w:rPr>
        <w:t>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Start w:id="155" w:name="_Toc105940862"/>
    </w:p>
    <w:p w14:paraId="44B09DE6">
      <w:pPr>
        <w:rPr>
          <w:rStyle w:val="242"/>
          <w:rFonts w:hint="eastAsia" w:ascii="宋体" w:hAnsi="宋体" w:cs="宋体"/>
          <w:color w:val="000000"/>
          <w:sz w:val="28"/>
          <w:szCs w:val="28"/>
          <w:highlight w:val="none"/>
        </w:rPr>
      </w:pPr>
      <w:bookmarkStart w:id="156" w:name="_Toc43"/>
      <w:r>
        <w:rPr>
          <w:rStyle w:val="242"/>
          <w:rFonts w:hint="eastAsia" w:ascii="宋体" w:hAnsi="宋体" w:cs="宋体"/>
          <w:color w:val="000000"/>
          <w:sz w:val="28"/>
          <w:szCs w:val="28"/>
          <w:highlight w:val="none"/>
        </w:rPr>
        <w:br w:type="page"/>
      </w:r>
    </w:p>
    <w:p w14:paraId="013CE648">
      <w:pPr>
        <w:shd w:val="clear" w:color="auto" w:fill="FFFFFF"/>
        <w:spacing w:line="360" w:lineRule="auto"/>
        <w:ind w:firstLine="480"/>
        <w:jc w:val="center"/>
        <w:outlineLvl w:val="0"/>
        <w:rPr>
          <w:rStyle w:val="242"/>
          <w:rFonts w:ascii="宋体" w:hAnsi="宋体" w:cs="宋体"/>
          <w:color w:val="000000"/>
          <w:sz w:val="28"/>
          <w:szCs w:val="28"/>
          <w:highlight w:val="none"/>
        </w:rPr>
      </w:pPr>
      <w:r>
        <w:rPr>
          <w:rStyle w:val="242"/>
          <w:rFonts w:hint="eastAsia" w:ascii="宋体" w:hAnsi="宋体" w:cs="宋体"/>
          <w:color w:val="000000"/>
          <w:sz w:val="28"/>
          <w:szCs w:val="28"/>
          <w:highlight w:val="none"/>
        </w:rPr>
        <w:t>第六部分  磋商响应文件（格式）</w:t>
      </w:r>
      <w:bookmarkEnd w:id="155"/>
      <w:bookmarkEnd w:id="156"/>
    </w:p>
    <w:p w14:paraId="3D17F972">
      <w:pPr>
        <w:jc w:val="center"/>
        <w:rPr>
          <w:rFonts w:ascii="宋体" w:hAnsi="宋体"/>
          <w:color w:val="000000"/>
          <w:sz w:val="24"/>
          <w:szCs w:val="22"/>
          <w:highlight w:val="none"/>
        </w:rPr>
      </w:pPr>
    </w:p>
    <w:p w14:paraId="3F4309B3">
      <w:pPr>
        <w:jc w:val="center"/>
        <w:rPr>
          <w:rFonts w:ascii="宋体" w:hAnsi="宋体"/>
          <w:color w:val="000000"/>
          <w:sz w:val="24"/>
          <w:szCs w:val="22"/>
          <w:highlight w:val="none"/>
        </w:rPr>
      </w:pPr>
    </w:p>
    <w:p w14:paraId="7E950D13">
      <w:pPr>
        <w:jc w:val="center"/>
        <w:rPr>
          <w:rFonts w:ascii="宋体" w:hAnsi="宋体"/>
          <w:color w:val="000000"/>
          <w:sz w:val="24"/>
          <w:szCs w:val="22"/>
          <w:highlight w:val="none"/>
        </w:rPr>
      </w:pPr>
    </w:p>
    <w:p w14:paraId="1BDEDEDD">
      <w:pPr>
        <w:spacing w:line="360" w:lineRule="auto"/>
        <w:jc w:val="center"/>
        <w:rPr>
          <w:rFonts w:ascii="宋体" w:hAnsi="宋体"/>
          <w:b/>
          <w:color w:val="000000"/>
          <w:sz w:val="52"/>
          <w:szCs w:val="52"/>
          <w:highlight w:val="none"/>
        </w:rPr>
      </w:pPr>
    </w:p>
    <w:p w14:paraId="5AB6EEC0">
      <w:pPr>
        <w:spacing w:line="360" w:lineRule="auto"/>
        <w:jc w:val="center"/>
        <w:rPr>
          <w:rFonts w:ascii="宋体" w:hAnsi="宋体"/>
          <w:color w:val="000000"/>
          <w:sz w:val="52"/>
          <w:szCs w:val="52"/>
          <w:highlight w:val="none"/>
        </w:rPr>
      </w:pPr>
      <w:r>
        <w:rPr>
          <w:rFonts w:hint="eastAsia" w:ascii="宋体" w:hAnsi="宋体"/>
          <w:b/>
          <w:color w:val="000000"/>
          <w:sz w:val="52"/>
          <w:szCs w:val="52"/>
          <w:highlight w:val="none"/>
        </w:rPr>
        <w:t>磋 商 响 应 文 件</w:t>
      </w:r>
    </w:p>
    <w:p w14:paraId="793BDB9F">
      <w:pPr>
        <w:jc w:val="center"/>
        <w:rPr>
          <w:rFonts w:ascii="宋体" w:hAnsi="宋体"/>
          <w:b/>
          <w:color w:val="000000"/>
          <w:sz w:val="32"/>
          <w:szCs w:val="22"/>
          <w:highlight w:val="none"/>
        </w:rPr>
      </w:pPr>
    </w:p>
    <w:p w14:paraId="29113332">
      <w:pPr>
        <w:ind w:firstLine="790"/>
        <w:rPr>
          <w:rFonts w:ascii="宋体" w:hAnsi="宋体"/>
          <w:b/>
          <w:color w:val="000000"/>
          <w:sz w:val="28"/>
          <w:szCs w:val="22"/>
          <w:highlight w:val="none"/>
        </w:rPr>
      </w:pPr>
    </w:p>
    <w:p w14:paraId="4DB74B45">
      <w:pPr>
        <w:jc w:val="center"/>
        <w:rPr>
          <w:rFonts w:ascii="宋体" w:hAnsi="宋体"/>
          <w:b/>
          <w:color w:val="000000"/>
          <w:sz w:val="28"/>
          <w:szCs w:val="22"/>
          <w:highlight w:val="none"/>
        </w:rPr>
      </w:pPr>
    </w:p>
    <w:p w14:paraId="2BBB7925">
      <w:pPr>
        <w:rPr>
          <w:rFonts w:ascii="宋体" w:hAnsi="宋体"/>
          <w:b/>
          <w:color w:val="000000"/>
          <w:sz w:val="28"/>
          <w:szCs w:val="22"/>
          <w:highlight w:val="none"/>
        </w:rPr>
      </w:pPr>
    </w:p>
    <w:p w14:paraId="01C2E24A">
      <w:pPr>
        <w:pStyle w:val="86"/>
        <w:rPr>
          <w:rFonts w:ascii="宋体" w:hAnsi="宋体" w:eastAsia="宋体"/>
          <w:color w:val="000000"/>
          <w:sz w:val="28"/>
          <w:szCs w:val="18"/>
          <w:highlight w:val="none"/>
        </w:rPr>
      </w:pPr>
    </w:p>
    <w:p w14:paraId="4B1E2398">
      <w:pPr>
        <w:pStyle w:val="86"/>
        <w:rPr>
          <w:rFonts w:ascii="宋体" w:hAnsi="宋体" w:eastAsia="宋体"/>
          <w:color w:val="000000"/>
          <w:sz w:val="28"/>
          <w:szCs w:val="18"/>
          <w:highlight w:val="none"/>
        </w:rPr>
      </w:pPr>
    </w:p>
    <w:p w14:paraId="06E27354">
      <w:pPr>
        <w:spacing w:line="360" w:lineRule="auto"/>
        <w:ind w:left="-1" w:leftChars="0" w:firstLine="0" w:firstLineChars="0"/>
        <w:jc w:val="center"/>
        <w:rPr>
          <w:rFonts w:hint="eastAsia" w:ascii="宋体" w:hAnsi="宋体"/>
          <w:b/>
          <w:color w:val="000000"/>
          <w:sz w:val="28"/>
          <w:szCs w:val="28"/>
          <w:highlight w:val="none"/>
        </w:rPr>
      </w:pPr>
      <w:r>
        <w:rPr>
          <w:rFonts w:hint="eastAsia" w:ascii="宋体" w:hAnsi="宋体"/>
          <w:b/>
          <w:color w:val="000000"/>
          <w:sz w:val="28"/>
          <w:szCs w:val="28"/>
          <w:highlight w:val="none"/>
        </w:rPr>
        <w:t>项目编号：JSZC-321100-JSWX-C2026-0036</w:t>
      </w:r>
    </w:p>
    <w:p w14:paraId="75DA69D3">
      <w:pPr>
        <w:spacing w:line="360" w:lineRule="auto"/>
        <w:ind w:left="-1" w:leftChars="0" w:firstLine="0" w:firstLineChars="0"/>
        <w:jc w:val="center"/>
        <w:rPr>
          <w:rFonts w:hint="eastAsia" w:ascii="宋体" w:hAnsi="宋体"/>
          <w:b/>
          <w:color w:val="000000"/>
          <w:sz w:val="28"/>
          <w:szCs w:val="28"/>
          <w:highlight w:val="none"/>
        </w:rPr>
      </w:pPr>
      <w:r>
        <w:rPr>
          <w:rFonts w:hint="eastAsia" w:ascii="宋体" w:hAnsi="宋体"/>
          <w:b/>
          <w:color w:val="000000"/>
          <w:sz w:val="28"/>
          <w:szCs w:val="28"/>
          <w:highlight w:val="none"/>
        </w:rPr>
        <w:t>项目名称：医保业务信息系统省端维保项目</w:t>
      </w:r>
    </w:p>
    <w:p w14:paraId="38B727E4">
      <w:pPr>
        <w:jc w:val="center"/>
        <w:rPr>
          <w:rFonts w:ascii="宋体" w:hAnsi="宋体"/>
          <w:b/>
          <w:color w:val="000000"/>
          <w:sz w:val="28"/>
          <w:szCs w:val="22"/>
          <w:highlight w:val="none"/>
        </w:rPr>
      </w:pPr>
    </w:p>
    <w:p w14:paraId="0C3630A1">
      <w:pPr>
        <w:jc w:val="center"/>
        <w:rPr>
          <w:rFonts w:ascii="宋体" w:hAnsi="宋体"/>
          <w:b/>
          <w:color w:val="000000"/>
          <w:sz w:val="28"/>
          <w:szCs w:val="22"/>
          <w:highlight w:val="none"/>
        </w:rPr>
      </w:pPr>
    </w:p>
    <w:p w14:paraId="57E92794">
      <w:pPr>
        <w:pStyle w:val="86"/>
        <w:rPr>
          <w:rFonts w:ascii="宋体" w:hAnsi="宋体" w:eastAsia="宋体"/>
          <w:color w:val="000000"/>
          <w:sz w:val="28"/>
          <w:szCs w:val="18"/>
          <w:highlight w:val="none"/>
        </w:rPr>
      </w:pPr>
    </w:p>
    <w:p w14:paraId="4AB11205">
      <w:pPr>
        <w:pStyle w:val="86"/>
        <w:rPr>
          <w:rFonts w:ascii="宋体" w:hAnsi="宋体" w:eastAsia="宋体"/>
          <w:color w:val="000000"/>
          <w:sz w:val="28"/>
          <w:szCs w:val="18"/>
          <w:highlight w:val="none"/>
        </w:rPr>
      </w:pPr>
    </w:p>
    <w:p w14:paraId="6E1332AA">
      <w:pPr>
        <w:pStyle w:val="86"/>
        <w:rPr>
          <w:rFonts w:ascii="宋体" w:hAnsi="宋体" w:eastAsia="宋体"/>
          <w:b/>
          <w:color w:val="000000"/>
          <w:sz w:val="28"/>
          <w:szCs w:val="18"/>
          <w:highlight w:val="none"/>
        </w:rPr>
      </w:pPr>
    </w:p>
    <w:p w14:paraId="6D3BC679">
      <w:pPr>
        <w:pStyle w:val="86"/>
        <w:rPr>
          <w:rFonts w:ascii="宋体" w:hAnsi="宋体" w:eastAsia="宋体"/>
          <w:b/>
          <w:color w:val="000000"/>
          <w:sz w:val="28"/>
          <w:szCs w:val="18"/>
          <w:highlight w:val="none"/>
        </w:rPr>
      </w:pPr>
    </w:p>
    <w:p w14:paraId="2BF0EC2B">
      <w:pPr>
        <w:spacing w:line="360" w:lineRule="auto"/>
        <w:ind w:left="1" w:leftChars="-95" w:hanging="200" w:firstLineChars="0"/>
        <w:jc w:val="center"/>
        <w:rPr>
          <w:rFonts w:ascii="宋体" w:hAnsi="宋体"/>
          <w:b/>
          <w:color w:val="000000"/>
          <w:sz w:val="28"/>
          <w:szCs w:val="28"/>
          <w:highlight w:val="none"/>
        </w:rPr>
      </w:pPr>
      <w:r>
        <w:rPr>
          <w:rFonts w:hint="eastAsia" w:ascii="宋体" w:hAnsi="宋体"/>
          <w:b/>
          <w:color w:val="000000"/>
          <w:sz w:val="28"/>
          <w:szCs w:val="28"/>
          <w:highlight w:val="none"/>
        </w:rPr>
        <w:t>供应商：（公章）</w:t>
      </w:r>
    </w:p>
    <w:p w14:paraId="3D30A4F9">
      <w:pPr>
        <w:spacing w:line="360" w:lineRule="auto"/>
        <w:ind w:left="1" w:leftChars="-95" w:hanging="200" w:firstLineChars="0"/>
        <w:jc w:val="center"/>
        <w:rPr>
          <w:rFonts w:ascii="宋体" w:hAnsi="宋体"/>
          <w:b/>
          <w:color w:val="000000"/>
          <w:sz w:val="28"/>
          <w:szCs w:val="28"/>
          <w:highlight w:val="none"/>
        </w:rPr>
      </w:pPr>
      <w:r>
        <w:rPr>
          <w:rFonts w:hint="eastAsia" w:ascii="宋体" w:hAnsi="宋体"/>
          <w:b/>
          <w:color w:val="000000"/>
          <w:sz w:val="28"/>
          <w:szCs w:val="28"/>
          <w:highlight w:val="none"/>
        </w:rPr>
        <w:t>日期：2026年 月</w:t>
      </w:r>
      <w:r>
        <w:rPr>
          <w:rFonts w:ascii="宋体" w:hAnsi="宋体"/>
          <w:b/>
          <w:color w:val="000000"/>
          <w:sz w:val="28"/>
          <w:szCs w:val="28"/>
          <w:highlight w:val="none"/>
        </w:rPr>
        <w:t xml:space="preserve"> </w:t>
      </w:r>
      <w:r>
        <w:rPr>
          <w:rFonts w:hint="eastAsia" w:ascii="宋体" w:hAnsi="宋体"/>
          <w:b/>
          <w:color w:val="000000"/>
          <w:sz w:val="28"/>
          <w:szCs w:val="28"/>
          <w:highlight w:val="none"/>
        </w:rPr>
        <w:t>日</w:t>
      </w:r>
    </w:p>
    <w:bookmarkEnd w:id="110"/>
    <w:bookmarkEnd w:id="111"/>
    <w:bookmarkEnd w:id="112"/>
    <w:bookmarkEnd w:id="113"/>
    <w:bookmarkEnd w:id="114"/>
    <w:p w14:paraId="336CDA0F">
      <w:pPr>
        <w:pStyle w:val="86"/>
        <w:rPr>
          <w:rFonts w:ascii="宋体" w:hAnsi="宋体" w:eastAsia="宋体"/>
          <w:color w:val="000000"/>
          <w:sz w:val="28"/>
          <w:szCs w:val="18"/>
          <w:highlight w:val="none"/>
        </w:rPr>
      </w:pPr>
    </w:p>
    <w:p w14:paraId="17117954">
      <w:pPr>
        <w:jc w:val="center"/>
        <w:rPr>
          <w:rFonts w:ascii="宋体" w:hAnsi="宋体"/>
          <w:b/>
          <w:color w:val="000000"/>
          <w:sz w:val="28"/>
          <w:szCs w:val="22"/>
          <w:highlight w:val="none"/>
        </w:rPr>
      </w:pPr>
    </w:p>
    <w:p w14:paraId="55FC55E6">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cs="宋体"/>
          <w:color w:val="000000"/>
          <w:sz w:val="20"/>
          <w:szCs w:val="20"/>
          <w:highlight w:val="none"/>
        </w:rPr>
        <w:br w:type="page" w:clear="all"/>
      </w:r>
      <w:bookmarkStart w:id="157" w:name="_bookmark68"/>
      <w:bookmarkEnd w:id="157"/>
      <w:r>
        <w:rPr>
          <w:rFonts w:hint="eastAsia" w:ascii="宋体" w:hAnsi="宋体" w:eastAsia="宋体" w:cs="Times New Roman"/>
          <w:b/>
          <w:color w:val="000000"/>
          <w:sz w:val="32"/>
          <w:szCs w:val="22"/>
          <w:highlight w:val="none"/>
          <w:lang w:val="en-US" w:eastAsia="zh-CN" w:bidi="ar-SA"/>
        </w:rPr>
        <w:t>目录（自行编制）</w:t>
      </w:r>
    </w:p>
    <w:p w14:paraId="089998D1">
      <w:pPr>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br w:type="page"/>
      </w:r>
    </w:p>
    <w:p w14:paraId="3DEDF198">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一、资格条件</w:t>
      </w:r>
    </w:p>
    <w:p w14:paraId="340FA173">
      <w:pPr>
        <w:pStyle w:val="322"/>
        <w:jc w:val="center"/>
        <w:rPr>
          <w:rFonts w:hint="eastAsia" w:ascii="宋体" w:hAnsi="宋体" w:eastAsia="宋体" w:cs="宋体"/>
          <w:sz w:val="28"/>
          <w:szCs w:val="22"/>
          <w:highlight w:val="none"/>
        </w:rPr>
      </w:pPr>
      <w:r>
        <w:rPr>
          <w:rFonts w:hint="eastAsia" w:ascii="宋体" w:hAnsi="宋体" w:eastAsia="宋体" w:cs="宋体"/>
          <w:sz w:val="28"/>
          <w:szCs w:val="22"/>
          <w:highlight w:val="none"/>
        </w:rPr>
        <w:t>资格条件对应“供应商资格审查”，依次提供。</w:t>
      </w:r>
    </w:p>
    <w:tbl>
      <w:tblPr>
        <w:tblStyle w:val="39"/>
        <w:tblpPr w:leftFromText="180" w:rightFromText="180" w:vertAnchor="text" w:horzAnchor="page" w:tblpX="1692" w:tblpY="294"/>
        <w:tblOverlap w:val="never"/>
        <w:tblW w:w="85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2124"/>
        <w:gridCol w:w="5772"/>
      </w:tblGrid>
      <w:tr w14:paraId="23007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608" w:type="dxa"/>
            <w:vAlign w:val="center"/>
          </w:tcPr>
          <w:p w14:paraId="01DBA430">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序号</w:t>
            </w:r>
          </w:p>
        </w:tc>
        <w:tc>
          <w:tcPr>
            <w:tcW w:w="2124" w:type="dxa"/>
            <w:vAlign w:val="center"/>
          </w:tcPr>
          <w:p w14:paraId="07E0F0CE">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审查要素</w:t>
            </w:r>
          </w:p>
        </w:tc>
        <w:tc>
          <w:tcPr>
            <w:tcW w:w="5772" w:type="dxa"/>
            <w:vAlign w:val="center"/>
          </w:tcPr>
          <w:p w14:paraId="1796F68A">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审查内容</w:t>
            </w:r>
          </w:p>
        </w:tc>
      </w:tr>
      <w:tr w14:paraId="392DF2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608" w:type="dxa"/>
            <w:vAlign w:val="center"/>
          </w:tcPr>
          <w:p w14:paraId="625A4079">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w:t>
            </w:r>
          </w:p>
        </w:tc>
        <w:tc>
          <w:tcPr>
            <w:tcW w:w="2124" w:type="dxa"/>
            <w:vAlign w:val="center"/>
          </w:tcPr>
          <w:p w14:paraId="6AB12406">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具有独立承担民事责任的能力</w:t>
            </w:r>
          </w:p>
        </w:tc>
        <w:tc>
          <w:tcPr>
            <w:tcW w:w="5772" w:type="dxa"/>
            <w:vAlign w:val="center"/>
          </w:tcPr>
          <w:p w14:paraId="0E5FE43E">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法人或者其他组织的营业执照等证明文件；自然人的身份证。</w:t>
            </w:r>
          </w:p>
        </w:tc>
      </w:tr>
      <w:tr w14:paraId="5E723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7" w:hRule="atLeast"/>
        </w:trPr>
        <w:tc>
          <w:tcPr>
            <w:tcW w:w="608" w:type="dxa"/>
            <w:vAlign w:val="center"/>
          </w:tcPr>
          <w:p w14:paraId="13FE05BE">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w:t>
            </w:r>
          </w:p>
        </w:tc>
        <w:tc>
          <w:tcPr>
            <w:tcW w:w="2124" w:type="dxa"/>
            <w:vAlign w:val="center"/>
          </w:tcPr>
          <w:p w14:paraId="6998CB34">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具有良好的商业信誉和健全的财务会计制度</w:t>
            </w:r>
          </w:p>
        </w:tc>
        <w:tc>
          <w:tcPr>
            <w:tcW w:w="5772" w:type="dxa"/>
            <w:vAlign w:val="center"/>
          </w:tcPr>
          <w:p w14:paraId="062FC3E6">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2025年度财务报告(成立不满一年的提供至少一个月)，或银行出具的资信证明，或财政部门认可的政府采购专业担保机构出具的磋商担保函等。(或提供资格承诺函)</w:t>
            </w:r>
          </w:p>
        </w:tc>
      </w:tr>
      <w:tr w14:paraId="26B2A6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8" w:hRule="atLeast"/>
        </w:trPr>
        <w:tc>
          <w:tcPr>
            <w:tcW w:w="608" w:type="dxa"/>
            <w:vAlign w:val="center"/>
          </w:tcPr>
          <w:p w14:paraId="7FDF8D30">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3</w:t>
            </w:r>
          </w:p>
        </w:tc>
        <w:tc>
          <w:tcPr>
            <w:tcW w:w="2124" w:type="dxa"/>
            <w:vAlign w:val="center"/>
          </w:tcPr>
          <w:p w14:paraId="4D26F808">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具有履行合同所必需的设备和专业技术能力</w:t>
            </w:r>
          </w:p>
        </w:tc>
        <w:tc>
          <w:tcPr>
            <w:tcW w:w="5772" w:type="dxa"/>
            <w:vAlign w:val="center"/>
          </w:tcPr>
          <w:p w14:paraId="6FD7CFBC">
            <w:pP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供应商相关信息一览表。(或提供资格承诺函)</w:t>
            </w:r>
          </w:p>
        </w:tc>
      </w:tr>
      <w:tr w14:paraId="685876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608" w:type="dxa"/>
            <w:vAlign w:val="center"/>
          </w:tcPr>
          <w:p w14:paraId="621A60CA">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4</w:t>
            </w:r>
          </w:p>
        </w:tc>
        <w:tc>
          <w:tcPr>
            <w:tcW w:w="2124" w:type="dxa"/>
            <w:vAlign w:val="center"/>
          </w:tcPr>
          <w:p w14:paraId="77C20F0C">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有依法缴纳税收和社会保障资金的良好记录</w:t>
            </w:r>
          </w:p>
        </w:tc>
        <w:tc>
          <w:tcPr>
            <w:tcW w:w="5772" w:type="dxa"/>
            <w:vAlign w:val="center"/>
          </w:tcPr>
          <w:p w14:paraId="361DBCC6">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参加本次政府采购活动前半年内(至少一个月)依法缴纳税收和社会保险资金的相关材料。(或提供资格承诺函)</w:t>
            </w:r>
          </w:p>
        </w:tc>
      </w:tr>
      <w:tr w14:paraId="007796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8" w:hRule="atLeast"/>
        </w:trPr>
        <w:tc>
          <w:tcPr>
            <w:tcW w:w="608" w:type="dxa"/>
            <w:vAlign w:val="center"/>
          </w:tcPr>
          <w:p w14:paraId="67C85C4B">
            <w:pPr>
              <w:jc w:val="center"/>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5</w:t>
            </w:r>
          </w:p>
        </w:tc>
        <w:tc>
          <w:tcPr>
            <w:tcW w:w="2124" w:type="dxa"/>
            <w:vAlign w:val="center"/>
          </w:tcPr>
          <w:p w14:paraId="4AE04888">
            <w:pPr>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参加政府采购活动前三年内，在经营活动中没有重大违法记录</w:t>
            </w:r>
          </w:p>
        </w:tc>
        <w:tc>
          <w:tcPr>
            <w:tcW w:w="5772" w:type="dxa"/>
            <w:vAlign w:val="center"/>
          </w:tcPr>
          <w:p w14:paraId="6EADD901">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(1)磋商承诺函。</w:t>
            </w:r>
          </w:p>
          <w:p w14:paraId="18F8EDCC">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(2)“信用中国”网站(www.creditchina.gov.cn)、中国政府采购网(www.ccgp.gov.cn)的查询结果未列入失信被执行人名单、重大税收违法案件当事人名单、政府采购严重违法失信行为名单,以现场查询为准。(或提供资格承诺函)</w:t>
            </w:r>
          </w:p>
        </w:tc>
      </w:tr>
      <w:tr w14:paraId="7CB60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3" w:hRule="atLeast"/>
        </w:trPr>
        <w:tc>
          <w:tcPr>
            <w:tcW w:w="608" w:type="dxa"/>
            <w:vAlign w:val="center"/>
          </w:tcPr>
          <w:p w14:paraId="404FD72D">
            <w:pPr>
              <w:jc w:val="center"/>
              <w:rPr>
                <w:rFonts w:hint="eastAsia" w:asciiTheme="minorEastAsia" w:hAnsiTheme="minorEastAsia" w:eastAsiaTheme="minorEastAsia" w:cstheme="minorEastAsia"/>
                <w:color w:val="000000"/>
                <w:szCs w:val="21"/>
                <w:highlight w:val="none"/>
                <w:lang w:val="en-US" w:eastAsia="zh-CN"/>
              </w:rPr>
            </w:pPr>
            <w:r>
              <w:rPr>
                <w:rFonts w:hint="eastAsia" w:asciiTheme="minorEastAsia" w:hAnsiTheme="minorEastAsia" w:eastAsiaTheme="minorEastAsia" w:cstheme="minorEastAsia"/>
                <w:color w:val="000000"/>
                <w:szCs w:val="21"/>
                <w:highlight w:val="none"/>
                <w:lang w:val="en-US" w:eastAsia="zh-CN"/>
              </w:rPr>
              <w:t>6</w:t>
            </w:r>
          </w:p>
        </w:tc>
        <w:tc>
          <w:tcPr>
            <w:tcW w:w="2124" w:type="dxa"/>
            <w:vAlign w:val="center"/>
          </w:tcPr>
          <w:p w14:paraId="37E4E4EB">
            <w:pPr>
              <w:jc w:val="cente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落实政府采购政策需满足的资格要求</w:t>
            </w:r>
          </w:p>
        </w:tc>
        <w:tc>
          <w:tcPr>
            <w:tcW w:w="5772" w:type="dxa"/>
            <w:vAlign w:val="center"/>
          </w:tcPr>
          <w:p w14:paraId="02A9F50A">
            <w:pPr>
              <w:rPr>
                <w:rFonts w:hint="eastAsia"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见“第一部分”。</w:t>
            </w:r>
          </w:p>
        </w:tc>
      </w:tr>
    </w:tbl>
    <w:p w14:paraId="2B24DA4F">
      <w:pPr>
        <w:pStyle w:val="321"/>
        <w:jc w:val="center"/>
        <w:rPr>
          <w:rFonts w:hint="eastAsia" w:ascii="宋体" w:hAnsi="宋体" w:eastAsia="宋体"/>
          <w:highlight w:val="none"/>
        </w:rPr>
      </w:pPr>
    </w:p>
    <w:p w14:paraId="2EF3A93E">
      <w:pPr>
        <w:spacing w:before="91" w:line="219" w:lineRule="auto"/>
        <w:ind w:left="0" w:leftChars="0" w:firstLine="0" w:firstLineChars="0"/>
        <w:jc w:val="center"/>
        <w:outlineLvl w:val="2"/>
        <w:rPr>
          <w:rFonts w:ascii="宋体" w:hAnsi="宋体" w:eastAsia="宋体" w:cs="宋体"/>
          <w:color w:val="000000"/>
          <w:spacing w:val="4"/>
          <w:sz w:val="28"/>
          <w:szCs w:val="28"/>
          <w:highlight w:val="none"/>
        </w:rPr>
      </w:pPr>
      <w:r>
        <w:rPr>
          <w:rFonts w:ascii="宋体" w:hAnsi="宋体" w:eastAsia="宋体"/>
          <w:highlight w:val="none"/>
        </w:rPr>
        <w:br w:type="page" w:clear="all"/>
      </w:r>
      <w:r>
        <w:rPr>
          <w:rFonts w:ascii="宋体" w:hAnsi="宋体" w:eastAsia="宋体" w:cs="宋体"/>
          <w:color w:val="000000"/>
          <w:spacing w:val="4"/>
          <w:sz w:val="28"/>
          <w:szCs w:val="28"/>
          <w:highlight w:val="none"/>
        </w:rPr>
        <w:t>(一)磋商承诺函</w:t>
      </w:r>
    </w:p>
    <w:p w14:paraId="10CA1E52">
      <w:pPr>
        <w:spacing w:line="309" w:lineRule="auto"/>
        <w:rPr>
          <w:rFonts w:ascii="Arial"/>
          <w:color w:val="000000"/>
          <w:highlight w:val="none"/>
        </w:rPr>
      </w:pPr>
    </w:p>
    <w:p w14:paraId="350568EF">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(磋商组织方)</w:t>
      </w:r>
    </w:p>
    <w:p w14:paraId="27CD19A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根据贵方关于</w:t>
      </w:r>
      <w:r>
        <w:rPr>
          <w:rFonts w:hint="eastAsia" w:ascii="宋体" w:hAnsi="宋体" w:cs="宋体"/>
          <w:color w:val="000000"/>
          <w:sz w:val="24"/>
          <w:highlight w:val="none"/>
          <w:u w:val="single"/>
          <w:lang w:eastAsia="zh-CN"/>
        </w:rPr>
        <w:t>（</w:t>
      </w:r>
      <w:r>
        <w:rPr>
          <w:rFonts w:hint="eastAsia" w:ascii="宋体" w:hAnsi="宋体" w:cs="宋体"/>
          <w:color w:val="000000"/>
          <w:sz w:val="24"/>
          <w:highlight w:val="none"/>
          <w:u w:val="single"/>
          <w:lang w:val="en-US" w:eastAsia="zh-CN"/>
        </w:rPr>
        <w:t>项目名称</w:t>
      </w:r>
      <w:r>
        <w:rPr>
          <w:rFonts w:hint="eastAsia" w:ascii="宋体" w:hAnsi="宋体" w:cs="宋体"/>
          <w:color w:val="000000"/>
          <w:sz w:val="24"/>
          <w:highlight w:val="none"/>
          <w:u w:val="single"/>
          <w:lang w:eastAsia="zh-CN"/>
        </w:rPr>
        <w:t>）（</w:t>
      </w:r>
      <w:r>
        <w:rPr>
          <w:rFonts w:hint="eastAsia" w:ascii="宋体" w:hAnsi="宋体" w:cs="宋体"/>
          <w:color w:val="000000"/>
          <w:sz w:val="24"/>
          <w:highlight w:val="none"/>
          <w:u w:val="single"/>
          <w:lang w:val="en-US" w:eastAsia="zh-CN"/>
        </w:rPr>
        <w:t>项目编号</w:t>
      </w:r>
      <w:r>
        <w:rPr>
          <w:rFonts w:hint="eastAsia" w:ascii="宋体" w:hAnsi="宋体" w:cs="宋体"/>
          <w:color w:val="000000"/>
          <w:sz w:val="24"/>
          <w:highlight w:val="none"/>
          <w:u w:val="single"/>
          <w:lang w:eastAsia="zh-CN"/>
        </w:rPr>
        <w:t>）</w:t>
      </w:r>
      <w:r>
        <w:rPr>
          <w:rFonts w:hint="eastAsia" w:ascii="宋体" w:hAnsi="宋体" w:cs="宋体"/>
          <w:color w:val="000000"/>
          <w:sz w:val="24"/>
          <w:highlight w:val="none"/>
        </w:rPr>
        <w:t>的磋商邀请，我方已完全理解磋商文件的所有内容。据此函，我方兹宣布同意如下：</w:t>
      </w:r>
    </w:p>
    <w:p w14:paraId="45E191F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1.我方承诺：我方完全具备《政府采购法》第二十二条第一款规定的条件以及本项目磋商文件规定的参加磋商供应商须满足的特定条件。</w:t>
      </w:r>
    </w:p>
    <w:p w14:paraId="6061BE9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2.我方承诺：参加本次采购活动前三年内，在经营活动中没有重大违法记录。</w:t>
      </w:r>
    </w:p>
    <w:p w14:paraId="05D296D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3.我方承诺：我方信用记录中没有被列入失信被执行人、没有被列入重大税收违法案件名单、没有被列入政府采购违法失信行为记录名单。</w:t>
      </w:r>
    </w:p>
    <w:p w14:paraId="7834BE3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4.我方承诺按磋商文件要求提供的服务及货物的磋商报价见报价一览表。</w:t>
      </w:r>
    </w:p>
    <w:p w14:paraId="5ACD6D7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5．我方承诺根据磋商文件的规定，完成合同义务，并承担责任(如有偏离，在响应文件中另作说明)。</w:t>
      </w:r>
    </w:p>
    <w:p w14:paraId="7807133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6．我方已详读全部磋商文件，包括磋商文件书面修改通知(如有)，我方完全理解并同意放弃对这方面不明及误解的权利。</w:t>
      </w:r>
    </w:p>
    <w:p w14:paraId="7F69A30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7．我方承诺响应文件及所有材料的完整、真实、合法、有效，并对其负责。承诺在磋商期间，如磋商小组对我方提出澄清要求，将及时作出响应，否则自行承担后果。</w:t>
      </w:r>
    </w:p>
    <w:p w14:paraId="41629B3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8．我方同意从规定的磋商日期起遵循本磋商文件，并在规定的磋商有效期期满之前均具有约束力。</w:t>
      </w:r>
    </w:p>
    <w:p w14:paraId="528796E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9．我方同意向贵方提供贵方可能要求的与本磋商有关的任何证据或资料。</w:t>
      </w:r>
    </w:p>
    <w:p w14:paraId="7057EC8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10.我方知道如用虚假材料或恶意方式向贵方提出质疑，将承担相应的法律责任。同时承诺：我方如果有上述行为，将无条件承担贵方相关的调查论证费用。</w:t>
      </w:r>
    </w:p>
    <w:p w14:paraId="0E62522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11．本次响应文件内容与磋商文件内容偏离见磋商偏离表(如果有)。</w:t>
      </w:r>
    </w:p>
    <w:p w14:paraId="3B7BA44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12．遵守磋商文件中要求的收费项目和标准。</w:t>
      </w:r>
    </w:p>
    <w:p w14:paraId="6D574EF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13．我方将严格遵守《中华人民共和国政府采购法》，若存在违法违规行为，自愿承担相应的法律后果。</w:t>
      </w:r>
    </w:p>
    <w:p w14:paraId="69D8B2F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14．与本磋商有关的一切正式往来通讯请寄：</w:t>
      </w:r>
    </w:p>
    <w:p w14:paraId="7A052B7B">
      <w:pPr>
        <w:pStyle w:val="283"/>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地址：                             电话：</w:t>
      </w:r>
    </w:p>
    <w:p w14:paraId="776B1421">
      <w:pPr>
        <w:pStyle w:val="283"/>
        <w:spacing w:line="360" w:lineRule="auto"/>
        <w:ind w:firstLine="480" w:firstLineChars="20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邮政编码：</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供应商（公章）：</w:t>
      </w:r>
    </w:p>
    <w:p w14:paraId="37B1035B">
      <w:pPr>
        <w:pStyle w:val="283"/>
        <w:spacing w:line="360" w:lineRule="auto"/>
        <w:ind w:firstLine="48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日期：</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法定代表人签章：</w:t>
      </w:r>
      <w:r>
        <w:rPr>
          <w:rFonts w:hint="eastAsia" w:ascii="宋体" w:hAnsi="宋体" w:cs="宋体"/>
          <w:color w:val="000000"/>
          <w:sz w:val="24"/>
          <w:szCs w:val="24"/>
          <w:highlight w:val="none"/>
        </w:rPr>
        <w:br w:type="page"/>
      </w:r>
    </w:p>
    <w:p w14:paraId="757449E5">
      <w:pPr>
        <w:pStyle w:val="323"/>
        <w:numPr>
          <w:ilvl w:val="0"/>
          <w:numId w:val="0"/>
        </w:numPr>
        <w:jc w:val="center"/>
        <w:outlineLvl w:val="2"/>
        <w:rPr>
          <w:rFonts w:hint="eastAsia" w:ascii="宋体" w:hAnsi="宋体" w:eastAsia="宋体" w:cs="宋体"/>
          <w:sz w:val="28"/>
          <w:highlight w:val="none"/>
        </w:rPr>
      </w:pPr>
      <w:r>
        <w:rPr>
          <w:rFonts w:hint="eastAsia" w:ascii="宋体" w:hAnsi="宋体" w:eastAsia="宋体" w:cs="宋体"/>
          <w:sz w:val="28"/>
          <w:szCs w:val="24"/>
          <w:highlight w:val="none"/>
          <w:lang w:val="en-US" w:eastAsia="zh-CN" w:bidi="ar-SA"/>
        </w:rPr>
        <w:t>(二)</w:t>
      </w:r>
      <w:r>
        <w:rPr>
          <w:rFonts w:hint="eastAsia" w:ascii="宋体" w:hAnsi="宋体" w:eastAsia="宋体" w:cs="宋体"/>
          <w:sz w:val="28"/>
          <w:highlight w:val="none"/>
        </w:rPr>
        <w:t>履行合同所必需的设备和专业技术能力</w:t>
      </w:r>
    </w:p>
    <w:p w14:paraId="444E322A">
      <w:pPr>
        <w:pStyle w:val="323"/>
        <w:numPr>
          <w:ilvl w:val="0"/>
          <w:numId w:val="0"/>
        </w:numPr>
        <w:jc w:val="both"/>
        <w:outlineLvl w:val="9"/>
        <w:rPr>
          <w:rFonts w:hint="eastAsia" w:ascii="宋体" w:hAnsi="宋体" w:eastAsia="宋体" w:cs="宋体"/>
          <w:sz w:val="28"/>
          <w:highlight w:val="none"/>
        </w:rPr>
      </w:pPr>
    </w:p>
    <w:tbl>
      <w:tblPr>
        <w:tblStyle w:val="39"/>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59"/>
        <w:gridCol w:w="1506"/>
        <w:gridCol w:w="1167"/>
        <w:gridCol w:w="370"/>
        <w:gridCol w:w="356"/>
        <w:gridCol w:w="714"/>
        <w:gridCol w:w="1007"/>
        <w:gridCol w:w="263"/>
        <w:gridCol w:w="871"/>
        <w:gridCol w:w="1291"/>
      </w:tblGrid>
      <w:tr w14:paraId="6898CA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shd w:val="clear" w:color="auto" w:fill="D9D9D9"/>
            <w:vAlign w:val="center"/>
          </w:tcPr>
          <w:p w14:paraId="39546C17">
            <w:pPr>
              <w:jc w:val="center"/>
              <w:rPr>
                <w:rFonts w:ascii="宋体" w:hAnsi="宋体" w:cs="宋体"/>
                <w:color w:val="000000"/>
                <w:sz w:val="21"/>
                <w:szCs w:val="21"/>
                <w:highlight w:val="none"/>
              </w:rPr>
            </w:pPr>
            <w:r>
              <w:rPr>
                <w:rFonts w:hint="eastAsia" w:ascii="宋体" w:hAnsi="宋体" w:cs="宋体"/>
                <w:color w:val="000000"/>
                <w:sz w:val="21"/>
                <w:szCs w:val="21"/>
                <w:highlight w:val="none"/>
              </w:rPr>
              <w:t>一</w:t>
            </w:r>
          </w:p>
        </w:tc>
        <w:tc>
          <w:tcPr>
            <w:tcW w:w="4383" w:type="pct"/>
            <w:gridSpan w:val="9"/>
            <w:shd w:val="clear" w:color="auto" w:fill="D9D9D9"/>
            <w:vAlign w:val="center"/>
          </w:tcPr>
          <w:p w14:paraId="3649669C">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公司基本信息</w:t>
            </w:r>
          </w:p>
        </w:tc>
      </w:tr>
      <w:tr w14:paraId="5E166C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04AA6E88">
            <w:pPr>
              <w:jc w:val="center"/>
              <w:rPr>
                <w:rFonts w:ascii="宋体" w:hAnsi="宋体" w:cs="宋体"/>
                <w:color w:val="000000"/>
                <w:sz w:val="21"/>
                <w:szCs w:val="21"/>
                <w:highlight w:val="none"/>
              </w:rPr>
            </w:pPr>
            <w:r>
              <w:rPr>
                <w:rFonts w:hint="eastAsia" w:ascii="宋体" w:hAnsi="宋体" w:cs="宋体"/>
                <w:color w:val="000000"/>
                <w:sz w:val="21"/>
                <w:szCs w:val="21"/>
                <w:highlight w:val="none"/>
              </w:rPr>
              <w:t>1</w:t>
            </w:r>
          </w:p>
        </w:tc>
        <w:tc>
          <w:tcPr>
            <w:tcW w:w="875" w:type="pct"/>
            <w:vAlign w:val="center"/>
          </w:tcPr>
          <w:p w14:paraId="1F082934">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公司名称</w:t>
            </w:r>
          </w:p>
        </w:tc>
        <w:tc>
          <w:tcPr>
            <w:tcW w:w="3508" w:type="pct"/>
            <w:gridSpan w:val="8"/>
            <w:vAlign w:val="center"/>
          </w:tcPr>
          <w:p w14:paraId="5426C280">
            <w:pPr>
              <w:jc w:val="center"/>
              <w:rPr>
                <w:rFonts w:ascii="宋体" w:hAnsi="宋体" w:cs="宋体"/>
                <w:color w:val="000000"/>
                <w:sz w:val="21"/>
                <w:szCs w:val="21"/>
                <w:highlight w:val="none"/>
              </w:rPr>
            </w:pPr>
          </w:p>
        </w:tc>
      </w:tr>
      <w:tr w14:paraId="7890E9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7A4B7F95">
            <w:pPr>
              <w:jc w:val="center"/>
              <w:rPr>
                <w:rFonts w:ascii="宋体" w:hAnsi="宋体" w:cs="宋体"/>
                <w:color w:val="000000"/>
                <w:sz w:val="21"/>
                <w:szCs w:val="21"/>
                <w:highlight w:val="none"/>
              </w:rPr>
            </w:pPr>
            <w:r>
              <w:rPr>
                <w:rFonts w:hint="eastAsia" w:ascii="宋体" w:hAnsi="宋体" w:cs="宋体"/>
                <w:color w:val="000000"/>
                <w:sz w:val="21"/>
                <w:szCs w:val="21"/>
                <w:highlight w:val="none"/>
              </w:rPr>
              <w:t>2</w:t>
            </w:r>
          </w:p>
        </w:tc>
        <w:tc>
          <w:tcPr>
            <w:tcW w:w="875" w:type="pct"/>
            <w:vAlign w:val="center"/>
          </w:tcPr>
          <w:p w14:paraId="709BDAFF">
            <w:pPr>
              <w:jc w:val="center"/>
              <w:rPr>
                <w:rFonts w:ascii="宋体" w:hAnsi="宋体" w:cs="宋体"/>
                <w:color w:val="000000"/>
                <w:sz w:val="21"/>
                <w:szCs w:val="21"/>
                <w:highlight w:val="none"/>
              </w:rPr>
            </w:pPr>
            <w:r>
              <w:rPr>
                <w:rFonts w:hint="eastAsia" w:ascii="宋体" w:hAnsi="宋体" w:cs="宋体"/>
                <w:color w:val="000000"/>
                <w:sz w:val="21"/>
                <w:szCs w:val="21"/>
                <w:highlight w:val="none"/>
              </w:rPr>
              <w:t>注册资金</w:t>
            </w:r>
          </w:p>
        </w:tc>
        <w:tc>
          <w:tcPr>
            <w:tcW w:w="678" w:type="pct"/>
            <w:vAlign w:val="center"/>
          </w:tcPr>
          <w:p w14:paraId="337B60FA">
            <w:pPr>
              <w:jc w:val="center"/>
              <w:rPr>
                <w:rFonts w:ascii="宋体" w:hAnsi="宋体" w:cs="宋体"/>
                <w:color w:val="000000"/>
                <w:sz w:val="21"/>
                <w:szCs w:val="21"/>
                <w:highlight w:val="none"/>
              </w:rPr>
            </w:pPr>
          </w:p>
        </w:tc>
        <w:tc>
          <w:tcPr>
            <w:tcW w:w="422" w:type="pct"/>
            <w:gridSpan w:val="2"/>
            <w:vAlign w:val="center"/>
          </w:tcPr>
          <w:p w14:paraId="4EDB764B">
            <w:pPr>
              <w:jc w:val="center"/>
              <w:rPr>
                <w:rFonts w:ascii="宋体" w:hAnsi="宋体" w:cs="宋体"/>
                <w:color w:val="000000"/>
                <w:sz w:val="21"/>
                <w:szCs w:val="21"/>
                <w:highlight w:val="none"/>
              </w:rPr>
            </w:pPr>
            <w:r>
              <w:rPr>
                <w:rFonts w:hint="eastAsia" w:ascii="宋体" w:hAnsi="宋体" w:cs="宋体"/>
                <w:color w:val="000000"/>
                <w:sz w:val="21"/>
                <w:szCs w:val="21"/>
                <w:highlight w:val="none"/>
              </w:rPr>
              <w:t>3</w:t>
            </w:r>
          </w:p>
        </w:tc>
        <w:tc>
          <w:tcPr>
            <w:tcW w:w="1153" w:type="pct"/>
            <w:gridSpan w:val="3"/>
            <w:vAlign w:val="center"/>
          </w:tcPr>
          <w:p w14:paraId="2B2BD8B9">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公司地址</w:t>
            </w:r>
          </w:p>
        </w:tc>
        <w:tc>
          <w:tcPr>
            <w:tcW w:w="1253" w:type="pct"/>
            <w:gridSpan w:val="2"/>
            <w:vAlign w:val="center"/>
          </w:tcPr>
          <w:p w14:paraId="4C9AF7E1">
            <w:pPr>
              <w:jc w:val="center"/>
              <w:rPr>
                <w:rFonts w:ascii="宋体" w:hAnsi="宋体" w:cs="宋体"/>
                <w:color w:val="000000"/>
                <w:sz w:val="21"/>
                <w:szCs w:val="21"/>
                <w:highlight w:val="none"/>
              </w:rPr>
            </w:pPr>
          </w:p>
        </w:tc>
      </w:tr>
      <w:tr w14:paraId="06F060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577B3010">
            <w:pPr>
              <w:jc w:val="center"/>
              <w:rPr>
                <w:rFonts w:ascii="宋体" w:hAnsi="宋体" w:cs="宋体"/>
                <w:color w:val="000000"/>
                <w:sz w:val="21"/>
                <w:szCs w:val="21"/>
                <w:highlight w:val="none"/>
              </w:rPr>
            </w:pPr>
            <w:r>
              <w:rPr>
                <w:rFonts w:hint="eastAsia" w:ascii="宋体" w:hAnsi="宋体" w:cs="宋体"/>
                <w:color w:val="000000"/>
                <w:sz w:val="21"/>
                <w:szCs w:val="21"/>
                <w:highlight w:val="none"/>
              </w:rPr>
              <w:t>4</w:t>
            </w:r>
          </w:p>
        </w:tc>
        <w:tc>
          <w:tcPr>
            <w:tcW w:w="875" w:type="pct"/>
            <w:vAlign w:val="center"/>
          </w:tcPr>
          <w:p w14:paraId="362ADAE0">
            <w:pPr>
              <w:jc w:val="center"/>
              <w:rPr>
                <w:rFonts w:ascii="宋体" w:hAnsi="宋体" w:cs="宋体"/>
                <w:color w:val="000000"/>
                <w:sz w:val="21"/>
                <w:szCs w:val="21"/>
                <w:highlight w:val="none"/>
              </w:rPr>
            </w:pPr>
            <w:r>
              <w:rPr>
                <w:rFonts w:hint="eastAsia" w:ascii="宋体" w:hAnsi="宋体" w:cs="宋体"/>
                <w:color w:val="000000"/>
                <w:sz w:val="21"/>
                <w:szCs w:val="21"/>
                <w:highlight w:val="none"/>
              </w:rPr>
              <w:t>从业人数</w:t>
            </w:r>
          </w:p>
        </w:tc>
        <w:tc>
          <w:tcPr>
            <w:tcW w:w="678" w:type="pct"/>
            <w:vAlign w:val="center"/>
          </w:tcPr>
          <w:p w14:paraId="51505EE5">
            <w:pPr>
              <w:jc w:val="center"/>
              <w:rPr>
                <w:rFonts w:ascii="宋体" w:hAnsi="宋体" w:cs="宋体"/>
                <w:color w:val="000000"/>
                <w:sz w:val="21"/>
                <w:szCs w:val="21"/>
                <w:highlight w:val="none"/>
              </w:rPr>
            </w:pPr>
          </w:p>
        </w:tc>
        <w:tc>
          <w:tcPr>
            <w:tcW w:w="422" w:type="pct"/>
            <w:gridSpan w:val="2"/>
            <w:vAlign w:val="center"/>
          </w:tcPr>
          <w:p w14:paraId="20A2C2FD">
            <w:pPr>
              <w:jc w:val="center"/>
              <w:rPr>
                <w:rFonts w:ascii="宋体" w:hAnsi="宋体" w:cs="宋体"/>
                <w:color w:val="000000"/>
                <w:sz w:val="21"/>
                <w:szCs w:val="21"/>
                <w:highlight w:val="none"/>
              </w:rPr>
            </w:pPr>
            <w:r>
              <w:rPr>
                <w:rFonts w:hint="eastAsia" w:ascii="宋体" w:hAnsi="宋体" w:cs="宋体"/>
                <w:color w:val="000000"/>
                <w:sz w:val="21"/>
                <w:szCs w:val="21"/>
                <w:highlight w:val="none"/>
              </w:rPr>
              <w:t>5</w:t>
            </w:r>
          </w:p>
        </w:tc>
        <w:tc>
          <w:tcPr>
            <w:tcW w:w="1153" w:type="pct"/>
            <w:gridSpan w:val="3"/>
            <w:vAlign w:val="center"/>
          </w:tcPr>
          <w:p w14:paraId="5E3C041F">
            <w:pPr>
              <w:jc w:val="center"/>
              <w:rPr>
                <w:rFonts w:ascii="宋体" w:hAnsi="宋体" w:cs="宋体"/>
                <w:color w:val="000000"/>
                <w:sz w:val="21"/>
                <w:szCs w:val="21"/>
                <w:highlight w:val="none"/>
              </w:rPr>
            </w:pPr>
            <w:r>
              <w:rPr>
                <w:rFonts w:hint="eastAsia" w:ascii="宋体" w:hAnsi="宋体" w:cs="宋体"/>
                <w:color w:val="000000"/>
                <w:sz w:val="21"/>
                <w:szCs w:val="21"/>
                <w:highlight w:val="none"/>
              </w:rPr>
              <w:t>法定代表人</w:t>
            </w:r>
          </w:p>
        </w:tc>
        <w:tc>
          <w:tcPr>
            <w:tcW w:w="1253" w:type="pct"/>
            <w:gridSpan w:val="2"/>
            <w:vAlign w:val="center"/>
          </w:tcPr>
          <w:p w14:paraId="1C03BBC5">
            <w:pPr>
              <w:jc w:val="center"/>
              <w:rPr>
                <w:rFonts w:ascii="宋体" w:hAnsi="宋体" w:cs="宋体"/>
                <w:color w:val="000000"/>
                <w:sz w:val="21"/>
                <w:szCs w:val="21"/>
                <w:highlight w:val="none"/>
              </w:rPr>
            </w:pPr>
          </w:p>
        </w:tc>
      </w:tr>
      <w:tr w14:paraId="0F61F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07BD0D05">
            <w:pPr>
              <w:jc w:val="center"/>
              <w:rPr>
                <w:rFonts w:ascii="宋体" w:hAnsi="宋体" w:cs="宋体"/>
                <w:color w:val="000000"/>
                <w:sz w:val="21"/>
                <w:szCs w:val="21"/>
                <w:highlight w:val="none"/>
              </w:rPr>
            </w:pPr>
            <w:r>
              <w:rPr>
                <w:rFonts w:hint="eastAsia" w:ascii="宋体" w:hAnsi="宋体" w:cs="宋体"/>
                <w:color w:val="000000"/>
                <w:sz w:val="21"/>
                <w:szCs w:val="21"/>
                <w:highlight w:val="none"/>
              </w:rPr>
              <w:t>6</w:t>
            </w:r>
          </w:p>
        </w:tc>
        <w:tc>
          <w:tcPr>
            <w:tcW w:w="875" w:type="pct"/>
            <w:vAlign w:val="center"/>
          </w:tcPr>
          <w:p w14:paraId="45A6B28D">
            <w:pPr>
              <w:jc w:val="center"/>
              <w:rPr>
                <w:rFonts w:ascii="宋体" w:hAnsi="宋体" w:cs="宋体"/>
                <w:color w:val="000000"/>
                <w:sz w:val="21"/>
                <w:szCs w:val="21"/>
                <w:highlight w:val="none"/>
              </w:rPr>
            </w:pPr>
            <w:r>
              <w:rPr>
                <w:rFonts w:hint="eastAsia" w:ascii="宋体" w:hAnsi="宋体" w:cs="宋体"/>
                <w:color w:val="000000"/>
                <w:sz w:val="21"/>
                <w:szCs w:val="21"/>
                <w:highlight w:val="none"/>
              </w:rPr>
              <w:t>开户银行</w:t>
            </w:r>
          </w:p>
        </w:tc>
        <w:tc>
          <w:tcPr>
            <w:tcW w:w="678" w:type="pct"/>
            <w:vAlign w:val="center"/>
          </w:tcPr>
          <w:p w14:paraId="584C619C">
            <w:pPr>
              <w:jc w:val="center"/>
              <w:rPr>
                <w:rFonts w:ascii="宋体" w:hAnsi="宋体" w:cs="宋体"/>
                <w:color w:val="000000"/>
                <w:sz w:val="21"/>
                <w:szCs w:val="21"/>
                <w:highlight w:val="none"/>
              </w:rPr>
            </w:pPr>
          </w:p>
        </w:tc>
        <w:tc>
          <w:tcPr>
            <w:tcW w:w="422" w:type="pct"/>
            <w:gridSpan w:val="2"/>
            <w:vAlign w:val="center"/>
          </w:tcPr>
          <w:p w14:paraId="7A881190">
            <w:pPr>
              <w:jc w:val="center"/>
              <w:rPr>
                <w:rFonts w:ascii="宋体" w:hAnsi="宋体" w:cs="宋体"/>
                <w:color w:val="000000"/>
                <w:sz w:val="21"/>
                <w:szCs w:val="21"/>
                <w:highlight w:val="none"/>
              </w:rPr>
            </w:pPr>
            <w:r>
              <w:rPr>
                <w:rFonts w:hint="eastAsia" w:ascii="宋体" w:hAnsi="宋体" w:cs="宋体"/>
                <w:color w:val="000000"/>
                <w:sz w:val="21"/>
                <w:szCs w:val="21"/>
                <w:highlight w:val="none"/>
              </w:rPr>
              <w:t>7</w:t>
            </w:r>
          </w:p>
        </w:tc>
        <w:tc>
          <w:tcPr>
            <w:tcW w:w="1153" w:type="pct"/>
            <w:gridSpan w:val="3"/>
            <w:vAlign w:val="center"/>
          </w:tcPr>
          <w:p w14:paraId="4993F2B7">
            <w:pPr>
              <w:jc w:val="center"/>
              <w:rPr>
                <w:rFonts w:ascii="宋体" w:hAnsi="宋体" w:cs="宋体"/>
                <w:color w:val="000000"/>
                <w:sz w:val="21"/>
                <w:szCs w:val="21"/>
                <w:highlight w:val="none"/>
              </w:rPr>
            </w:pPr>
            <w:r>
              <w:rPr>
                <w:rFonts w:hint="eastAsia" w:ascii="宋体" w:hAnsi="宋体" w:cs="宋体"/>
                <w:color w:val="000000"/>
                <w:sz w:val="21"/>
                <w:szCs w:val="21"/>
                <w:highlight w:val="none"/>
              </w:rPr>
              <w:t>账号</w:t>
            </w:r>
          </w:p>
        </w:tc>
        <w:tc>
          <w:tcPr>
            <w:tcW w:w="1253" w:type="pct"/>
            <w:gridSpan w:val="2"/>
            <w:vAlign w:val="center"/>
          </w:tcPr>
          <w:p w14:paraId="5B72B940">
            <w:pPr>
              <w:jc w:val="center"/>
              <w:rPr>
                <w:rFonts w:ascii="宋体" w:hAnsi="宋体" w:cs="宋体"/>
                <w:color w:val="000000"/>
                <w:sz w:val="21"/>
                <w:szCs w:val="21"/>
                <w:highlight w:val="none"/>
              </w:rPr>
            </w:pPr>
          </w:p>
        </w:tc>
      </w:tr>
      <w:tr w14:paraId="6AA6E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6B5EEBD5">
            <w:pPr>
              <w:jc w:val="center"/>
              <w:rPr>
                <w:rFonts w:ascii="宋体" w:hAnsi="宋体" w:cs="宋体"/>
                <w:color w:val="000000"/>
                <w:sz w:val="21"/>
                <w:szCs w:val="21"/>
                <w:highlight w:val="none"/>
              </w:rPr>
            </w:pPr>
            <w:r>
              <w:rPr>
                <w:rFonts w:hint="eastAsia" w:ascii="宋体" w:hAnsi="宋体" w:cs="宋体"/>
                <w:color w:val="000000"/>
                <w:sz w:val="21"/>
                <w:szCs w:val="21"/>
                <w:highlight w:val="none"/>
              </w:rPr>
              <w:t>8</w:t>
            </w:r>
          </w:p>
        </w:tc>
        <w:tc>
          <w:tcPr>
            <w:tcW w:w="875" w:type="pct"/>
            <w:vAlign w:val="center"/>
          </w:tcPr>
          <w:p w14:paraId="7F567E4F">
            <w:pPr>
              <w:jc w:val="center"/>
              <w:rPr>
                <w:rFonts w:ascii="宋体" w:hAnsi="宋体" w:cs="宋体"/>
                <w:color w:val="000000"/>
                <w:sz w:val="21"/>
                <w:szCs w:val="21"/>
                <w:highlight w:val="none"/>
              </w:rPr>
            </w:pPr>
            <w:r>
              <w:rPr>
                <w:rFonts w:hint="eastAsia" w:ascii="宋体" w:hAnsi="宋体" w:cs="宋体"/>
                <w:color w:val="000000"/>
                <w:sz w:val="21"/>
                <w:szCs w:val="21"/>
                <w:highlight w:val="none"/>
              </w:rPr>
              <w:t>项目联系人</w:t>
            </w:r>
          </w:p>
        </w:tc>
        <w:tc>
          <w:tcPr>
            <w:tcW w:w="678" w:type="pct"/>
            <w:vAlign w:val="center"/>
          </w:tcPr>
          <w:p w14:paraId="4B107A97">
            <w:pPr>
              <w:jc w:val="center"/>
              <w:rPr>
                <w:rFonts w:ascii="宋体" w:hAnsi="宋体" w:cs="宋体"/>
                <w:color w:val="000000"/>
                <w:sz w:val="21"/>
                <w:szCs w:val="21"/>
                <w:highlight w:val="none"/>
              </w:rPr>
            </w:pPr>
          </w:p>
        </w:tc>
        <w:tc>
          <w:tcPr>
            <w:tcW w:w="422" w:type="pct"/>
            <w:gridSpan w:val="2"/>
            <w:vAlign w:val="center"/>
          </w:tcPr>
          <w:p w14:paraId="034497D6">
            <w:pPr>
              <w:jc w:val="center"/>
              <w:rPr>
                <w:rFonts w:ascii="宋体" w:hAnsi="宋体" w:cs="宋体"/>
                <w:color w:val="000000"/>
                <w:sz w:val="21"/>
                <w:szCs w:val="21"/>
                <w:highlight w:val="none"/>
              </w:rPr>
            </w:pPr>
            <w:r>
              <w:rPr>
                <w:rFonts w:hint="eastAsia" w:ascii="宋体" w:hAnsi="宋体" w:cs="宋体"/>
                <w:color w:val="000000"/>
                <w:sz w:val="21"/>
                <w:szCs w:val="21"/>
                <w:highlight w:val="none"/>
              </w:rPr>
              <w:t>9</w:t>
            </w:r>
          </w:p>
        </w:tc>
        <w:tc>
          <w:tcPr>
            <w:tcW w:w="1153" w:type="pct"/>
            <w:gridSpan w:val="3"/>
            <w:vAlign w:val="center"/>
          </w:tcPr>
          <w:p w14:paraId="2E420971">
            <w:pPr>
              <w:jc w:val="center"/>
              <w:rPr>
                <w:rFonts w:ascii="宋体" w:hAnsi="宋体" w:cs="宋体"/>
                <w:color w:val="000000"/>
                <w:sz w:val="21"/>
                <w:szCs w:val="21"/>
                <w:highlight w:val="none"/>
              </w:rPr>
            </w:pPr>
            <w:r>
              <w:rPr>
                <w:rFonts w:hint="eastAsia" w:ascii="宋体" w:hAnsi="宋体" w:cs="宋体"/>
                <w:color w:val="000000"/>
                <w:sz w:val="21"/>
                <w:szCs w:val="21"/>
                <w:highlight w:val="none"/>
              </w:rPr>
              <w:t>联系电话</w:t>
            </w:r>
          </w:p>
        </w:tc>
        <w:tc>
          <w:tcPr>
            <w:tcW w:w="1253" w:type="pct"/>
            <w:gridSpan w:val="2"/>
            <w:vAlign w:val="center"/>
          </w:tcPr>
          <w:p w14:paraId="2FA40881">
            <w:pPr>
              <w:jc w:val="center"/>
              <w:rPr>
                <w:rFonts w:ascii="宋体" w:hAnsi="宋体" w:cs="宋体"/>
                <w:color w:val="000000"/>
                <w:sz w:val="21"/>
                <w:szCs w:val="21"/>
                <w:highlight w:val="none"/>
              </w:rPr>
            </w:pPr>
          </w:p>
        </w:tc>
      </w:tr>
      <w:tr w14:paraId="7BFF7F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shd w:val="clear" w:color="auto" w:fill="D9D9D9"/>
            <w:vAlign w:val="center"/>
          </w:tcPr>
          <w:p w14:paraId="301512B3">
            <w:pPr>
              <w:jc w:val="center"/>
              <w:rPr>
                <w:rFonts w:ascii="宋体" w:hAnsi="宋体" w:cs="宋体"/>
                <w:color w:val="000000"/>
                <w:sz w:val="21"/>
                <w:szCs w:val="21"/>
                <w:highlight w:val="none"/>
              </w:rPr>
            </w:pPr>
            <w:r>
              <w:rPr>
                <w:rFonts w:hint="eastAsia" w:ascii="宋体" w:hAnsi="宋体" w:cs="宋体"/>
                <w:color w:val="000000"/>
                <w:sz w:val="21"/>
                <w:szCs w:val="21"/>
                <w:highlight w:val="none"/>
              </w:rPr>
              <w:t>二</w:t>
            </w:r>
          </w:p>
        </w:tc>
        <w:tc>
          <w:tcPr>
            <w:tcW w:w="4383" w:type="pct"/>
            <w:gridSpan w:val="9"/>
            <w:shd w:val="clear" w:color="auto" w:fill="D9D9D9"/>
            <w:vAlign w:val="center"/>
          </w:tcPr>
          <w:p w14:paraId="4097321B">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公司财务状况</w:t>
            </w:r>
          </w:p>
        </w:tc>
      </w:tr>
      <w:tr w14:paraId="2C5E39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vAlign w:val="center"/>
          </w:tcPr>
          <w:p w14:paraId="15DB1ED4">
            <w:pPr>
              <w:jc w:val="center"/>
              <w:rPr>
                <w:rFonts w:ascii="宋体" w:hAnsi="宋体" w:cs="宋体"/>
                <w:color w:val="000000"/>
                <w:sz w:val="21"/>
                <w:szCs w:val="21"/>
                <w:highlight w:val="none"/>
              </w:rPr>
            </w:pPr>
            <w:r>
              <w:rPr>
                <w:rFonts w:hint="eastAsia" w:ascii="宋体" w:hAnsi="宋体" w:cs="宋体"/>
                <w:color w:val="000000"/>
                <w:sz w:val="21"/>
                <w:szCs w:val="21"/>
                <w:highlight w:val="none"/>
              </w:rPr>
              <w:t>(一)</w:t>
            </w:r>
          </w:p>
        </w:tc>
        <w:tc>
          <w:tcPr>
            <w:tcW w:w="4383" w:type="pct"/>
            <w:gridSpan w:val="9"/>
            <w:vAlign w:val="center"/>
          </w:tcPr>
          <w:p w14:paraId="510F995A">
            <w:pPr>
              <w:jc w:val="center"/>
              <w:rPr>
                <w:rFonts w:ascii="宋体" w:hAnsi="宋体" w:cs="宋体"/>
                <w:color w:val="000000"/>
                <w:sz w:val="21"/>
                <w:szCs w:val="21"/>
                <w:highlight w:val="none"/>
              </w:rPr>
            </w:pPr>
            <w:r>
              <w:rPr>
                <w:rFonts w:hint="eastAsia" w:ascii="宋体" w:hAnsi="宋体" w:cs="宋体"/>
                <w:color w:val="000000"/>
                <w:sz w:val="21"/>
                <w:szCs w:val="21"/>
                <w:highlight w:val="none"/>
              </w:rPr>
              <w:t>202</w:t>
            </w:r>
            <w:r>
              <w:rPr>
                <w:rFonts w:hint="eastAsia" w:ascii="宋体" w:hAnsi="宋体" w:cs="宋体"/>
                <w:color w:val="000000"/>
                <w:sz w:val="21"/>
                <w:szCs w:val="21"/>
                <w:highlight w:val="none"/>
                <w:lang w:val="en-US" w:eastAsia="zh-CN"/>
              </w:rPr>
              <w:t>5</w:t>
            </w:r>
            <w:r>
              <w:rPr>
                <w:rFonts w:hint="eastAsia" w:ascii="宋体" w:hAnsi="宋体" w:cs="宋体"/>
                <w:color w:val="000000"/>
                <w:sz w:val="21"/>
                <w:szCs w:val="21"/>
                <w:highlight w:val="none"/>
              </w:rPr>
              <w:t>年度财务状况</w:t>
            </w:r>
          </w:p>
        </w:tc>
      </w:tr>
      <w:tr w14:paraId="072839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616" w:type="pct"/>
            <w:vAlign w:val="center"/>
          </w:tcPr>
          <w:p w14:paraId="7A9CE095">
            <w:pPr>
              <w:jc w:val="center"/>
              <w:rPr>
                <w:rFonts w:ascii="宋体" w:hAnsi="宋体" w:cs="宋体"/>
                <w:color w:val="000000"/>
                <w:sz w:val="21"/>
                <w:szCs w:val="21"/>
                <w:highlight w:val="none"/>
              </w:rPr>
            </w:pPr>
            <w:r>
              <w:rPr>
                <w:rFonts w:hint="eastAsia" w:ascii="宋体" w:hAnsi="宋体" w:cs="宋体"/>
                <w:color w:val="000000"/>
                <w:sz w:val="21"/>
                <w:szCs w:val="21"/>
                <w:highlight w:val="none"/>
              </w:rPr>
              <w:t>1</w:t>
            </w:r>
          </w:p>
        </w:tc>
        <w:tc>
          <w:tcPr>
            <w:tcW w:w="875" w:type="pct"/>
            <w:vAlign w:val="center"/>
          </w:tcPr>
          <w:p w14:paraId="360CF96E">
            <w:pPr>
              <w:jc w:val="center"/>
              <w:rPr>
                <w:rFonts w:ascii="宋体" w:hAnsi="宋体" w:cs="宋体"/>
                <w:color w:val="000000"/>
                <w:sz w:val="21"/>
                <w:szCs w:val="21"/>
                <w:highlight w:val="none"/>
              </w:rPr>
            </w:pPr>
            <w:r>
              <w:rPr>
                <w:rFonts w:hint="eastAsia" w:ascii="宋体" w:hAnsi="宋体" w:cs="宋体"/>
                <w:color w:val="000000"/>
                <w:sz w:val="21"/>
                <w:szCs w:val="21"/>
                <w:highlight w:val="none"/>
              </w:rPr>
              <w:t>营业收入</w:t>
            </w:r>
          </w:p>
          <w:p w14:paraId="2190F494">
            <w:pPr>
              <w:jc w:val="center"/>
              <w:rPr>
                <w:rFonts w:ascii="宋体" w:hAnsi="宋体" w:cs="宋体"/>
                <w:color w:val="000000"/>
                <w:sz w:val="21"/>
                <w:szCs w:val="21"/>
                <w:highlight w:val="none"/>
              </w:rPr>
            </w:pPr>
            <w:r>
              <w:rPr>
                <w:rFonts w:hint="eastAsia" w:ascii="宋体" w:hAnsi="宋体" w:cs="宋体"/>
                <w:color w:val="000000"/>
                <w:sz w:val="21"/>
                <w:szCs w:val="21"/>
                <w:highlight w:val="none"/>
              </w:rPr>
              <w:t>(万)：</w:t>
            </w:r>
          </w:p>
        </w:tc>
        <w:tc>
          <w:tcPr>
            <w:tcW w:w="678" w:type="pct"/>
            <w:vAlign w:val="center"/>
          </w:tcPr>
          <w:p w14:paraId="42574202">
            <w:pPr>
              <w:jc w:val="center"/>
              <w:rPr>
                <w:rFonts w:ascii="宋体" w:hAnsi="宋体" w:cs="宋体"/>
                <w:color w:val="000000"/>
                <w:sz w:val="21"/>
                <w:szCs w:val="21"/>
                <w:highlight w:val="none"/>
              </w:rPr>
            </w:pPr>
          </w:p>
        </w:tc>
        <w:tc>
          <w:tcPr>
            <w:tcW w:w="422" w:type="pct"/>
            <w:gridSpan w:val="2"/>
            <w:vAlign w:val="center"/>
          </w:tcPr>
          <w:p w14:paraId="2708552A">
            <w:pPr>
              <w:jc w:val="center"/>
              <w:rPr>
                <w:rFonts w:ascii="宋体" w:hAnsi="宋体" w:cs="宋体"/>
                <w:color w:val="000000"/>
                <w:sz w:val="21"/>
                <w:szCs w:val="21"/>
                <w:highlight w:val="none"/>
              </w:rPr>
            </w:pPr>
            <w:r>
              <w:rPr>
                <w:rFonts w:hint="eastAsia" w:ascii="宋体" w:hAnsi="宋体" w:cs="宋体"/>
                <w:color w:val="000000"/>
                <w:sz w:val="21"/>
                <w:szCs w:val="21"/>
                <w:highlight w:val="none"/>
              </w:rPr>
              <w:t>2</w:t>
            </w:r>
          </w:p>
        </w:tc>
        <w:tc>
          <w:tcPr>
            <w:tcW w:w="1153" w:type="pct"/>
            <w:gridSpan w:val="3"/>
            <w:vAlign w:val="center"/>
          </w:tcPr>
          <w:p w14:paraId="7465C03A">
            <w:pPr>
              <w:jc w:val="center"/>
              <w:rPr>
                <w:rFonts w:ascii="宋体" w:hAnsi="宋体" w:cs="宋体"/>
                <w:color w:val="000000"/>
                <w:sz w:val="21"/>
                <w:szCs w:val="21"/>
                <w:highlight w:val="none"/>
              </w:rPr>
            </w:pPr>
            <w:r>
              <w:rPr>
                <w:rFonts w:hint="eastAsia" w:ascii="宋体" w:hAnsi="宋体" w:cs="宋体"/>
                <w:color w:val="000000"/>
                <w:sz w:val="21"/>
                <w:szCs w:val="21"/>
                <w:highlight w:val="none"/>
              </w:rPr>
              <w:t>利润总额(万)</w:t>
            </w:r>
          </w:p>
        </w:tc>
        <w:tc>
          <w:tcPr>
            <w:tcW w:w="1253" w:type="pct"/>
            <w:gridSpan w:val="2"/>
            <w:vAlign w:val="center"/>
          </w:tcPr>
          <w:p w14:paraId="6110E576">
            <w:pPr>
              <w:jc w:val="center"/>
              <w:rPr>
                <w:rFonts w:ascii="宋体" w:hAnsi="宋体" w:cs="宋体"/>
                <w:color w:val="000000"/>
                <w:sz w:val="21"/>
                <w:szCs w:val="21"/>
                <w:highlight w:val="none"/>
              </w:rPr>
            </w:pPr>
          </w:p>
        </w:tc>
      </w:tr>
      <w:tr w14:paraId="06106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616" w:type="pct"/>
            <w:vAlign w:val="center"/>
          </w:tcPr>
          <w:p w14:paraId="177CE076">
            <w:pPr>
              <w:jc w:val="center"/>
              <w:rPr>
                <w:rFonts w:ascii="宋体" w:hAnsi="宋体" w:cs="宋体"/>
                <w:color w:val="000000"/>
                <w:sz w:val="21"/>
                <w:szCs w:val="21"/>
                <w:highlight w:val="none"/>
              </w:rPr>
            </w:pPr>
            <w:r>
              <w:rPr>
                <w:rFonts w:hint="eastAsia" w:ascii="宋体" w:hAnsi="宋体" w:cs="宋体"/>
                <w:color w:val="000000"/>
                <w:sz w:val="21"/>
                <w:szCs w:val="21"/>
                <w:highlight w:val="none"/>
              </w:rPr>
              <w:t>3</w:t>
            </w:r>
          </w:p>
        </w:tc>
        <w:tc>
          <w:tcPr>
            <w:tcW w:w="875" w:type="pct"/>
            <w:vAlign w:val="center"/>
          </w:tcPr>
          <w:p w14:paraId="183279CA">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年末“固定资产合计”</w:t>
            </w:r>
          </w:p>
          <w:p w14:paraId="5854F7F7">
            <w:pPr>
              <w:jc w:val="center"/>
              <w:rPr>
                <w:rFonts w:ascii="宋体" w:hAnsi="宋体" w:cs="宋体"/>
                <w:color w:val="000000"/>
                <w:sz w:val="21"/>
                <w:szCs w:val="21"/>
                <w:highlight w:val="none"/>
              </w:rPr>
            </w:pPr>
            <w:r>
              <w:rPr>
                <w:rFonts w:hint="eastAsia" w:ascii="宋体" w:hAnsi="宋体" w:cs="宋体"/>
                <w:color w:val="000000"/>
                <w:sz w:val="21"/>
                <w:szCs w:val="21"/>
                <w:highlight w:val="none"/>
              </w:rPr>
              <w:t>(万)</w:t>
            </w:r>
          </w:p>
        </w:tc>
        <w:tc>
          <w:tcPr>
            <w:tcW w:w="678" w:type="pct"/>
            <w:vAlign w:val="center"/>
          </w:tcPr>
          <w:p w14:paraId="2246030D">
            <w:pPr>
              <w:jc w:val="center"/>
              <w:rPr>
                <w:rFonts w:ascii="宋体" w:hAnsi="宋体" w:cs="宋体"/>
                <w:color w:val="000000"/>
                <w:sz w:val="21"/>
                <w:szCs w:val="21"/>
                <w:highlight w:val="none"/>
              </w:rPr>
            </w:pPr>
          </w:p>
        </w:tc>
        <w:tc>
          <w:tcPr>
            <w:tcW w:w="422" w:type="pct"/>
            <w:gridSpan w:val="2"/>
            <w:vAlign w:val="center"/>
          </w:tcPr>
          <w:p w14:paraId="0EFA8EE6">
            <w:pPr>
              <w:jc w:val="center"/>
              <w:rPr>
                <w:rFonts w:ascii="宋体" w:hAnsi="宋体" w:cs="宋体"/>
                <w:color w:val="000000"/>
                <w:sz w:val="21"/>
                <w:szCs w:val="21"/>
                <w:highlight w:val="none"/>
              </w:rPr>
            </w:pPr>
            <w:r>
              <w:rPr>
                <w:rFonts w:hint="eastAsia" w:ascii="宋体" w:hAnsi="宋体" w:cs="宋体"/>
                <w:color w:val="000000"/>
                <w:sz w:val="21"/>
                <w:szCs w:val="21"/>
                <w:highlight w:val="none"/>
              </w:rPr>
              <w:t>4</w:t>
            </w:r>
          </w:p>
        </w:tc>
        <w:tc>
          <w:tcPr>
            <w:tcW w:w="1153" w:type="pct"/>
            <w:gridSpan w:val="3"/>
            <w:vAlign w:val="center"/>
          </w:tcPr>
          <w:p w14:paraId="669E4FD3">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年末“流动资产”余额(万)</w:t>
            </w:r>
          </w:p>
        </w:tc>
        <w:tc>
          <w:tcPr>
            <w:tcW w:w="1253" w:type="pct"/>
            <w:gridSpan w:val="2"/>
            <w:vAlign w:val="center"/>
          </w:tcPr>
          <w:p w14:paraId="59ED0B9C">
            <w:pPr>
              <w:jc w:val="center"/>
              <w:rPr>
                <w:rFonts w:ascii="宋体" w:hAnsi="宋体" w:cs="宋体"/>
                <w:color w:val="000000"/>
                <w:sz w:val="21"/>
                <w:szCs w:val="21"/>
                <w:highlight w:val="none"/>
              </w:rPr>
            </w:pPr>
          </w:p>
        </w:tc>
      </w:tr>
      <w:tr w14:paraId="1BD14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616" w:type="pct"/>
            <w:vAlign w:val="center"/>
          </w:tcPr>
          <w:p w14:paraId="5E6A0AD5">
            <w:pPr>
              <w:jc w:val="center"/>
              <w:rPr>
                <w:rFonts w:ascii="宋体" w:hAnsi="宋体" w:cs="宋体"/>
                <w:color w:val="000000"/>
                <w:sz w:val="21"/>
                <w:szCs w:val="21"/>
                <w:highlight w:val="none"/>
              </w:rPr>
            </w:pPr>
            <w:r>
              <w:rPr>
                <w:rFonts w:hint="eastAsia" w:ascii="宋体" w:hAnsi="宋体" w:cs="宋体"/>
                <w:color w:val="000000"/>
                <w:sz w:val="21"/>
                <w:szCs w:val="21"/>
                <w:highlight w:val="none"/>
              </w:rPr>
              <w:t>5</w:t>
            </w:r>
          </w:p>
        </w:tc>
        <w:tc>
          <w:tcPr>
            <w:tcW w:w="875" w:type="pct"/>
            <w:vAlign w:val="center"/>
          </w:tcPr>
          <w:p w14:paraId="413A3DBA">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年末“短期</w:t>
            </w:r>
          </w:p>
          <w:p w14:paraId="2A327801">
            <w:pPr>
              <w:jc w:val="center"/>
              <w:rPr>
                <w:rFonts w:ascii="宋体" w:hAnsi="宋体" w:cs="宋体"/>
                <w:color w:val="000000"/>
                <w:sz w:val="21"/>
                <w:szCs w:val="21"/>
                <w:highlight w:val="none"/>
              </w:rPr>
            </w:pPr>
            <w:r>
              <w:rPr>
                <w:rFonts w:hint="eastAsia" w:ascii="宋体" w:hAnsi="宋体" w:cs="宋体"/>
                <w:color w:val="000000"/>
                <w:sz w:val="21"/>
                <w:szCs w:val="21"/>
                <w:highlight w:val="none"/>
              </w:rPr>
              <w:t>负债”余额</w:t>
            </w:r>
          </w:p>
          <w:p w14:paraId="615F862B">
            <w:pPr>
              <w:jc w:val="center"/>
              <w:rPr>
                <w:rFonts w:ascii="宋体" w:hAnsi="宋体" w:cs="宋体"/>
                <w:color w:val="000000"/>
                <w:sz w:val="21"/>
                <w:szCs w:val="21"/>
                <w:highlight w:val="none"/>
              </w:rPr>
            </w:pPr>
            <w:r>
              <w:rPr>
                <w:rFonts w:hint="eastAsia" w:ascii="宋体" w:hAnsi="宋体" w:cs="宋体"/>
                <w:color w:val="000000"/>
                <w:sz w:val="21"/>
                <w:szCs w:val="21"/>
                <w:highlight w:val="none"/>
              </w:rPr>
              <w:t>(万)</w:t>
            </w:r>
          </w:p>
        </w:tc>
        <w:tc>
          <w:tcPr>
            <w:tcW w:w="678" w:type="pct"/>
            <w:vAlign w:val="center"/>
          </w:tcPr>
          <w:p w14:paraId="76CF6988">
            <w:pPr>
              <w:jc w:val="center"/>
              <w:rPr>
                <w:rFonts w:ascii="宋体" w:hAnsi="宋体" w:cs="宋体"/>
                <w:color w:val="000000"/>
                <w:sz w:val="21"/>
                <w:szCs w:val="21"/>
                <w:highlight w:val="none"/>
              </w:rPr>
            </w:pPr>
          </w:p>
        </w:tc>
        <w:tc>
          <w:tcPr>
            <w:tcW w:w="422" w:type="pct"/>
            <w:gridSpan w:val="2"/>
            <w:vAlign w:val="center"/>
          </w:tcPr>
          <w:p w14:paraId="48E710FB">
            <w:pPr>
              <w:jc w:val="center"/>
              <w:rPr>
                <w:rFonts w:ascii="宋体" w:hAnsi="宋体" w:cs="宋体"/>
                <w:color w:val="000000"/>
                <w:sz w:val="21"/>
                <w:szCs w:val="21"/>
                <w:highlight w:val="none"/>
              </w:rPr>
            </w:pPr>
            <w:r>
              <w:rPr>
                <w:rFonts w:hint="eastAsia" w:ascii="宋体" w:hAnsi="宋体" w:cs="宋体"/>
                <w:color w:val="000000"/>
                <w:sz w:val="21"/>
                <w:szCs w:val="21"/>
                <w:highlight w:val="none"/>
              </w:rPr>
              <w:t>6</w:t>
            </w:r>
          </w:p>
        </w:tc>
        <w:tc>
          <w:tcPr>
            <w:tcW w:w="1153" w:type="pct"/>
            <w:gridSpan w:val="3"/>
            <w:vAlign w:val="center"/>
          </w:tcPr>
          <w:p w14:paraId="2AB1DE1A">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年末“长期负债”余额(万)</w:t>
            </w:r>
          </w:p>
        </w:tc>
        <w:tc>
          <w:tcPr>
            <w:tcW w:w="1253" w:type="pct"/>
            <w:gridSpan w:val="2"/>
            <w:vAlign w:val="center"/>
          </w:tcPr>
          <w:p w14:paraId="00124049">
            <w:pPr>
              <w:jc w:val="center"/>
              <w:rPr>
                <w:rFonts w:ascii="宋体" w:hAnsi="宋体" w:cs="宋体"/>
                <w:color w:val="000000"/>
                <w:sz w:val="21"/>
                <w:szCs w:val="21"/>
                <w:highlight w:val="none"/>
              </w:rPr>
            </w:pPr>
          </w:p>
        </w:tc>
      </w:tr>
      <w:tr w14:paraId="73876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2" w:hRule="atLeast"/>
        </w:trPr>
        <w:tc>
          <w:tcPr>
            <w:tcW w:w="616" w:type="pct"/>
            <w:vAlign w:val="center"/>
          </w:tcPr>
          <w:p w14:paraId="773177B6">
            <w:pPr>
              <w:jc w:val="center"/>
              <w:rPr>
                <w:rFonts w:ascii="宋体" w:hAnsi="宋体" w:cs="宋体"/>
                <w:color w:val="000000"/>
                <w:sz w:val="21"/>
                <w:szCs w:val="21"/>
                <w:highlight w:val="none"/>
              </w:rPr>
            </w:pPr>
            <w:r>
              <w:rPr>
                <w:rFonts w:hint="eastAsia" w:ascii="宋体" w:hAnsi="宋体" w:cs="宋体"/>
                <w:color w:val="000000"/>
                <w:sz w:val="21"/>
                <w:szCs w:val="21"/>
                <w:highlight w:val="none"/>
              </w:rPr>
              <w:t>7</w:t>
            </w:r>
          </w:p>
        </w:tc>
        <w:tc>
          <w:tcPr>
            <w:tcW w:w="875" w:type="pct"/>
            <w:vAlign w:val="center"/>
          </w:tcPr>
          <w:p w14:paraId="31C8F376">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年末“资产</w:t>
            </w:r>
          </w:p>
          <w:p w14:paraId="6A4F1CCA">
            <w:pPr>
              <w:jc w:val="center"/>
              <w:rPr>
                <w:rFonts w:ascii="宋体" w:hAnsi="宋体" w:cs="宋体"/>
                <w:color w:val="000000"/>
                <w:sz w:val="21"/>
                <w:szCs w:val="21"/>
                <w:highlight w:val="none"/>
              </w:rPr>
            </w:pPr>
            <w:r>
              <w:rPr>
                <w:rFonts w:hint="eastAsia" w:ascii="宋体" w:hAnsi="宋体" w:cs="宋体"/>
                <w:color w:val="000000"/>
                <w:sz w:val="21"/>
                <w:szCs w:val="21"/>
                <w:highlight w:val="none"/>
              </w:rPr>
              <w:t>总计”余额</w:t>
            </w:r>
          </w:p>
          <w:p w14:paraId="4E60A2C0">
            <w:pPr>
              <w:jc w:val="center"/>
              <w:rPr>
                <w:rFonts w:ascii="宋体" w:hAnsi="宋体" w:cs="宋体"/>
                <w:color w:val="000000"/>
                <w:sz w:val="21"/>
                <w:szCs w:val="21"/>
                <w:highlight w:val="none"/>
              </w:rPr>
            </w:pPr>
            <w:r>
              <w:rPr>
                <w:rFonts w:hint="eastAsia" w:ascii="宋体" w:hAnsi="宋体" w:cs="宋体"/>
                <w:color w:val="000000"/>
                <w:sz w:val="21"/>
                <w:szCs w:val="21"/>
                <w:highlight w:val="none"/>
              </w:rPr>
              <w:t>(万)</w:t>
            </w:r>
          </w:p>
        </w:tc>
        <w:tc>
          <w:tcPr>
            <w:tcW w:w="678" w:type="pct"/>
            <w:vAlign w:val="center"/>
          </w:tcPr>
          <w:p w14:paraId="0E67EF0C">
            <w:pPr>
              <w:jc w:val="center"/>
              <w:rPr>
                <w:rFonts w:ascii="宋体" w:hAnsi="宋体" w:cs="宋体"/>
                <w:color w:val="000000"/>
                <w:sz w:val="21"/>
                <w:szCs w:val="21"/>
                <w:highlight w:val="none"/>
              </w:rPr>
            </w:pPr>
          </w:p>
        </w:tc>
        <w:tc>
          <w:tcPr>
            <w:tcW w:w="422" w:type="pct"/>
            <w:gridSpan w:val="2"/>
            <w:vAlign w:val="center"/>
          </w:tcPr>
          <w:p w14:paraId="66F48D29">
            <w:pPr>
              <w:jc w:val="center"/>
              <w:rPr>
                <w:rFonts w:ascii="宋体" w:hAnsi="宋体" w:cs="宋体"/>
                <w:color w:val="000000"/>
                <w:sz w:val="21"/>
                <w:szCs w:val="21"/>
                <w:highlight w:val="none"/>
              </w:rPr>
            </w:pPr>
            <w:r>
              <w:rPr>
                <w:rFonts w:hint="eastAsia" w:ascii="宋体" w:hAnsi="宋体" w:cs="宋体"/>
                <w:color w:val="000000"/>
                <w:sz w:val="21"/>
                <w:szCs w:val="21"/>
                <w:highlight w:val="none"/>
              </w:rPr>
              <w:t>8</w:t>
            </w:r>
          </w:p>
        </w:tc>
        <w:tc>
          <w:tcPr>
            <w:tcW w:w="1153" w:type="pct"/>
            <w:gridSpan w:val="3"/>
            <w:vAlign w:val="center"/>
          </w:tcPr>
          <w:p w14:paraId="467A136F">
            <w:pPr>
              <w:jc w:val="center"/>
              <w:rPr>
                <w:rFonts w:ascii="宋体" w:hAnsi="宋体" w:cs="宋体"/>
                <w:color w:val="000000"/>
                <w:sz w:val="21"/>
                <w:szCs w:val="21"/>
                <w:highlight w:val="none"/>
              </w:rPr>
            </w:pPr>
            <w:r>
              <w:rPr>
                <w:rFonts w:hint="eastAsia" w:ascii="宋体" w:hAnsi="宋体" w:cs="宋体"/>
                <w:color w:val="000000"/>
                <w:sz w:val="21"/>
                <w:szCs w:val="21"/>
                <w:highlight w:val="none"/>
              </w:rPr>
              <w:t>年末“货币资金”余额(万)</w:t>
            </w:r>
          </w:p>
        </w:tc>
        <w:tc>
          <w:tcPr>
            <w:tcW w:w="1253" w:type="pct"/>
            <w:gridSpan w:val="2"/>
            <w:vAlign w:val="center"/>
          </w:tcPr>
          <w:p w14:paraId="5D69CC3A">
            <w:pPr>
              <w:jc w:val="center"/>
              <w:rPr>
                <w:rFonts w:ascii="宋体" w:hAnsi="宋体" w:cs="宋体"/>
                <w:color w:val="000000"/>
                <w:sz w:val="21"/>
                <w:szCs w:val="21"/>
                <w:highlight w:val="none"/>
              </w:rPr>
            </w:pPr>
          </w:p>
        </w:tc>
      </w:tr>
      <w:tr w14:paraId="0F39D6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616" w:type="pct"/>
            <w:shd w:val="clear" w:color="auto" w:fill="D9D9D9"/>
            <w:vAlign w:val="center"/>
          </w:tcPr>
          <w:p w14:paraId="5B5A6B86">
            <w:pPr>
              <w:jc w:val="center"/>
              <w:rPr>
                <w:rFonts w:ascii="宋体" w:hAnsi="宋体" w:cs="宋体"/>
                <w:color w:val="000000"/>
                <w:sz w:val="21"/>
                <w:szCs w:val="21"/>
                <w:highlight w:val="none"/>
              </w:rPr>
            </w:pPr>
            <w:r>
              <w:rPr>
                <w:rFonts w:hint="eastAsia" w:ascii="宋体" w:hAnsi="宋体" w:cs="宋体"/>
                <w:color w:val="000000"/>
                <w:sz w:val="21"/>
                <w:szCs w:val="21"/>
                <w:highlight w:val="none"/>
              </w:rPr>
              <w:t>三</w:t>
            </w:r>
          </w:p>
        </w:tc>
        <w:tc>
          <w:tcPr>
            <w:tcW w:w="4383" w:type="pct"/>
            <w:gridSpan w:val="9"/>
            <w:shd w:val="clear" w:color="auto" w:fill="D9D9D9"/>
            <w:vAlign w:val="center"/>
          </w:tcPr>
          <w:p w14:paraId="43A11170">
            <w:pPr>
              <w:jc w:val="center"/>
              <w:rPr>
                <w:rFonts w:ascii="宋体" w:hAnsi="宋体" w:cs="宋体"/>
                <w:color w:val="000000"/>
                <w:sz w:val="21"/>
                <w:szCs w:val="21"/>
                <w:highlight w:val="none"/>
              </w:rPr>
            </w:pPr>
            <w:r>
              <w:rPr>
                <w:rFonts w:hint="eastAsia" w:ascii="宋体" w:hAnsi="宋体" w:cs="宋体"/>
                <w:color w:val="000000"/>
                <w:sz w:val="21"/>
                <w:szCs w:val="21"/>
                <w:highlight w:val="none"/>
              </w:rPr>
              <w:t>供应商其他信息</w:t>
            </w:r>
          </w:p>
        </w:tc>
      </w:tr>
      <w:tr w14:paraId="51E45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616" w:type="pct"/>
            <w:vAlign w:val="center"/>
          </w:tcPr>
          <w:p w14:paraId="5224E0CE">
            <w:pPr>
              <w:jc w:val="center"/>
              <w:rPr>
                <w:rFonts w:ascii="宋体" w:hAnsi="宋体" w:cs="宋体"/>
                <w:color w:val="000000"/>
                <w:sz w:val="21"/>
                <w:szCs w:val="21"/>
                <w:highlight w:val="none"/>
              </w:rPr>
            </w:pPr>
            <w:r>
              <w:rPr>
                <w:rFonts w:hint="eastAsia" w:ascii="宋体" w:hAnsi="宋体" w:cs="宋体"/>
                <w:color w:val="000000"/>
                <w:sz w:val="21"/>
                <w:szCs w:val="21"/>
                <w:highlight w:val="none"/>
              </w:rPr>
              <w:t>(一)</w:t>
            </w:r>
          </w:p>
        </w:tc>
        <w:tc>
          <w:tcPr>
            <w:tcW w:w="875" w:type="pct"/>
            <w:vAlign w:val="center"/>
          </w:tcPr>
          <w:p w14:paraId="07785887">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公司取得</w:t>
            </w:r>
          </w:p>
          <w:p w14:paraId="23E57821">
            <w:pPr>
              <w:jc w:val="center"/>
              <w:rPr>
                <w:rFonts w:ascii="宋体" w:hAnsi="宋体" w:cs="宋体"/>
                <w:color w:val="000000"/>
                <w:sz w:val="21"/>
                <w:szCs w:val="21"/>
                <w:highlight w:val="none"/>
              </w:rPr>
            </w:pPr>
            <w:r>
              <w:rPr>
                <w:rFonts w:hint="eastAsia" w:ascii="宋体" w:hAnsi="宋体" w:cs="宋体"/>
                <w:color w:val="000000"/>
                <w:sz w:val="21"/>
                <w:szCs w:val="21"/>
                <w:highlight w:val="none"/>
              </w:rPr>
              <w:t>的相关资</w:t>
            </w:r>
          </w:p>
          <w:p w14:paraId="72C02FD9">
            <w:pPr>
              <w:jc w:val="center"/>
              <w:rPr>
                <w:rFonts w:ascii="宋体" w:hAnsi="宋体" w:cs="宋体"/>
                <w:color w:val="000000"/>
                <w:sz w:val="21"/>
                <w:szCs w:val="21"/>
                <w:highlight w:val="none"/>
              </w:rPr>
            </w:pPr>
            <w:r>
              <w:rPr>
                <w:rFonts w:hint="eastAsia" w:ascii="宋体" w:hAnsi="宋体" w:cs="宋体"/>
                <w:color w:val="000000"/>
                <w:sz w:val="21"/>
                <w:szCs w:val="21"/>
                <w:highlight w:val="none"/>
              </w:rPr>
              <w:t>质及等级：</w:t>
            </w:r>
          </w:p>
        </w:tc>
        <w:tc>
          <w:tcPr>
            <w:tcW w:w="3508" w:type="pct"/>
            <w:gridSpan w:val="8"/>
            <w:vAlign w:val="center"/>
          </w:tcPr>
          <w:p w14:paraId="643C3B8A">
            <w:pPr>
              <w:jc w:val="center"/>
              <w:rPr>
                <w:rFonts w:ascii="宋体" w:hAnsi="宋体" w:cs="宋体"/>
                <w:color w:val="000000"/>
                <w:sz w:val="21"/>
                <w:szCs w:val="21"/>
                <w:highlight w:val="none"/>
              </w:rPr>
            </w:pPr>
          </w:p>
        </w:tc>
      </w:tr>
      <w:tr w14:paraId="654E5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2" w:hRule="atLeast"/>
        </w:trPr>
        <w:tc>
          <w:tcPr>
            <w:tcW w:w="616" w:type="pct"/>
            <w:vAlign w:val="center"/>
          </w:tcPr>
          <w:p w14:paraId="4A79A17E">
            <w:pPr>
              <w:jc w:val="center"/>
              <w:rPr>
                <w:rFonts w:ascii="宋体" w:hAnsi="宋体" w:cs="宋体"/>
                <w:color w:val="000000"/>
                <w:sz w:val="21"/>
                <w:szCs w:val="21"/>
                <w:highlight w:val="none"/>
              </w:rPr>
            </w:pPr>
            <w:r>
              <w:rPr>
                <w:rFonts w:hint="eastAsia" w:ascii="宋体" w:hAnsi="宋体" w:cs="宋体"/>
                <w:color w:val="000000"/>
                <w:sz w:val="21"/>
                <w:szCs w:val="21"/>
                <w:highlight w:val="none"/>
              </w:rPr>
              <w:t>(二)</w:t>
            </w:r>
          </w:p>
        </w:tc>
        <w:tc>
          <w:tcPr>
            <w:tcW w:w="875" w:type="pct"/>
            <w:vAlign w:val="center"/>
          </w:tcPr>
          <w:p w14:paraId="7ACCCAC7">
            <w:pPr>
              <w:jc w:val="center"/>
              <w:rPr>
                <w:rFonts w:ascii="宋体" w:hAnsi="宋体" w:cs="宋体"/>
                <w:color w:val="000000"/>
                <w:sz w:val="21"/>
                <w:szCs w:val="21"/>
                <w:highlight w:val="none"/>
              </w:rPr>
            </w:pPr>
            <w:r>
              <w:rPr>
                <w:rFonts w:hint="eastAsia" w:ascii="宋体" w:hAnsi="宋体" w:cs="宋体"/>
                <w:color w:val="000000"/>
                <w:sz w:val="21"/>
                <w:szCs w:val="21"/>
                <w:highlight w:val="none"/>
              </w:rPr>
              <w:t>公司20</w:t>
            </w:r>
            <w:r>
              <w:rPr>
                <w:rFonts w:hint="eastAsia" w:ascii="宋体" w:hAnsi="宋体" w:cs="宋体"/>
                <w:color w:val="000000"/>
                <w:sz w:val="21"/>
                <w:szCs w:val="21"/>
                <w:highlight w:val="none"/>
                <w:lang w:val="en-US" w:eastAsia="zh-CN"/>
              </w:rPr>
              <w:t>23</w:t>
            </w:r>
            <w:r>
              <w:rPr>
                <w:rFonts w:hint="eastAsia" w:ascii="宋体" w:hAnsi="宋体" w:cs="宋体"/>
                <w:color w:val="000000"/>
                <w:sz w:val="21"/>
                <w:szCs w:val="21"/>
                <w:highlight w:val="none"/>
              </w:rPr>
              <w:t>年度</w:t>
            </w:r>
          </w:p>
          <w:p w14:paraId="4BB3EEF2">
            <w:pPr>
              <w:jc w:val="center"/>
              <w:rPr>
                <w:rFonts w:ascii="宋体" w:hAnsi="宋体" w:cs="宋体"/>
                <w:color w:val="000000"/>
                <w:sz w:val="21"/>
                <w:szCs w:val="21"/>
                <w:highlight w:val="none"/>
              </w:rPr>
            </w:pPr>
            <w:r>
              <w:rPr>
                <w:rFonts w:hint="eastAsia" w:ascii="宋体" w:hAnsi="宋体" w:cs="宋体"/>
                <w:color w:val="000000"/>
                <w:sz w:val="21"/>
                <w:szCs w:val="21"/>
                <w:highlight w:val="none"/>
              </w:rPr>
              <w:t>后获得的荣誉及表彰情况</w:t>
            </w:r>
          </w:p>
        </w:tc>
        <w:tc>
          <w:tcPr>
            <w:tcW w:w="3508" w:type="pct"/>
            <w:gridSpan w:val="8"/>
            <w:vAlign w:val="center"/>
          </w:tcPr>
          <w:p w14:paraId="379A6F69">
            <w:pPr>
              <w:jc w:val="center"/>
              <w:rPr>
                <w:rFonts w:ascii="宋体" w:hAnsi="宋体" w:cs="宋体"/>
                <w:color w:val="000000"/>
                <w:sz w:val="21"/>
                <w:szCs w:val="21"/>
                <w:highlight w:val="none"/>
              </w:rPr>
            </w:pPr>
          </w:p>
        </w:tc>
      </w:tr>
      <w:tr w14:paraId="67299C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16" w:type="pct"/>
            <w:shd w:val="clear" w:color="auto" w:fill="BFBFBF"/>
            <w:vAlign w:val="center"/>
          </w:tcPr>
          <w:p w14:paraId="669FD7EF">
            <w:pPr>
              <w:jc w:val="center"/>
              <w:rPr>
                <w:rFonts w:ascii="宋体" w:hAnsi="宋体" w:cs="宋体"/>
                <w:color w:val="000000"/>
                <w:sz w:val="21"/>
                <w:szCs w:val="21"/>
                <w:highlight w:val="none"/>
              </w:rPr>
            </w:pPr>
            <w:r>
              <w:rPr>
                <w:rFonts w:hint="eastAsia" w:ascii="宋体" w:hAnsi="宋体" w:cs="宋体"/>
                <w:color w:val="000000"/>
                <w:sz w:val="21"/>
                <w:szCs w:val="21"/>
                <w:highlight w:val="none"/>
              </w:rPr>
              <w:t>四</w:t>
            </w:r>
          </w:p>
        </w:tc>
        <w:tc>
          <w:tcPr>
            <w:tcW w:w="4383" w:type="pct"/>
            <w:gridSpan w:val="9"/>
            <w:shd w:val="clear" w:color="auto" w:fill="BFBFBF"/>
            <w:vAlign w:val="center"/>
          </w:tcPr>
          <w:p w14:paraId="3F5321E4">
            <w:pPr>
              <w:jc w:val="center"/>
              <w:rPr>
                <w:rFonts w:ascii="宋体" w:hAnsi="宋体" w:cs="宋体"/>
                <w:color w:val="000000"/>
                <w:sz w:val="21"/>
                <w:szCs w:val="21"/>
                <w:highlight w:val="none"/>
              </w:rPr>
            </w:pPr>
            <w:r>
              <w:rPr>
                <w:rFonts w:hint="eastAsia" w:ascii="宋体" w:hAnsi="宋体" w:cs="宋体"/>
                <w:color w:val="000000"/>
                <w:sz w:val="21"/>
                <w:szCs w:val="21"/>
                <w:highlight w:val="none"/>
              </w:rPr>
              <w:t>提供本项目服务所必须的专业设备一览表</w:t>
            </w:r>
          </w:p>
        </w:tc>
      </w:tr>
      <w:tr w14:paraId="43BEF1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616" w:type="pct"/>
            <w:vAlign w:val="center"/>
          </w:tcPr>
          <w:p w14:paraId="27B03D93">
            <w:pPr>
              <w:jc w:val="center"/>
              <w:rPr>
                <w:rFonts w:ascii="宋体" w:hAnsi="宋体" w:cs="宋体"/>
                <w:color w:val="000000"/>
                <w:sz w:val="21"/>
                <w:szCs w:val="21"/>
                <w:highlight w:val="none"/>
              </w:rPr>
            </w:pPr>
            <w:r>
              <w:rPr>
                <w:rFonts w:hint="eastAsia" w:ascii="宋体" w:hAnsi="宋体" w:cs="宋体"/>
                <w:color w:val="000000"/>
                <w:sz w:val="21"/>
                <w:szCs w:val="21"/>
                <w:highlight w:val="none"/>
              </w:rPr>
              <w:t>序号</w:t>
            </w:r>
          </w:p>
        </w:tc>
        <w:tc>
          <w:tcPr>
            <w:tcW w:w="1768" w:type="pct"/>
            <w:gridSpan w:val="3"/>
            <w:vAlign w:val="center"/>
          </w:tcPr>
          <w:p w14:paraId="2C20ADDA">
            <w:pPr>
              <w:jc w:val="center"/>
              <w:rPr>
                <w:rFonts w:ascii="宋体" w:hAnsi="宋体" w:cs="宋体"/>
                <w:color w:val="000000"/>
                <w:sz w:val="21"/>
                <w:szCs w:val="21"/>
                <w:highlight w:val="none"/>
              </w:rPr>
            </w:pPr>
            <w:r>
              <w:rPr>
                <w:rFonts w:hint="eastAsia" w:ascii="宋体" w:hAnsi="宋体" w:cs="宋体"/>
                <w:color w:val="000000"/>
                <w:sz w:val="21"/>
                <w:szCs w:val="21"/>
                <w:highlight w:val="none"/>
              </w:rPr>
              <w:t>品牌、型号及主要参数配置简</w:t>
            </w:r>
          </w:p>
          <w:p w14:paraId="0EA4EA3D">
            <w:pPr>
              <w:jc w:val="center"/>
              <w:rPr>
                <w:rFonts w:ascii="宋体" w:hAnsi="宋体" w:cs="宋体"/>
                <w:color w:val="000000"/>
                <w:sz w:val="21"/>
                <w:szCs w:val="21"/>
                <w:highlight w:val="none"/>
              </w:rPr>
            </w:pPr>
            <w:r>
              <w:rPr>
                <w:rFonts w:hint="eastAsia" w:ascii="宋体" w:hAnsi="宋体" w:cs="宋体"/>
                <w:color w:val="000000"/>
                <w:sz w:val="21"/>
                <w:szCs w:val="21"/>
                <w:highlight w:val="none"/>
              </w:rPr>
              <w:t>述</w:t>
            </w:r>
          </w:p>
        </w:tc>
        <w:tc>
          <w:tcPr>
            <w:tcW w:w="622" w:type="pct"/>
            <w:gridSpan w:val="2"/>
            <w:vAlign w:val="center"/>
          </w:tcPr>
          <w:p w14:paraId="73C46933">
            <w:pPr>
              <w:jc w:val="center"/>
              <w:rPr>
                <w:rFonts w:ascii="宋体" w:hAnsi="宋体" w:cs="宋体"/>
                <w:color w:val="000000"/>
                <w:sz w:val="21"/>
                <w:szCs w:val="21"/>
                <w:highlight w:val="none"/>
              </w:rPr>
            </w:pPr>
            <w:r>
              <w:rPr>
                <w:rFonts w:hint="eastAsia" w:ascii="宋体" w:hAnsi="宋体" w:cs="宋体"/>
                <w:color w:val="000000"/>
                <w:sz w:val="21"/>
                <w:szCs w:val="21"/>
                <w:highlight w:val="none"/>
              </w:rPr>
              <w:t>购置年份</w:t>
            </w:r>
          </w:p>
        </w:tc>
        <w:tc>
          <w:tcPr>
            <w:tcW w:w="585" w:type="pct"/>
            <w:vAlign w:val="center"/>
          </w:tcPr>
          <w:p w14:paraId="4DD8EC9E">
            <w:pPr>
              <w:jc w:val="center"/>
              <w:rPr>
                <w:rFonts w:ascii="宋体" w:hAnsi="宋体" w:cs="宋体"/>
                <w:color w:val="000000"/>
                <w:sz w:val="21"/>
                <w:szCs w:val="21"/>
                <w:highlight w:val="none"/>
              </w:rPr>
            </w:pPr>
            <w:r>
              <w:rPr>
                <w:rFonts w:hint="eastAsia" w:ascii="宋体" w:hAnsi="宋体" w:cs="宋体"/>
                <w:color w:val="000000"/>
                <w:sz w:val="21"/>
                <w:szCs w:val="21"/>
                <w:highlight w:val="none"/>
              </w:rPr>
              <w:t>价格</w:t>
            </w:r>
          </w:p>
        </w:tc>
        <w:tc>
          <w:tcPr>
            <w:tcW w:w="659" w:type="pct"/>
            <w:gridSpan w:val="2"/>
            <w:vAlign w:val="center"/>
          </w:tcPr>
          <w:p w14:paraId="5B6C8065">
            <w:pPr>
              <w:jc w:val="center"/>
              <w:rPr>
                <w:rFonts w:ascii="宋体" w:hAnsi="宋体" w:cs="宋体"/>
                <w:color w:val="000000"/>
                <w:sz w:val="21"/>
                <w:szCs w:val="21"/>
                <w:highlight w:val="none"/>
              </w:rPr>
            </w:pPr>
            <w:r>
              <w:rPr>
                <w:rFonts w:hint="eastAsia" w:ascii="宋体" w:hAnsi="宋体" w:cs="宋体"/>
                <w:color w:val="000000"/>
                <w:sz w:val="21"/>
                <w:szCs w:val="21"/>
                <w:highlight w:val="none"/>
              </w:rPr>
              <w:t>数量</w:t>
            </w:r>
          </w:p>
        </w:tc>
        <w:tc>
          <w:tcPr>
            <w:tcW w:w="748" w:type="pct"/>
            <w:vAlign w:val="center"/>
          </w:tcPr>
          <w:p w14:paraId="2CCA1271">
            <w:pPr>
              <w:jc w:val="center"/>
              <w:rPr>
                <w:rFonts w:ascii="宋体" w:hAnsi="宋体" w:cs="宋体"/>
                <w:color w:val="000000"/>
                <w:sz w:val="21"/>
                <w:szCs w:val="21"/>
                <w:highlight w:val="none"/>
              </w:rPr>
            </w:pPr>
            <w:r>
              <w:rPr>
                <w:rFonts w:hint="eastAsia" w:ascii="宋体" w:hAnsi="宋体" w:cs="宋体"/>
                <w:color w:val="000000"/>
                <w:sz w:val="21"/>
                <w:szCs w:val="21"/>
                <w:highlight w:val="none"/>
              </w:rPr>
              <w:t>用途</w:t>
            </w:r>
          </w:p>
        </w:tc>
      </w:tr>
      <w:tr w14:paraId="15396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16" w:type="pct"/>
            <w:vAlign w:val="center"/>
          </w:tcPr>
          <w:p w14:paraId="02F66A40">
            <w:pPr>
              <w:jc w:val="center"/>
              <w:rPr>
                <w:rFonts w:ascii="宋体" w:hAnsi="宋体" w:cs="宋体"/>
                <w:color w:val="000000"/>
                <w:sz w:val="21"/>
                <w:szCs w:val="21"/>
                <w:highlight w:val="none"/>
              </w:rPr>
            </w:pPr>
            <w:r>
              <w:rPr>
                <w:rFonts w:hint="eastAsia" w:ascii="宋体" w:hAnsi="宋体" w:cs="宋体"/>
                <w:color w:val="000000"/>
                <w:sz w:val="21"/>
                <w:szCs w:val="21"/>
                <w:highlight w:val="none"/>
              </w:rPr>
              <w:t>1</w:t>
            </w:r>
          </w:p>
        </w:tc>
        <w:tc>
          <w:tcPr>
            <w:tcW w:w="1768" w:type="pct"/>
            <w:gridSpan w:val="3"/>
            <w:vAlign w:val="center"/>
          </w:tcPr>
          <w:p w14:paraId="7494575E">
            <w:pPr>
              <w:jc w:val="center"/>
              <w:rPr>
                <w:rFonts w:ascii="宋体" w:hAnsi="宋体" w:cs="宋体"/>
                <w:color w:val="000000"/>
                <w:sz w:val="21"/>
                <w:szCs w:val="21"/>
                <w:highlight w:val="none"/>
              </w:rPr>
            </w:pPr>
          </w:p>
        </w:tc>
        <w:tc>
          <w:tcPr>
            <w:tcW w:w="622" w:type="pct"/>
            <w:gridSpan w:val="2"/>
            <w:vAlign w:val="center"/>
          </w:tcPr>
          <w:p w14:paraId="1B3119DA">
            <w:pPr>
              <w:jc w:val="center"/>
              <w:rPr>
                <w:rFonts w:ascii="宋体" w:hAnsi="宋体" w:cs="宋体"/>
                <w:color w:val="000000"/>
                <w:sz w:val="21"/>
                <w:szCs w:val="21"/>
                <w:highlight w:val="none"/>
              </w:rPr>
            </w:pPr>
          </w:p>
        </w:tc>
        <w:tc>
          <w:tcPr>
            <w:tcW w:w="585" w:type="pct"/>
            <w:vAlign w:val="center"/>
          </w:tcPr>
          <w:p w14:paraId="62988FCC">
            <w:pPr>
              <w:jc w:val="center"/>
              <w:rPr>
                <w:rFonts w:ascii="宋体" w:hAnsi="宋体" w:cs="宋体"/>
                <w:color w:val="000000"/>
                <w:sz w:val="21"/>
                <w:szCs w:val="21"/>
                <w:highlight w:val="none"/>
              </w:rPr>
            </w:pPr>
          </w:p>
        </w:tc>
        <w:tc>
          <w:tcPr>
            <w:tcW w:w="659" w:type="pct"/>
            <w:gridSpan w:val="2"/>
            <w:vAlign w:val="center"/>
          </w:tcPr>
          <w:p w14:paraId="6FE6DA3B">
            <w:pPr>
              <w:jc w:val="center"/>
              <w:rPr>
                <w:rFonts w:ascii="宋体" w:hAnsi="宋体" w:cs="宋体"/>
                <w:color w:val="000000"/>
                <w:sz w:val="21"/>
                <w:szCs w:val="21"/>
                <w:highlight w:val="none"/>
              </w:rPr>
            </w:pPr>
          </w:p>
        </w:tc>
        <w:tc>
          <w:tcPr>
            <w:tcW w:w="748" w:type="pct"/>
            <w:vAlign w:val="center"/>
          </w:tcPr>
          <w:p w14:paraId="1641B32E">
            <w:pPr>
              <w:jc w:val="center"/>
              <w:rPr>
                <w:rFonts w:ascii="宋体" w:hAnsi="宋体" w:cs="宋体"/>
                <w:color w:val="000000"/>
                <w:sz w:val="21"/>
                <w:szCs w:val="21"/>
                <w:highlight w:val="none"/>
              </w:rPr>
            </w:pPr>
          </w:p>
        </w:tc>
      </w:tr>
      <w:tr w14:paraId="71011C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16" w:type="pct"/>
            <w:vAlign w:val="center"/>
          </w:tcPr>
          <w:p w14:paraId="5AE3D4E5">
            <w:pPr>
              <w:jc w:val="center"/>
              <w:rPr>
                <w:rFonts w:ascii="宋体" w:hAnsi="宋体" w:cs="宋体"/>
                <w:color w:val="000000"/>
                <w:sz w:val="21"/>
                <w:szCs w:val="21"/>
                <w:highlight w:val="none"/>
              </w:rPr>
            </w:pPr>
            <w:r>
              <w:rPr>
                <w:rFonts w:hint="eastAsia" w:ascii="宋体" w:hAnsi="宋体" w:cs="宋体"/>
                <w:color w:val="000000"/>
                <w:sz w:val="21"/>
                <w:szCs w:val="21"/>
                <w:highlight w:val="none"/>
              </w:rPr>
              <w:t>2</w:t>
            </w:r>
          </w:p>
        </w:tc>
        <w:tc>
          <w:tcPr>
            <w:tcW w:w="1768" w:type="pct"/>
            <w:gridSpan w:val="3"/>
            <w:vAlign w:val="center"/>
          </w:tcPr>
          <w:p w14:paraId="6114863C">
            <w:pPr>
              <w:jc w:val="center"/>
              <w:rPr>
                <w:rFonts w:ascii="宋体" w:hAnsi="宋体" w:cs="宋体"/>
                <w:color w:val="000000"/>
                <w:sz w:val="21"/>
                <w:szCs w:val="21"/>
                <w:highlight w:val="none"/>
              </w:rPr>
            </w:pPr>
          </w:p>
        </w:tc>
        <w:tc>
          <w:tcPr>
            <w:tcW w:w="622" w:type="pct"/>
            <w:gridSpan w:val="2"/>
            <w:vAlign w:val="center"/>
          </w:tcPr>
          <w:p w14:paraId="5EFC6C81">
            <w:pPr>
              <w:jc w:val="center"/>
              <w:rPr>
                <w:rFonts w:ascii="宋体" w:hAnsi="宋体" w:cs="宋体"/>
                <w:color w:val="000000"/>
                <w:sz w:val="21"/>
                <w:szCs w:val="21"/>
                <w:highlight w:val="none"/>
              </w:rPr>
            </w:pPr>
          </w:p>
        </w:tc>
        <w:tc>
          <w:tcPr>
            <w:tcW w:w="585" w:type="pct"/>
            <w:vAlign w:val="center"/>
          </w:tcPr>
          <w:p w14:paraId="7393107C">
            <w:pPr>
              <w:jc w:val="center"/>
              <w:rPr>
                <w:rFonts w:ascii="宋体" w:hAnsi="宋体" w:cs="宋体"/>
                <w:color w:val="000000"/>
                <w:sz w:val="21"/>
                <w:szCs w:val="21"/>
                <w:highlight w:val="none"/>
              </w:rPr>
            </w:pPr>
          </w:p>
        </w:tc>
        <w:tc>
          <w:tcPr>
            <w:tcW w:w="659" w:type="pct"/>
            <w:gridSpan w:val="2"/>
            <w:vAlign w:val="center"/>
          </w:tcPr>
          <w:p w14:paraId="106D784E">
            <w:pPr>
              <w:jc w:val="center"/>
              <w:rPr>
                <w:rFonts w:ascii="宋体" w:hAnsi="宋体" w:cs="宋体"/>
                <w:color w:val="000000"/>
                <w:sz w:val="21"/>
                <w:szCs w:val="21"/>
                <w:highlight w:val="none"/>
              </w:rPr>
            </w:pPr>
          </w:p>
        </w:tc>
        <w:tc>
          <w:tcPr>
            <w:tcW w:w="748" w:type="pct"/>
            <w:vAlign w:val="center"/>
          </w:tcPr>
          <w:p w14:paraId="2F608DE3">
            <w:pPr>
              <w:jc w:val="center"/>
              <w:rPr>
                <w:rFonts w:ascii="宋体" w:hAnsi="宋体" w:cs="宋体"/>
                <w:color w:val="000000"/>
                <w:sz w:val="21"/>
                <w:szCs w:val="21"/>
                <w:highlight w:val="none"/>
              </w:rPr>
            </w:pPr>
          </w:p>
        </w:tc>
      </w:tr>
      <w:tr w14:paraId="0CCBD1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16" w:type="pct"/>
            <w:vAlign w:val="center"/>
          </w:tcPr>
          <w:p w14:paraId="51328ACB">
            <w:pPr>
              <w:jc w:val="center"/>
              <w:rPr>
                <w:rFonts w:ascii="宋体" w:hAnsi="宋体" w:cs="宋体"/>
                <w:color w:val="000000"/>
                <w:sz w:val="21"/>
                <w:szCs w:val="21"/>
                <w:highlight w:val="none"/>
              </w:rPr>
            </w:pPr>
            <w:r>
              <w:rPr>
                <w:rFonts w:hint="eastAsia" w:ascii="宋体" w:hAnsi="宋体" w:cs="宋体"/>
                <w:color w:val="000000"/>
                <w:sz w:val="21"/>
                <w:szCs w:val="21"/>
                <w:highlight w:val="none"/>
              </w:rPr>
              <w:t>3</w:t>
            </w:r>
          </w:p>
        </w:tc>
        <w:tc>
          <w:tcPr>
            <w:tcW w:w="1768" w:type="pct"/>
            <w:gridSpan w:val="3"/>
            <w:vAlign w:val="center"/>
          </w:tcPr>
          <w:p w14:paraId="1B3E9C24">
            <w:pPr>
              <w:jc w:val="center"/>
              <w:rPr>
                <w:rFonts w:ascii="宋体" w:hAnsi="宋体" w:cs="宋体"/>
                <w:color w:val="000000"/>
                <w:sz w:val="21"/>
                <w:szCs w:val="21"/>
                <w:highlight w:val="none"/>
              </w:rPr>
            </w:pPr>
          </w:p>
        </w:tc>
        <w:tc>
          <w:tcPr>
            <w:tcW w:w="622" w:type="pct"/>
            <w:gridSpan w:val="2"/>
            <w:vAlign w:val="center"/>
          </w:tcPr>
          <w:p w14:paraId="206D8009">
            <w:pPr>
              <w:jc w:val="center"/>
              <w:rPr>
                <w:rFonts w:ascii="宋体" w:hAnsi="宋体" w:cs="宋体"/>
                <w:color w:val="000000"/>
                <w:sz w:val="21"/>
                <w:szCs w:val="21"/>
                <w:highlight w:val="none"/>
              </w:rPr>
            </w:pPr>
          </w:p>
        </w:tc>
        <w:tc>
          <w:tcPr>
            <w:tcW w:w="585" w:type="pct"/>
            <w:vAlign w:val="center"/>
          </w:tcPr>
          <w:p w14:paraId="558EBC7A">
            <w:pPr>
              <w:jc w:val="center"/>
              <w:rPr>
                <w:rFonts w:ascii="宋体" w:hAnsi="宋体" w:cs="宋体"/>
                <w:color w:val="000000"/>
                <w:sz w:val="21"/>
                <w:szCs w:val="21"/>
                <w:highlight w:val="none"/>
              </w:rPr>
            </w:pPr>
          </w:p>
        </w:tc>
        <w:tc>
          <w:tcPr>
            <w:tcW w:w="659" w:type="pct"/>
            <w:gridSpan w:val="2"/>
            <w:vAlign w:val="center"/>
          </w:tcPr>
          <w:p w14:paraId="3D4F09D6">
            <w:pPr>
              <w:jc w:val="center"/>
              <w:rPr>
                <w:rFonts w:ascii="宋体" w:hAnsi="宋体" w:cs="宋体"/>
                <w:color w:val="000000"/>
                <w:sz w:val="21"/>
                <w:szCs w:val="21"/>
                <w:highlight w:val="none"/>
              </w:rPr>
            </w:pPr>
          </w:p>
        </w:tc>
        <w:tc>
          <w:tcPr>
            <w:tcW w:w="748" w:type="pct"/>
            <w:vAlign w:val="center"/>
          </w:tcPr>
          <w:p w14:paraId="75EC1D51">
            <w:pPr>
              <w:jc w:val="center"/>
              <w:rPr>
                <w:rFonts w:ascii="宋体" w:hAnsi="宋体" w:cs="宋体"/>
                <w:color w:val="000000"/>
                <w:sz w:val="21"/>
                <w:szCs w:val="21"/>
                <w:highlight w:val="none"/>
              </w:rPr>
            </w:pPr>
          </w:p>
        </w:tc>
      </w:tr>
      <w:tr w14:paraId="56802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616" w:type="pct"/>
            <w:vAlign w:val="center"/>
          </w:tcPr>
          <w:p w14:paraId="74665C73">
            <w:pPr>
              <w:jc w:val="center"/>
              <w:rPr>
                <w:rFonts w:ascii="宋体" w:hAnsi="宋体" w:cs="宋体"/>
                <w:color w:val="000000"/>
                <w:sz w:val="21"/>
                <w:szCs w:val="21"/>
                <w:highlight w:val="none"/>
              </w:rPr>
            </w:pPr>
            <w:r>
              <w:rPr>
                <w:rFonts w:hint="eastAsia" w:ascii="宋体" w:hAnsi="宋体" w:cs="宋体"/>
                <w:color w:val="000000"/>
                <w:sz w:val="21"/>
                <w:szCs w:val="21"/>
                <w:highlight w:val="none"/>
              </w:rPr>
              <w:t>···</w:t>
            </w:r>
          </w:p>
        </w:tc>
        <w:tc>
          <w:tcPr>
            <w:tcW w:w="1768" w:type="pct"/>
            <w:gridSpan w:val="3"/>
            <w:vAlign w:val="center"/>
          </w:tcPr>
          <w:p w14:paraId="7C5639A7">
            <w:pPr>
              <w:jc w:val="center"/>
              <w:rPr>
                <w:rFonts w:ascii="宋体" w:hAnsi="宋体" w:cs="宋体"/>
                <w:color w:val="000000"/>
                <w:sz w:val="21"/>
                <w:szCs w:val="21"/>
                <w:highlight w:val="none"/>
              </w:rPr>
            </w:pPr>
          </w:p>
        </w:tc>
        <w:tc>
          <w:tcPr>
            <w:tcW w:w="622" w:type="pct"/>
            <w:gridSpan w:val="2"/>
            <w:vAlign w:val="center"/>
          </w:tcPr>
          <w:p w14:paraId="194F64DF">
            <w:pPr>
              <w:jc w:val="center"/>
              <w:rPr>
                <w:rFonts w:ascii="宋体" w:hAnsi="宋体" w:cs="宋体"/>
                <w:color w:val="000000"/>
                <w:sz w:val="21"/>
                <w:szCs w:val="21"/>
                <w:highlight w:val="none"/>
              </w:rPr>
            </w:pPr>
          </w:p>
        </w:tc>
        <w:tc>
          <w:tcPr>
            <w:tcW w:w="585" w:type="pct"/>
            <w:vAlign w:val="center"/>
          </w:tcPr>
          <w:p w14:paraId="1147ABC4">
            <w:pPr>
              <w:jc w:val="center"/>
              <w:rPr>
                <w:rFonts w:ascii="宋体" w:hAnsi="宋体" w:cs="宋体"/>
                <w:color w:val="000000"/>
                <w:sz w:val="21"/>
                <w:szCs w:val="21"/>
                <w:highlight w:val="none"/>
              </w:rPr>
            </w:pPr>
          </w:p>
        </w:tc>
        <w:tc>
          <w:tcPr>
            <w:tcW w:w="659" w:type="pct"/>
            <w:gridSpan w:val="2"/>
            <w:vAlign w:val="center"/>
          </w:tcPr>
          <w:p w14:paraId="455A910C">
            <w:pPr>
              <w:jc w:val="center"/>
              <w:rPr>
                <w:rFonts w:ascii="宋体" w:hAnsi="宋体" w:cs="宋体"/>
                <w:color w:val="000000"/>
                <w:sz w:val="21"/>
                <w:szCs w:val="21"/>
                <w:highlight w:val="none"/>
              </w:rPr>
            </w:pPr>
          </w:p>
        </w:tc>
        <w:tc>
          <w:tcPr>
            <w:tcW w:w="748" w:type="pct"/>
            <w:vAlign w:val="center"/>
          </w:tcPr>
          <w:p w14:paraId="7E575A02">
            <w:pPr>
              <w:jc w:val="center"/>
              <w:rPr>
                <w:rFonts w:ascii="宋体" w:hAnsi="宋体" w:cs="宋体"/>
                <w:color w:val="000000"/>
                <w:sz w:val="21"/>
                <w:szCs w:val="21"/>
                <w:highlight w:val="none"/>
              </w:rPr>
            </w:pPr>
          </w:p>
        </w:tc>
      </w:tr>
      <w:tr w14:paraId="34337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616" w:type="pct"/>
            <w:shd w:val="clear" w:color="auto" w:fill="BFBFBF"/>
            <w:vAlign w:val="center"/>
          </w:tcPr>
          <w:p w14:paraId="2C2369A9">
            <w:pPr>
              <w:jc w:val="center"/>
              <w:rPr>
                <w:rFonts w:ascii="宋体" w:hAnsi="宋体" w:cs="宋体"/>
                <w:color w:val="000000"/>
                <w:sz w:val="21"/>
                <w:szCs w:val="21"/>
                <w:highlight w:val="none"/>
              </w:rPr>
            </w:pPr>
            <w:r>
              <w:rPr>
                <w:rFonts w:hint="eastAsia" w:ascii="宋体" w:hAnsi="宋体" w:cs="宋体"/>
                <w:color w:val="000000"/>
                <w:sz w:val="21"/>
                <w:szCs w:val="21"/>
                <w:highlight w:val="none"/>
              </w:rPr>
              <w:t>五</w:t>
            </w:r>
          </w:p>
        </w:tc>
        <w:tc>
          <w:tcPr>
            <w:tcW w:w="4383" w:type="pct"/>
            <w:gridSpan w:val="9"/>
            <w:shd w:val="clear" w:color="auto" w:fill="BFBFBF"/>
            <w:vAlign w:val="center"/>
          </w:tcPr>
          <w:p w14:paraId="5F02D04C">
            <w:pPr>
              <w:jc w:val="center"/>
              <w:rPr>
                <w:rFonts w:ascii="宋体" w:hAnsi="宋体" w:cs="宋体"/>
                <w:color w:val="000000"/>
                <w:sz w:val="21"/>
                <w:szCs w:val="21"/>
                <w:highlight w:val="none"/>
              </w:rPr>
            </w:pPr>
            <w:r>
              <w:rPr>
                <w:rFonts w:hint="eastAsia" w:ascii="宋体" w:hAnsi="宋体" w:cs="宋体"/>
                <w:color w:val="000000"/>
                <w:sz w:val="21"/>
                <w:szCs w:val="21"/>
                <w:highlight w:val="none"/>
              </w:rPr>
              <w:t>提供本项目服务所必须的专业技术能力</w:t>
            </w:r>
          </w:p>
        </w:tc>
      </w:tr>
      <w:tr w14:paraId="7CB57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5000" w:type="pct"/>
            <w:gridSpan w:val="10"/>
            <w:vAlign w:val="center"/>
          </w:tcPr>
          <w:p w14:paraId="7C868CA0">
            <w:pPr>
              <w:jc w:val="center"/>
              <w:rPr>
                <w:rFonts w:ascii="宋体" w:hAnsi="宋体" w:cs="宋体"/>
                <w:color w:val="000000"/>
                <w:sz w:val="21"/>
                <w:szCs w:val="21"/>
                <w:highlight w:val="none"/>
              </w:rPr>
            </w:pPr>
          </w:p>
        </w:tc>
      </w:tr>
    </w:tbl>
    <w:p w14:paraId="2065C692">
      <w:pPr>
        <w:pStyle w:val="324"/>
        <w:jc w:val="center"/>
        <w:rPr>
          <w:rFonts w:hint="eastAsia" w:ascii="宋体" w:hAnsi="宋体" w:eastAsia="宋体"/>
          <w:highlight w:val="none"/>
        </w:rPr>
      </w:pPr>
    </w:p>
    <w:p w14:paraId="3D777F83">
      <w:pPr>
        <w:pStyle w:val="325"/>
        <w:jc w:val="center"/>
        <w:outlineLvl w:val="9"/>
        <w:rPr>
          <w:rFonts w:ascii="宋体" w:hAnsi="宋体" w:eastAsia="宋体"/>
          <w:highlight w:val="none"/>
        </w:rPr>
      </w:pPr>
      <w:r>
        <w:rPr>
          <w:rFonts w:ascii="宋体" w:hAnsi="宋体" w:eastAsia="宋体"/>
          <w:highlight w:val="none"/>
        </w:rPr>
        <w:br w:type="page" w:clear="all"/>
      </w:r>
    </w:p>
    <w:p w14:paraId="6939D784">
      <w:pPr>
        <w:pStyle w:val="325"/>
        <w:jc w:val="center"/>
        <w:outlineLvl w:val="2"/>
        <w:rPr>
          <w:rFonts w:hint="eastAsia" w:ascii="宋体" w:hAnsi="宋体" w:eastAsia="宋体" w:cs="宋体"/>
          <w:highlight w:val="none"/>
        </w:rPr>
      </w:pPr>
      <w:r>
        <w:rPr>
          <w:rFonts w:ascii="宋体" w:hAnsi="宋体" w:eastAsia="宋体" w:cs="宋体"/>
          <w:sz w:val="28"/>
          <w:highlight w:val="none"/>
        </w:rPr>
        <w:t>(三)</w:t>
      </w:r>
      <w:r>
        <w:rPr>
          <w:rFonts w:hint="eastAsia" w:ascii="宋体" w:hAnsi="宋体" w:eastAsia="宋体" w:cs="宋体"/>
          <w:sz w:val="28"/>
          <w:highlight w:val="none"/>
        </w:rPr>
        <w:t>法定代表人（负责人）身份证明书</w:t>
      </w:r>
    </w:p>
    <w:p w14:paraId="5296AD00">
      <w:pPr>
        <w:pStyle w:val="326"/>
        <w:spacing w:line="360" w:lineRule="auto"/>
        <w:ind w:firstLine="560" w:firstLineChars="200"/>
        <w:rPr>
          <w:rFonts w:hint="eastAsia" w:ascii="宋体" w:hAnsi="宋体" w:cs="宋体"/>
          <w:color w:val="000000"/>
          <w:sz w:val="28"/>
          <w:szCs w:val="28"/>
          <w:highlight w:val="none"/>
        </w:rPr>
      </w:pPr>
    </w:p>
    <w:p w14:paraId="1481E17D">
      <w:pPr>
        <w:pStyle w:val="326"/>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兹证明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同志，性别</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w:t>
      </w:r>
      <w:r>
        <w:rPr>
          <w:rFonts w:hint="eastAsia" w:ascii="宋体" w:hAnsi="宋体" w:cs="宋体"/>
          <w:color w:val="000000"/>
          <w:sz w:val="28"/>
          <w:szCs w:val="24"/>
          <w:highlight w:val="none"/>
        </w:rPr>
        <w:t>居民身份证号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，在我单位任</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职务，系我单位主要负责人即法定代表人。</w:t>
      </w:r>
    </w:p>
    <w:p w14:paraId="6474A282">
      <w:pPr>
        <w:pStyle w:val="326"/>
        <w:spacing w:line="360" w:lineRule="auto"/>
        <w:ind w:firstLine="560" w:firstLineChars="200"/>
        <w:rPr>
          <w:rFonts w:hint="eastAsia" w:ascii="宋体" w:hAnsi="宋体" w:cs="宋体"/>
          <w:color w:val="000000"/>
          <w:sz w:val="28"/>
          <w:szCs w:val="28"/>
          <w:highlight w:val="none"/>
        </w:rPr>
      </w:pPr>
    </w:p>
    <w:p w14:paraId="5B26C6CF">
      <w:pPr>
        <w:pStyle w:val="326"/>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单位地址：</w:t>
      </w:r>
    </w:p>
    <w:p w14:paraId="468CBC18">
      <w:pPr>
        <w:pStyle w:val="326"/>
        <w:spacing w:line="360" w:lineRule="auto"/>
        <w:ind w:firstLine="560" w:firstLineChars="200"/>
        <w:rPr>
          <w:rFonts w:hint="eastAsia" w:ascii="宋体" w:hAnsi="宋体" w:cs="宋体"/>
          <w:color w:val="000000"/>
          <w:sz w:val="28"/>
          <w:szCs w:val="28"/>
          <w:highlight w:val="none"/>
        </w:rPr>
      </w:pPr>
    </w:p>
    <w:p w14:paraId="0A99EC3D">
      <w:pPr>
        <w:pStyle w:val="326"/>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电    话：</w:t>
      </w:r>
    </w:p>
    <w:p w14:paraId="64CB55E0">
      <w:pPr>
        <w:pStyle w:val="326"/>
        <w:spacing w:line="360" w:lineRule="auto"/>
        <w:ind w:firstLine="560" w:firstLineChars="200"/>
        <w:rPr>
          <w:rFonts w:hint="eastAsia" w:ascii="宋体" w:hAnsi="宋体" w:cs="宋体"/>
          <w:color w:val="000000"/>
          <w:sz w:val="28"/>
          <w:szCs w:val="28"/>
          <w:highlight w:val="none"/>
        </w:rPr>
      </w:pPr>
    </w:p>
    <w:p w14:paraId="1082EC72">
      <w:pPr>
        <w:pStyle w:val="326"/>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单位全称： </w:t>
      </w:r>
    </w:p>
    <w:p w14:paraId="470B208E">
      <w:pPr>
        <w:pStyle w:val="326"/>
        <w:spacing w:line="360" w:lineRule="auto"/>
        <w:ind w:firstLine="560" w:firstLineChars="200"/>
        <w:rPr>
          <w:rFonts w:hint="eastAsia" w:ascii="宋体" w:hAnsi="宋体" w:cs="宋体"/>
          <w:color w:val="000000"/>
          <w:sz w:val="28"/>
          <w:szCs w:val="28"/>
          <w:highlight w:val="none"/>
        </w:rPr>
      </w:pPr>
    </w:p>
    <w:p w14:paraId="52ED29E9">
      <w:pPr>
        <w:pStyle w:val="326"/>
        <w:spacing w:line="360" w:lineRule="auto"/>
        <w:ind w:firstLine="560" w:firstLineChars="200"/>
        <w:rPr>
          <w:rFonts w:hint="eastAsia" w:ascii="宋体" w:hAnsi="宋体" w:cs="宋体"/>
          <w:color w:val="000000"/>
          <w:sz w:val="28"/>
          <w:szCs w:val="28"/>
          <w:highlight w:val="none"/>
        </w:rPr>
      </w:pPr>
      <w:r>
        <w:rPr>
          <w:rFonts w:hint="eastAsia" w:ascii="宋体" w:hAnsi="宋体" w:cs="宋体"/>
          <w:color w:val="000000"/>
          <w:sz w:val="28"/>
          <w:szCs w:val="24"/>
          <w:highlight w:val="none"/>
        </w:rPr>
        <w:t>公   章</w:t>
      </w:r>
      <w:r>
        <w:rPr>
          <w:rFonts w:hint="eastAsia" w:ascii="宋体" w:hAnsi="宋体" w:cs="宋体"/>
          <w:color w:val="000000"/>
          <w:sz w:val="28"/>
          <w:szCs w:val="28"/>
          <w:highlight w:val="none"/>
        </w:rPr>
        <w:t xml:space="preserve"> ：</w:t>
      </w:r>
    </w:p>
    <w:p w14:paraId="6637B51D">
      <w:pPr>
        <w:pStyle w:val="326"/>
        <w:tabs>
          <w:tab w:val="left" w:pos="7290"/>
        </w:tabs>
        <w:spacing w:line="360" w:lineRule="auto"/>
        <w:ind w:firstLine="560" w:firstLineChars="200"/>
        <w:rPr>
          <w:rFonts w:hint="eastAsia" w:ascii="宋体" w:hAnsi="宋体" w:cs="宋体"/>
          <w:color w:val="000000"/>
          <w:sz w:val="28"/>
          <w:szCs w:val="28"/>
          <w:highlight w:val="none"/>
        </w:rPr>
      </w:pPr>
    </w:p>
    <w:p w14:paraId="33737E7D">
      <w:pPr>
        <w:pStyle w:val="326"/>
        <w:tabs>
          <w:tab w:val="left" w:pos="7290"/>
        </w:tabs>
        <w:spacing w:line="360" w:lineRule="auto"/>
        <w:ind w:firstLine="560" w:firstLineChars="200"/>
        <w:jc w:val="righ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年     月    日</w:t>
      </w:r>
    </w:p>
    <w:p w14:paraId="6732D7D0">
      <w:pPr>
        <w:pStyle w:val="326"/>
        <w:spacing w:line="360" w:lineRule="auto"/>
        <w:ind w:firstLine="643" w:firstLineChars="200"/>
        <w:jc w:val="left"/>
        <w:rPr>
          <w:rFonts w:hint="eastAsia" w:ascii="宋体" w:hAnsi="宋体" w:cs="宋体"/>
          <w:b/>
          <w:color w:val="000000"/>
          <w:sz w:val="32"/>
          <w:szCs w:val="32"/>
          <w:highlight w:val="none"/>
        </w:rPr>
      </w:pPr>
    </w:p>
    <w:p w14:paraId="12C6D341">
      <w:pPr>
        <w:pStyle w:val="326"/>
        <w:spacing w:line="360" w:lineRule="auto"/>
        <w:ind w:firstLine="643" w:firstLineChars="200"/>
        <w:jc w:val="left"/>
        <w:rPr>
          <w:rFonts w:hint="eastAsia" w:ascii="宋体" w:hAnsi="宋体" w:cs="宋体"/>
          <w:b/>
          <w:color w:val="000000"/>
          <w:sz w:val="32"/>
          <w:szCs w:val="32"/>
          <w:highlight w:val="none"/>
        </w:rPr>
      </w:pPr>
    </w:p>
    <w:p w14:paraId="0CAA380F">
      <w:pPr>
        <w:pStyle w:val="326"/>
        <w:spacing w:line="360" w:lineRule="auto"/>
        <w:ind w:firstLine="482" w:firstLineChars="200"/>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附：法定代表人居民身份证扫描件</w:t>
      </w:r>
    </w:p>
    <w:p w14:paraId="01F30B09">
      <w:pPr>
        <w:pStyle w:val="326"/>
        <w:tabs>
          <w:tab w:val="left" w:pos="7290"/>
        </w:tabs>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注：1.“法定代表人”直接参加投标响应活动的仅需填写本身份证明</w:t>
      </w:r>
      <w:r>
        <w:rPr>
          <w:rFonts w:hint="eastAsia" w:ascii="宋体" w:hAnsi="宋体" w:eastAsia="宋体" w:cs="宋体"/>
          <w:color w:val="000000"/>
          <w:sz w:val="24"/>
          <w:szCs w:val="24"/>
          <w:highlight w:val="none"/>
        </w:rPr>
        <w:t>。</w:t>
      </w:r>
    </w:p>
    <w:p w14:paraId="6E16E5B4">
      <w:pPr>
        <w:pStyle w:val="327"/>
        <w:spacing w:line="360" w:lineRule="auto"/>
        <w:ind w:firstLine="482" w:firstLineChars="200"/>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u w:val="single"/>
        </w:rPr>
        <w:t>2.供应商属于非法人组织的，按照法律、行政法规规定能够对外代表其从事民事活动的主要负责人，视同法定代表人。</w:t>
      </w:r>
    </w:p>
    <w:p w14:paraId="572E4DB7">
      <w:pPr>
        <w:pStyle w:val="328"/>
        <w:jc w:val="center"/>
        <w:outlineLvl w:val="9"/>
        <w:rPr>
          <w:rFonts w:ascii="宋体" w:hAnsi="宋体" w:eastAsia="宋体"/>
          <w:highlight w:val="none"/>
        </w:rPr>
      </w:pPr>
      <w:r>
        <w:rPr>
          <w:rFonts w:ascii="宋体" w:hAnsi="宋体" w:eastAsia="宋体"/>
          <w:highlight w:val="none"/>
        </w:rPr>
        <w:br w:type="page" w:clear="all"/>
      </w:r>
    </w:p>
    <w:p w14:paraId="4E7218D7">
      <w:pPr>
        <w:pStyle w:val="328"/>
        <w:jc w:val="center"/>
        <w:outlineLvl w:val="2"/>
        <w:rPr>
          <w:rFonts w:hint="eastAsia" w:ascii="宋体" w:hAnsi="宋体" w:eastAsia="宋体" w:cs="宋体"/>
          <w:highlight w:val="none"/>
        </w:rPr>
      </w:pPr>
      <w:r>
        <w:rPr>
          <w:rFonts w:ascii="宋体" w:hAnsi="宋体" w:eastAsia="宋体" w:cs="宋体"/>
          <w:sz w:val="28"/>
          <w:highlight w:val="none"/>
        </w:rPr>
        <w:t>(四)</w:t>
      </w:r>
      <w:r>
        <w:rPr>
          <w:rFonts w:hint="eastAsia" w:ascii="宋体" w:hAnsi="宋体" w:eastAsia="宋体" w:cs="宋体"/>
          <w:sz w:val="28"/>
          <w:highlight w:val="none"/>
        </w:rPr>
        <w:t>法定代表人（负责人）授权委托书</w:t>
      </w:r>
    </w:p>
    <w:p w14:paraId="6453F25F">
      <w:pPr>
        <w:pStyle w:val="329"/>
        <w:spacing w:line="360" w:lineRule="auto"/>
        <w:ind w:right="420" w:rightChars="200" w:firstLine="560" w:firstLineChars="200"/>
        <w:rPr>
          <w:rFonts w:hint="eastAsia" w:ascii="宋体" w:hAnsi="宋体" w:cs="宋体"/>
          <w:color w:val="000000"/>
          <w:sz w:val="28"/>
          <w:szCs w:val="24"/>
          <w:highlight w:val="none"/>
        </w:rPr>
      </w:pPr>
    </w:p>
    <w:p w14:paraId="3029220D">
      <w:pPr>
        <w:pStyle w:val="329"/>
        <w:spacing w:line="360" w:lineRule="auto"/>
        <w:ind w:right="420" w:rightChars="200"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本授权书声明：</w:t>
      </w:r>
      <w:r>
        <w:rPr>
          <w:rFonts w:hint="eastAsia" w:ascii="宋体" w:hAnsi="宋体" w:cs="宋体"/>
          <w:b/>
          <w:color w:val="000000"/>
          <w:sz w:val="24"/>
          <w:szCs w:val="24"/>
          <w:highlight w:val="none"/>
          <w:u w:val="single"/>
        </w:rPr>
        <w:t>（供应商名称）</w:t>
      </w:r>
      <w:r>
        <w:rPr>
          <w:rFonts w:hint="eastAsia" w:ascii="宋体" w:hAnsi="宋体" w:cs="宋体"/>
          <w:color w:val="000000"/>
          <w:sz w:val="24"/>
          <w:szCs w:val="24"/>
          <w:highlight w:val="none"/>
        </w:rPr>
        <w:t>法定代表人</w:t>
      </w:r>
      <w:r>
        <w:rPr>
          <w:rFonts w:hint="eastAsia" w:ascii="宋体" w:hAnsi="宋体" w:cs="宋体"/>
          <w:b/>
          <w:color w:val="000000"/>
          <w:sz w:val="24"/>
          <w:szCs w:val="24"/>
          <w:highlight w:val="none"/>
          <w:u w:val="single"/>
        </w:rPr>
        <w:t xml:space="preserve">（姓名） </w:t>
      </w:r>
      <w:r>
        <w:rPr>
          <w:rFonts w:hint="eastAsia" w:ascii="宋体" w:hAnsi="宋体" w:cs="宋体"/>
          <w:color w:val="000000"/>
          <w:sz w:val="24"/>
          <w:szCs w:val="24"/>
          <w:highlight w:val="none"/>
        </w:rPr>
        <w:t>授权</w:t>
      </w:r>
      <w:r>
        <w:rPr>
          <w:rFonts w:hint="eastAsia" w:ascii="宋体" w:hAnsi="宋体" w:cs="宋体"/>
          <w:b/>
          <w:color w:val="000000"/>
          <w:sz w:val="24"/>
          <w:szCs w:val="24"/>
          <w:highlight w:val="none"/>
          <w:u w:val="single"/>
        </w:rPr>
        <w:t>（委托代理人的姓名、身份证号）</w:t>
      </w:r>
      <w:r>
        <w:rPr>
          <w:rFonts w:hint="eastAsia" w:ascii="宋体" w:hAnsi="宋体" w:cs="宋体"/>
          <w:color w:val="000000"/>
          <w:sz w:val="24"/>
          <w:szCs w:val="24"/>
          <w:highlight w:val="none"/>
        </w:rPr>
        <w:t>为我方就</w:t>
      </w:r>
      <w:r>
        <w:rPr>
          <w:rFonts w:hint="eastAsia" w:ascii="宋体" w:hAnsi="宋体" w:cs="宋体"/>
          <w:b/>
          <w:color w:val="000000"/>
          <w:sz w:val="24"/>
          <w:szCs w:val="24"/>
          <w:highlight w:val="none"/>
          <w:u w:val="single"/>
        </w:rPr>
        <w:t>（项目名称）、（项目编号）</w:t>
      </w:r>
      <w:r>
        <w:rPr>
          <w:rFonts w:hint="eastAsia" w:ascii="宋体" w:hAnsi="宋体" w:cs="宋体"/>
          <w:bCs/>
          <w:color w:val="000000"/>
          <w:sz w:val="24"/>
          <w:szCs w:val="24"/>
          <w:highlight w:val="none"/>
        </w:rPr>
        <w:t>项目</w:t>
      </w:r>
      <w:r>
        <w:rPr>
          <w:rFonts w:hint="eastAsia" w:ascii="宋体" w:hAnsi="宋体" w:cs="宋体"/>
          <w:color w:val="000000"/>
          <w:sz w:val="24"/>
          <w:szCs w:val="24"/>
          <w:highlight w:val="none"/>
        </w:rPr>
        <w:t>的投标活动的合法代理人，以本公司名义全权处理一切与该项目投标有关的事务（含合同签订）。</w:t>
      </w:r>
    </w:p>
    <w:p w14:paraId="32C16982">
      <w:pPr>
        <w:pStyle w:val="329"/>
        <w:tabs>
          <w:tab w:val="left" w:pos="5560"/>
        </w:tabs>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ab/>
      </w:r>
    </w:p>
    <w:p w14:paraId="02AD3BF6">
      <w:pPr>
        <w:pStyle w:val="329"/>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本授权书于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日在相应位置签字或盖章后生效，特此声明。</w:t>
      </w:r>
    </w:p>
    <w:p w14:paraId="6ED10957">
      <w:pPr>
        <w:pStyle w:val="329"/>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委托代理人身份证号码：</w:t>
      </w:r>
      <w:r>
        <w:rPr>
          <w:rFonts w:hint="eastAsia" w:ascii="宋体" w:hAnsi="宋体" w:cs="宋体"/>
          <w:color w:val="000000"/>
          <w:sz w:val="24"/>
          <w:szCs w:val="24"/>
          <w:highlight w:val="none"/>
          <w:u w:val="single"/>
        </w:rPr>
        <w:t xml:space="preserve">                        </w:t>
      </w:r>
    </w:p>
    <w:p w14:paraId="27A4713E">
      <w:pPr>
        <w:pStyle w:val="329"/>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委托代理人联系电话：（手机）</w:t>
      </w:r>
      <w:r>
        <w:rPr>
          <w:rFonts w:hint="eastAsia" w:ascii="宋体" w:hAnsi="宋体" w:cs="宋体"/>
          <w:color w:val="000000"/>
          <w:sz w:val="24"/>
          <w:szCs w:val="24"/>
          <w:highlight w:val="none"/>
          <w:u w:val="single"/>
        </w:rPr>
        <w:t xml:space="preserve">                        </w:t>
      </w:r>
    </w:p>
    <w:p w14:paraId="31BEB9C7">
      <w:pPr>
        <w:pStyle w:val="329"/>
        <w:spacing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法定代表人（负责人）签章</w:t>
      </w:r>
      <w:r>
        <w:rPr>
          <w:rFonts w:hint="eastAsia" w:ascii="宋体" w:hAnsi="宋体" w:cs="宋体"/>
          <w:color w:val="000000"/>
          <w:sz w:val="24"/>
          <w:szCs w:val="24"/>
          <w:highlight w:val="none"/>
          <w:u w:val="single"/>
        </w:rPr>
        <w:t xml:space="preserve">：                        </w:t>
      </w:r>
    </w:p>
    <w:p w14:paraId="1D6F292F">
      <w:pPr>
        <w:pStyle w:val="329"/>
        <w:spacing w:line="360" w:lineRule="auto"/>
        <w:ind w:firstLine="480" w:firstLineChars="200"/>
        <w:rPr>
          <w:rFonts w:hint="eastAsia" w:ascii="宋体" w:hAnsi="宋体" w:cs="宋体"/>
          <w:color w:val="000000"/>
          <w:sz w:val="24"/>
          <w:szCs w:val="24"/>
          <w:highlight w:val="none"/>
          <w:u w:val="single"/>
        </w:rPr>
      </w:pPr>
    </w:p>
    <w:p w14:paraId="6DDD6839">
      <w:pPr>
        <w:pStyle w:val="329"/>
        <w:spacing w:line="360" w:lineRule="auto"/>
        <w:ind w:firstLine="480" w:firstLineChars="200"/>
        <w:rPr>
          <w:rFonts w:hint="eastAsia" w:ascii="宋体" w:hAnsi="宋体" w:cs="宋体"/>
          <w:color w:val="000000"/>
          <w:sz w:val="24"/>
          <w:szCs w:val="24"/>
          <w:highlight w:val="none"/>
        </w:rPr>
      </w:pPr>
    </w:p>
    <w:p w14:paraId="258BDC74">
      <w:pPr>
        <w:pStyle w:val="329"/>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供应商名称（公章）：</w:t>
      </w:r>
    </w:p>
    <w:p w14:paraId="28C22817">
      <w:pPr>
        <w:pStyle w:val="329"/>
        <w:spacing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日     期：</w:t>
      </w:r>
    </w:p>
    <w:p w14:paraId="4792BBE8">
      <w:pPr>
        <w:pStyle w:val="329"/>
        <w:spacing w:line="360" w:lineRule="auto"/>
        <w:ind w:firstLine="480" w:firstLineChars="200"/>
        <w:rPr>
          <w:rFonts w:hint="eastAsia" w:ascii="宋体" w:hAnsi="宋体" w:cs="宋体"/>
          <w:color w:val="000000"/>
          <w:sz w:val="24"/>
          <w:szCs w:val="24"/>
          <w:highlight w:val="none"/>
        </w:rPr>
      </w:pPr>
    </w:p>
    <w:p w14:paraId="2FEA6B19">
      <w:pPr>
        <w:pStyle w:val="330"/>
        <w:spacing w:line="360" w:lineRule="auto"/>
        <w:ind w:firstLine="480"/>
        <w:rPr>
          <w:rFonts w:hint="eastAsia" w:ascii="宋体" w:hAnsi="宋体"/>
          <w:color w:val="000000"/>
          <w:sz w:val="24"/>
          <w:szCs w:val="24"/>
          <w:highlight w:val="none"/>
          <w:u w:val="single"/>
        </w:rPr>
      </w:pPr>
      <w:r>
        <w:rPr>
          <w:rFonts w:hint="eastAsia" w:ascii="宋体" w:hAnsi="宋体" w:cs="宋体"/>
          <w:b/>
          <w:color w:val="000000"/>
          <w:sz w:val="24"/>
          <w:szCs w:val="24"/>
          <w:highlight w:val="none"/>
        </w:rPr>
        <w:t>附：委托代理人居民身份证扫描件</w:t>
      </w:r>
    </w:p>
    <w:p w14:paraId="22E528ED">
      <w:pPr>
        <w:pStyle w:val="331"/>
        <w:jc w:val="center"/>
        <w:outlineLvl w:val="9"/>
        <w:rPr>
          <w:rFonts w:ascii="宋体" w:hAnsi="宋体"/>
          <w:sz w:val="24"/>
          <w:szCs w:val="24"/>
          <w:highlight w:val="none"/>
        </w:rPr>
      </w:pPr>
      <w:r>
        <w:rPr>
          <w:rFonts w:ascii="宋体" w:hAnsi="宋体"/>
          <w:sz w:val="24"/>
          <w:szCs w:val="24"/>
          <w:highlight w:val="none"/>
        </w:rPr>
        <w:br w:type="page" w:clear="all"/>
      </w:r>
    </w:p>
    <w:p w14:paraId="3481CEDE">
      <w:pPr>
        <w:pStyle w:val="331"/>
        <w:jc w:val="center"/>
        <w:outlineLvl w:val="2"/>
        <w:rPr>
          <w:rFonts w:hint="eastAsia" w:ascii="宋体" w:hAnsi="宋体" w:cs="宋体"/>
          <w:highlight w:val="none"/>
        </w:rPr>
      </w:pPr>
      <w:r>
        <w:rPr>
          <w:rFonts w:ascii="宋体" w:hAnsi="宋体" w:cs="宋体"/>
          <w:sz w:val="28"/>
          <w:highlight w:val="none"/>
        </w:rPr>
        <w:t>(五)</w:t>
      </w:r>
      <w:r>
        <w:rPr>
          <w:rFonts w:hint="eastAsia" w:ascii="宋体" w:hAnsi="宋体" w:cs="宋体"/>
          <w:sz w:val="28"/>
          <w:highlight w:val="none"/>
        </w:rPr>
        <w:t>资格承诺函</w:t>
      </w:r>
    </w:p>
    <w:p w14:paraId="6A46CD07">
      <w:pPr>
        <w:pStyle w:val="332"/>
        <w:widowControl/>
        <w:shd w:val="clear" w:color="auto" w:fill="FFFFFF"/>
        <w:spacing w:line="560" w:lineRule="exact"/>
        <w:jc w:val="left"/>
        <w:rPr>
          <w:rFonts w:hint="eastAsia" w:ascii="宋体" w:hAnsi="宋体" w:cs="宋体"/>
          <w:color w:val="000000"/>
          <w:sz w:val="24"/>
          <w:highlight w:val="none"/>
          <w:u w:val="single"/>
        </w:rPr>
      </w:pPr>
      <w:bookmarkStart w:id="158" w:name="书签4"/>
      <w:bookmarkEnd w:id="158"/>
      <w:r>
        <w:rPr>
          <w:rFonts w:hint="eastAsia" w:ascii="宋体" w:hAnsi="宋体" w:cs="宋体"/>
          <w:color w:val="000000"/>
          <w:sz w:val="24"/>
          <w:highlight w:val="none"/>
        </w:rPr>
        <w:t>致：</w:t>
      </w:r>
      <w:r>
        <w:rPr>
          <w:rFonts w:hint="eastAsia" w:ascii="宋体" w:hAnsi="宋体" w:cs="宋体"/>
          <w:color w:val="000000"/>
          <w:sz w:val="24"/>
          <w:highlight w:val="none"/>
          <w:u w:val="single"/>
        </w:rPr>
        <w:t>（采购人、采购代理机构）</w:t>
      </w:r>
    </w:p>
    <w:p w14:paraId="35364876">
      <w:pPr>
        <w:pStyle w:val="332"/>
        <w:widowControl/>
        <w:shd w:val="clear" w:color="auto" w:fill="FFFFFF"/>
        <w:spacing w:line="560" w:lineRule="exact"/>
        <w:ind w:firstLine="480" w:firstLineChars="200"/>
        <w:jc w:val="left"/>
        <w:rPr>
          <w:rFonts w:hint="eastAsia" w:ascii="宋体" w:hAnsi="宋体" w:cs="宋体"/>
          <w:color w:val="000000"/>
          <w:sz w:val="24"/>
          <w:highlight w:val="none"/>
        </w:rPr>
      </w:pPr>
      <w:r>
        <w:rPr>
          <w:rFonts w:hint="eastAsia" w:ascii="宋体" w:hAnsi="宋体" w:cs="宋体"/>
          <w:color w:val="000000"/>
          <w:sz w:val="24"/>
          <w:highlight w:val="none"/>
        </w:rPr>
        <w:t>我单位参与</w:t>
      </w:r>
      <w:r>
        <w:rPr>
          <w:rFonts w:hint="eastAsia" w:ascii="宋体" w:hAnsi="宋体" w:cs="宋体"/>
          <w:color w:val="000000"/>
          <w:sz w:val="24"/>
          <w:highlight w:val="none"/>
          <w:u w:val="single"/>
        </w:rPr>
        <w:t>（项目名称）、（项目编号）</w:t>
      </w:r>
      <w:r>
        <w:rPr>
          <w:rFonts w:hint="eastAsia" w:ascii="宋体" w:hAnsi="宋体" w:cs="宋体"/>
          <w:color w:val="000000"/>
          <w:sz w:val="24"/>
          <w:highlight w:val="none"/>
        </w:rPr>
        <w:t>项目的政府采购活动，现承诺如下：</w:t>
      </w:r>
    </w:p>
    <w:p w14:paraId="3C119974">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1.我方具有良好的商业信誉和健全的财务会计制度。</w:t>
      </w:r>
    </w:p>
    <w:p w14:paraId="363F2DD5">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2.我方具有履行合同所必需的设备和专业技术能力。</w:t>
      </w:r>
    </w:p>
    <w:p w14:paraId="6C465979">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3.我方具有依法缴纳税收和社会保障资金的良好记录。</w:t>
      </w:r>
    </w:p>
    <w:p w14:paraId="2BFF98DC">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4.我方参加本项目采购活动前三年内，在经营活动中没有重大违法记录。</w:t>
      </w:r>
    </w:p>
    <w:p w14:paraId="2B4497C5">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若我单位承诺不实，自愿承担提供虚假材料谋取中标、成交的法律责任。</w:t>
      </w:r>
    </w:p>
    <w:p w14:paraId="7B972290">
      <w:pPr>
        <w:pStyle w:val="332"/>
        <w:rPr>
          <w:rFonts w:hint="eastAsia" w:ascii="宋体" w:hAnsi="宋体" w:cs="宋体"/>
          <w:color w:val="000000"/>
          <w:sz w:val="24"/>
          <w:highlight w:val="none"/>
        </w:rPr>
      </w:pPr>
    </w:p>
    <w:p w14:paraId="37F607EA">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投标供应商（全称并盖章）：</w:t>
      </w:r>
      <w:r>
        <w:rPr>
          <w:rFonts w:hint="eastAsia" w:ascii="宋体" w:hAnsi="宋体" w:cs="宋体"/>
          <w:color w:val="000000"/>
          <w:sz w:val="24"/>
          <w:highlight w:val="none"/>
          <w:u w:val="single"/>
        </w:rPr>
        <w:t>        </w:t>
      </w:r>
      <w:r>
        <w:rPr>
          <w:rFonts w:hint="eastAsia" w:ascii="宋体" w:hAnsi="宋体" w:cs="宋体"/>
          <w:color w:val="000000"/>
          <w:sz w:val="24"/>
          <w:highlight w:val="none"/>
        </w:rPr>
        <w:t> </w:t>
      </w:r>
    </w:p>
    <w:p w14:paraId="394E144A">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供应商法定代表人或授权代表（签字或签章）：</w:t>
      </w:r>
      <w:r>
        <w:rPr>
          <w:rFonts w:hint="eastAsia" w:ascii="宋体" w:hAnsi="宋体" w:cs="宋体"/>
          <w:color w:val="000000"/>
          <w:sz w:val="24"/>
          <w:highlight w:val="none"/>
          <w:u w:val="single"/>
        </w:rPr>
        <w:t>    </w:t>
      </w:r>
    </w:p>
    <w:p w14:paraId="50F64FB3">
      <w:pPr>
        <w:pStyle w:val="332"/>
        <w:widowControl/>
        <w:shd w:val="clear" w:color="auto" w:fill="FFFFFF"/>
        <w:spacing w:line="560" w:lineRule="exact"/>
        <w:ind w:firstLine="640"/>
        <w:jc w:val="left"/>
        <w:rPr>
          <w:rFonts w:hint="eastAsia" w:ascii="宋体" w:hAnsi="宋体" w:cs="宋体"/>
          <w:color w:val="000000"/>
          <w:sz w:val="24"/>
          <w:highlight w:val="none"/>
        </w:rPr>
      </w:pPr>
      <w:r>
        <w:rPr>
          <w:rFonts w:hint="eastAsia" w:ascii="宋体" w:hAnsi="宋体" w:cs="宋体"/>
          <w:color w:val="000000"/>
          <w:sz w:val="24"/>
          <w:highlight w:val="none"/>
        </w:rPr>
        <w:t>日期：</w:t>
      </w:r>
      <w:r>
        <w:rPr>
          <w:rFonts w:hint="eastAsia" w:ascii="宋体" w:hAnsi="宋体" w:cs="宋体"/>
          <w:color w:val="000000"/>
          <w:sz w:val="24"/>
          <w:highlight w:val="none"/>
          <w:u w:val="single"/>
        </w:rPr>
        <w:t>     </w:t>
      </w:r>
    </w:p>
    <w:p w14:paraId="678A12D2">
      <w:pPr>
        <w:pStyle w:val="332"/>
        <w:widowControl/>
        <w:shd w:val="clear" w:color="auto" w:fill="FFFFFF"/>
        <w:spacing w:line="560" w:lineRule="exact"/>
        <w:jc w:val="left"/>
        <w:rPr>
          <w:rFonts w:hint="eastAsia" w:ascii="宋体" w:hAnsi="宋体" w:cs="宋体"/>
          <w:color w:val="000000"/>
          <w:sz w:val="28"/>
          <w:szCs w:val="28"/>
          <w:highlight w:val="none"/>
        </w:rPr>
      </w:pPr>
      <w:r>
        <w:rPr>
          <w:rFonts w:hint="eastAsia" w:ascii="宋体" w:hAnsi="宋体" w:cs="宋体"/>
          <w:color w:val="000000"/>
          <w:sz w:val="28"/>
          <w:szCs w:val="28"/>
          <w:highlight w:val="none"/>
        </w:rPr>
        <w:t>﹍﹍﹍﹍﹍﹍﹍﹍﹍﹍﹍﹍﹍﹍﹍﹍﹍﹍﹍﹍﹍﹍﹍﹍﹍﹍﹍﹍﹍</w:t>
      </w:r>
    </w:p>
    <w:p w14:paraId="1794F172">
      <w:pPr>
        <w:pStyle w:val="332"/>
        <w:widowControl/>
        <w:shd w:val="clear" w:color="auto" w:fill="FFFFFF"/>
        <w:spacing w:line="560" w:lineRule="exact"/>
        <w:jc w:val="left"/>
        <w:rPr>
          <w:rFonts w:hint="eastAsia" w:ascii="宋体" w:hAnsi="宋体" w:cs="宋体"/>
          <w:color w:val="000000"/>
          <w:szCs w:val="21"/>
          <w:highlight w:val="none"/>
        </w:rPr>
      </w:pPr>
      <w:r>
        <w:rPr>
          <w:rFonts w:hint="eastAsia" w:ascii="宋体" w:hAnsi="宋体" w:cs="宋体"/>
          <w:color w:val="000000"/>
          <w:szCs w:val="21"/>
          <w:highlight w:val="none"/>
        </w:rPr>
        <w:t>说明：</w:t>
      </w:r>
    </w:p>
    <w:p w14:paraId="6B6591F4">
      <w:pPr>
        <w:pStyle w:val="332"/>
        <w:widowControl/>
        <w:shd w:val="clear" w:color="auto" w:fill="FFFFFF"/>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1.供应商可自行选择是否提供本承诺函，若不提供本承诺函的，应按采购文件要求提供相应的证明材料。</w:t>
      </w:r>
    </w:p>
    <w:p w14:paraId="7C2C4137">
      <w:pPr>
        <w:pStyle w:val="332"/>
        <w:widowControl/>
        <w:shd w:val="clear" w:color="auto" w:fill="FFFFFF"/>
        <w:spacing w:line="360" w:lineRule="auto"/>
        <w:ind w:firstLine="420" w:firstLineChars="200"/>
        <w:jc w:val="left"/>
        <w:rPr>
          <w:rFonts w:hint="eastAsia" w:ascii="宋体" w:hAnsi="宋体" w:cs="宋体"/>
          <w:color w:val="000000"/>
          <w:szCs w:val="21"/>
          <w:highlight w:val="none"/>
        </w:rPr>
      </w:pPr>
      <w:r>
        <w:rPr>
          <w:rFonts w:hint="eastAsia" w:ascii="宋体" w:hAnsi="宋体" w:cs="宋体"/>
          <w:color w:val="000000"/>
          <w:szCs w:val="21"/>
          <w:highlight w:val="none"/>
        </w:rPr>
        <w:t>2.供应商可删减承诺事项，删减的承诺事项须按采购文件要求提供相应的证明材料。比如删去本承诺函第3项的，则应按采购文件要求提供依法缴纳税收和社会保障资金的良好记录。</w:t>
      </w:r>
    </w:p>
    <w:p w14:paraId="17261E8C">
      <w:pPr>
        <w:rPr>
          <w:highlight w:val="none"/>
        </w:rPr>
      </w:pPr>
    </w:p>
    <w:p w14:paraId="2BAD3CDA">
      <w:pPr>
        <w:rPr>
          <w:highlight w:val="none"/>
        </w:rPr>
      </w:pPr>
    </w:p>
    <w:p w14:paraId="2ECB4D48">
      <w:pPr>
        <w:rPr>
          <w:highlight w:val="none"/>
        </w:rPr>
      </w:pPr>
    </w:p>
    <w:p w14:paraId="3BCD2752">
      <w:pPr>
        <w:rPr>
          <w:highlight w:val="none"/>
        </w:rPr>
      </w:pPr>
      <w:r>
        <w:rPr>
          <w:rFonts w:hint="eastAsia"/>
          <w:highlight w:val="none"/>
        </w:rPr>
        <w:tab/>
      </w:r>
    </w:p>
    <w:p w14:paraId="06F1DCA4">
      <w:pPr>
        <w:pStyle w:val="321"/>
        <w:jc w:val="center"/>
        <w:outlineLvl w:val="9"/>
        <w:rPr>
          <w:highlight w:val="none"/>
        </w:rPr>
      </w:pPr>
      <w:r>
        <w:rPr>
          <w:highlight w:val="none"/>
        </w:rPr>
        <w:br w:type="page"/>
      </w:r>
    </w:p>
    <w:p w14:paraId="02484FA7">
      <w:pPr>
        <w:pStyle w:val="321"/>
        <w:jc w:val="center"/>
        <w:outlineLvl w:val="1"/>
        <w:rPr>
          <w:rFonts w:hint="eastAsia" w:ascii="宋体" w:hAnsi="宋体" w:cs="宋体"/>
          <w:sz w:val="32"/>
          <w:highlight w:val="none"/>
        </w:rPr>
      </w:pPr>
      <w:bookmarkStart w:id="159" w:name="_bookmark78"/>
      <w:bookmarkEnd w:id="159"/>
      <w:r>
        <w:rPr>
          <w:rFonts w:hint="eastAsia" w:ascii="宋体" w:hAnsi="宋体" w:eastAsia="宋体" w:cs="Times New Roman"/>
          <w:b/>
          <w:color w:val="000000"/>
          <w:sz w:val="32"/>
          <w:szCs w:val="22"/>
          <w:highlight w:val="none"/>
          <w:lang w:val="en-US" w:eastAsia="zh-CN" w:bidi="ar-SA"/>
        </w:rPr>
        <w:t>二、符合条件</w:t>
      </w:r>
    </w:p>
    <w:p w14:paraId="171EF4E5">
      <w:pPr>
        <w:pStyle w:val="322"/>
        <w:jc w:val="center"/>
        <w:rPr>
          <w:rFonts w:hint="eastAsia" w:ascii="宋体" w:hAnsi="宋体" w:eastAsia="宋体" w:cs="宋体"/>
          <w:sz w:val="28"/>
          <w:szCs w:val="22"/>
          <w:highlight w:val="none"/>
        </w:rPr>
      </w:pPr>
    </w:p>
    <w:p w14:paraId="4F6EB0A9">
      <w:pPr>
        <w:pStyle w:val="322"/>
        <w:jc w:val="center"/>
        <w:rPr>
          <w:rFonts w:hint="eastAsia" w:ascii="宋体" w:hAnsi="宋体" w:eastAsia="宋体" w:cs="宋体"/>
          <w:sz w:val="28"/>
          <w:szCs w:val="22"/>
          <w:highlight w:val="none"/>
        </w:rPr>
      </w:pPr>
      <w:r>
        <w:rPr>
          <w:rFonts w:hint="eastAsia" w:ascii="宋体" w:hAnsi="宋体" w:eastAsia="宋体" w:cs="宋体"/>
          <w:sz w:val="28"/>
          <w:szCs w:val="22"/>
          <w:highlight w:val="none"/>
        </w:rPr>
        <w:t>符合条件对应“供应商符合性审查”，格式自拟。</w:t>
      </w:r>
    </w:p>
    <w:tbl>
      <w:tblPr>
        <w:tblStyle w:val="3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78"/>
        <w:gridCol w:w="1687"/>
        <w:gridCol w:w="6251"/>
      </w:tblGrid>
      <w:tr w14:paraId="59A87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BF553A">
            <w:pPr>
              <w:pStyle w:val="301"/>
              <w:jc w:val="center"/>
              <w:rPr>
                <w:rFonts w:ascii="宋体" w:hAnsi="宋体" w:eastAsia="宋体" w:cs="宋体"/>
                <w:sz w:val="21"/>
                <w:szCs w:val="21"/>
                <w:highlight w:val="none"/>
              </w:rPr>
            </w:pPr>
            <w:r>
              <w:rPr>
                <w:rFonts w:ascii="宋体" w:hAnsi="宋体" w:eastAsia="宋体" w:cs="宋体"/>
                <w:sz w:val="21"/>
                <w:szCs w:val="21"/>
                <w:highlight w:val="none"/>
              </w:rPr>
              <w:t>序号</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BB2810">
            <w:pPr>
              <w:pStyle w:val="301"/>
              <w:jc w:val="center"/>
              <w:rPr>
                <w:rFonts w:ascii="宋体" w:hAnsi="宋体" w:eastAsia="宋体" w:cs="宋体"/>
                <w:sz w:val="21"/>
                <w:szCs w:val="21"/>
                <w:highlight w:val="none"/>
              </w:rPr>
            </w:pPr>
            <w:r>
              <w:rPr>
                <w:rFonts w:ascii="宋体" w:hAnsi="宋体" w:eastAsia="宋体" w:cs="宋体"/>
                <w:sz w:val="21"/>
                <w:szCs w:val="21"/>
                <w:highlight w:val="none"/>
              </w:rPr>
              <w:t>审查要素</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ABD0A0D">
            <w:pPr>
              <w:pStyle w:val="301"/>
              <w:jc w:val="center"/>
              <w:rPr>
                <w:rFonts w:ascii="宋体" w:hAnsi="宋体" w:eastAsia="宋体" w:cs="宋体"/>
                <w:sz w:val="21"/>
                <w:szCs w:val="21"/>
                <w:highlight w:val="none"/>
              </w:rPr>
            </w:pPr>
            <w:r>
              <w:rPr>
                <w:rFonts w:ascii="宋体" w:hAnsi="宋体" w:eastAsia="宋体" w:cs="宋体"/>
                <w:sz w:val="21"/>
                <w:szCs w:val="21"/>
                <w:highlight w:val="none"/>
              </w:rPr>
              <w:t>审查内容</w:t>
            </w:r>
          </w:p>
        </w:tc>
      </w:tr>
      <w:tr w14:paraId="28839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84FC729">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1</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D9ED68">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报价符合性</w:t>
            </w:r>
          </w:p>
          <w:p w14:paraId="2B25189B">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审查</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9DABDA">
            <w:pPr>
              <w:pStyle w:val="301"/>
              <w:jc w:val="both"/>
              <w:rPr>
                <w:rFonts w:ascii="宋体" w:hAnsi="宋体" w:eastAsia="宋体" w:cs="宋体"/>
                <w:sz w:val="21"/>
                <w:szCs w:val="21"/>
                <w:highlight w:val="none"/>
              </w:rPr>
            </w:pPr>
            <w:r>
              <w:rPr>
                <w:rFonts w:hint="eastAsia" w:ascii="宋体" w:hAnsi="宋体" w:eastAsia="宋体" w:cs="宋体"/>
                <w:sz w:val="21"/>
                <w:szCs w:val="21"/>
                <w:highlight w:val="none"/>
              </w:rPr>
              <w:t>属于投标（响应）报价低于采购项目最高限价</w:t>
            </w: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%的，即投标（响应）报价&lt;采购项目最高限价×</w:t>
            </w:r>
            <w:r>
              <w:rPr>
                <w:rFonts w:hint="eastAsia" w:ascii="宋体" w:hAnsi="宋体" w:eastAsia="宋体" w:cs="宋体"/>
                <w:sz w:val="21"/>
                <w:szCs w:val="21"/>
                <w:highlight w:val="none"/>
                <w:lang w:val="en-US" w:eastAsia="zh-CN"/>
              </w:rPr>
              <w:t>45</w:t>
            </w:r>
            <w:r>
              <w:rPr>
                <w:rFonts w:hint="eastAsia" w:ascii="宋体" w:hAnsi="宋体" w:eastAsia="宋体" w:cs="宋体"/>
                <w:sz w:val="21"/>
                <w:szCs w:val="21"/>
                <w:highlight w:val="none"/>
              </w:rPr>
              <w:t>%，供应商可随投标（响应）文件一并提交相关书面说明及必要的证明材料。</w:t>
            </w:r>
          </w:p>
        </w:tc>
      </w:tr>
      <w:tr w14:paraId="3B8D6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892304">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2</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32F84A">
            <w:pPr>
              <w:pStyle w:val="301"/>
              <w:jc w:val="center"/>
              <w:rPr>
                <w:rFonts w:ascii="宋体" w:hAnsi="宋体" w:eastAsia="宋体" w:cs="宋体"/>
                <w:sz w:val="21"/>
                <w:szCs w:val="21"/>
                <w:highlight w:val="none"/>
              </w:rPr>
            </w:pPr>
            <w:r>
              <w:rPr>
                <w:rFonts w:ascii="宋体" w:hAnsi="宋体" w:eastAsia="宋体" w:cs="宋体"/>
                <w:sz w:val="21"/>
                <w:szCs w:val="21"/>
                <w:highlight w:val="none"/>
              </w:rPr>
              <w:t>投标文件</w:t>
            </w:r>
          </w:p>
          <w:p w14:paraId="45E8761F">
            <w:pPr>
              <w:pStyle w:val="301"/>
              <w:jc w:val="center"/>
              <w:rPr>
                <w:rFonts w:ascii="宋体" w:hAnsi="宋体" w:eastAsia="宋体" w:cs="宋体"/>
                <w:sz w:val="21"/>
                <w:szCs w:val="21"/>
                <w:highlight w:val="none"/>
              </w:rPr>
            </w:pPr>
            <w:r>
              <w:rPr>
                <w:rFonts w:ascii="宋体" w:hAnsi="宋体" w:eastAsia="宋体" w:cs="宋体"/>
                <w:sz w:val="21"/>
                <w:szCs w:val="21"/>
                <w:highlight w:val="none"/>
              </w:rPr>
              <w:t>有效性</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53B6C17">
            <w:pPr>
              <w:pStyle w:val="301"/>
              <w:jc w:val="both"/>
              <w:rPr>
                <w:rFonts w:ascii="宋体" w:hAnsi="宋体" w:eastAsia="宋体" w:cs="宋体"/>
                <w:sz w:val="21"/>
                <w:szCs w:val="21"/>
                <w:highlight w:val="none"/>
              </w:rPr>
            </w:pPr>
            <w:r>
              <w:rPr>
                <w:rFonts w:ascii="宋体" w:hAnsi="宋体" w:eastAsia="宋体" w:cs="宋体"/>
                <w:sz w:val="21"/>
                <w:szCs w:val="21"/>
                <w:highlight w:val="none"/>
              </w:rPr>
              <w:t>电子投标文件的有效电子签章。未发现属无效投标的其他情形。</w:t>
            </w:r>
          </w:p>
        </w:tc>
      </w:tr>
      <w:tr w14:paraId="31608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9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D4F80F">
            <w:pPr>
              <w:pStyle w:val="301"/>
              <w:jc w:val="center"/>
              <w:rPr>
                <w:rFonts w:ascii="宋体" w:hAnsi="宋体" w:eastAsia="宋体" w:cs="宋体"/>
                <w:sz w:val="21"/>
                <w:szCs w:val="21"/>
                <w:highlight w:val="none"/>
              </w:rPr>
            </w:pPr>
            <w:r>
              <w:rPr>
                <w:rFonts w:hint="eastAsia" w:ascii="宋体" w:hAnsi="宋体" w:eastAsia="宋体" w:cs="宋体"/>
                <w:sz w:val="21"/>
                <w:szCs w:val="21"/>
                <w:highlight w:val="none"/>
              </w:rPr>
              <w:t>3</w:t>
            </w:r>
          </w:p>
        </w:tc>
        <w:tc>
          <w:tcPr>
            <w:tcW w:w="95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C4FD93">
            <w:pPr>
              <w:pStyle w:val="301"/>
              <w:jc w:val="center"/>
              <w:rPr>
                <w:rFonts w:ascii="宋体" w:hAnsi="宋体" w:eastAsia="宋体" w:cs="宋体"/>
                <w:sz w:val="21"/>
                <w:szCs w:val="21"/>
                <w:highlight w:val="none"/>
              </w:rPr>
            </w:pPr>
            <w:r>
              <w:rPr>
                <w:rFonts w:ascii="宋体" w:hAnsi="宋体" w:eastAsia="宋体" w:cs="宋体"/>
                <w:sz w:val="21"/>
                <w:szCs w:val="21"/>
                <w:highlight w:val="none"/>
              </w:rPr>
              <w:t>对招标文件响应程度</w:t>
            </w:r>
          </w:p>
        </w:tc>
        <w:tc>
          <w:tcPr>
            <w:tcW w:w="354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35F853">
            <w:pPr>
              <w:pStyle w:val="301"/>
              <w:jc w:val="both"/>
              <w:rPr>
                <w:rFonts w:ascii="宋体" w:hAnsi="宋体" w:eastAsia="宋体" w:cs="宋体"/>
                <w:sz w:val="21"/>
                <w:szCs w:val="21"/>
                <w:highlight w:val="none"/>
              </w:rPr>
            </w:pPr>
            <w:r>
              <w:rPr>
                <w:rFonts w:ascii="宋体" w:hAnsi="宋体" w:eastAsia="宋体" w:cs="宋体"/>
                <w:sz w:val="21"/>
                <w:szCs w:val="21"/>
                <w:highlight w:val="none"/>
              </w:rPr>
              <w:t>审查投标文件与招标文件要求的主要条款、条件和技术规格是否相符，是否存在重大偏离或保留。</w:t>
            </w:r>
          </w:p>
        </w:tc>
      </w:tr>
    </w:tbl>
    <w:p w14:paraId="5877434A">
      <w:pPr>
        <w:rPr>
          <w:rFonts w:hint="eastAsia" w:ascii="宋体" w:hAnsi="宋体" w:cs="宋体"/>
          <w:color w:val="000000"/>
          <w:spacing w:val="6"/>
          <w:sz w:val="24"/>
          <w:highlight w:val="none"/>
        </w:rPr>
      </w:pPr>
      <w:r>
        <w:rPr>
          <w:rFonts w:hint="eastAsia" w:ascii="宋体" w:hAnsi="宋体" w:cs="宋体"/>
          <w:color w:val="000000"/>
          <w:spacing w:val="6"/>
          <w:sz w:val="24"/>
          <w:highlight w:val="none"/>
        </w:rPr>
        <w:br w:type="page"/>
      </w:r>
    </w:p>
    <w:p w14:paraId="27892D26">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三、技术部分</w:t>
      </w:r>
    </w:p>
    <w:p w14:paraId="54AF52D4">
      <w:pPr>
        <w:pStyle w:val="335"/>
        <w:jc w:val="center"/>
        <w:rPr>
          <w:rFonts w:hint="eastAsia" w:ascii="宋体" w:hAnsi="宋体" w:eastAsia="宋体" w:cs="宋体"/>
          <w:sz w:val="28"/>
          <w:szCs w:val="22"/>
          <w:highlight w:val="none"/>
        </w:rPr>
      </w:pPr>
    </w:p>
    <w:p w14:paraId="36865A56">
      <w:pPr>
        <w:pStyle w:val="335"/>
        <w:jc w:val="center"/>
        <w:rPr>
          <w:rFonts w:hint="eastAsia" w:ascii="宋体" w:hAnsi="宋体" w:eastAsia="宋体"/>
          <w:highlight w:val="none"/>
        </w:rPr>
      </w:pPr>
      <w:r>
        <w:rPr>
          <w:rFonts w:hint="eastAsia" w:ascii="宋体" w:hAnsi="宋体" w:eastAsia="宋体" w:cs="宋体"/>
          <w:sz w:val="28"/>
          <w:szCs w:val="22"/>
          <w:highlight w:val="none"/>
        </w:rPr>
        <w:t>技术部分对应评分标准，依次详述，格式自拟。</w:t>
      </w:r>
    </w:p>
    <w:p w14:paraId="363F46A1">
      <w:pPr>
        <w:pStyle w:val="336"/>
        <w:jc w:val="center"/>
        <w:outlineLvl w:val="9"/>
        <w:rPr>
          <w:rFonts w:hint="eastAsia" w:ascii="宋体" w:hAnsi="宋体" w:eastAsia="宋体" w:cs="宋体"/>
          <w:sz w:val="32"/>
          <w:highlight w:val="none"/>
        </w:rPr>
      </w:pPr>
      <w:bookmarkStart w:id="160" w:name="_bookmark70"/>
      <w:bookmarkEnd w:id="160"/>
      <w:bookmarkStart w:id="161" w:name="_Toc256000083"/>
      <w:bookmarkStart w:id="162" w:name="_Toc27351"/>
    </w:p>
    <w:p w14:paraId="338463D4">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四、商务部分</w:t>
      </w:r>
      <w:bookmarkEnd w:id="161"/>
      <w:bookmarkEnd w:id="162"/>
    </w:p>
    <w:p w14:paraId="5F9EC134">
      <w:pPr>
        <w:pStyle w:val="336"/>
        <w:numPr>
          <w:ilvl w:val="0"/>
          <w:numId w:val="0"/>
        </w:numPr>
        <w:jc w:val="both"/>
        <w:outlineLvl w:val="9"/>
        <w:rPr>
          <w:rFonts w:hint="eastAsia" w:ascii="宋体" w:hAnsi="宋体" w:eastAsia="宋体" w:cs="宋体"/>
          <w:sz w:val="32"/>
          <w:highlight w:val="none"/>
        </w:rPr>
      </w:pPr>
    </w:p>
    <w:p w14:paraId="41D7A62F">
      <w:pPr>
        <w:pStyle w:val="337"/>
        <w:tabs>
          <w:tab w:val="left" w:pos="7290"/>
        </w:tabs>
        <w:spacing w:line="360" w:lineRule="auto"/>
        <w:ind w:left="0" w:leftChars="0" w:firstLine="0" w:firstLineChars="0"/>
        <w:jc w:val="center"/>
        <w:rPr>
          <w:rFonts w:hint="eastAsia" w:ascii="宋体" w:hAnsi="宋体" w:cs="宋体"/>
          <w:sz w:val="28"/>
          <w:highlight w:val="none"/>
        </w:rPr>
      </w:pPr>
      <w:r>
        <w:rPr>
          <w:rFonts w:hint="eastAsia" w:ascii="宋体" w:hAnsi="宋体" w:cs="宋体"/>
          <w:sz w:val="28"/>
          <w:highlight w:val="none"/>
        </w:rPr>
        <w:t>商务部分对应评分标准，依次详述，格式自拟。</w:t>
      </w:r>
    </w:p>
    <w:p w14:paraId="247F116D">
      <w:pPr>
        <w:pStyle w:val="337"/>
        <w:tabs>
          <w:tab w:val="left" w:pos="7290"/>
        </w:tabs>
        <w:spacing w:line="360" w:lineRule="auto"/>
        <w:ind w:firstLine="562"/>
        <w:rPr>
          <w:rFonts w:hint="eastAsia" w:ascii="宋体" w:hAnsi="宋体" w:cs="宋体"/>
          <w:sz w:val="28"/>
          <w:highlight w:val="none"/>
        </w:rPr>
      </w:pPr>
    </w:p>
    <w:p w14:paraId="4C27FF97">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五、服务承诺</w:t>
      </w:r>
    </w:p>
    <w:p w14:paraId="56E4E059">
      <w:pPr>
        <w:pStyle w:val="337"/>
        <w:tabs>
          <w:tab w:val="left" w:pos="7290"/>
        </w:tabs>
        <w:spacing w:line="360" w:lineRule="auto"/>
        <w:ind w:firstLine="562"/>
        <w:rPr>
          <w:rFonts w:hint="eastAsia" w:ascii="宋体" w:hAnsi="宋体" w:cs="宋体"/>
          <w:kern w:val="2"/>
          <w:sz w:val="28"/>
          <w:szCs w:val="22"/>
          <w:highlight w:val="none"/>
        </w:rPr>
      </w:pPr>
    </w:p>
    <w:p w14:paraId="63B97511">
      <w:pPr>
        <w:pStyle w:val="337"/>
        <w:tabs>
          <w:tab w:val="left" w:pos="7290"/>
        </w:tabs>
        <w:spacing w:line="360" w:lineRule="auto"/>
        <w:ind w:firstLine="562"/>
        <w:jc w:val="center"/>
        <w:rPr>
          <w:rFonts w:hint="eastAsia" w:ascii="宋体" w:hAnsi="宋体" w:cs="宋体"/>
          <w:sz w:val="28"/>
          <w:highlight w:val="none"/>
        </w:rPr>
      </w:pPr>
      <w:r>
        <w:rPr>
          <w:rFonts w:hint="eastAsia" w:ascii="宋体" w:hAnsi="宋体" w:cs="宋体"/>
          <w:kern w:val="2"/>
          <w:sz w:val="28"/>
          <w:szCs w:val="22"/>
          <w:highlight w:val="none"/>
          <w:lang w:val="en-US" w:eastAsia="zh-CN"/>
        </w:rPr>
        <w:t>如有，针对</w:t>
      </w:r>
      <w:r>
        <w:rPr>
          <w:rFonts w:hint="eastAsia" w:ascii="宋体" w:hAnsi="宋体" w:cs="宋体"/>
          <w:kern w:val="2"/>
          <w:sz w:val="28"/>
          <w:szCs w:val="22"/>
          <w:highlight w:val="none"/>
        </w:rPr>
        <w:t>第四部分采购需求进行响应和承诺。</w:t>
      </w:r>
    </w:p>
    <w:p w14:paraId="4B749996">
      <w:pPr>
        <w:rPr>
          <w:rFonts w:hint="eastAsia" w:ascii="宋体" w:hAnsi="宋体" w:eastAsia="宋体" w:cs="宋体"/>
          <w:b/>
          <w:bCs/>
          <w:sz w:val="28"/>
          <w:szCs w:val="28"/>
          <w:highlight w:val="none"/>
        </w:rPr>
      </w:pPr>
      <w:bookmarkStart w:id="163" w:name="_Toc256000086"/>
      <w:r>
        <w:rPr>
          <w:rFonts w:hint="eastAsia" w:ascii="宋体" w:hAnsi="宋体" w:eastAsia="宋体" w:cs="宋体"/>
          <w:b/>
          <w:bCs/>
          <w:sz w:val="28"/>
          <w:szCs w:val="28"/>
          <w:highlight w:val="none"/>
        </w:rPr>
        <w:br w:type="page"/>
      </w:r>
    </w:p>
    <w:p w14:paraId="4EF5209D">
      <w:pPr>
        <w:pStyle w:val="338"/>
        <w:rPr>
          <w:rFonts w:hint="eastAsia" w:ascii="宋体" w:hAnsi="宋体" w:eastAsia="宋体" w:cs="宋体"/>
          <w:highlight w:val="none"/>
        </w:rPr>
      </w:pPr>
      <w:r>
        <w:rPr>
          <w:rFonts w:hint="eastAsia" w:ascii="宋体" w:hAnsi="宋体" w:eastAsia="宋体" w:cs="宋体"/>
          <w:b/>
          <w:bCs/>
          <w:sz w:val="28"/>
          <w:szCs w:val="28"/>
          <w:highlight w:val="none"/>
        </w:rPr>
        <w:t>以下格式按需拟用：</w:t>
      </w:r>
    </w:p>
    <w:p w14:paraId="4391451F">
      <w:pPr>
        <w:pStyle w:val="338"/>
        <w:jc w:val="center"/>
        <w:outlineLvl w:val="2"/>
        <w:rPr>
          <w:rFonts w:hint="eastAsia" w:ascii="宋体" w:hAnsi="宋体" w:eastAsia="宋体" w:cs="宋体"/>
          <w:highlight w:val="none"/>
        </w:rPr>
      </w:pPr>
      <w:r>
        <w:rPr>
          <w:rFonts w:hint="eastAsia" w:ascii="宋体" w:hAnsi="宋体" w:eastAsia="宋体" w:cs="宋体"/>
          <w:sz w:val="28"/>
          <w:highlight w:val="none"/>
        </w:rPr>
        <w:t>(一)项目经理能力</w:t>
      </w:r>
      <w:bookmarkEnd w:id="163"/>
    </w:p>
    <w:tbl>
      <w:tblPr>
        <w:tblStyle w:val="3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21"/>
        <w:gridCol w:w="1092"/>
        <w:gridCol w:w="4403"/>
      </w:tblGrid>
      <w:tr w14:paraId="35430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88" w:type="pct"/>
            <w:tcBorders>
              <w:top w:val="single" w:color="auto" w:sz="12" w:space="0"/>
              <w:left w:val="single" w:color="auto" w:sz="12" w:space="0"/>
              <w:bottom w:val="single" w:color="auto" w:sz="4" w:space="0"/>
              <w:right w:val="single" w:color="auto" w:sz="4" w:space="0"/>
            </w:tcBorders>
            <w:noWrap/>
            <w:vAlign w:val="center"/>
          </w:tcPr>
          <w:p w14:paraId="163F0F29">
            <w:pPr>
              <w:pStyle w:val="339"/>
              <w:ind w:firstLine="482" w:firstLineChars="200"/>
              <w:rPr>
                <w:rFonts w:hint="eastAsia" w:ascii="宋体" w:hAnsi="宋体" w:cs="宋体"/>
                <w:bCs/>
                <w:color w:val="000000"/>
                <w:sz w:val="24"/>
                <w:szCs w:val="24"/>
                <w:highlight w:val="none"/>
              </w:rPr>
            </w:pPr>
            <w:r>
              <w:rPr>
                <w:rFonts w:hint="eastAsia" w:ascii="宋体" w:hAnsi="宋体" w:cs="宋体"/>
                <w:b/>
                <w:color w:val="000000"/>
                <w:sz w:val="24"/>
                <w:szCs w:val="24"/>
                <w:highlight w:val="none"/>
              </w:rPr>
              <w:br w:type="page"/>
            </w:r>
            <w:r>
              <w:rPr>
                <w:rFonts w:hint="eastAsia" w:ascii="宋体" w:hAnsi="宋体" w:cs="宋体"/>
                <w:bCs/>
                <w:color w:val="000000"/>
                <w:sz w:val="24"/>
                <w:szCs w:val="24"/>
                <w:highlight w:val="none"/>
              </w:rPr>
              <w:t>姓名</w:t>
            </w:r>
          </w:p>
        </w:tc>
        <w:tc>
          <w:tcPr>
            <w:tcW w:w="917" w:type="pct"/>
            <w:tcBorders>
              <w:top w:val="single" w:color="auto" w:sz="12" w:space="0"/>
              <w:left w:val="single" w:color="auto" w:sz="4" w:space="0"/>
              <w:bottom w:val="single" w:color="auto" w:sz="4" w:space="0"/>
              <w:right w:val="single" w:color="auto" w:sz="4" w:space="0"/>
            </w:tcBorders>
            <w:noWrap/>
            <w:vAlign w:val="center"/>
          </w:tcPr>
          <w:p w14:paraId="0B8C2773">
            <w:pPr>
              <w:pStyle w:val="339"/>
              <w:spacing w:line="360" w:lineRule="auto"/>
              <w:ind w:left="-15" w:firstLine="480" w:firstLineChars="200"/>
              <w:rPr>
                <w:rFonts w:hint="eastAsia" w:ascii="宋体" w:hAnsi="宋体" w:cs="宋体"/>
                <w:bCs/>
                <w:color w:val="000000"/>
                <w:sz w:val="24"/>
                <w:szCs w:val="24"/>
                <w:highlight w:val="none"/>
              </w:rPr>
            </w:pPr>
          </w:p>
        </w:tc>
        <w:tc>
          <w:tcPr>
            <w:tcW w:w="2795" w:type="pct"/>
            <w:tcBorders>
              <w:top w:val="single" w:color="auto" w:sz="12" w:space="0"/>
              <w:left w:val="single" w:color="auto" w:sz="4" w:space="0"/>
              <w:bottom w:val="single" w:color="auto" w:sz="4" w:space="0"/>
              <w:right w:val="single" w:color="auto" w:sz="12" w:space="0"/>
            </w:tcBorders>
            <w:noWrap/>
            <w:vAlign w:val="center"/>
          </w:tcPr>
          <w:p w14:paraId="3B34F85F">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近3年工作业绩及承担的主要工作</w:t>
            </w:r>
          </w:p>
        </w:tc>
      </w:tr>
      <w:tr w14:paraId="6ED5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38F11A62">
            <w:pPr>
              <w:pStyle w:val="339"/>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性别</w:t>
            </w:r>
          </w:p>
        </w:tc>
        <w:tc>
          <w:tcPr>
            <w:tcW w:w="917" w:type="pct"/>
            <w:tcBorders>
              <w:top w:val="single" w:color="auto" w:sz="4" w:space="0"/>
              <w:left w:val="single" w:color="auto" w:sz="4" w:space="0"/>
              <w:bottom w:val="single" w:color="auto" w:sz="4" w:space="0"/>
              <w:right w:val="single" w:color="auto" w:sz="4" w:space="0"/>
            </w:tcBorders>
            <w:noWrap/>
            <w:vAlign w:val="center"/>
          </w:tcPr>
          <w:p w14:paraId="3287EAE6">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restart"/>
            <w:tcBorders>
              <w:top w:val="single" w:color="auto" w:sz="4" w:space="0"/>
              <w:left w:val="single" w:color="auto" w:sz="4" w:space="0"/>
              <w:bottom w:val="single" w:color="auto" w:sz="4" w:space="0"/>
              <w:right w:val="single" w:color="auto" w:sz="12" w:space="0"/>
            </w:tcBorders>
            <w:noWrap/>
            <w:vAlign w:val="center"/>
          </w:tcPr>
          <w:p w14:paraId="637E47AA">
            <w:pPr>
              <w:pStyle w:val="339"/>
              <w:spacing w:line="360" w:lineRule="auto"/>
              <w:ind w:left="-15" w:firstLine="480" w:firstLineChars="200"/>
              <w:rPr>
                <w:rFonts w:hint="eastAsia" w:ascii="宋体" w:hAnsi="宋体" w:cs="宋体"/>
                <w:bCs/>
                <w:color w:val="000000"/>
                <w:sz w:val="24"/>
                <w:szCs w:val="24"/>
                <w:highlight w:val="none"/>
              </w:rPr>
            </w:pPr>
          </w:p>
        </w:tc>
      </w:tr>
      <w:tr w14:paraId="47946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5FA8BAE5">
            <w:pPr>
              <w:pStyle w:val="339"/>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年龄</w:t>
            </w:r>
          </w:p>
        </w:tc>
        <w:tc>
          <w:tcPr>
            <w:tcW w:w="917" w:type="pct"/>
            <w:tcBorders>
              <w:top w:val="single" w:color="auto" w:sz="4" w:space="0"/>
              <w:left w:val="single" w:color="auto" w:sz="4" w:space="0"/>
              <w:bottom w:val="single" w:color="auto" w:sz="4" w:space="0"/>
              <w:right w:val="single" w:color="auto" w:sz="4" w:space="0"/>
            </w:tcBorders>
            <w:noWrap/>
            <w:vAlign w:val="center"/>
          </w:tcPr>
          <w:p w14:paraId="66CD41E8">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2DFCD97">
            <w:pPr>
              <w:pStyle w:val="339"/>
              <w:spacing w:line="360" w:lineRule="auto"/>
              <w:ind w:left="-15" w:firstLine="480" w:firstLineChars="200"/>
              <w:rPr>
                <w:rFonts w:hint="eastAsia" w:ascii="宋体" w:hAnsi="宋体" w:cs="宋体"/>
                <w:bCs/>
                <w:color w:val="000000"/>
                <w:sz w:val="24"/>
                <w:szCs w:val="24"/>
                <w:highlight w:val="none"/>
              </w:rPr>
            </w:pPr>
          </w:p>
        </w:tc>
      </w:tr>
      <w:tr w14:paraId="045F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F07343E">
            <w:pPr>
              <w:pStyle w:val="339"/>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职称</w:t>
            </w:r>
          </w:p>
        </w:tc>
        <w:tc>
          <w:tcPr>
            <w:tcW w:w="917" w:type="pct"/>
            <w:tcBorders>
              <w:top w:val="single" w:color="auto" w:sz="4" w:space="0"/>
              <w:left w:val="single" w:color="auto" w:sz="4" w:space="0"/>
              <w:bottom w:val="single" w:color="auto" w:sz="4" w:space="0"/>
              <w:right w:val="single" w:color="auto" w:sz="4" w:space="0"/>
            </w:tcBorders>
            <w:noWrap/>
            <w:vAlign w:val="center"/>
          </w:tcPr>
          <w:p w14:paraId="777B5065">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175BC87">
            <w:pPr>
              <w:pStyle w:val="339"/>
              <w:spacing w:line="360" w:lineRule="auto"/>
              <w:ind w:left="-15" w:firstLine="480" w:firstLineChars="200"/>
              <w:rPr>
                <w:rFonts w:hint="eastAsia" w:ascii="宋体" w:hAnsi="宋体" w:cs="宋体"/>
                <w:bCs/>
                <w:color w:val="000000"/>
                <w:sz w:val="24"/>
                <w:szCs w:val="24"/>
                <w:highlight w:val="none"/>
              </w:rPr>
            </w:pPr>
          </w:p>
        </w:tc>
      </w:tr>
      <w:tr w14:paraId="14E82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552B6825">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毕业时间</w:t>
            </w:r>
          </w:p>
        </w:tc>
        <w:tc>
          <w:tcPr>
            <w:tcW w:w="917" w:type="pct"/>
            <w:tcBorders>
              <w:top w:val="single" w:color="auto" w:sz="4" w:space="0"/>
              <w:left w:val="single" w:color="auto" w:sz="4" w:space="0"/>
              <w:bottom w:val="single" w:color="auto" w:sz="4" w:space="0"/>
              <w:right w:val="single" w:color="auto" w:sz="4" w:space="0"/>
            </w:tcBorders>
            <w:noWrap/>
            <w:vAlign w:val="center"/>
          </w:tcPr>
          <w:p w14:paraId="59C267A6">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54E6A2BC">
            <w:pPr>
              <w:pStyle w:val="339"/>
              <w:spacing w:line="360" w:lineRule="auto"/>
              <w:ind w:left="-15" w:firstLine="480" w:firstLineChars="200"/>
              <w:rPr>
                <w:rFonts w:hint="eastAsia" w:ascii="宋体" w:hAnsi="宋体" w:cs="宋体"/>
                <w:bCs/>
                <w:color w:val="000000"/>
                <w:sz w:val="24"/>
                <w:szCs w:val="24"/>
                <w:highlight w:val="none"/>
              </w:rPr>
            </w:pPr>
          </w:p>
        </w:tc>
      </w:tr>
      <w:tr w14:paraId="4F252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FB26A65">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所学专业</w:t>
            </w:r>
          </w:p>
        </w:tc>
        <w:tc>
          <w:tcPr>
            <w:tcW w:w="917" w:type="pct"/>
            <w:tcBorders>
              <w:top w:val="single" w:color="auto" w:sz="4" w:space="0"/>
              <w:left w:val="single" w:color="auto" w:sz="4" w:space="0"/>
              <w:bottom w:val="single" w:color="auto" w:sz="4" w:space="0"/>
              <w:right w:val="single" w:color="auto" w:sz="4" w:space="0"/>
            </w:tcBorders>
            <w:noWrap/>
            <w:vAlign w:val="center"/>
          </w:tcPr>
          <w:p w14:paraId="3F08E467">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B3AF0DA">
            <w:pPr>
              <w:pStyle w:val="339"/>
              <w:spacing w:line="360" w:lineRule="auto"/>
              <w:ind w:left="-15" w:firstLine="480" w:firstLineChars="200"/>
              <w:rPr>
                <w:rFonts w:hint="eastAsia" w:ascii="宋体" w:hAnsi="宋体" w:cs="宋体"/>
                <w:bCs/>
                <w:color w:val="000000"/>
                <w:sz w:val="24"/>
                <w:szCs w:val="24"/>
                <w:highlight w:val="none"/>
              </w:rPr>
            </w:pPr>
          </w:p>
        </w:tc>
      </w:tr>
      <w:tr w14:paraId="3481B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6F0B30DC">
            <w:pPr>
              <w:pStyle w:val="339"/>
              <w:ind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学历</w:t>
            </w:r>
          </w:p>
        </w:tc>
        <w:tc>
          <w:tcPr>
            <w:tcW w:w="917" w:type="pct"/>
            <w:tcBorders>
              <w:top w:val="single" w:color="auto" w:sz="4" w:space="0"/>
              <w:left w:val="single" w:color="auto" w:sz="4" w:space="0"/>
              <w:bottom w:val="single" w:color="auto" w:sz="4" w:space="0"/>
              <w:right w:val="single" w:color="auto" w:sz="4" w:space="0"/>
            </w:tcBorders>
            <w:noWrap/>
            <w:vAlign w:val="center"/>
          </w:tcPr>
          <w:p w14:paraId="558B2DCF">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648621D9">
            <w:pPr>
              <w:pStyle w:val="339"/>
              <w:spacing w:line="360" w:lineRule="auto"/>
              <w:ind w:left="-15" w:firstLine="480" w:firstLineChars="200"/>
              <w:rPr>
                <w:rFonts w:hint="eastAsia" w:ascii="宋体" w:hAnsi="宋体" w:cs="宋体"/>
                <w:bCs/>
                <w:color w:val="000000"/>
                <w:sz w:val="24"/>
                <w:szCs w:val="24"/>
                <w:highlight w:val="none"/>
              </w:rPr>
            </w:pPr>
          </w:p>
        </w:tc>
      </w:tr>
      <w:tr w14:paraId="32311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2D887FC">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证书名称</w:t>
            </w:r>
          </w:p>
        </w:tc>
        <w:tc>
          <w:tcPr>
            <w:tcW w:w="917" w:type="pct"/>
            <w:tcBorders>
              <w:top w:val="single" w:color="auto" w:sz="4" w:space="0"/>
              <w:left w:val="single" w:color="auto" w:sz="4" w:space="0"/>
              <w:bottom w:val="single" w:color="auto" w:sz="4" w:space="0"/>
              <w:right w:val="single" w:color="auto" w:sz="4" w:space="0"/>
            </w:tcBorders>
            <w:noWrap/>
            <w:vAlign w:val="center"/>
          </w:tcPr>
          <w:p w14:paraId="4B4B2C87">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35B34163">
            <w:pPr>
              <w:pStyle w:val="339"/>
              <w:spacing w:line="360" w:lineRule="auto"/>
              <w:ind w:left="-15" w:firstLine="480" w:firstLineChars="200"/>
              <w:rPr>
                <w:rFonts w:hint="eastAsia" w:ascii="宋体" w:hAnsi="宋体" w:cs="宋体"/>
                <w:bCs/>
                <w:color w:val="000000"/>
                <w:sz w:val="24"/>
                <w:szCs w:val="24"/>
                <w:highlight w:val="none"/>
              </w:rPr>
            </w:pPr>
          </w:p>
        </w:tc>
      </w:tr>
      <w:tr w14:paraId="193E1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76AEDDBD">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专业资格</w:t>
            </w:r>
          </w:p>
        </w:tc>
        <w:tc>
          <w:tcPr>
            <w:tcW w:w="917" w:type="pct"/>
            <w:tcBorders>
              <w:top w:val="single" w:color="auto" w:sz="4" w:space="0"/>
              <w:left w:val="single" w:color="auto" w:sz="4" w:space="0"/>
              <w:bottom w:val="single" w:color="auto" w:sz="4" w:space="0"/>
              <w:right w:val="single" w:color="auto" w:sz="4" w:space="0"/>
            </w:tcBorders>
            <w:noWrap/>
            <w:vAlign w:val="center"/>
          </w:tcPr>
          <w:p w14:paraId="73CC2D13">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25BE24E6">
            <w:pPr>
              <w:pStyle w:val="339"/>
              <w:spacing w:line="360" w:lineRule="auto"/>
              <w:ind w:left="-15" w:firstLine="480" w:firstLineChars="200"/>
              <w:rPr>
                <w:rFonts w:hint="eastAsia" w:ascii="宋体" w:hAnsi="宋体" w:cs="宋体"/>
                <w:bCs/>
                <w:color w:val="000000"/>
                <w:sz w:val="24"/>
                <w:szCs w:val="24"/>
                <w:highlight w:val="none"/>
              </w:rPr>
            </w:pPr>
          </w:p>
        </w:tc>
      </w:tr>
      <w:tr w14:paraId="6760F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2AD33BF7">
            <w:pPr>
              <w:pStyle w:val="339"/>
              <w:ind w:left="-15" w:firstLine="480" w:firstLineChars="20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联系电话</w:t>
            </w:r>
          </w:p>
        </w:tc>
        <w:tc>
          <w:tcPr>
            <w:tcW w:w="917" w:type="pct"/>
            <w:tcBorders>
              <w:top w:val="single" w:color="auto" w:sz="4" w:space="0"/>
              <w:left w:val="single" w:color="auto" w:sz="4" w:space="0"/>
              <w:bottom w:val="single" w:color="auto" w:sz="4" w:space="0"/>
              <w:right w:val="single" w:color="auto" w:sz="4" w:space="0"/>
            </w:tcBorders>
            <w:noWrap/>
            <w:vAlign w:val="center"/>
          </w:tcPr>
          <w:p w14:paraId="3003E9AA">
            <w:pPr>
              <w:pStyle w:val="339"/>
              <w:spacing w:line="360" w:lineRule="auto"/>
              <w:ind w:left="-15" w:firstLine="480" w:firstLineChars="200"/>
              <w:rPr>
                <w:rFonts w:hint="eastAsia" w:ascii="宋体" w:hAnsi="宋体" w:cs="宋体"/>
                <w:bCs/>
                <w:color w:val="000000"/>
                <w:sz w:val="24"/>
                <w:szCs w:val="24"/>
                <w:highlight w:val="none"/>
              </w:rPr>
            </w:pPr>
          </w:p>
        </w:tc>
        <w:tc>
          <w:tcPr>
            <w:tcW w:w="2795" w:type="pct"/>
            <w:vMerge w:val="continue"/>
            <w:tcBorders>
              <w:top w:val="single" w:color="auto" w:sz="4" w:space="0"/>
              <w:left w:val="single" w:color="auto" w:sz="4" w:space="0"/>
              <w:bottom w:val="single" w:color="auto" w:sz="4" w:space="0"/>
              <w:right w:val="single" w:color="auto" w:sz="12" w:space="0"/>
            </w:tcBorders>
            <w:noWrap/>
            <w:vAlign w:val="center"/>
          </w:tcPr>
          <w:p w14:paraId="72AC0189">
            <w:pPr>
              <w:pStyle w:val="339"/>
              <w:spacing w:line="360" w:lineRule="auto"/>
              <w:ind w:left="-15" w:firstLine="480" w:firstLineChars="200"/>
              <w:rPr>
                <w:rFonts w:hint="eastAsia" w:ascii="宋体" w:hAnsi="宋体" w:cs="宋体"/>
                <w:bCs/>
                <w:color w:val="000000"/>
                <w:sz w:val="24"/>
                <w:szCs w:val="24"/>
                <w:highlight w:val="none"/>
              </w:rPr>
            </w:pPr>
          </w:p>
        </w:tc>
      </w:tr>
      <w:tr w14:paraId="35BB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1288" w:type="pct"/>
            <w:tcBorders>
              <w:top w:val="single" w:color="auto" w:sz="4" w:space="0"/>
              <w:left w:val="single" w:color="auto" w:sz="12" w:space="0"/>
              <w:bottom w:val="single" w:color="auto" w:sz="4" w:space="0"/>
              <w:right w:val="single" w:color="auto" w:sz="4" w:space="0"/>
            </w:tcBorders>
            <w:noWrap/>
            <w:vAlign w:val="center"/>
          </w:tcPr>
          <w:p w14:paraId="496C5133">
            <w:pPr>
              <w:pStyle w:val="339"/>
              <w:ind w:left="-15"/>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曾担任项目主要负责人的项目</w:t>
            </w:r>
          </w:p>
        </w:tc>
        <w:tc>
          <w:tcPr>
            <w:tcW w:w="3712" w:type="pct"/>
            <w:gridSpan w:val="2"/>
            <w:tcBorders>
              <w:top w:val="single" w:color="auto" w:sz="4" w:space="0"/>
              <w:left w:val="single" w:color="auto" w:sz="4" w:space="0"/>
              <w:bottom w:val="single" w:color="auto" w:sz="4" w:space="0"/>
              <w:right w:val="single" w:color="auto" w:sz="12" w:space="0"/>
            </w:tcBorders>
            <w:noWrap/>
            <w:vAlign w:val="center"/>
          </w:tcPr>
          <w:p w14:paraId="0A9939BC">
            <w:pPr>
              <w:pStyle w:val="339"/>
              <w:spacing w:line="360" w:lineRule="auto"/>
              <w:ind w:left="-15" w:firstLine="480" w:firstLineChars="200"/>
              <w:rPr>
                <w:rFonts w:hint="eastAsia" w:ascii="宋体" w:hAnsi="宋体" w:cs="宋体"/>
                <w:bCs/>
                <w:color w:val="000000"/>
                <w:sz w:val="24"/>
                <w:szCs w:val="24"/>
                <w:highlight w:val="none"/>
              </w:rPr>
            </w:pPr>
          </w:p>
        </w:tc>
      </w:tr>
    </w:tbl>
    <w:p w14:paraId="5AE9A774">
      <w:pPr>
        <w:pStyle w:val="339"/>
        <w:widowControl/>
        <w:jc w:val="left"/>
        <w:rPr>
          <w:rFonts w:hint="eastAsia" w:ascii="宋体" w:hAnsi="宋体" w:cs="宋体"/>
          <w:b/>
          <w:color w:val="000000"/>
          <w:sz w:val="24"/>
          <w:szCs w:val="24"/>
          <w:highlight w:val="none"/>
        </w:rPr>
      </w:pPr>
    </w:p>
    <w:p w14:paraId="6B773E79">
      <w:pPr>
        <w:pStyle w:val="339"/>
        <w:spacing w:line="360" w:lineRule="auto"/>
        <w:ind w:firstLine="482" w:firstLineChars="200"/>
        <w:rPr>
          <w:rFonts w:hint="eastAsia" w:ascii="宋体" w:hAnsi="宋体" w:cs="宋体"/>
          <w:bCs/>
          <w:color w:val="000000"/>
          <w:sz w:val="24"/>
          <w:szCs w:val="24"/>
          <w:highlight w:val="none"/>
          <w:u w:val="single"/>
        </w:rPr>
      </w:pPr>
      <w:r>
        <w:rPr>
          <w:rFonts w:hint="eastAsia" w:ascii="宋体" w:hAnsi="宋体" w:cs="宋体"/>
          <w:b/>
          <w:bCs/>
          <w:color w:val="000000"/>
          <w:sz w:val="24"/>
          <w:szCs w:val="24"/>
          <w:highlight w:val="none"/>
        </w:rPr>
        <w:t>注：</w:t>
      </w:r>
      <w:r>
        <w:rPr>
          <w:rFonts w:hint="eastAsia" w:ascii="宋体" w:hAnsi="宋体" w:cs="宋体"/>
          <w:bCs/>
          <w:color w:val="000000"/>
          <w:sz w:val="24"/>
          <w:szCs w:val="24"/>
          <w:highlight w:val="none"/>
        </w:rPr>
        <w:t>1、</w:t>
      </w:r>
      <w:r>
        <w:rPr>
          <w:rFonts w:hint="eastAsia" w:ascii="宋体" w:hAnsi="宋体" w:cs="宋体"/>
          <w:bCs/>
          <w:color w:val="000000"/>
          <w:sz w:val="24"/>
          <w:szCs w:val="24"/>
          <w:highlight w:val="none"/>
          <w:u w:val="single"/>
        </w:rPr>
        <w:t>项目经理具有资格证书的，应在本栏目</w:t>
      </w:r>
      <w:r>
        <w:rPr>
          <w:rFonts w:hint="eastAsia" w:ascii="宋体" w:hAnsi="宋体" w:cs="宋体"/>
          <w:color w:val="000000"/>
          <w:sz w:val="24"/>
          <w:szCs w:val="24"/>
          <w:highlight w:val="none"/>
          <w:u w:val="single"/>
        </w:rPr>
        <w:t>提交相关证书扫描件。</w:t>
      </w:r>
    </w:p>
    <w:p w14:paraId="7749F441">
      <w:pPr>
        <w:pStyle w:val="339"/>
        <w:spacing w:line="360" w:lineRule="auto"/>
        <w:ind w:firstLine="480" w:firstLineChars="200"/>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2、</w:t>
      </w:r>
      <w:r>
        <w:rPr>
          <w:rFonts w:hint="eastAsia" w:ascii="宋体" w:hAnsi="宋体" w:cs="宋体"/>
          <w:bCs/>
          <w:color w:val="000000"/>
          <w:sz w:val="24"/>
          <w:szCs w:val="24"/>
          <w:highlight w:val="none"/>
          <w:u w:val="single"/>
        </w:rPr>
        <w:t>列入本表人员如要更换，需经采购人同意。擅自更换属违约行为。</w:t>
      </w:r>
    </w:p>
    <w:p w14:paraId="240156CC">
      <w:pPr>
        <w:pStyle w:val="331"/>
        <w:spacing w:line="360" w:lineRule="auto"/>
        <w:ind w:firstLine="560"/>
        <w:rPr>
          <w:rFonts w:hint="eastAsia" w:ascii="宋体" w:hAnsi="宋体"/>
          <w:sz w:val="28"/>
          <w:highlight w:val="none"/>
          <w:u w:val="single"/>
        </w:rPr>
      </w:pPr>
      <w:r>
        <w:rPr>
          <w:rFonts w:hint="eastAsia" w:ascii="宋体" w:hAnsi="宋体" w:cs="宋体"/>
          <w:bCs/>
          <w:color w:val="000000"/>
          <w:sz w:val="24"/>
          <w:szCs w:val="24"/>
          <w:highlight w:val="none"/>
        </w:rPr>
        <w:t>3、</w:t>
      </w:r>
      <w:r>
        <w:rPr>
          <w:rFonts w:hint="eastAsia" w:ascii="宋体" w:hAnsi="宋体" w:cs="宋体"/>
          <w:bCs/>
          <w:color w:val="000000"/>
          <w:sz w:val="24"/>
          <w:szCs w:val="24"/>
          <w:highlight w:val="none"/>
          <w:u w:val="single"/>
        </w:rPr>
        <w:t>项目经理须提供近半年（至少一个月）供应商为其缴纳社会保险的证明材料。</w:t>
      </w:r>
    </w:p>
    <w:p w14:paraId="0E6975FA">
      <w:pPr>
        <w:pStyle w:val="340"/>
        <w:jc w:val="center"/>
        <w:outlineLvl w:val="9"/>
        <w:rPr>
          <w:rFonts w:ascii="宋体" w:hAnsi="宋体" w:eastAsia="宋体"/>
          <w:highlight w:val="none"/>
        </w:rPr>
      </w:pPr>
      <w:r>
        <w:rPr>
          <w:rFonts w:ascii="宋体" w:hAnsi="宋体" w:eastAsia="宋体"/>
          <w:highlight w:val="none"/>
        </w:rPr>
        <w:br w:type="page" w:clear="all"/>
      </w:r>
      <w:bookmarkStart w:id="164" w:name="_Toc256000087"/>
    </w:p>
    <w:p w14:paraId="527F637C">
      <w:pPr>
        <w:pStyle w:val="340"/>
        <w:jc w:val="center"/>
        <w:outlineLvl w:val="2"/>
        <w:rPr>
          <w:rFonts w:hint="eastAsia" w:ascii="宋体" w:hAnsi="宋体" w:eastAsia="宋体" w:cs="宋体"/>
          <w:highlight w:val="none"/>
        </w:rPr>
      </w:pPr>
      <w:r>
        <w:rPr>
          <w:rFonts w:hint="eastAsia" w:ascii="宋体" w:hAnsi="宋体" w:eastAsia="宋体" w:cs="宋体"/>
          <w:sz w:val="28"/>
          <w:highlight w:val="none"/>
        </w:rPr>
        <w:t>(二)项目实施成员能力</w:t>
      </w:r>
      <w:bookmarkEnd w:id="164"/>
    </w:p>
    <w:tbl>
      <w:tblPr>
        <w:tblStyle w:val="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845"/>
        <w:gridCol w:w="1450"/>
        <w:gridCol w:w="1328"/>
        <w:gridCol w:w="1813"/>
        <w:gridCol w:w="1811"/>
        <w:gridCol w:w="845"/>
      </w:tblGrid>
      <w:tr w14:paraId="16516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411" w:type="pct"/>
            <w:noWrap/>
            <w:vAlign w:val="center"/>
          </w:tcPr>
          <w:p w14:paraId="4FB49F34">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序号</w:t>
            </w:r>
          </w:p>
        </w:tc>
        <w:tc>
          <w:tcPr>
            <w:tcW w:w="479" w:type="pct"/>
            <w:noWrap/>
            <w:vAlign w:val="center"/>
          </w:tcPr>
          <w:p w14:paraId="18F471C5">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姓名</w:t>
            </w:r>
          </w:p>
        </w:tc>
        <w:tc>
          <w:tcPr>
            <w:tcW w:w="822" w:type="pct"/>
            <w:noWrap/>
            <w:vAlign w:val="center"/>
          </w:tcPr>
          <w:p w14:paraId="18F3D806">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身份证号</w:t>
            </w:r>
          </w:p>
        </w:tc>
        <w:tc>
          <w:tcPr>
            <w:tcW w:w="753" w:type="pct"/>
            <w:noWrap/>
            <w:vAlign w:val="center"/>
          </w:tcPr>
          <w:p w14:paraId="65510318">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人员类别</w:t>
            </w:r>
          </w:p>
        </w:tc>
        <w:tc>
          <w:tcPr>
            <w:tcW w:w="1028" w:type="pct"/>
            <w:noWrap/>
            <w:vAlign w:val="center"/>
          </w:tcPr>
          <w:p w14:paraId="4CDA0E15">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技术证书、</w:t>
            </w:r>
          </w:p>
          <w:p w14:paraId="12F31D25">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级别</w:t>
            </w:r>
          </w:p>
        </w:tc>
        <w:tc>
          <w:tcPr>
            <w:tcW w:w="1027" w:type="pct"/>
            <w:noWrap/>
            <w:vAlign w:val="center"/>
          </w:tcPr>
          <w:p w14:paraId="734B37F8">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相关工作经验</w:t>
            </w:r>
          </w:p>
        </w:tc>
        <w:tc>
          <w:tcPr>
            <w:tcW w:w="479" w:type="pct"/>
            <w:noWrap/>
            <w:vAlign w:val="center"/>
          </w:tcPr>
          <w:p w14:paraId="108FD0D6">
            <w:pPr>
              <w:pStyle w:val="341"/>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备注</w:t>
            </w:r>
          </w:p>
        </w:tc>
      </w:tr>
      <w:tr w14:paraId="29910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033DBFA2">
            <w:pPr>
              <w:pStyle w:val="341"/>
              <w:spacing w:line="360" w:lineRule="auto"/>
              <w:rPr>
                <w:rFonts w:hint="eastAsia" w:ascii="宋体" w:hAnsi="宋体" w:cs="宋体"/>
                <w:b/>
                <w:color w:val="000000"/>
                <w:sz w:val="24"/>
                <w:szCs w:val="24"/>
                <w:highlight w:val="none"/>
              </w:rPr>
            </w:pPr>
          </w:p>
        </w:tc>
        <w:tc>
          <w:tcPr>
            <w:tcW w:w="479" w:type="pct"/>
            <w:noWrap/>
          </w:tcPr>
          <w:p w14:paraId="7184A32C">
            <w:pPr>
              <w:pStyle w:val="341"/>
              <w:spacing w:line="360" w:lineRule="auto"/>
              <w:rPr>
                <w:rFonts w:hint="eastAsia" w:ascii="宋体" w:hAnsi="宋体" w:cs="宋体"/>
                <w:b/>
                <w:color w:val="000000"/>
                <w:sz w:val="24"/>
                <w:szCs w:val="24"/>
                <w:highlight w:val="none"/>
              </w:rPr>
            </w:pPr>
          </w:p>
        </w:tc>
        <w:tc>
          <w:tcPr>
            <w:tcW w:w="822" w:type="pct"/>
            <w:noWrap/>
          </w:tcPr>
          <w:p w14:paraId="630BB55B">
            <w:pPr>
              <w:pStyle w:val="341"/>
              <w:spacing w:line="360" w:lineRule="auto"/>
              <w:rPr>
                <w:rFonts w:hint="eastAsia" w:ascii="宋体" w:hAnsi="宋体" w:cs="宋体"/>
                <w:b/>
                <w:color w:val="000000"/>
                <w:sz w:val="24"/>
                <w:szCs w:val="24"/>
                <w:highlight w:val="none"/>
              </w:rPr>
            </w:pPr>
          </w:p>
        </w:tc>
        <w:tc>
          <w:tcPr>
            <w:tcW w:w="753" w:type="pct"/>
            <w:noWrap/>
          </w:tcPr>
          <w:p w14:paraId="0AB2B64E">
            <w:pPr>
              <w:pStyle w:val="341"/>
              <w:spacing w:line="360" w:lineRule="auto"/>
              <w:rPr>
                <w:rFonts w:hint="eastAsia" w:ascii="宋体" w:hAnsi="宋体" w:cs="宋体"/>
                <w:b/>
                <w:color w:val="000000"/>
                <w:sz w:val="24"/>
                <w:szCs w:val="24"/>
                <w:highlight w:val="none"/>
              </w:rPr>
            </w:pPr>
          </w:p>
        </w:tc>
        <w:tc>
          <w:tcPr>
            <w:tcW w:w="1028" w:type="pct"/>
            <w:noWrap/>
          </w:tcPr>
          <w:p w14:paraId="53893C1E">
            <w:pPr>
              <w:pStyle w:val="341"/>
              <w:spacing w:line="360" w:lineRule="auto"/>
              <w:rPr>
                <w:rFonts w:hint="eastAsia" w:ascii="宋体" w:hAnsi="宋体" w:cs="宋体"/>
                <w:b/>
                <w:color w:val="000000"/>
                <w:sz w:val="24"/>
                <w:szCs w:val="24"/>
                <w:highlight w:val="none"/>
              </w:rPr>
            </w:pPr>
          </w:p>
        </w:tc>
        <w:tc>
          <w:tcPr>
            <w:tcW w:w="1027" w:type="pct"/>
            <w:noWrap/>
          </w:tcPr>
          <w:p w14:paraId="221C84FA">
            <w:pPr>
              <w:pStyle w:val="341"/>
              <w:spacing w:line="360" w:lineRule="auto"/>
              <w:rPr>
                <w:rFonts w:hint="eastAsia" w:ascii="宋体" w:hAnsi="宋体" w:cs="宋体"/>
                <w:b/>
                <w:color w:val="000000"/>
                <w:sz w:val="24"/>
                <w:szCs w:val="24"/>
                <w:highlight w:val="none"/>
              </w:rPr>
            </w:pPr>
          </w:p>
        </w:tc>
        <w:tc>
          <w:tcPr>
            <w:tcW w:w="479" w:type="pct"/>
            <w:noWrap/>
          </w:tcPr>
          <w:p w14:paraId="7EB90D51">
            <w:pPr>
              <w:pStyle w:val="341"/>
              <w:spacing w:line="360" w:lineRule="auto"/>
              <w:rPr>
                <w:rFonts w:hint="eastAsia" w:ascii="宋体" w:hAnsi="宋体" w:cs="宋体"/>
                <w:b/>
                <w:color w:val="000000"/>
                <w:sz w:val="24"/>
                <w:szCs w:val="24"/>
                <w:highlight w:val="none"/>
              </w:rPr>
            </w:pPr>
          </w:p>
        </w:tc>
      </w:tr>
      <w:tr w14:paraId="60978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1173735B">
            <w:pPr>
              <w:pStyle w:val="341"/>
              <w:spacing w:line="360" w:lineRule="auto"/>
              <w:rPr>
                <w:rFonts w:hint="eastAsia" w:ascii="宋体" w:hAnsi="宋体" w:cs="宋体"/>
                <w:b/>
                <w:color w:val="000000"/>
                <w:sz w:val="24"/>
                <w:szCs w:val="24"/>
                <w:highlight w:val="none"/>
              </w:rPr>
            </w:pPr>
          </w:p>
        </w:tc>
        <w:tc>
          <w:tcPr>
            <w:tcW w:w="479" w:type="pct"/>
            <w:noWrap/>
          </w:tcPr>
          <w:p w14:paraId="3A978484">
            <w:pPr>
              <w:pStyle w:val="341"/>
              <w:spacing w:line="360" w:lineRule="auto"/>
              <w:rPr>
                <w:rFonts w:hint="eastAsia" w:ascii="宋体" w:hAnsi="宋体" w:cs="宋体"/>
                <w:b/>
                <w:color w:val="000000"/>
                <w:sz w:val="24"/>
                <w:szCs w:val="24"/>
                <w:highlight w:val="none"/>
              </w:rPr>
            </w:pPr>
          </w:p>
        </w:tc>
        <w:tc>
          <w:tcPr>
            <w:tcW w:w="822" w:type="pct"/>
            <w:noWrap/>
          </w:tcPr>
          <w:p w14:paraId="0B57628C">
            <w:pPr>
              <w:pStyle w:val="341"/>
              <w:spacing w:line="360" w:lineRule="auto"/>
              <w:rPr>
                <w:rFonts w:hint="eastAsia" w:ascii="宋体" w:hAnsi="宋体" w:cs="宋体"/>
                <w:b/>
                <w:color w:val="000000"/>
                <w:sz w:val="24"/>
                <w:szCs w:val="24"/>
                <w:highlight w:val="none"/>
              </w:rPr>
            </w:pPr>
          </w:p>
        </w:tc>
        <w:tc>
          <w:tcPr>
            <w:tcW w:w="753" w:type="pct"/>
            <w:noWrap/>
          </w:tcPr>
          <w:p w14:paraId="7A0F1299">
            <w:pPr>
              <w:pStyle w:val="341"/>
              <w:spacing w:line="360" w:lineRule="auto"/>
              <w:rPr>
                <w:rFonts w:hint="eastAsia" w:ascii="宋体" w:hAnsi="宋体" w:cs="宋体"/>
                <w:b/>
                <w:color w:val="000000"/>
                <w:sz w:val="24"/>
                <w:szCs w:val="24"/>
                <w:highlight w:val="none"/>
              </w:rPr>
            </w:pPr>
          </w:p>
        </w:tc>
        <w:tc>
          <w:tcPr>
            <w:tcW w:w="1028" w:type="pct"/>
            <w:noWrap/>
          </w:tcPr>
          <w:p w14:paraId="5D0B7513">
            <w:pPr>
              <w:pStyle w:val="341"/>
              <w:spacing w:line="360" w:lineRule="auto"/>
              <w:rPr>
                <w:rFonts w:hint="eastAsia" w:ascii="宋体" w:hAnsi="宋体" w:cs="宋体"/>
                <w:b/>
                <w:color w:val="000000"/>
                <w:sz w:val="24"/>
                <w:szCs w:val="24"/>
                <w:highlight w:val="none"/>
              </w:rPr>
            </w:pPr>
          </w:p>
        </w:tc>
        <w:tc>
          <w:tcPr>
            <w:tcW w:w="1027" w:type="pct"/>
            <w:noWrap/>
          </w:tcPr>
          <w:p w14:paraId="35238CBA">
            <w:pPr>
              <w:pStyle w:val="341"/>
              <w:spacing w:line="360" w:lineRule="auto"/>
              <w:rPr>
                <w:rFonts w:hint="eastAsia" w:ascii="宋体" w:hAnsi="宋体" w:cs="宋体"/>
                <w:b/>
                <w:color w:val="000000"/>
                <w:sz w:val="24"/>
                <w:szCs w:val="24"/>
                <w:highlight w:val="none"/>
              </w:rPr>
            </w:pPr>
          </w:p>
        </w:tc>
        <w:tc>
          <w:tcPr>
            <w:tcW w:w="479" w:type="pct"/>
            <w:noWrap/>
          </w:tcPr>
          <w:p w14:paraId="7B4BE794">
            <w:pPr>
              <w:pStyle w:val="341"/>
              <w:spacing w:line="360" w:lineRule="auto"/>
              <w:rPr>
                <w:rFonts w:hint="eastAsia" w:ascii="宋体" w:hAnsi="宋体" w:cs="宋体"/>
                <w:b/>
                <w:color w:val="000000"/>
                <w:sz w:val="24"/>
                <w:szCs w:val="24"/>
                <w:highlight w:val="none"/>
              </w:rPr>
            </w:pPr>
          </w:p>
        </w:tc>
      </w:tr>
      <w:tr w14:paraId="56AB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01B19A25">
            <w:pPr>
              <w:pStyle w:val="341"/>
              <w:spacing w:line="360" w:lineRule="auto"/>
              <w:rPr>
                <w:rFonts w:hint="eastAsia" w:ascii="宋体" w:hAnsi="宋体" w:cs="宋体"/>
                <w:b/>
                <w:color w:val="000000"/>
                <w:sz w:val="24"/>
                <w:szCs w:val="24"/>
                <w:highlight w:val="none"/>
              </w:rPr>
            </w:pPr>
          </w:p>
        </w:tc>
        <w:tc>
          <w:tcPr>
            <w:tcW w:w="479" w:type="pct"/>
            <w:noWrap/>
          </w:tcPr>
          <w:p w14:paraId="623CC356">
            <w:pPr>
              <w:pStyle w:val="341"/>
              <w:spacing w:line="360" w:lineRule="auto"/>
              <w:rPr>
                <w:rFonts w:hint="eastAsia" w:ascii="宋体" w:hAnsi="宋体" w:cs="宋体"/>
                <w:b/>
                <w:color w:val="000000"/>
                <w:sz w:val="24"/>
                <w:szCs w:val="24"/>
                <w:highlight w:val="none"/>
              </w:rPr>
            </w:pPr>
          </w:p>
        </w:tc>
        <w:tc>
          <w:tcPr>
            <w:tcW w:w="822" w:type="pct"/>
            <w:noWrap/>
          </w:tcPr>
          <w:p w14:paraId="68A35F9C">
            <w:pPr>
              <w:pStyle w:val="341"/>
              <w:spacing w:line="360" w:lineRule="auto"/>
              <w:rPr>
                <w:rFonts w:hint="eastAsia" w:ascii="宋体" w:hAnsi="宋体" w:cs="宋体"/>
                <w:b/>
                <w:color w:val="000000"/>
                <w:sz w:val="24"/>
                <w:szCs w:val="24"/>
                <w:highlight w:val="none"/>
              </w:rPr>
            </w:pPr>
          </w:p>
        </w:tc>
        <w:tc>
          <w:tcPr>
            <w:tcW w:w="753" w:type="pct"/>
            <w:noWrap/>
          </w:tcPr>
          <w:p w14:paraId="64AE14BB">
            <w:pPr>
              <w:pStyle w:val="341"/>
              <w:spacing w:line="360" w:lineRule="auto"/>
              <w:rPr>
                <w:rFonts w:hint="eastAsia" w:ascii="宋体" w:hAnsi="宋体" w:cs="宋体"/>
                <w:b/>
                <w:color w:val="000000"/>
                <w:sz w:val="24"/>
                <w:szCs w:val="24"/>
                <w:highlight w:val="none"/>
              </w:rPr>
            </w:pPr>
          </w:p>
        </w:tc>
        <w:tc>
          <w:tcPr>
            <w:tcW w:w="1028" w:type="pct"/>
            <w:noWrap/>
          </w:tcPr>
          <w:p w14:paraId="56F61755">
            <w:pPr>
              <w:pStyle w:val="341"/>
              <w:spacing w:line="360" w:lineRule="auto"/>
              <w:rPr>
                <w:rFonts w:hint="eastAsia" w:ascii="宋体" w:hAnsi="宋体" w:cs="宋体"/>
                <w:b/>
                <w:color w:val="000000"/>
                <w:sz w:val="24"/>
                <w:szCs w:val="24"/>
                <w:highlight w:val="none"/>
              </w:rPr>
            </w:pPr>
          </w:p>
        </w:tc>
        <w:tc>
          <w:tcPr>
            <w:tcW w:w="1027" w:type="pct"/>
            <w:noWrap/>
          </w:tcPr>
          <w:p w14:paraId="476FD331">
            <w:pPr>
              <w:pStyle w:val="341"/>
              <w:spacing w:line="360" w:lineRule="auto"/>
              <w:rPr>
                <w:rFonts w:hint="eastAsia" w:ascii="宋体" w:hAnsi="宋体" w:cs="宋体"/>
                <w:b/>
                <w:color w:val="000000"/>
                <w:sz w:val="24"/>
                <w:szCs w:val="24"/>
                <w:highlight w:val="none"/>
              </w:rPr>
            </w:pPr>
          </w:p>
        </w:tc>
        <w:tc>
          <w:tcPr>
            <w:tcW w:w="479" w:type="pct"/>
            <w:noWrap/>
          </w:tcPr>
          <w:p w14:paraId="5B10186B">
            <w:pPr>
              <w:pStyle w:val="341"/>
              <w:spacing w:line="360" w:lineRule="auto"/>
              <w:rPr>
                <w:rFonts w:hint="eastAsia" w:ascii="宋体" w:hAnsi="宋体" w:cs="宋体"/>
                <w:b/>
                <w:color w:val="000000"/>
                <w:sz w:val="24"/>
                <w:szCs w:val="24"/>
                <w:highlight w:val="none"/>
              </w:rPr>
            </w:pPr>
          </w:p>
        </w:tc>
      </w:tr>
      <w:tr w14:paraId="24722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56ACA7F5">
            <w:pPr>
              <w:pStyle w:val="341"/>
              <w:spacing w:line="360" w:lineRule="auto"/>
              <w:rPr>
                <w:rFonts w:hint="eastAsia" w:ascii="宋体" w:hAnsi="宋体" w:cs="宋体"/>
                <w:b/>
                <w:color w:val="000000"/>
                <w:sz w:val="18"/>
                <w:szCs w:val="18"/>
                <w:highlight w:val="none"/>
              </w:rPr>
            </w:pPr>
          </w:p>
        </w:tc>
        <w:tc>
          <w:tcPr>
            <w:tcW w:w="479" w:type="pct"/>
            <w:noWrap/>
          </w:tcPr>
          <w:p w14:paraId="235DAE22">
            <w:pPr>
              <w:pStyle w:val="341"/>
              <w:spacing w:line="360" w:lineRule="auto"/>
              <w:rPr>
                <w:rFonts w:hint="eastAsia" w:ascii="宋体" w:hAnsi="宋体" w:cs="宋体"/>
                <w:b/>
                <w:color w:val="000000"/>
                <w:sz w:val="24"/>
                <w:szCs w:val="24"/>
                <w:highlight w:val="none"/>
              </w:rPr>
            </w:pPr>
          </w:p>
        </w:tc>
        <w:tc>
          <w:tcPr>
            <w:tcW w:w="822" w:type="pct"/>
            <w:noWrap/>
          </w:tcPr>
          <w:p w14:paraId="207339EC">
            <w:pPr>
              <w:pStyle w:val="341"/>
              <w:spacing w:line="360" w:lineRule="auto"/>
              <w:rPr>
                <w:rFonts w:hint="eastAsia" w:ascii="宋体" w:hAnsi="宋体" w:cs="宋体"/>
                <w:b/>
                <w:color w:val="000000"/>
                <w:sz w:val="24"/>
                <w:szCs w:val="24"/>
                <w:highlight w:val="none"/>
              </w:rPr>
            </w:pPr>
          </w:p>
        </w:tc>
        <w:tc>
          <w:tcPr>
            <w:tcW w:w="753" w:type="pct"/>
            <w:noWrap/>
          </w:tcPr>
          <w:p w14:paraId="0507A302">
            <w:pPr>
              <w:pStyle w:val="341"/>
              <w:spacing w:line="360" w:lineRule="auto"/>
              <w:rPr>
                <w:rFonts w:hint="eastAsia" w:ascii="宋体" w:hAnsi="宋体" w:cs="宋体"/>
                <w:b/>
                <w:color w:val="000000"/>
                <w:sz w:val="24"/>
                <w:szCs w:val="24"/>
                <w:highlight w:val="none"/>
              </w:rPr>
            </w:pPr>
          </w:p>
        </w:tc>
        <w:tc>
          <w:tcPr>
            <w:tcW w:w="1028" w:type="pct"/>
            <w:noWrap/>
          </w:tcPr>
          <w:p w14:paraId="558298D7">
            <w:pPr>
              <w:pStyle w:val="341"/>
              <w:spacing w:line="360" w:lineRule="auto"/>
              <w:rPr>
                <w:rFonts w:hint="eastAsia" w:ascii="宋体" w:hAnsi="宋体" w:cs="宋体"/>
                <w:b/>
                <w:color w:val="000000"/>
                <w:sz w:val="24"/>
                <w:szCs w:val="24"/>
                <w:highlight w:val="none"/>
              </w:rPr>
            </w:pPr>
          </w:p>
        </w:tc>
        <w:tc>
          <w:tcPr>
            <w:tcW w:w="1027" w:type="pct"/>
            <w:noWrap/>
          </w:tcPr>
          <w:p w14:paraId="057E1DFB">
            <w:pPr>
              <w:pStyle w:val="341"/>
              <w:spacing w:line="360" w:lineRule="auto"/>
              <w:rPr>
                <w:rFonts w:hint="eastAsia" w:ascii="宋体" w:hAnsi="宋体" w:cs="宋体"/>
                <w:b/>
                <w:color w:val="000000"/>
                <w:sz w:val="24"/>
                <w:szCs w:val="24"/>
                <w:highlight w:val="none"/>
              </w:rPr>
            </w:pPr>
          </w:p>
        </w:tc>
        <w:tc>
          <w:tcPr>
            <w:tcW w:w="479" w:type="pct"/>
            <w:noWrap/>
          </w:tcPr>
          <w:p w14:paraId="43F1F832">
            <w:pPr>
              <w:pStyle w:val="341"/>
              <w:spacing w:line="360" w:lineRule="auto"/>
              <w:rPr>
                <w:rFonts w:hint="eastAsia" w:ascii="宋体" w:hAnsi="宋体" w:cs="宋体"/>
                <w:b/>
                <w:color w:val="000000"/>
                <w:sz w:val="24"/>
                <w:szCs w:val="24"/>
                <w:highlight w:val="none"/>
              </w:rPr>
            </w:pPr>
          </w:p>
        </w:tc>
      </w:tr>
      <w:tr w14:paraId="7A23F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2E49F70F">
            <w:pPr>
              <w:pStyle w:val="341"/>
              <w:spacing w:line="360" w:lineRule="auto"/>
              <w:rPr>
                <w:rFonts w:hint="eastAsia" w:ascii="宋体" w:hAnsi="宋体" w:cs="宋体"/>
                <w:b/>
                <w:color w:val="000000"/>
                <w:sz w:val="24"/>
                <w:szCs w:val="24"/>
                <w:highlight w:val="none"/>
              </w:rPr>
            </w:pPr>
          </w:p>
        </w:tc>
        <w:tc>
          <w:tcPr>
            <w:tcW w:w="479" w:type="pct"/>
            <w:noWrap/>
          </w:tcPr>
          <w:p w14:paraId="5D315AE2">
            <w:pPr>
              <w:pStyle w:val="341"/>
              <w:spacing w:line="360" w:lineRule="auto"/>
              <w:rPr>
                <w:rFonts w:hint="eastAsia" w:ascii="宋体" w:hAnsi="宋体" w:cs="宋体"/>
                <w:b/>
                <w:color w:val="000000"/>
                <w:sz w:val="24"/>
                <w:szCs w:val="24"/>
                <w:highlight w:val="none"/>
              </w:rPr>
            </w:pPr>
          </w:p>
        </w:tc>
        <w:tc>
          <w:tcPr>
            <w:tcW w:w="822" w:type="pct"/>
            <w:noWrap/>
          </w:tcPr>
          <w:p w14:paraId="1D7B6D5E">
            <w:pPr>
              <w:pStyle w:val="341"/>
              <w:spacing w:line="360" w:lineRule="auto"/>
              <w:rPr>
                <w:rFonts w:hint="eastAsia" w:ascii="宋体" w:hAnsi="宋体" w:cs="宋体"/>
                <w:b/>
                <w:color w:val="000000"/>
                <w:sz w:val="24"/>
                <w:szCs w:val="24"/>
                <w:highlight w:val="none"/>
              </w:rPr>
            </w:pPr>
          </w:p>
        </w:tc>
        <w:tc>
          <w:tcPr>
            <w:tcW w:w="753" w:type="pct"/>
            <w:noWrap/>
          </w:tcPr>
          <w:p w14:paraId="62C83271">
            <w:pPr>
              <w:pStyle w:val="341"/>
              <w:spacing w:line="360" w:lineRule="auto"/>
              <w:rPr>
                <w:rFonts w:hint="eastAsia" w:ascii="宋体" w:hAnsi="宋体" w:cs="宋体"/>
                <w:b/>
                <w:color w:val="000000"/>
                <w:sz w:val="24"/>
                <w:szCs w:val="24"/>
                <w:highlight w:val="none"/>
              </w:rPr>
            </w:pPr>
          </w:p>
        </w:tc>
        <w:tc>
          <w:tcPr>
            <w:tcW w:w="1028" w:type="pct"/>
            <w:noWrap/>
          </w:tcPr>
          <w:p w14:paraId="3F2ED9B7">
            <w:pPr>
              <w:pStyle w:val="341"/>
              <w:spacing w:line="360" w:lineRule="auto"/>
              <w:rPr>
                <w:rFonts w:hint="eastAsia" w:ascii="宋体" w:hAnsi="宋体" w:cs="宋体"/>
                <w:b/>
                <w:color w:val="000000"/>
                <w:sz w:val="24"/>
                <w:szCs w:val="24"/>
                <w:highlight w:val="none"/>
              </w:rPr>
            </w:pPr>
          </w:p>
        </w:tc>
        <w:tc>
          <w:tcPr>
            <w:tcW w:w="1027" w:type="pct"/>
            <w:noWrap/>
          </w:tcPr>
          <w:p w14:paraId="59F8E332">
            <w:pPr>
              <w:pStyle w:val="341"/>
              <w:spacing w:line="360" w:lineRule="auto"/>
              <w:rPr>
                <w:rFonts w:hint="eastAsia" w:ascii="宋体" w:hAnsi="宋体" w:cs="宋体"/>
                <w:b/>
                <w:color w:val="000000"/>
                <w:sz w:val="24"/>
                <w:szCs w:val="24"/>
                <w:highlight w:val="none"/>
              </w:rPr>
            </w:pPr>
          </w:p>
        </w:tc>
        <w:tc>
          <w:tcPr>
            <w:tcW w:w="479" w:type="pct"/>
            <w:noWrap/>
          </w:tcPr>
          <w:p w14:paraId="4CEE2C83">
            <w:pPr>
              <w:pStyle w:val="341"/>
              <w:spacing w:line="360" w:lineRule="auto"/>
              <w:rPr>
                <w:rFonts w:hint="eastAsia" w:ascii="宋体" w:hAnsi="宋体" w:cs="宋体"/>
                <w:b/>
                <w:color w:val="000000"/>
                <w:sz w:val="24"/>
                <w:szCs w:val="24"/>
                <w:highlight w:val="none"/>
              </w:rPr>
            </w:pPr>
          </w:p>
        </w:tc>
      </w:tr>
      <w:tr w14:paraId="33E6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 w:type="pct"/>
            <w:noWrap/>
          </w:tcPr>
          <w:p w14:paraId="35F77389">
            <w:pPr>
              <w:pStyle w:val="341"/>
              <w:spacing w:line="360" w:lineRule="auto"/>
              <w:rPr>
                <w:rFonts w:hint="eastAsia" w:ascii="宋体" w:hAnsi="宋体" w:cs="宋体"/>
                <w:b/>
                <w:color w:val="000000"/>
                <w:sz w:val="24"/>
                <w:szCs w:val="24"/>
                <w:highlight w:val="none"/>
              </w:rPr>
            </w:pPr>
          </w:p>
        </w:tc>
        <w:tc>
          <w:tcPr>
            <w:tcW w:w="479" w:type="pct"/>
            <w:noWrap/>
          </w:tcPr>
          <w:p w14:paraId="67D954A7">
            <w:pPr>
              <w:pStyle w:val="341"/>
              <w:spacing w:line="360" w:lineRule="auto"/>
              <w:rPr>
                <w:rFonts w:hint="eastAsia" w:ascii="宋体" w:hAnsi="宋体" w:cs="宋体"/>
                <w:b/>
                <w:color w:val="000000"/>
                <w:sz w:val="24"/>
                <w:szCs w:val="24"/>
                <w:highlight w:val="none"/>
              </w:rPr>
            </w:pPr>
          </w:p>
        </w:tc>
        <w:tc>
          <w:tcPr>
            <w:tcW w:w="822" w:type="pct"/>
            <w:noWrap/>
          </w:tcPr>
          <w:p w14:paraId="31608B57">
            <w:pPr>
              <w:pStyle w:val="341"/>
              <w:spacing w:line="360" w:lineRule="auto"/>
              <w:rPr>
                <w:rFonts w:hint="eastAsia" w:ascii="宋体" w:hAnsi="宋体" w:cs="宋体"/>
                <w:b/>
                <w:color w:val="000000"/>
                <w:sz w:val="24"/>
                <w:szCs w:val="24"/>
                <w:highlight w:val="none"/>
              </w:rPr>
            </w:pPr>
          </w:p>
        </w:tc>
        <w:tc>
          <w:tcPr>
            <w:tcW w:w="753" w:type="pct"/>
            <w:noWrap/>
          </w:tcPr>
          <w:p w14:paraId="607B7B66">
            <w:pPr>
              <w:pStyle w:val="341"/>
              <w:spacing w:line="360" w:lineRule="auto"/>
              <w:rPr>
                <w:rFonts w:hint="eastAsia" w:ascii="宋体" w:hAnsi="宋体" w:cs="宋体"/>
                <w:b/>
                <w:color w:val="000000"/>
                <w:sz w:val="24"/>
                <w:szCs w:val="24"/>
                <w:highlight w:val="none"/>
              </w:rPr>
            </w:pPr>
          </w:p>
        </w:tc>
        <w:tc>
          <w:tcPr>
            <w:tcW w:w="1028" w:type="pct"/>
            <w:noWrap/>
          </w:tcPr>
          <w:p w14:paraId="4B77B333">
            <w:pPr>
              <w:pStyle w:val="341"/>
              <w:spacing w:line="360" w:lineRule="auto"/>
              <w:rPr>
                <w:rFonts w:hint="eastAsia" w:ascii="宋体" w:hAnsi="宋体" w:cs="宋体"/>
                <w:b/>
                <w:color w:val="000000"/>
                <w:sz w:val="24"/>
                <w:szCs w:val="24"/>
                <w:highlight w:val="none"/>
              </w:rPr>
            </w:pPr>
          </w:p>
        </w:tc>
        <w:tc>
          <w:tcPr>
            <w:tcW w:w="1027" w:type="pct"/>
            <w:noWrap/>
          </w:tcPr>
          <w:p w14:paraId="5CADD756">
            <w:pPr>
              <w:pStyle w:val="341"/>
              <w:spacing w:line="360" w:lineRule="auto"/>
              <w:rPr>
                <w:rFonts w:hint="eastAsia" w:ascii="宋体" w:hAnsi="宋体" w:cs="宋体"/>
                <w:b/>
                <w:color w:val="000000"/>
                <w:sz w:val="24"/>
                <w:szCs w:val="24"/>
                <w:highlight w:val="none"/>
              </w:rPr>
            </w:pPr>
          </w:p>
        </w:tc>
        <w:tc>
          <w:tcPr>
            <w:tcW w:w="479" w:type="pct"/>
            <w:noWrap/>
          </w:tcPr>
          <w:p w14:paraId="22DF2DA0">
            <w:pPr>
              <w:pStyle w:val="341"/>
              <w:spacing w:line="360" w:lineRule="auto"/>
              <w:rPr>
                <w:rFonts w:hint="eastAsia" w:ascii="宋体" w:hAnsi="宋体" w:cs="宋体"/>
                <w:b/>
                <w:color w:val="000000"/>
                <w:sz w:val="24"/>
                <w:szCs w:val="24"/>
                <w:highlight w:val="none"/>
              </w:rPr>
            </w:pPr>
          </w:p>
        </w:tc>
      </w:tr>
    </w:tbl>
    <w:p w14:paraId="64975BC6">
      <w:pPr>
        <w:pStyle w:val="341"/>
        <w:spacing w:before="120" w:beforeLines="50"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注：1、行数不够，请自行添加。</w:t>
      </w:r>
    </w:p>
    <w:p w14:paraId="0F74F550">
      <w:pPr>
        <w:pStyle w:val="341"/>
        <w:spacing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2、列入本表人员如要更换，须经采购人同意，擅自更换属违约行为。</w:t>
      </w:r>
    </w:p>
    <w:p w14:paraId="6F68C0E1">
      <w:pPr>
        <w:pStyle w:val="341"/>
        <w:spacing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3、列入上表人员需提供近半年（至少一个月）供应商为其缴纳社会保险的证明材料。</w:t>
      </w:r>
    </w:p>
    <w:p w14:paraId="235CA3A6">
      <w:pPr>
        <w:pStyle w:val="341"/>
        <w:spacing w:line="360" w:lineRule="auto"/>
        <w:ind w:firstLine="480" w:firstLineChars="200"/>
        <w:rPr>
          <w:rFonts w:hint="eastAsia" w:ascii="宋体" w:hAnsi="宋体"/>
          <w:highlight w:val="none"/>
        </w:rPr>
      </w:pPr>
      <w:r>
        <w:rPr>
          <w:rFonts w:hint="eastAsia" w:ascii="宋体" w:hAnsi="宋体" w:cs="宋体"/>
          <w:color w:val="000000"/>
          <w:sz w:val="24"/>
          <w:szCs w:val="24"/>
          <w:highlight w:val="none"/>
          <w:u w:val="single"/>
        </w:rPr>
        <w:t>4、列入上表人员具有相关证书、工作经验的，应在本栏目提交相关证明材料扫描件。</w:t>
      </w:r>
    </w:p>
    <w:p w14:paraId="7086EE28">
      <w:pPr>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br w:type="page"/>
      </w:r>
    </w:p>
    <w:p w14:paraId="25BC9C79">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六、开标（最终报价）一览表</w:t>
      </w:r>
    </w:p>
    <w:p w14:paraId="1CBD82EB">
      <w:pPr>
        <w:pStyle w:val="343"/>
        <w:spacing w:before="240" w:after="240"/>
        <w:rPr>
          <w:rFonts w:hint="eastAsia" w:ascii="宋体" w:hAnsi="宋体" w:eastAsia="宋体" w:cs="宋体"/>
          <w:highlight w:val="none"/>
        </w:rPr>
      </w:pPr>
      <w:r>
        <w:rPr>
          <w:rFonts w:ascii="宋体" w:hAnsi="宋体" w:eastAsia="宋体" w:cs="宋体"/>
          <w:highlight w:val="none"/>
        </w:rPr>
        <w:t>单位名称（加盖公章）：</w:t>
      </w:r>
    </w:p>
    <w:tbl>
      <w:tblPr>
        <w:tblStyle w:val="3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744"/>
        <w:gridCol w:w="4241"/>
      </w:tblGrid>
      <w:tr w14:paraId="554B41E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A3CB629">
            <w:pPr>
              <w:pStyle w:val="343"/>
              <w:jc w:val="center"/>
              <w:rPr>
                <w:rFonts w:hint="eastAsia" w:ascii="宋体" w:hAnsi="宋体" w:eastAsia="宋体" w:cs="宋体"/>
                <w:highlight w:val="none"/>
              </w:rPr>
            </w:pPr>
            <w:r>
              <w:rPr>
                <w:rFonts w:ascii="宋体" w:hAnsi="宋体" w:eastAsia="宋体" w:cs="宋体"/>
                <w:highlight w:val="none"/>
              </w:rPr>
              <w:t xml:space="preserve">标题 </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404A3BD">
            <w:pPr>
              <w:pStyle w:val="343"/>
              <w:jc w:val="center"/>
              <w:rPr>
                <w:rFonts w:hint="eastAsia" w:ascii="宋体" w:hAnsi="宋体" w:eastAsia="宋体" w:cs="宋体"/>
                <w:highlight w:val="none"/>
              </w:rPr>
            </w:pPr>
            <w:r>
              <w:rPr>
                <w:rFonts w:ascii="宋体" w:hAnsi="宋体" w:eastAsia="宋体" w:cs="宋体"/>
                <w:highlight w:val="none"/>
              </w:rPr>
              <w:t>内容</w:t>
            </w:r>
          </w:p>
        </w:tc>
      </w:tr>
      <w:tr w14:paraId="0464C5E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4A80B12E">
            <w:pPr>
              <w:pStyle w:val="343"/>
              <w:jc w:val="center"/>
              <w:rPr>
                <w:rFonts w:hint="eastAsia" w:ascii="宋体" w:hAnsi="宋体" w:eastAsia="宋体" w:cs="宋体"/>
                <w:highlight w:val="none"/>
              </w:rPr>
            </w:pPr>
            <w:r>
              <w:rPr>
                <w:rFonts w:hint="eastAsia" w:ascii="宋体" w:hAnsi="宋体" w:eastAsia="宋体" w:cs="宋体"/>
                <w:highlight w:val="none"/>
                <w:lang w:val="en-US" w:eastAsia="zh-CN"/>
              </w:rPr>
              <w:t>项目</w:t>
            </w:r>
            <w:r>
              <w:rPr>
                <w:rFonts w:ascii="宋体" w:hAnsi="宋体" w:eastAsia="宋体" w:cs="宋体"/>
                <w:highlight w:val="none"/>
              </w:rPr>
              <w:t>名称</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3535EC48">
            <w:pPr>
              <w:pStyle w:val="343"/>
              <w:jc w:val="center"/>
              <w:rPr>
                <w:rFonts w:hint="eastAsia" w:ascii="宋体" w:hAnsi="宋体" w:eastAsia="宋体" w:cs="宋体"/>
                <w:highlight w:val="none"/>
              </w:rPr>
            </w:pPr>
          </w:p>
        </w:tc>
      </w:tr>
      <w:tr w14:paraId="74C0789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75960D1E">
            <w:pPr>
              <w:pStyle w:val="343"/>
              <w:jc w:val="center"/>
              <w:rPr>
                <w:rFonts w:hint="eastAsia" w:ascii="宋体" w:hAnsi="宋体" w:eastAsia="宋体" w:cs="宋体"/>
                <w:highlight w:val="none"/>
              </w:rPr>
            </w:pPr>
            <w:r>
              <w:rPr>
                <w:rFonts w:ascii="宋体" w:hAnsi="宋体" w:eastAsia="宋体" w:cs="宋体"/>
                <w:highlight w:val="none"/>
              </w:rPr>
              <w:t>投标报价</w:t>
            </w:r>
            <w:r>
              <w:rPr>
                <w:rFonts w:hint="eastAsia" w:ascii="宋体" w:hAnsi="宋体" w:eastAsia="宋体" w:cs="宋体"/>
                <w:highlight w:val="none"/>
              </w:rPr>
              <w:t>大写</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28ABE085">
            <w:pPr>
              <w:pStyle w:val="343"/>
              <w:jc w:val="center"/>
              <w:rPr>
                <w:rFonts w:hint="default" w:ascii="宋体" w:hAnsi="宋体" w:eastAsia="宋体" w:cs="宋体"/>
                <w:highlight w:val="none"/>
                <w:lang w:val="en-US" w:eastAsia="zh-CN"/>
              </w:rPr>
            </w:pP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元</w:t>
            </w:r>
          </w:p>
        </w:tc>
      </w:tr>
      <w:tr w14:paraId="54749A0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498984AA">
            <w:pPr>
              <w:pStyle w:val="343"/>
              <w:jc w:val="center"/>
              <w:rPr>
                <w:rFonts w:hint="eastAsia" w:ascii="宋体" w:hAnsi="宋体" w:eastAsia="宋体" w:cs="宋体"/>
                <w:highlight w:val="none"/>
              </w:rPr>
            </w:pPr>
            <w:r>
              <w:rPr>
                <w:rFonts w:ascii="宋体" w:hAnsi="宋体" w:eastAsia="宋体" w:cs="宋体"/>
                <w:highlight w:val="none"/>
              </w:rPr>
              <w:t>投标报价</w:t>
            </w:r>
            <w:r>
              <w:rPr>
                <w:rFonts w:hint="eastAsia" w:ascii="宋体" w:hAnsi="宋体" w:eastAsia="宋体" w:cs="宋体"/>
                <w:highlight w:val="none"/>
              </w:rPr>
              <w:t>小写</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5F49161F">
            <w:pPr>
              <w:pStyle w:val="343"/>
              <w:jc w:val="center"/>
              <w:rPr>
                <w:rFonts w:hint="default" w:ascii="宋体" w:hAnsi="宋体" w:eastAsia="宋体" w:cs="宋体"/>
                <w:highlight w:val="none"/>
                <w:lang w:val="en-US"/>
              </w:rPr>
            </w:pP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元</w:t>
            </w:r>
          </w:p>
        </w:tc>
      </w:tr>
      <w:tr w14:paraId="1046729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jc w:val="center"/>
        </w:trPr>
        <w:tc>
          <w:tcPr>
            <w:tcW w:w="4744"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0D526775">
            <w:pPr>
              <w:pStyle w:val="343"/>
              <w:jc w:val="center"/>
              <w:rPr>
                <w:rFonts w:hint="eastAsia" w:ascii="宋体" w:hAnsi="宋体" w:eastAsia="宋体" w:cs="宋体"/>
                <w:highlight w:val="none"/>
              </w:rPr>
            </w:pPr>
            <w:r>
              <w:rPr>
                <w:rFonts w:hint="eastAsia" w:ascii="宋体" w:hAnsi="宋体" w:eastAsia="宋体" w:cs="宋体"/>
                <w:highlight w:val="none"/>
              </w:rPr>
              <w:t>服务期</w:t>
            </w:r>
          </w:p>
        </w:tc>
        <w:tc>
          <w:tcPr>
            <w:tcW w:w="4241" w:type="dxa"/>
            <w:tcBorders>
              <w:top w:val="single" w:color="808080" w:sz="6" w:space="0"/>
              <w:left w:val="single" w:color="808080" w:sz="6" w:space="0"/>
              <w:bottom w:val="single" w:color="808080" w:sz="6" w:space="0"/>
              <w:right w:val="single" w:color="808080" w:sz="6" w:space="0"/>
            </w:tcBorders>
            <w:noWrap/>
            <w:tcMar>
              <w:top w:w="0" w:type="dxa"/>
              <w:left w:w="0" w:type="dxa"/>
              <w:bottom w:w="0" w:type="dxa"/>
              <w:right w:w="0" w:type="dxa"/>
            </w:tcMar>
            <w:vAlign w:val="center"/>
          </w:tcPr>
          <w:p w14:paraId="6E5ADBE5">
            <w:pPr>
              <w:pStyle w:val="343"/>
              <w:jc w:val="center"/>
              <w:rPr>
                <w:rFonts w:hint="default" w:ascii="宋体" w:hAnsi="宋体" w:eastAsia="宋体" w:cs="宋体"/>
                <w:highlight w:val="none"/>
                <w:lang w:val="en-US" w:eastAsia="zh-CN"/>
              </w:rPr>
            </w:pPr>
            <w:r>
              <w:rPr>
                <w:rFonts w:hint="eastAsia" w:ascii="宋体" w:hAnsi="宋体" w:eastAsia="宋体" w:cs="宋体"/>
                <w:highlight w:val="none"/>
                <w:lang w:val="en-US" w:eastAsia="zh-CN"/>
              </w:rPr>
              <w:t>1年</w:t>
            </w:r>
          </w:p>
        </w:tc>
      </w:tr>
    </w:tbl>
    <w:p w14:paraId="285A6C49">
      <w:pPr>
        <w:pStyle w:val="343"/>
        <w:spacing w:before="240" w:after="240"/>
        <w:jc w:val="right"/>
        <w:rPr>
          <w:rFonts w:hint="eastAsia" w:ascii="宋体" w:hAnsi="宋体" w:eastAsia="宋体" w:cs="宋体"/>
          <w:highlight w:val="none"/>
        </w:rPr>
      </w:pPr>
    </w:p>
    <w:p w14:paraId="7BBB86D4">
      <w:pPr>
        <w:pStyle w:val="343"/>
        <w:spacing w:before="240" w:after="240"/>
        <w:ind w:right="960"/>
        <w:jc w:val="center"/>
        <w:rPr>
          <w:rFonts w:hint="eastAsia" w:ascii="宋体" w:hAnsi="宋体" w:eastAsia="宋体" w:cs="宋体"/>
          <w:highlight w:val="none"/>
        </w:rPr>
      </w:pPr>
      <w:r>
        <w:rPr>
          <w:rFonts w:ascii="宋体" w:hAnsi="宋体" w:eastAsia="宋体" w:cs="宋体"/>
          <w:highlight w:val="none"/>
        </w:rPr>
        <w:t>法定代表人</w:t>
      </w:r>
      <w:r>
        <w:rPr>
          <w:rFonts w:hint="eastAsia" w:ascii="宋体" w:hAnsi="宋体" w:eastAsia="宋体" w:cs="宋体"/>
          <w:highlight w:val="none"/>
        </w:rPr>
        <w:t>或授权代表</w:t>
      </w:r>
      <w:r>
        <w:rPr>
          <w:rFonts w:ascii="宋体" w:hAnsi="宋体" w:eastAsia="宋体" w:cs="宋体"/>
          <w:highlight w:val="none"/>
        </w:rPr>
        <w:t>签章：</w:t>
      </w:r>
    </w:p>
    <w:p w14:paraId="5BB6D9DE">
      <w:pPr>
        <w:pStyle w:val="344"/>
        <w:spacing w:after="240"/>
        <w:jc w:val="center"/>
        <w:rPr>
          <w:rFonts w:hint="eastAsia" w:ascii="宋体" w:hAnsi="宋体" w:eastAsia="宋体" w:cs="宋体"/>
          <w:highlight w:val="none"/>
        </w:rPr>
        <w:sectPr>
          <w:footerReference r:id="rId9" w:type="first"/>
          <w:headerReference r:id="rId7" w:type="default"/>
          <w:footerReference r:id="rId8" w:type="default"/>
          <w:pgSz w:w="11907" w:h="16840"/>
          <w:pgMar w:top="1440" w:right="1487" w:bottom="1440" w:left="1820" w:header="851" w:footer="992" w:gutter="0"/>
          <w:cols w:space="720" w:num="1"/>
          <w:titlePg/>
          <w:docGrid w:linePitch="360" w:charSpace="0"/>
        </w:sectPr>
      </w:pPr>
      <w:r>
        <w:rPr>
          <w:rFonts w:hint="eastAsia" w:ascii="宋体" w:hAnsi="宋体" w:eastAsia="宋体" w:cs="宋体"/>
          <w:highlight w:val="none"/>
        </w:rPr>
        <w:t xml:space="preserve">            </w:t>
      </w:r>
      <w:r>
        <w:rPr>
          <w:rFonts w:ascii="宋体" w:hAnsi="宋体" w:eastAsia="宋体" w:cs="宋体"/>
          <w:highlight w:val="none"/>
        </w:rPr>
        <w:t>日期：</w:t>
      </w:r>
    </w:p>
    <w:p w14:paraId="65A5B2D1">
      <w:pPr>
        <w:pStyle w:val="342"/>
        <w:spacing w:after="240"/>
        <w:jc w:val="center"/>
        <w:outlineLvl w:val="2"/>
        <w:rPr>
          <w:rFonts w:hint="eastAsia" w:ascii="宋体" w:hAnsi="宋体" w:eastAsia="宋体"/>
          <w:b/>
          <w:bCs/>
          <w:highlight w:val="none"/>
        </w:rPr>
      </w:pPr>
      <w:r>
        <w:rPr>
          <w:rFonts w:ascii="宋体" w:hAnsi="宋体" w:eastAsia="宋体" w:cs="宋体"/>
          <w:b/>
          <w:bCs/>
          <w:sz w:val="28"/>
          <w:highlight w:val="none"/>
        </w:rPr>
        <w:t>清单及明细报价表</w:t>
      </w:r>
    </w:p>
    <w:tbl>
      <w:tblPr>
        <w:tblStyle w:val="39"/>
        <w:tblW w:w="5100" w:type="pct"/>
        <w:jc w:val="center"/>
        <w:tblLayout w:type="autofit"/>
        <w:tblCellMar>
          <w:top w:w="0" w:type="dxa"/>
          <w:left w:w="0" w:type="dxa"/>
          <w:bottom w:w="0" w:type="dxa"/>
          <w:right w:w="0" w:type="dxa"/>
        </w:tblCellMar>
      </w:tblPr>
      <w:tblGrid>
        <w:gridCol w:w="529"/>
        <w:gridCol w:w="2454"/>
        <w:gridCol w:w="2974"/>
        <w:gridCol w:w="1264"/>
        <w:gridCol w:w="1282"/>
      </w:tblGrid>
      <w:tr w14:paraId="49D15155">
        <w:tblPrEx>
          <w:tblCellMar>
            <w:top w:w="0" w:type="dxa"/>
            <w:left w:w="0" w:type="dxa"/>
            <w:bottom w:w="0" w:type="dxa"/>
            <w:right w:w="0" w:type="dxa"/>
          </w:tblCellMar>
        </w:tblPrEx>
        <w:trPr>
          <w:trHeight w:val="523" w:hRule="atLeast"/>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AC71C0">
            <w:pPr>
              <w:widowControl/>
              <w:jc w:val="center"/>
              <w:textAlignment w:val="center"/>
              <w:rPr>
                <w:rFonts w:ascii="宋体" w:hAnsi="宋体" w:cs="宋体"/>
                <w:b/>
                <w:color w:val="000000"/>
                <w:sz w:val="24"/>
                <w:highlight w:val="none"/>
              </w:rPr>
            </w:pPr>
            <w:r>
              <w:rPr>
                <w:rFonts w:ascii="宋体" w:hAnsi="宋体" w:cs="宋体"/>
                <w:b/>
                <w:color w:val="000000"/>
                <w:sz w:val="24"/>
                <w:highlight w:val="none"/>
              </w:rPr>
              <w:t>服务报价</w:t>
            </w:r>
          </w:p>
        </w:tc>
      </w:tr>
      <w:tr w14:paraId="05FFDCC7">
        <w:tblPrEx>
          <w:tblCellMar>
            <w:top w:w="0" w:type="dxa"/>
            <w:left w:w="0" w:type="dxa"/>
            <w:bottom w:w="0" w:type="dxa"/>
            <w:right w:w="0" w:type="dxa"/>
          </w:tblCellMar>
        </w:tblPrEx>
        <w:trPr>
          <w:trHeight w:val="215"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BB7CF">
            <w:pPr>
              <w:widowControl/>
              <w:jc w:val="center"/>
              <w:textAlignment w:val="center"/>
              <w:rPr>
                <w:rFonts w:ascii="宋体" w:hAnsi="宋体" w:cs="宋体"/>
                <w:b/>
                <w:color w:val="000000"/>
                <w:kern w:val="0"/>
                <w:sz w:val="24"/>
                <w:highlight w:val="none"/>
              </w:rPr>
            </w:pPr>
            <w:r>
              <w:rPr>
                <w:rFonts w:hint="eastAsia" w:ascii="宋体" w:hAnsi="宋体" w:cs="宋体"/>
                <w:b/>
                <w:color w:val="000000"/>
                <w:kern w:val="0"/>
                <w:sz w:val="24"/>
                <w:highlight w:val="none"/>
              </w:rPr>
              <w:t>序号</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DD8F88">
            <w:pPr>
              <w:widowControl/>
              <w:jc w:val="center"/>
              <w:textAlignment w:val="center"/>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类型</w:t>
            </w: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5C90E2">
            <w:pPr>
              <w:ind w:firstLine="241" w:firstLineChars="100"/>
              <w:jc w:val="center"/>
              <w:rPr>
                <w:rFonts w:hint="eastAsia" w:ascii="宋体" w:hAnsi="宋体" w:cs="宋体"/>
                <w:color w:val="000000"/>
                <w:sz w:val="24"/>
                <w:highlight w:val="none"/>
              </w:rPr>
            </w:pPr>
            <w:r>
              <w:rPr>
                <w:rFonts w:hint="eastAsia" w:ascii="宋体" w:hAnsi="宋体" w:cs="宋体"/>
                <w:b/>
                <w:color w:val="000000"/>
                <w:kern w:val="0"/>
                <w:sz w:val="24"/>
                <w:highlight w:val="none"/>
              </w:rPr>
              <w:t>内容</w:t>
            </w: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2AF5AC85">
            <w:pPr>
              <w:jc w:val="center"/>
              <w:rPr>
                <w:rFonts w:hint="eastAsia" w:ascii="宋体" w:hAnsi="宋体" w:cs="宋体"/>
                <w:color w:val="000000"/>
                <w:sz w:val="24"/>
                <w:highlight w:val="none"/>
              </w:rPr>
            </w:pPr>
            <w:r>
              <w:rPr>
                <w:rFonts w:hint="eastAsia" w:ascii="宋体" w:hAnsi="宋体" w:cs="宋体"/>
                <w:b/>
                <w:color w:val="000000"/>
                <w:kern w:val="0"/>
                <w:sz w:val="24"/>
                <w:highlight w:val="none"/>
              </w:rPr>
              <w:t>价格小计  （元）</w:t>
            </w:r>
          </w:p>
        </w:tc>
        <w:tc>
          <w:tcPr>
            <w:tcW w:w="753" w:type="pct"/>
            <w:tcBorders>
              <w:top w:val="single" w:color="000000" w:sz="4" w:space="0"/>
              <w:left w:val="single" w:color="000000" w:sz="4" w:space="0"/>
              <w:bottom w:val="single" w:color="000000" w:sz="4" w:space="0"/>
              <w:right w:val="single" w:color="000000" w:sz="4" w:space="0"/>
            </w:tcBorders>
            <w:noWrap w:val="0"/>
            <w:vAlign w:val="center"/>
          </w:tcPr>
          <w:p w14:paraId="1F6C25CC">
            <w:pPr>
              <w:jc w:val="center"/>
              <w:rPr>
                <w:rFonts w:hint="eastAsia" w:ascii="宋体" w:hAnsi="宋体" w:cs="宋体"/>
                <w:b/>
                <w:color w:val="000000"/>
                <w:kern w:val="0"/>
                <w:sz w:val="24"/>
                <w:highlight w:val="none"/>
              </w:rPr>
            </w:pPr>
            <w:r>
              <w:rPr>
                <w:rFonts w:hint="eastAsia" w:ascii="宋体" w:hAnsi="宋体" w:cs="宋体"/>
                <w:b/>
                <w:color w:val="000000"/>
                <w:kern w:val="0"/>
                <w:sz w:val="24"/>
                <w:highlight w:val="none"/>
              </w:rPr>
              <w:t>备注</w:t>
            </w:r>
          </w:p>
        </w:tc>
      </w:tr>
      <w:tr w14:paraId="1AD05941">
        <w:tblPrEx>
          <w:tblCellMar>
            <w:top w:w="0" w:type="dxa"/>
            <w:left w:w="0" w:type="dxa"/>
            <w:bottom w:w="0" w:type="dxa"/>
            <w:right w:w="0" w:type="dxa"/>
          </w:tblCellMar>
        </w:tblPrEx>
        <w:trPr>
          <w:trHeight w:val="616"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79CB72">
            <w:pPr>
              <w:widowControl/>
              <w:jc w:val="center"/>
              <w:textAlignment w:val="center"/>
              <w:rPr>
                <w:rFonts w:hint="eastAsia" w:ascii="宋体" w:hAnsi="宋体" w:cs="宋体"/>
                <w:bCs/>
                <w:color w:val="000000"/>
                <w:sz w:val="24"/>
                <w:highlight w:val="none"/>
              </w:rPr>
            </w:pPr>
            <w:r>
              <w:rPr>
                <w:rFonts w:hint="eastAsia" w:ascii="宋体" w:hAnsi="宋体" w:cs="宋体"/>
                <w:bCs/>
                <w:color w:val="000000"/>
                <w:sz w:val="24"/>
                <w:highlight w:val="none"/>
              </w:rPr>
              <w:t>1</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544DCD">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E035D6">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DE39BDA">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23F2985F">
            <w:pPr>
              <w:rPr>
                <w:rFonts w:hint="eastAsia" w:ascii="宋体" w:hAnsi="宋体" w:cs="宋体"/>
                <w:b/>
                <w:color w:val="000000"/>
                <w:kern w:val="0"/>
                <w:sz w:val="24"/>
                <w:highlight w:val="none"/>
              </w:rPr>
            </w:pPr>
          </w:p>
        </w:tc>
      </w:tr>
      <w:tr w14:paraId="478B1510">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FE70CF">
            <w:pPr>
              <w:widowControl/>
              <w:jc w:val="center"/>
              <w:textAlignment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2</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886A8B">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49B449">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4C1AE738">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7E218595">
            <w:pPr>
              <w:rPr>
                <w:rFonts w:hint="eastAsia" w:ascii="宋体" w:hAnsi="宋体" w:cs="宋体"/>
                <w:b/>
                <w:color w:val="000000"/>
                <w:kern w:val="0"/>
                <w:sz w:val="24"/>
                <w:highlight w:val="none"/>
              </w:rPr>
            </w:pPr>
          </w:p>
        </w:tc>
      </w:tr>
      <w:tr w14:paraId="608F81BB">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E705AF">
            <w:pPr>
              <w:widowControl/>
              <w:jc w:val="center"/>
              <w:textAlignment w:val="center"/>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3</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B65BE4">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908867">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1B7005D8">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76ACC8F4">
            <w:pPr>
              <w:rPr>
                <w:rFonts w:hint="eastAsia" w:ascii="宋体" w:hAnsi="宋体" w:cs="宋体"/>
                <w:b/>
                <w:color w:val="000000"/>
                <w:kern w:val="0"/>
                <w:sz w:val="24"/>
                <w:highlight w:val="none"/>
              </w:rPr>
            </w:pPr>
          </w:p>
        </w:tc>
      </w:tr>
      <w:tr w14:paraId="2313F87B">
        <w:tblPrEx>
          <w:tblCellMar>
            <w:top w:w="0" w:type="dxa"/>
            <w:left w:w="0" w:type="dxa"/>
            <w:bottom w:w="0" w:type="dxa"/>
            <w:right w:w="0" w:type="dxa"/>
          </w:tblCellMar>
        </w:tblPrEx>
        <w:trPr>
          <w:trHeight w:val="541" w:hRule="atLeast"/>
          <w:jc w:val="center"/>
        </w:trPr>
        <w:tc>
          <w:tcPr>
            <w:tcW w:w="31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09D535">
            <w:pPr>
              <w:widowControl/>
              <w:jc w:val="center"/>
              <w:textAlignment w:val="center"/>
              <w:rPr>
                <w:rFonts w:hint="default"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4</w:t>
            </w:r>
          </w:p>
        </w:tc>
        <w:tc>
          <w:tcPr>
            <w:tcW w:w="1443"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15E57C">
            <w:pPr>
              <w:widowControl/>
              <w:jc w:val="center"/>
              <w:textAlignment w:val="center"/>
              <w:rPr>
                <w:rFonts w:hint="eastAsia" w:ascii="宋体" w:hAnsi="宋体" w:cs="宋体"/>
                <w:b/>
                <w:color w:val="000000"/>
                <w:sz w:val="24"/>
                <w:highlight w:val="none"/>
              </w:rPr>
            </w:pPr>
          </w:p>
        </w:tc>
        <w:tc>
          <w:tcPr>
            <w:tcW w:w="1749"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10DE1B">
            <w:pPr>
              <w:ind w:firstLine="241" w:firstLineChars="100"/>
              <w:rPr>
                <w:rFonts w:hint="eastAsia" w:ascii="宋体" w:hAnsi="宋体" w:cs="宋体"/>
                <w:b/>
                <w:color w:val="000000"/>
                <w:kern w:val="0"/>
                <w:sz w:val="24"/>
                <w:highlight w:val="none"/>
              </w:rPr>
            </w:pPr>
          </w:p>
        </w:tc>
        <w:tc>
          <w:tcPr>
            <w:tcW w:w="742" w:type="pct"/>
            <w:tcBorders>
              <w:top w:val="single" w:color="000000" w:sz="4" w:space="0"/>
              <w:left w:val="single" w:color="000000" w:sz="4" w:space="0"/>
              <w:bottom w:val="single" w:color="000000" w:sz="4" w:space="0"/>
              <w:right w:val="single" w:color="000000" w:sz="4" w:space="0"/>
            </w:tcBorders>
            <w:noWrap w:val="0"/>
            <w:vAlign w:val="center"/>
          </w:tcPr>
          <w:p w14:paraId="6915444F">
            <w:pPr>
              <w:rPr>
                <w:rFonts w:hint="eastAsia" w:ascii="宋体" w:hAnsi="宋体" w:cs="宋体"/>
                <w:b/>
                <w:color w:val="000000"/>
                <w:kern w:val="0"/>
                <w:sz w:val="24"/>
                <w:highlight w:val="none"/>
              </w:rPr>
            </w:pP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07BA265D">
            <w:pPr>
              <w:rPr>
                <w:rFonts w:hint="eastAsia" w:ascii="宋体" w:hAnsi="宋体" w:cs="宋体"/>
                <w:b/>
                <w:color w:val="000000"/>
                <w:kern w:val="0"/>
                <w:sz w:val="24"/>
                <w:highlight w:val="none"/>
              </w:rPr>
            </w:pPr>
          </w:p>
        </w:tc>
      </w:tr>
      <w:tr w14:paraId="3FA1FA86">
        <w:tblPrEx>
          <w:tblCellMar>
            <w:top w:w="0" w:type="dxa"/>
            <w:left w:w="0" w:type="dxa"/>
            <w:bottom w:w="0" w:type="dxa"/>
            <w:right w:w="0" w:type="dxa"/>
          </w:tblCellMar>
        </w:tblPrEx>
        <w:trPr>
          <w:trHeight w:val="621" w:hRule="atLeast"/>
          <w:jc w:val="center"/>
        </w:trPr>
        <w:tc>
          <w:tcPr>
            <w:tcW w:w="4246" w:type="pct"/>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7CD95">
            <w:pPr>
              <w:jc w:val="center"/>
              <w:rPr>
                <w:rFonts w:ascii="宋体" w:hAnsi="宋体" w:cs="宋体"/>
                <w:b/>
                <w:color w:val="000000"/>
                <w:kern w:val="0"/>
                <w:sz w:val="24"/>
                <w:highlight w:val="none"/>
              </w:rPr>
            </w:pPr>
            <w:r>
              <w:rPr>
                <w:rFonts w:hint="eastAsia" w:ascii="宋体" w:hAnsi="宋体" w:cs="宋体"/>
                <w:b/>
                <w:color w:val="000000"/>
                <w:kern w:val="0"/>
                <w:sz w:val="24"/>
                <w:highlight w:val="none"/>
              </w:rPr>
              <w:t>项目总价：           元</w:t>
            </w:r>
          </w:p>
        </w:tc>
        <w:tc>
          <w:tcPr>
            <w:tcW w:w="753" w:type="pct"/>
            <w:tcBorders>
              <w:top w:val="single" w:color="000000" w:sz="4" w:space="0"/>
              <w:left w:val="single" w:color="000000" w:sz="4" w:space="0"/>
              <w:bottom w:val="single" w:color="000000" w:sz="4" w:space="0"/>
              <w:right w:val="single" w:color="000000" w:sz="4" w:space="0"/>
            </w:tcBorders>
            <w:noWrap w:val="0"/>
            <w:vAlign w:val="top"/>
          </w:tcPr>
          <w:p w14:paraId="63B64B56">
            <w:pPr>
              <w:jc w:val="center"/>
              <w:rPr>
                <w:rFonts w:hint="eastAsia" w:ascii="宋体" w:hAnsi="宋体" w:cs="宋体"/>
                <w:b/>
                <w:color w:val="000000"/>
                <w:kern w:val="0"/>
                <w:sz w:val="24"/>
                <w:highlight w:val="none"/>
              </w:rPr>
            </w:pPr>
          </w:p>
        </w:tc>
      </w:tr>
    </w:tbl>
    <w:p w14:paraId="359BD80A">
      <w:pPr>
        <w:spacing w:before="120" w:beforeLines="50"/>
        <w:rPr>
          <w:rFonts w:hint="eastAsia" w:ascii="宋体" w:hAnsi="宋体"/>
          <w:b/>
          <w:iCs/>
          <w:color w:val="000000"/>
          <w:sz w:val="24"/>
          <w:highlight w:val="none"/>
        </w:rPr>
      </w:pPr>
      <w:r>
        <w:rPr>
          <w:rFonts w:hint="eastAsia" w:ascii="宋体" w:hAnsi="宋体"/>
          <w:b/>
          <w:iCs/>
          <w:color w:val="000000"/>
          <w:sz w:val="24"/>
          <w:highlight w:val="none"/>
        </w:rPr>
        <w:t>备注：</w:t>
      </w:r>
    </w:p>
    <w:p w14:paraId="2877AFF4">
      <w:pPr>
        <w:spacing w:before="120" w:beforeLines="50" w:line="360" w:lineRule="auto"/>
        <w:ind w:firstLine="482" w:firstLineChars="200"/>
        <w:rPr>
          <w:rFonts w:hint="eastAsia" w:ascii="宋体" w:hAnsi="宋体" w:eastAsia="宋体"/>
          <w:b/>
          <w:color w:val="000000"/>
          <w:sz w:val="24"/>
          <w:highlight w:val="none"/>
          <w:u w:val="single"/>
          <w:lang w:eastAsia="zh-CN"/>
        </w:rPr>
      </w:pPr>
      <w:r>
        <w:rPr>
          <w:rFonts w:hint="eastAsia" w:ascii="宋体" w:hAnsi="宋体"/>
          <w:b/>
          <w:i/>
          <w:color w:val="000000"/>
          <w:sz w:val="24"/>
          <w:highlight w:val="none"/>
          <w:u w:val="single"/>
        </w:rPr>
        <w:t>1、本表仅供参考，请各</w:t>
      </w:r>
      <w:r>
        <w:rPr>
          <w:rFonts w:hint="eastAsia" w:ascii="宋体" w:hAnsi="宋体"/>
          <w:b/>
          <w:i/>
          <w:color w:val="000000"/>
          <w:sz w:val="24"/>
          <w:highlight w:val="none"/>
          <w:u w:val="single"/>
          <w:lang w:eastAsia="zh-CN"/>
        </w:rPr>
        <w:t>供应商</w:t>
      </w:r>
      <w:r>
        <w:rPr>
          <w:rFonts w:hint="eastAsia" w:ascii="宋体" w:hAnsi="宋体"/>
          <w:b/>
          <w:i/>
          <w:color w:val="000000"/>
          <w:sz w:val="24"/>
          <w:highlight w:val="none"/>
          <w:u w:val="single"/>
        </w:rPr>
        <w:t>仔细核对第四部分</w:t>
      </w:r>
      <w:r>
        <w:rPr>
          <w:rFonts w:hint="eastAsia" w:ascii="宋体" w:hAnsi="宋体"/>
          <w:b/>
          <w:color w:val="000000"/>
          <w:sz w:val="24"/>
          <w:highlight w:val="none"/>
          <w:u w:val="single"/>
        </w:rPr>
        <w:t>。</w:t>
      </w:r>
      <w:r>
        <w:rPr>
          <w:rFonts w:hint="eastAsia" w:ascii="宋体" w:hAnsi="宋体"/>
          <w:color w:val="000000"/>
          <w:sz w:val="24"/>
          <w:highlight w:val="none"/>
          <w:u w:val="single"/>
        </w:rPr>
        <w:t>由</w:t>
      </w:r>
      <w:r>
        <w:rPr>
          <w:rFonts w:hint="eastAsia" w:ascii="宋体" w:hAnsi="宋体"/>
          <w:color w:val="000000"/>
          <w:sz w:val="24"/>
          <w:highlight w:val="none"/>
          <w:u w:val="single"/>
          <w:lang w:val="en-US" w:eastAsia="zh-CN"/>
        </w:rPr>
        <w:t>供应商</w:t>
      </w:r>
      <w:r>
        <w:rPr>
          <w:rFonts w:hint="eastAsia" w:ascii="宋体" w:hAnsi="宋体"/>
          <w:color w:val="000000"/>
          <w:sz w:val="24"/>
          <w:highlight w:val="none"/>
          <w:u w:val="single"/>
        </w:rPr>
        <w:t>根据磋商文件第四部分项目需求相关报价要求填写</w:t>
      </w:r>
      <w:r>
        <w:rPr>
          <w:rFonts w:hint="eastAsia" w:ascii="宋体" w:hAnsi="宋体"/>
          <w:color w:val="000000"/>
          <w:sz w:val="24"/>
          <w:highlight w:val="none"/>
          <w:u w:val="single"/>
          <w:lang w:eastAsia="zh-CN"/>
        </w:rPr>
        <w:t>。</w:t>
      </w:r>
    </w:p>
    <w:p w14:paraId="236029E6">
      <w:pPr>
        <w:spacing w:line="360" w:lineRule="auto"/>
        <w:ind w:firstLine="480" w:firstLineChars="200"/>
        <w:rPr>
          <w:rFonts w:ascii="宋体" w:hAnsi="宋体"/>
          <w:color w:val="000000"/>
          <w:sz w:val="24"/>
          <w:highlight w:val="none"/>
          <w:u w:val="single"/>
        </w:rPr>
      </w:pPr>
      <w:r>
        <w:rPr>
          <w:rFonts w:hint="eastAsia" w:ascii="宋体" w:hAnsi="宋体"/>
          <w:color w:val="000000"/>
          <w:sz w:val="24"/>
          <w:highlight w:val="none"/>
          <w:u w:val="single"/>
        </w:rPr>
        <w:t>2、项目实施时，除采购人明确提出需要变更增加外，不再增加任何费用，</w:t>
      </w:r>
      <w:r>
        <w:rPr>
          <w:rFonts w:hint="eastAsia" w:ascii="宋体" w:hAnsi="宋体"/>
          <w:color w:val="000000"/>
          <w:sz w:val="24"/>
          <w:highlight w:val="none"/>
          <w:u w:val="single"/>
          <w:lang w:eastAsia="zh-CN"/>
        </w:rPr>
        <w:t>供应商</w:t>
      </w:r>
      <w:r>
        <w:rPr>
          <w:rFonts w:hint="eastAsia" w:ascii="宋体" w:hAnsi="宋体"/>
          <w:color w:val="000000"/>
          <w:sz w:val="24"/>
          <w:highlight w:val="none"/>
          <w:u w:val="single"/>
        </w:rPr>
        <w:t>应确保本项目能安全、正常运行并达到招标要求。</w:t>
      </w:r>
    </w:p>
    <w:p w14:paraId="12675807">
      <w:pPr>
        <w:spacing w:line="360" w:lineRule="auto"/>
        <w:ind w:left="2" w:leftChars="1" w:firstLine="480" w:firstLineChars="200"/>
        <w:rPr>
          <w:rFonts w:ascii="宋体" w:hAnsi="宋体"/>
          <w:color w:val="000000"/>
          <w:highlight w:val="none"/>
          <w:u w:val="single"/>
        </w:rPr>
      </w:pPr>
      <w:r>
        <w:rPr>
          <w:rFonts w:hint="eastAsia" w:ascii="宋体" w:hAnsi="宋体"/>
          <w:color w:val="000000"/>
          <w:sz w:val="24"/>
          <w:highlight w:val="none"/>
          <w:u w:val="single"/>
        </w:rPr>
        <w:t>3、本表中项目</w:t>
      </w:r>
      <w:r>
        <w:rPr>
          <w:rFonts w:hint="eastAsia" w:ascii="宋体" w:hAnsi="宋体"/>
          <w:color w:val="000000"/>
          <w:sz w:val="24"/>
          <w:highlight w:val="none"/>
          <w:u w:val="single"/>
          <w:lang w:val="en-US" w:eastAsia="zh-CN"/>
        </w:rPr>
        <w:t>报价</w:t>
      </w:r>
      <w:r>
        <w:rPr>
          <w:rFonts w:hint="eastAsia" w:ascii="宋体" w:hAnsi="宋体"/>
          <w:color w:val="000000"/>
          <w:sz w:val="24"/>
          <w:highlight w:val="none"/>
          <w:u w:val="single"/>
        </w:rPr>
        <w:t>应与</w:t>
      </w:r>
      <w:r>
        <w:rPr>
          <w:rFonts w:hint="eastAsia" w:ascii="宋体" w:hAnsi="宋体"/>
          <w:color w:val="000000"/>
          <w:sz w:val="24"/>
          <w:highlight w:val="none"/>
          <w:u w:val="single"/>
          <w:lang w:val="en-US" w:eastAsia="zh-CN"/>
        </w:rPr>
        <w:t>开标</w:t>
      </w:r>
      <w:r>
        <w:rPr>
          <w:rFonts w:hint="eastAsia" w:ascii="宋体" w:hAnsi="宋体"/>
          <w:color w:val="000000"/>
          <w:sz w:val="24"/>
          <w:highlight w:val="none"/>
          <w:u w:val="single"/>
        </w:rPr>
        <w:t>（</w:t>
      </w:r>
      <w:r>
        <w:rPr>
          <w:rFonts w:hint="eastAsia" w:ascii="宋体" w:hAnsi="宋体"/>
          <w:color w:val="000000"/>
          <w:sz w:val="24"/>
          <w:highlight w:val="none"/>
          <w:u w:val="single"/>
          <w:lang w:val="en-US" w:eastAsia="zh-CN"/>
        </w:rPr>
        <w:t>最终报价</w:t>
      </w:r>
      <w:r>
        <w:rPr>
          <w:rFonts w:hint="eastAsia" w:ascii="宋体" w:hAnsi="宋体"/>
          <w:color w:val="000000"/>
          <w:sz w:val="24"/>
          <w:highlight w:val="none"/>
          <w:u w:val="single"/>
        </w:rPr>
        <w:t>）一览表中项目</w:t>
      </w:r>
      <w:r>
        <w:rPr>
          <w:rFonts w:hint="eastAsia" w:ascii="宋体" w:hAnsi="宋体"/>
          <w:color w:val="000000"/>
          <w:sz w:val="24"/>
          <w:highlight w:val="none"/>
          <w:u w:val="single"/>
          <w:lang w:val="en-US" w:eastAsia="zh-CN"/>
        </w:rPr>
        <w:t>报价</w:t>
      </w:r>
      <w:r>
        <w:rPr>
          <w:rFonts w:hint="eastAsia" w:ascii="宋体" w:hAnsi="宋体"/>
          <w:color w:val="000000"/>
          <w:sz w:val="24"/>
          <w:highlight w:val="none"/>
          <w:u w:val="single"/>
        </w:rPr>
        <w:t>保持一致。清单明细表报价与中标供应商最终报价表作同比例调整。</w:t>
      </w:r>
    </w:p>
    <w:p w14:paraId="3423027D">
      <w:pPr>
        <w:spacing w:line="360" w:lineRule="auto"/>
        <w:jc w:val="right"/>
        <w:outlineLvl w:val="9"/>
        <w:rPr>
          <w:rFonts w:hint="eastAsia" w:ascii="宋体" w:hAnsi="宋体"/>
          <w:b/>
          <w:color w:val="000000"/>
          <w:sz w:val="24"/>
          <w:highlight w:val="none"/>
        </w:rPr>
      </w:pPr>
    </w:p>
    <w:p w14:paraId="0BC87D26">
      <w:pPr>
        <w:spacing w:line="360" w:lineRule="auto"/>
        <w:jc w:val="right"/>
        <w:outlineLvl w:val="9"/>
        <w:rPr>
          <w:rFonts w:hint="eastAsia" w:ascii="宋体" w:hAnsi="宋体"/>
          <w:color w:val="000000"/>
          <w:sz w:val="24"/>
          <w:highlight w:val="none"/>
          <w:u w:val="single"/>
        </w:rPr>
        <w:sectPr>
          <w:footerReference r:id="rId10" w:type="first"/>
          <w:pgSz w:w="11906" w:h="16838"/>
          <w:pgMar w:top="1440" w:right="1800" w:bottom="1440" w:left="1800" w:header="851" w:footer="992" w:gutter="0"/>
          <w:cols w:space="720" w:num="1"/>
          <w:docGrid w:linePitch="290" w:charSpace="0"/>
        </w:sectPr>
      </w:pPr>
      <w:r>
        <w:rPr>
          <w:rFonts w:hint="eastAsia" w:ascii="宋体" w:hAnsi="宋体"/>
          <w:b/>
          <w:color w:val="000000"/>
          <w:sz w:val="24"/>
          <w:highlight w:val="none"/>
        </w:rPr>
        <w:t>日期：    年   月   日</w:t>
      </w:r>
    </w:p>
    <w:p w14:paraId="424ADEB0">
      <w:pPr>
        <w:pStyle w:val="321"/>
        <w:jc w:val="center"/>
        <w:outlineLvl w:val="1"/>
        <w:rPr>
          <w:rFonts w:hint="eastAsia" w:ascii="宋体" w:hAnsi="宋体" w:eastAsia="宋体" w:cs="Times New Roman"/>
          <w:b/>
          <w:color w:val="000000"/>
          <w:sz w:val="32"/>
          <w:szCs w:val="22"/>
          <w:highlight w:val="none"/>
          <w:lang w:val="en-US" w:eastAsia="zh-CN" w:bidi="ar-SA"/>
        </w:rPr>
      </w:pPr>
      <w:r>
        <w:rPr>
          <w:rFonts w:hint="eastAsia" w:ascii="宋体" w:hAnsi="宋体" w:eastAsia="宋体" w:cs="Times New Roman"/>
          <w:b/>
          <w:color w:val="000000"/>
          <w:sz w:val="32"/>
          <w:szCs w:val="22"/>
          <w:highlight w:val="none"/>
          <w:lang w:val="en-US" w:eastAsia="zh-CN" w:bidi="ar-SA"/>
        </w:rPr>
        <w:t>七、企业报价折扣证明</w:t>
      </w:r>
    </w:p>
    <w:p w14:paraId="63815E44">
      <w:pPr>
        <w:spacing w:before="265" w:after="240" w:line="224" w:lineRule="auto"/>
        <w:jc w:val="center"/>
        <w:rPr>
          <w:rFonts w:hint="eastAsia" w:ascii="宋体" w:hAnsi="宋体" w:eastAsia="宋体" w:cs="宋体"/>
          <w:b/>
          <w:bCs/>
          <w:spacing w:val="0"/>
          <w:sz w:val="30"/>
          <w:szCs w:val="30"/>
          <w:highlight w:val="none"/>
          <w:lang w:eastAsia="zh-CN"/>
        </w:rPr>
      </w:pPr>
      <w:r>
        <w:rPr>
          <w:rFonts w:hint="eastAsia" w:ascii="宋体" w:hAnsi="宋体" w:eastAsia="宋体" w:cs="宋体"/>
          <w:b/>
          <w:bCs/>
          <w:spacing w:val="0"/>
          <w:sz w:val="30"/>
          <w:szCs w:val="30"/>
          <w:highlight w:val="none"/>
          <w:lang w:eastAsia="zh-CN"/>
        </w:rPr>
        <w:t>（</w:t>
      </w:r>
      <w:r>
        <w:rPr>
          <w:rFonts w:hint="eastAsia" w:ascii="宋体" w:hAnsi="宋体" w:eastAsia="宋体" w:cs="宋体"/>
          <w:b/>
          <w:bCs/>
          <w:spacing w:val="0"/>
          <w:sz w:val="30"/>
          <w:szCs w:val="30"/>
          <w:highlight w:val="none"/>
          <w:lang w:val="en-US" w:eastAsia="zh-CN"/>
        </w:rPr>
        <w:t>一</w:t>
      </w:r>
      <w:r>
        <w:rPr>
          <w:rFonts w:hint="eastAsia" w:ascii="宋体" w:hAnsi="宋体" w:eastAsia="宋体" w:cs="宋体"/>
          <w:b/>
          <w:bCs/>
          <w:spacing w:val="0"/>
          <w:sz w:val="30"/>
          <w:szCs w:val="30"/>
          <w:highlight w:val="none"/>
          <w:lang w:eastAsia="zh-CN"/>
        </w:rPr>
        <w:t>）中小微企业声明函（服务类项目）</w:t>
      </w:r>
    </w:p>
    <w:p w14:paraId="36661470">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本公司（联合体）郑重声明，根据《政府采购促进中小企业发展管理办法》(财库〔2020〕46号)的规定，本公司（联合体）参加</w:t>
      </w:r>
      <w:r>
        <w:rPr>
          <w:rFonts w:hint="eastAsia" w:eastAsia="宋体"/>
          <w:highlight w:val="none"/>
          <w:u w:val="single"/>
        </w:rPr>
        <w:t>（单位名称）</w:t>
      </w:r>
      <w:r>
        <w:rPr>
          <w:rFonts w:hint="eastAsia" w:eastAsia="宋体"/>
          <w:highlight w:val="none"/>
        </w:rPr>
        <w:t>采购编号为</w:t>
      </w:r>
      <w:r>
        <w:rPr>
          <w:rFonts w:hint="eastAsia" w:eastAsia="宋体"/>
          <w:highlight w:val="none"/>
          <w:u w:val="single"/>
        </w:rPr>
        <w:t>（采购编号）</w:t>
      </w:r>
      <w:r>
        <w:rPr>
          <w:rFonts w:hint="eastAsia" w:eastAsia="宋体"/>
          <w:highlight w:val="none"/>
        </w:rPr>
        <w:t>，</w:t>
      </w:r>
      <w:r>
        <w:rPr>
          <w:rFonts w:hint="eastAsia" w:eastAsia="宋体"/>
          <w:highlight w:val="none"/>
          <w:u w:val="single"/>
        </w:rPr>
        <w:t xml:space="preserve">      </w:t>
      </w:r>
      <w:r>
        <w:rPr>
          <w:rFonts w:hint="eastAsia" w:eastAsia="宋体"/>
          <w:highlight w:val="none"/>
        </w:rPr>
        <w:t>项目（项目名称）的采购活动，服务全部由符合政策的中小微企业承接。相关企业（含联合体中的中小微企业、签订采购包意向协议的中小微企业）的具体情况如下：</w:t>
      </w:r>
    </w:p>
    <w:p w14:paraId="313451E3">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1.</w:t>
      </w:r>
      <w:r>
        <w:rPr>
          <w:rFonts w:hint="eastAsia" w:eastAsia="宋体"/>
          <w:highlight w:val="none"/>
          <w:u w:val="single"/>
        </w:rPr>
        <w:t>（标的名称）</w:t>
      </w:r>
      <w:r>
        <w:rPr>
          <w:rFonts w:hint="eastAsia" w:eastAsia="宋体"/>
          <w:i/>
          <w:iCs/>
          <w:highlight w:val="none"/>
        </w:rPr>
        <w:t>，</w:t>
      </w:r>
      <w:r>
        <w:rPr>
          <w:rFonts w:hint="eastAsia" w:eastAsia="宋体"/>
          <w:highlight w:val="none"/>
        </w:rPr>
        <w:t>属于</w:t>
      </w:r>
      <w:r>
        <w:rPr>
          <w:rFonts w:hint="eastAsia" w:eastAsia="宋体"/>
          <w:highlight w:val="none"/>
          <w:u w:val="single"/>
        </w:rPr>
        <w:t>（供应商填写招标文件中明确的所属行业）</w:t>
      </w:r>
      <w:r>
        <w:rPr>
          <w:rFonts w:hint="eastAsia" w:eastAsia="宋体"/>
          <w:highlight w:val="none"/>
        </w:rPr>
        <w:t>行业；承接企业为</w:t>
      </w:r>
      <w:r>
        <w:rPr>
          <w:rFonts w:hint="eastAsia" w:eastAsia="宋体"/>
          <w:highlight w:val="none"/>
          <w:u w:val="single"/>
        </w:rPr>
        <w:t>（企业名称）</w:t>
      </w:r>
      <w:r>
        <w:rPr>
          <w:rFonts w:hint="eastAsia" w:eastAsia="宋体"/>
          <w:highlight w:val="none"/>
        </w:rPr>
        <w:t>，从业人员</w:t>
      </w:r>
      <w:r>
        <w:rPr>
          <w:rFonts w:hint="eastAsia" w:eastAsia="宋体"/>
          <w:highlight w:val="none"/>
          <w:u w:val="single"/>
        </w:rPr>
        <w:t xml:space="preserve">      </w:t>
      </w:r>
      <w:r>
        <w:rPr>
          <w:rFonts w:hint="eastAsia" w:eastAsia="宋体"/>
          <w:highlight w:val="none"/>
        </w:rPr>
        <w:t>人，营业收入为</w:t>
      </w:r>
      <w:r>
        <w:rPr>
          <w:rFonts w:hint="eastAsia" w:eastAsia="宋体"/>
          <w:highlight w:val="none"/>
          <w:u w:val="single"/>
        </w:rPr>
        <w:t xml:space="preserve">     </w:t>
      </w:r>
      <w:r>
        <w:rPr>
          <w:rFonts w:hint="eastAsia" w:eastAsia="宋体"/>
          <w:highlight w:val="none"/>
        </w:rPr>
        <w:t>万元，资产总额为</w:t>
      </w:r>
      <w:r>
        <w:rPr>
          <w:rFonts w:hint="eastAsia" w:eastAsia="宋体"/>
          <w:highlight w:val="none"/>
          <w:u w:val="single"/>
        </w:rPr>
        <w:t xml:space="preserve">      </w:t>
      </w:r>
      <w:r>
        <w:rPr>
          <w:rFonts w:hint="eastAsia" w:eastAsia="宋体"/>
          <w:highlight w:val="none"/>
        </w:rPr>
        <w:t>万元</w:t>
      </w:r>
      <w:r>
        <w:rPr>
          <w:rFonts w:hint="eastAsia" w:eastAsia="宋体"/>
          <w:highlight w:val="none"/>
          <w:vertAlign w:val="superscript"/>
        </w:rPr>
        <w:t>1</w:t>
      </w:r>
      <w:r>
        <w:rPr>
          <w:rFonts w:hint="eastAsia" w:eastAsia="宋体"/>
          <w:highlight w:val="none"/>
        </w:rPr>
        <w:t>，属于</w:t>
      </w:r>
      <w:r>
        <w:rPr>
          <w:rFonts w:hint="eastAsia" w:eastAsia="宋体"/>
          <w:highlight w:val="none"/>
          <w:u w:val="single"/>
        </w:rPr>
        <w:t>（</w:t>
      </w:r>
      <w:r>
        <w:rPr>
          <w:rFonts w:hint="eastAsia" w:eastAsia="宋体"/>
          <w:highlight w:val="none"/>
          <w:u w:val="single"/>
          <w:lang w:eastAsia="zh-CN"/>
        </w:rPr>
        <w:t>□</w:t>
      </w:r>
      <w:r>
        <w:rPr>
          <w:rFonts w:hint="eastAsia" w:eastAsia="宋体"/>
          <w:highlight w:val="none"/>
          <w:u w:val="single"/>
        </w:rPr>
        <w:t>中型企业 □小型企业 □微型企业）；</w:t>
      </w:r>
    </w:p>
    <w:p w14:paraId="2AE1A3AE">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2.</w:t>
      </w:r>
      <w:r>
        <w:rPr>
          <w:rFonts w:hint="eastAsia" w:eastAsia="宋体"/>
          <w:highlight w:val="none"/>
          <w:u w:val="single"/>
        </w:rPr>
        <w:t>（标的名称）</w:t>
      </w:r>
      <w:r>
        <w:rPr>
          <w:rFonts w:hint="eastAsia" w:eastAsia="宋体"/>
          <w:i/>
          <w:iCs/>
          <w:highlight w:val="none"/>
        </w:rPr>
        <w:t>，</w:t>
      </w:r>
      <w:r>
        <w:rPr>
          <w:rFonts w:hint="eastAsia" w:eastAsia="宋体"/>
          <w:highlight w:val="none"/>
        </w:rPr>
        <w:t>属于</w:t>
      </w:r>
      <w:r>
        <w:rPr>
          <w:rFonts w:hint="eastAsia" w:eastAsia="宋体"/>
          <w:highlight w:val="none"/>
          <w:u w:val="single"/>
        </w:rPr>
        <w:t>（供应商填写招标文件中明确的所属行业）</w:t>
      </w:r>
      <w:r>
        <w:rPr>
          <w:rFonts w:hint="eastAsia" w:eastAsia="宋体"/>
          <w:highlight w:val="none"/>
        </w:rPr>
        <w:t>行业；承接企业为</w:t>
      </w:r>
      <w:r>
        <w:rPr>
          <w:rFonts w:hint="eastAsia" w:eastAsia="宋体"/>
          <w:highlight w:val="none"/>
          <w:u w:val="single"/>
        </w:rPr>
        <w:t>（企业名称）</w:t>
      </w:r>
      <w:r>
        <w:rPr>
          <w:rFonts w:hint="eastAsia" w:eastAsia="宋体"/>
          <w:highlight w:val="none"/>
        </w:rPr>
        <w:t>，从业人员</w:t>
      </w:r>
      <w:r>
        <w:rPr>
          <w:rFonts w:hint="eastAsia" w:eastAsia="宋体"/>
          <w:highlight w:val="none"/>
          <w:u w:val="single"/>
        </w:rPr>
        <w:t xml:space="preserve">      </w:t>
      </w:r>
      <w:r>
        <w:rPr>
          <w:rFonts w:hint="eastAsia" w:eastAsia="宋体"/>
          <w:highlight w:val="none"/>
        </w:rPr>
        <w:t>人，营业收入为</w:t>
      </w:r>
      <w:r>
        <w:rPr>
          <w:rFonts w:hint="eastAsia" w:eastAsia="宋体"/>
          <w:highlight w:val="none"/>
          <w:u w:val="single"/>
        </w:rPr>
        <w:t xml:space="preserve">     </w:t>
      </w:r>
      <w:r>
        <w:rPr>
          <w:rFonts w:hint="eastAsia" w:eastAsia="宋体"/>
          <w:highlight w:val="none"/>
        </w:rPr>
        <w:t>万元，资产总额为</w:t>
      </w:r>
      <w:r>
        <w:rPr>
          <w:rFonts w:hint="eastAsia" w:eastAsia="宋体"/>
          <w:highlight w:val="none"/>
          <w:u w:val="single"/>
        </w:rPr>
        <w:t xml:space="preserve">      </w:t>
      </w:r>
      <w:r>
        <w:rPr>
          <w:rFonts w:hint="eastAsia" w:eastAsia="宋体"/>
          <w:highlight w:val="none"/>
        </w:rPr>
        <w:t>万元</w:t>
      </w:r>
      <w:r>
        <w:rPr>
          <w:rFonts w:hint="eastAsia" w:eastAsia="宋体"/>
          <w:highlight w:val="none"/>
          <w:vertAlign w:val="superscript"/>
        </w:rPr>
        <w:t>1</w:t>
      </w:r>
      <w:r>
        <w:rPr>
          <w:rFonts w:hint="eastAsia" w:eastAsia="宋体"/>
          <w:highlight w:val="none"/>
        </w:rPr>
        <w:t>，属于</w:t>
      </w:r>
      <w:r>
        <w:rPr>
          <w:rFonts w:hint="eastAsia" w:eastAsia="宋体"/>
          <w:highlight w:val="none"/>
          <w:u w:val="single"/>
        </w:rPr>
        <w:t>（□中型企业 □小型企业 □微型企业）；</w:t>
      </w:r>
    </w:p>
    <w:p w14:paraId="5E5C2634">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w:t>
      </w:r>
    </w:p>
    <w:p w14:paraId="5FA96F93">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以上企业，不属于大企业的分支机构，不存在控股股东为大企业的情形，也不存在与大企业的负责人为同一人的情形。</w:t>
      </w:r>
    </w:p>
    <w:p w14:paraId="6483922C">
      <w:pPr>
        <w:pStyle w:val="35"/>
        <w:widowControl w:val="0"/>
        <w:spacing w:before="0" w:beforeAutospacing="0" w:after="0" w:afterAutospacing="0" w:line="360" w:lineRule="auto"/>
        <w:ind w:firstLine="480" w:firstLineChars="200"/>
        <w:jc w:val="both"/>
        <w:rPr>
          <w:highlight w:val="none"/>
        </w:rPr>
      </w:pPr>
      <w:r>
        <w:rPr>
          <w:rFonts w:hint="eastAsia" w:eastAsia="宋体"/>
          <w:highlight w:val="none"/>
        </w:rPr>
        <w:t>本企业对上述声明内容的真实性负责。如有虚假，将依法承担相应责任</w:t>
      </w:r>
    </w:p>
    <w:p w14:paraId="40DAFDD5">
      <w:pPr>
        <w:pStyle w:val="35"/>
        <w:widowControl w:val="0"/>
        <w:spacing w:before="0" w:beforeAutospacing="0" w:after="0" w:afterAutospacing="0" w:line="360" w:lineRule="auto"/>
        <w:ind w:right="720"/>
        <w:jc w:val="both"/>
        <w:rPr>
          <w:highlight w:val="none"/>
        </w:rPr>
      </w:pPr>
      <w:r>
        <w:rPr>
          <w:highlight w:val="none"/>
        </w:rPr>
        <w:t> </w:t>
      </w:r>
    </w:p>
    <w:p w14:paraId="48890B7D">
      <w:pPr>
        <w:pStyle w:val="35"/>
        <w:widowControl w:val="0"/>
        <w:spacing w:before="0" w:beforeAutospacing="0" w:after="0" w:afterAutospacing="0" w:line="360" w:lineRule="auto"/>
        <w:ind w:right="180" w:firstLine="360"/>
        <w:jc w:val="right"/>
        <w:rPr>
          <w:highlight w:val="none"/>
        </w:rPr>
      </w:pPr>
      <w:r>
        <w:rPr>
          <w:rFonts w:hint="eastAsia" w:eastAsia="宋体"/>
          <w:highlight w:val="none"/>
        </w:rPr>
        <w:t>                                   企业名称（加盖CA电子公章）：</w:t>
      </w:r>
    </w:p>
    <w:p w14:paraId="237295AA">
      <w:pPr>
        <w:pStyle w:val="35"/>
        <w:widowControl w:val="0"/>
        <w:spacing w:before="0" w:beforeAutospacing="0" w:after="0" w:afterAutospacing="0" w:line="360" w:lineRule="auto"/>
        <w:ind w:right="180" w:firstLine="360"/>
        <w:jc w:val="right"/>
        <w:rPr>
          <w:highlight w:val="none"/>
        </w:rPr>
      </w:pPr>
      <w:r>
        <w:rPr>
          <w:rFonts w:hint="eastAsia" w:eastAsia="宋体"/>
          <w:highlight w:val="none"/>
          <w:shd w:val="clear" w:color="auto" w:fill="FFFFFF"/>
        </w:rPr>
        <w:t xml:space="preserve">日期：___年____月____日 </w:t>
      </w:r>
    </w:p>
    <w:p w14:paraId="513D60CD">
      <w:pPr>
        <w:pStyle w:val="35"/>
        <w:widowControl w:val="0"/>
        <w:spacing w:before="0" w:beforeAutospacing="0" w:after="0" w:afterAutospacing="0" w:line="0" w:lineRule="atLeast"/>
        <w:ind w:firstLine="480"/>
        <w:jc w:val="both"/>
        <w:rPr>
          <w:highlight w:val="none"/>
        </w:rPr>
      </w:pPr>
      <w:r>
        <w:rPr>
          <w:highlight w:val="none"/>
        </w:rPr>
        <w:t> </w:t>
      </w:r>
    </w:p>
    <w:p w14:paraId="07FE76AB">
      <w:pPr>
        <w:pStyle w:val="35"/>
        <w:widowControl w:val="0"/>
        <w:spacing w:before="0" w:beforeAutospacing="0" w:after="0" w:afterAutospacing="0" w:line="360" w:lineRule="auto"/>
        <w:ind w:firstLine="480" w:firstLineChars="200"/>
        <w:jc w:val="both"/>
        <w:rPr>
          <w:rFonts w:eastAsia="宋体"/>
          <w:highlight w:val="none"/>
        </w:rPr>
      </w:pPr>
      <w:r>
        <w:rPr>
          <w:rFonts w:hint="eastAsia" w:eastAsia="宋体"/>
          <w:highlight w:val="none"/>
        </w:rPr>
        <w:t>备注：</w:t>
      </w:r>
    </w:p>
    <w:p w14:paraId="6E04E9FA">
      <w:pPr>
        <w:pStyle w:val="35"/>
        <w:widowControl w:val="0"/>
        <w:spacing w:before="0" w:beforeAutospacing="0" w:after="0" w:afterAutospacing="0" w:line="360" w:lineRule="auto"/>
        <w:ind w:firstLine="480" w:firstLineChars="200"/>
        <w:jc w:val="both"/>
        <w:rPr>
          <w:rFonts w:eastAsia="宋体"/>
          <w:highlight w:val="none"/>
        </w:rPr>
      </w:pPr>
      <w:r>
        <w:rPr>
          <w:rFonts w:hint="eastAsia" w:eastAsia="宋体"/>
          <w:highlight w:val="none"/>
        </w:rPr>
        <w:t>1.从业人员、营业收入、资产总额填报上一年度数据，无上一年度数据的新成立企业可不填报。</w:t>
      </w:r>
    </w:p>
    <w:p w14:paraId="11C48EE4">
      <w:pPr>
        <w:pStyle w:val="35"/>
        <w:widowControl w:val="0"/>
        <w:spacing w:before="0" w:beforeAutospacing="0" w:after="0" w:afterAutospacing="0" w:line="360" w:lineRule="auto"/>
        <w:ind w:firstLine="480" w:firstLineChars="200"/>
        <w:jc w:val="both"/>
        <w:rPr>
          <w:rFonts w:eastAsia="宋体"/>
          <w:highlight w:val="none"/>
        </w:rPr>
      </w:pPr>
      <w:r>
        <w:rPr>
          <w:rFonts w:hint="eastAsia" w:eastAsia="宋体"/>
          <w:highlight w:val="none"/>
        </w:rPr>
        <w:t>2.专门面向中小微型企业采购的项目，供应商如不提供此声明函，则不能通过资格审查；非专门面向中小微型企业采购的项目，供应商如不提供此声明函，价格将不做相应扣除。</w:t>
      </w:r>
    </w:p>
    <w:p w14:paraId="76A68994">
      <w:pPr>
        <w:pStyle w:val="35"/>
        <w:widowControl w:val="0"/>
        <w:spacing w:before="0" w:beforeAutospacing="0" w:after="0" w:afterAutospacing="0" w:line="360" w:lineRule="auto"/>
        <w:ind w:firstLine="480" w:firstLineChars="200"/>
        <w:jc w:val="both"/>
        <w:rPr>
          <w:rFonts w:eastAsia="宋体"/>
          <w:highlight w:val="none"/>
        </w:rPr>
      </w:pPr>
      <w:r>
        <w:rPr>
          <w:rFonts w:hint="eastAsia" w:eastAsia="宋体"/>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p>
    <w:p w14:paraId="58E73FDF">
      <w:pPr>
        <w:rPr>
          <w:color w:val="000000"/>
          <w:sz w:val="24"/>
          <w:highlight w:val="none"/>
        </w:rPr>
      </w:pPr>
      <w:r>
        <w:rPr>
          <w:color w:val="000000"/>
          <w:sz w:val="24"/>
          <w:highlight w:val="none"/>
        </w:rPr>
        <w:br w:type="page" w:clear="all"/>
      </w:r>
    </w:p>
    <w:p w14:paraId="1886EDC1">
      <w:pPr>
        <w:spacing w:before="265" w:after="240" w:line="224" w:lineRule="auto"/>
        <w:jc w:val="center"/>
        <w:rPr>
          <w:rFonts w:hint="eastAsia" w:ascii="宋体" w:hAnsi="宋体" w:eastAsia="宋体" w:cs="宋体"/>
          <w:b/>
          <w:bCs/>
          <w:spacing w:val="0"/>
          <w:sz w:val="30"/>
          <w:szCs w:val="30"/>
          <w:highlight w:val="none"/>
        </w:rPr>
      </w:pPr>
      <w:r>
        <w:rPr>
          <w:rFonts w:hint="eastAsia" w:ascii="宋体" w:hAnsi="宋体" w:eastAsia="宋体" w:cs="宋体"/>
          <w:b/>
          <w:bCs/>
          <w:spacing w:val="0"/>
          <w:sz w:val="30"/>
          <w:szCs w:val="30"/>
          <w:highlight w:val="none"/>
          <w:lang w:eastAsia="zh-CN"/>
        </w:rPr>
        <w:t>（</w:t>
      </w:r>
      <w:r>
        <w:rPr>
          <w:rFonts w:hint="eastAsia" w:ascii="宋体" w:hAnsi="宋体" w:eastAsia="宋体" w:cs="宋体"/>
          <w:b/>
          <w:bCs/>
          <w:spacing w:val="0"/>
          <w:sz w:val="30"/>
          <w:szCs w:val="30"/>
          <w:highlight w:val="none"/>
          <w:lang w:val="en-US" w:eastAsia="zh-CN"/>
        </w:rPr>
        <w:t>二</w:t>
      </w:r>
      <w:r>
        <w:rPr>
          <w:rFonts w:hint="eastAsia" w:ascii="宋体" w:hAnsi="宋体" w:eastAsia="宋体" w:cs="宋体"/>
          <w:b/>
          <w:bCs/>
          <w:spacing w:val="0"/>
          <w:sz w:val="30"/>
          <w:szCs w:val="30"/>
          <w:highlight w:val="none"/>
          <w:lang w:eastAsia="zh-CN"/>
        </w:rPr>
        <w:t>）</w:t>
      </w:r>
      <w:r>
        <w:rPr>
          <w:rFonts w:hint="eastAsia" w:ascii="宋体" w:hAnsi="宋体" w:eastAsia="宋体" w:cs="宋体"/>
          <w:b/>
          <w:bCs/>
          <w:spacing w:val="0"/>
          <w:sz w:val="30"/>
          <w:szCs w:val="30"/>
          <w:highlight w:val="none"/>
        </w:rPr>
        <w:t>关于符合本国产品标准的声明函（本项目不涉及）</w:t>
      </w:r>
    </w:p>
    <w:p w14:paraId="1441A913">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本公司（单位）郑重声明，根据《国务院办公厅关于在政府采购中实施本国产品标准及相关政策的通知》（国办发〔2025〕34号）的规定，本公司（单位）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提供的以下产品属于本国产品。具体情况如下：</w:t>
      </w:r>
    </w:p>
    <w:p w14:paraId="3AF0E4BB">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1.</w:t>
      </w:r>
      <w:r>
        <w:rPr>
          <w:rStyle w:val="45"/>
          <w:rFonts w:hint="eastAsia" w:eastAsia="宋体"/>
          <w:color w:val="auto"/>
          <w:highlight w:val="none"/>
          <w:shd w:val="clear" w:color="auto" w:fill="FFFFFF"/>
        </w:rPr>
        <w:t>（产品名称1）</w:t>
      </w:r>
      <w:r>
        <w:rPr>
          <w:rStyle w:val="45"/>
          <w:rFonts w:hint="eastAsia" w:eastAsia="宋体"/>
          <w:color w:val="auto"/>
          <w:highlight w:val="none"/>
          <w:shd w:val="clear" w:color="auto" w:fill="FFFFFF"/>
          <w:vertAlign w:val="superscript"/>
        </w:rPr>
        <w:t>1</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，生产厂为</w:t>
      </w:r>
      <w:r>
        <w:rPr>
          <w:rStyle w:val="45"/>
          <w:rFonts w:hint="eastAsia" w:eastAsia="宋体"/>
          <w:color w:val="auto"/>
          <w:highlight w:val="none"/>
          <w:shd w:val="clear" w:color="auto" w:fill="FFFFFF"/>
        </w:rPr>
        <w:t>（厂名）</w:t>
      </w:r>
      <w:r>
        <w:rPr>
          <w:rStyle w:val="45"/>
          <w:rFonts w:hint="eastAsia" w:eastAsia="宋体"/>
          <w:color w:val="auto"/>
          <w:highlight w:val="none"/>
          <w:shd w:val="clear" w:color="auto" w:fill="FFFFFF"/>
          <w:vertAlign w:val="superscript"/>
        </w:rPr>
        <w:t>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，厂址为</w:t>
      </w:r>
      <w:r>
        <w:rPr>
          <w:rStyle w:val="45"/>
          <w:rFonts w:hint="eastAsia" w:eastAsia="宋体"/>
          <w:color w:val="auto"/>
          <w:highlight w:val="none"/>
          <w:shd w:val="clear" w:color="auto" w:fill="FFFFFF"/>
        </w:rPr>
        <w:t>（生产厂址）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的中国境内生产的组件成本占比≥</w:t>
      </w:r>
      <w:r>
        <w:rPr>
          <w:rStyle w:val="45"/>
          <w:rFonts w:hint="eastAsia" w:eastAsia="宋体"/>
          <w:color w:val="auto"/>
          <w:highlight w:val="none"/>
          <w:shd w:val="clear" w:color="auto" w:fill="FFFFFF"/>
        </w:rPr>
        <w:t>（规定比例）</w:t>
      </w:r>
      <w:r>
        <w:rPr>
          <w:rStyle w:val="45"/>
          <w:rFonts w:hint="eastAsia" w:eastAsia="宋体"/>
          <w:color w:val="auto"/>
          <w:highlight w:val="none"/>
          <w:shd w:val="clear" w:color="auto" w:fill="FFFFFF"/>
          <w:vertAlign w:val="superscript"/>
        </w:rPr>
        <w:t>3</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（关键组件）</w:t>
      </w:r>
      <w:r>
        <w:rPr>
          <w:rStyle w:val="45"/>
          <w:rFonts w:hint="eastAsia" w:eastAsia="宋体"/>
          <w:color w:val="auto"/>
          <w:highlight w:val="none"/>
          <w:shd w:val="clear" w:color="auto" w:fill="FFFFFF"/>
          <w:vertAlign w:val="superscript"/>
        </w:rPr>
        <w:t>4</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在中国境内生产。</w:t>
      </w:r>
      <w:r>
        <w:rPr>
          <w:rStyle w:val="45"/>
          <w:rFonts w:hint="eastAsia" w:eastAsia="宋体"/>
          <w:color w:val="auto"/>
          <w:highlight w:val="none"/>
          <w:shd w:val="clear" w:color="auto" w:fill="FFFFFF"/>
        </w:rPr>
        <w:t>（产品名称1）</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（关键工序）</w:t>
      </w:r>
      <w:r>
        <w:rPr>
          <w:rStyle w:val="45"/>
          <w:rFonts w:hint="eastAsia" w:eastAsia="宋体"/>
          <w:color w:val="auto"/>
          <w:highlight w:val="none"/>
          <w:shd w:val="clear" w:color="auto" w:fill="FFFFFF"/>
          <w:vertAlign w:val="superscript"/>
        </w:rPr>
        <w:t>5</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在中国境内完成。</w:t>
      </w:r>
    </w:p>
    <w:p w14:paraId="0BCAE481">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2.</w:t>
      </w:r>
      <w:r>
        <w:rPr>
          <w:rStyle w:val="45"/>
          <w:rFonts w:hint="eastAsia" w:eastAsia="宋体"/>
          <w:color w:val="auto"/>
          <w:highlight w:val="none"/>
          <w:shd w:val="clear" w:color="auto" w:fill="FFFFFF"/>
        </w:rPr>
        <w:t>（产品名称2）</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，生产厂为</w:t>
      </w:r>
      <w:r>
        <w:rPr>
          <w:rStyle w:val="45"/>
          <w:rFonts w:hint="eastAsia" w:eastAsia="宋体"/>
          <w:color w:val="auto"/>
          <w:highlight w:val="none"/>
          <w:shd w:val="clear" w:color="auto" w:fill="FFFFFF"/>
        </w:rPr>
        <w:t>（厂名）</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，厂址为</w:t>
      </w:r>
      <w:r>
        <w:rPr>
          <w:rStyle w:val="45"/>
          <w:rFonts w:hint="eastAsia" w:eastAsia="宋体"/>
          <w:color w:val="auto"/>
          <w:highlight w:val="none"/>
          <w:shd w:val="clear" w:color="auto" w:fill="FFFFFF"/>
        </w:rPr>
        <w:t>（生产厂址）</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的中国境内生产的组件成本占比≥</w:t>
      </w:r>
      <w:r>
        <w:rPr>
          <w:rStyle w:val="45"/>
          <w:rFonts w:hint="eastAsia" w:eastAsia="宋体"/>
          <w:color w:val="auto"/>
          <w:highlight w:val="none"/>
          <w:shd w:val="clear" w:color="auto" w:fill="FFFFFF"/>
        </w:rPr>
        <w:t>（规定比例）</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（关键组件）</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在中国境内生产。</w:t>
      </w:r>
      <w:r>
        <w:rPr>
          <w:rStyle w:val="45"/>
          <w:rFonts w:hint="eastAsia" w:eastAsia="宋体"/>
          <w:color w:val="auto"/>
          <w:highlight w:val="none"/>
          <w:shd w:val="clear" w:color="auto" w:fill="FFFFFF"/>
        </w:rPr>
        <w:t>（产品名称2）</w:t>
      </w:r>
      <w:r>
        <w:rPr>
          <w:rFonts w:hint="eastAsia" w:eastAsia="宋体"/>
          <w:color w:val="auto"/>
          <w:highlight w:val="none"/>
          <w:shd w:val="clear" w:color="auto" w:fill="FFFFFF"/>
        </w:rPr>
        <w:t>的</w:t>
      </w:r>
      <w:r>
        <w:rPr>
          <w:rStyle w:val="45"/>
          <w:rFonts w:hint="eastAsia" w:eastAsia="宋体"/>
          <w:color w:val="auto"/>
          <w:highlight w:val="none"/>
          <w:shd w:val="clear" w:color="auto" w:fill="FFFFFF"/>
        </w:rPr>
        <w:t>（关键工序）</w:t>
      </w:r>
      <w:r>
        <w:rPr>
          <w:rFonts w:hint="eastAsia" w:eastAsia="宋体"/>
          <w:color w:val="auto"/>
          <w:highlight w:val="none"/>
          <w:u w:val="single"/>
          <w:shd w:val="clear" w:color="auto" w:fill="FFFFFF"/>
        </w:rPr>
        <w:t xml:space="preserve">          </w:t>
      </w:r>
      <w:r>
        <w:rPr>
          <w:rFonts w:hint="eastAsia" w:eastAsia="宋体"/>
          <w:color w:val="auto"/>
          <w:highlight w:val="none"/>
          <w:shd w:val="clear" w:color="auto" w:fill="FFFFFF"/>
        </w:rPr>
        <w:t>在中国境内完成。</w:t>
      </w:r>
    </w:p>
    <w:p w14:paraId="4EE1C03D">
      <w:pPr>
        <w:pStyle w:val="35"/>
        <w:shd w:val="clear" w:color="auto" w:fill="FFFFFF"/>
        <w:spacing w:before="30" w:beforeAutospacing="0" w:after="30" w:afterAutospacing="0" w:line="360" w:lineRule="auto"/>
        <w:ind w:firstLine="420"/>
        <w:rPr>
          <w:rFonts w:eastAsia="宋体"/>
          <w:color w:val="auto"/>
          <w:highlight w:val="none"/>
        </w:rPr>
      </w:pPr>
      <w:r>
        <w:rPr>
          <w:rFonts w:hint="eastAsia" w:eastAsia="宋体"/>
          <w:color w:val="auto"/>
          <w:highlight w:val="none"/>
          <w:shd w:val="clear" w:color="auto" w:fill="FFFFFF"/>
        </w:rPr>
        <w:t>……</w:t>
      </w:r>
    </w:p>
    <w:p w14:paraId="3A0E554B">
      <w:pPr>
        <w:pStyle w:val="35"/>
        <w:shd w:val="clear" w:color="auto" w:fill="FFFFFF"/>
        <w:spacing w:before="30" w:beforeAutospacing="0" w:after="30" w:afterAutospacing="0" w:line="360" w:lineRule="auto"/>
        <w:ind w:firstLine="420"/>
        <w:rPr>
          <w:rFonts w:eastAsia="宋体"/>
          <w:color w:val="auto"/>
          <w:highlight w:val="none"/>
          <w:shd w:val="clear" w:color="auto" w:fill="FFFFFF"/>
        </w:rPr>
      </w:pPr>
      <w:r>
        <w:rPr>
          <w:rFonts w:hint="eastAsia" w:eastAsia="宋体"/>
          <w:color w:val="auto"/>
          <w:highlight w:val="none"/>
          <w:shd w:val="clear" w:color="auto" w:fill="FFFFFF"/>
        </w:rPr>
        <w:t>本公司（单位）对上述声明内容的真实性负责。如有虚假，愿承担相应法律责任。</w:t>
      </w:r>
    </w:p>
    <w:p w14:paraId="260A7E6F">
      <w:pPr>
        <w:pStyle w:val="35"/>
        <w:shd w:val="clear" w:color="auto" w:fill="FFFFFF"/>
        <w:spacing w:before="30" w:beforeAutospacing="0" w:after="30" w:afterAutospacing="0" w:line="360" w:lineRule="auto"/>
        <w:ind w:firstLine="420"/>
        <w:jc w:val="right"/>
        <w:rPr>
          <w:rFonts w:eastAsia="宋体"/>
          <w:color w:val="auto"/>
          <w:highlight w:val="none"/>
          <w:shd w:val="clear" w:color="auto" w:fill="FFFFFF"/>
        </w:rPr>
      </w:pPr>
    </w:p>
    <w:p w14:paraId="5CC1431B">
      <w:pPr>
        <w:pStyle w:val="35"/>
        <w:shd w:val="clear" w:color="auto" w:fill="FFFFFF"/>
        <w:spacing w:before="30" w:beforeAutospacing="0" w:after="30" w:afterAutospacing="0" w:line="360" w:lineRule="auto"/>
        <w:ind w:firstLine="420"/>
        <w:jc w:val="right"/>
        <w:rPr>
          <w:rFonts w:eastAsia="宋体"/>
          <w:color w:val="auto"/>
          <w:highlight w:val="none"/>
          <w:shd w:val="clear" w:color="auto" w:fill="FFFFFF"/>
        </w:rPr>
      </w:pPr>
    </w:p>
    <w:p w14:paraId="4AFEC464">
      <w:pPr>
        <w:pStyle w:val="35"/>
        <w:shd w:val="clear" w:color="auto" w:fill="FFFFFF"/>
        <w:spacing w:before="30" w:beforeAutospacing="0" w:after="30" w:afterAutospacing="0" w:line="360" w:lineRule="auto"/>
        <w:ind w:firstLine="420"/>
        <w:jc w:val="right"/>
        <w:rPr>
          <w:rFonts w:eastAsia="宋体"/>
          <w:color w:val="auto"/>
          <w:highlight w:val="none"/>
        </w:rPr>
      </w:pPr>
      <w:r>
        <w:rPr>
          <w:rFonts w:hint="eastAsia" w:eastAsia="宋体"/>
          <w:color w:val="auto"/>
          <w:highlight w:val="none"/>
          <w:shd w:val="clear" w:color="auto" w:fill="FFFFFF"/>
        </w:rPr>
        <w:t>公司（单位）名称（盖章）：      </w:t>
      </w:r>
    </w:p>
    <w:p w14:paraId="73823B9B">
      <w:pPr>
        <w:pStyle w:val="35"/>
        <w:shd w:val="clear" w:color="auto" w:fill="FFFFFF"/>
        <w:spacing w:before="30" w:beforeAutospacing="0" w:after="30" w:afterAutospacing="0" w:line="360" w:lineRule="auto"/>
        <w:ind w:firstLine="420"/>
        <w:jc w:val="right"/>
        <w:rPr>
          <w:rFonts w:eastAsia="宋体"/>
          <w:color w:val="auto"/>
          <w:highlight w:val="none"/>
        </w:rPr>
      </w:pPr>
      <w:r>
        <w:rPr>
          <w:rFonts w:hint="eastAsia" w:eastAsia="宋体"/>
          <w:color w:val="auto"/>
          <w:highlight w:val="none"/>
          <w:shd w:val="clear" w:color="auto" w:fill="FFFFFF"/>
        </w:rPr>
        <w:t>日期：　　　　　年　　月　日    </w:t>
      </w:r>
    </w:p>
    <w:p w14:paraId="7B388B31">
      <w:pPr>
        <w:pStyle w:val="35"/>
        <w:shd w:val="clear" w:color="auto" w:fill="FFFFFF"/>
        <w:spacing w:before="30" w:beforeAutospacing="0" w:after="30" w:afterAutospacing="0"/>
        <w:rPr>
          <w:rFonts w:eastAsia="宋体"/>
          <w:color w:val="auto"/>
          <w:highlight w:val="none"/>
          <w:shd w:val="clear" w:color="auto" w:fill="FFFFFF"/>
        </w:rPr>
      </w:pPr>
    </w:p>
    <w:p w14:paraId="5EA63AB5">
      <w:pPr>
        <w:pStyle w:val="35"/>
        <w:shd w:val="clear" w:color="auto" w:fill="FFFFFF"/>
        <w:spacing w:before="30" w:beforeAutospacing="0" w:after="30" w:afterAutospacing="0"/>
        <w:rPr>
          <w:rFonts w:eastAsia="宋体"/>
          <w:color w:val="auto"/>
          <w:highlight w:val="none"/>
          <w:shd w:val="clear" w:color="auto" w:fill="FFFFFF"/>
        </w:rPr>
      </w:pPr>
    </w:p>
    <w:p w14:paraId="296BF663">
      <w:pPr>
        <w:pStyle w:val="35"/>
        <w:shd w:val="clear" w:color="auto" w:fill="FFFFFF"/>
        <w:spacing w:before="30" w:beforeAutospacing="0" w:after="30" w:afterAutospacing="0"/>
        <w:rPr>
          <w:rFonts w:eastAsia="宋体"/>
          <w:color w:val="auto"/>
          <w:highlight w:val="none"/>
          <w:shd w:val="clear" w:color="auto" w:fill="FFFFFF"/>
        </w:rPr>
      </w:pPr>
    </w:p>
    <w:p w14:paraId="73D3C91F">
      <w:pPr>
        <w:pStyle w:val="35"/>
        <w:shd w:val="clear" w:color="auto" w:fill="FFFFFF"/>
        <w:spacing w:before="30" w:beforeAutospacing="0" w:after="30" w:afterAutospacing="0"/>
        <w:rPr>
          <w:rFonts w:eastAsia="宋体"/>
          <w:color w:val="auto"/>
          <w:highlight w:val="none"/>
        </w:rPr>
      </w:pPr>
      <w:r>
        <w:rPr>
          <w:rFonts w:hint="eastAsia" w:eastAsia="宋体"/>
          <w:color w:val="auto"/>
          <w:highlight w:val="none"/>
          <w:shd w:val="clear" w:color="auto" w:fill="FFFFFF"/>
        </w:rPr>
        <w:t>_____________________________</w:t>
      </w:r>
    </w:p>
    <w:p w14:paraId="1B99EAA3">
      <w:pPr>
        <w:pStyle w:val="35"/>
        <w:shd w:val="clear" w:color="auto" w:fill="FFFFFF"/>
        <w:spacing w:before="30" w:beforeAutospacing="0" w:after="30" w:afterAutospacing="0"/>
        <w:ind w:firstLine="420"/>
        <w:rPr>
          <w:rFonts w:eastAsia="宋体"/>
          <w:color w:val="auto"/>
          <w:highlight w:val="none"/>
        </w:rPr>
      </w:pPr>
      <w:r>
        <w:rPr>
          <w:rFonts w:ascii="楷体" w:hAnsi="楷体" w:eastAsia="楷体" w:cs="楷体"/>
          <w:color w:val="auto"/>
          <w:highlight w:val="none"/>
          <w:shd w:val="clear" w:color="auto" w:fill="FFFFFF"/>
        </w:rPr>
        <w:t>1.产品如有型号，请在“产品名称”栏一并填写。</w:t>
      </w:r>
    </w:p>
    <w:p w14:paraId="18198B2B">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14:paraId="70C28AD6">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3.该产品的中国境内生产的组件成本占比相关要求实施前，“规定比例”栏可不填，下同。</w:t>
      </w:r>
    </w:p>
    <w:p w14:paraId="2F2513D3">
      <w:pPr>
        <w:pStyle w:val="35"/>
        <w:shd w:val="clear" w:color="auto" w:fill="FFFFFF"/>
        <w:spacing w:before="30" w:beforeAutospacing="0" w:after="30" w:afterAutospacing="0"/>
        <w:ind w:firstLine="420"/>
        <w:rPr>
          <w:rFonts w:eastAsia="宋体"/>
          <w:color w:val="auto"/>
          <w:highlight w:val="none"/>
        </w:rPr>
      </w:pPr>
      <w:r>
        <w:rPr>
          <w:rFonts w:hint="eastAsia" w:ascii="楷体" w:hAnsi="楷体" w:eastAsia="楷体" w:cs="楷体"/>
          <w:color w:val="auto"/>
          <w:highlight w:val="none"/>
          <w:shd w:val="clear" w:color="auto" w:fill="FFFFFF"/>
        </w:rPr>
        <w:t>4.该产品的关键组件要求实施前，“关键组件”栏可不填，下同。</w:t>
      </w:r>
    </w:p>
    <w:p w14:paraId="2E270E91">
      <w:pPr>
        <w:rPr>
          <w:sz w:val="24"/>
          <w:highlight w:val="none"/>
        </w:rPr>
        <w:sectPr>
          <w:headerReference r:id="rId11" w:type="default"/>
          <w:footerReference r:id="rId12" w:type="default"/>
          <w:pgSz w:w="11907" w:h="16839"/>
          <w:pgMar w:top="1440" w:right="1800" w:bottom="1440" w:left="1800" w:header="1111" w:footer="1229" w:gutter="0"/>
          <w:cols w:space="1701" w:num="1"/>
          <w:docGrid w:linePitch="360" w:charSpace="0"/>
        </w:sectPr>
      </w:pPr>
      <w:r>
        <w:rPr>
          <w:rFonts w:hint="eastAsia" w:ascii="楷体" w:hAnsi="楷体" w:eastAsia="楷体" w:cs="楷体"/>
          <w:sz w:val="24"/>
          <w:highlight w:val="none"/>
          <w:shd w:val="clear" w:color="auto" w:fill="FFFFFF"/>
        </w:rPr>
        <w:t>5.该产品的关键工序要求实施前，“关键工序”栏可不填，下同</w:t>
      </w:r>
    </w:p>
    <w:p w14:paraId="6809FC38">
      <w:pPr>
        <w:pStyle w:val="321"/>
        <w:jc w:val="center"/>
        <w:outlineLvl w:val="1"/>
        <w:rPr>
          <w:rFonts w:hint="eastAsia" w:ascii="宋体" w:hAnsi="宋体" w:eastAsia="宋体" w:cs="宋体"/>
          <w:sz w:val="28"/>
          <w:highlight w:val="none"/>
        </w:rPr>
      </w:pPr>
      <w:r>
        <w:rPr>
          <w:rFonts w:hint="eastAsia" w:ascii="宋体" w:hAnsi="宋体" w:eastAsia="宋体" w:cs="Times New Roman"/>
          <w:b/>
          <w:color w:val="000000"/>
          <w:sz w:val="32"/>
          <w:szCs w:val="22"/>
          <w:highlight w:val="none"/>
          <w:lang w:val="en-US" w:eastAsia="zh-CN" w:bidi="ar-SA"/>
        </w:rPr>
        <w:t>告供应商书</w:t>
      </w:r>
    </w:p>
    <w:p w14:paraId="008E6A09">
      <w:pPr>
        <w:adjustRightInd w:val="0"/>
        <w:snapToGrid w:val="0"/>
        <w:spacing w:line="360" w:lineRule="auto"/>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中标（成交）供应商：</w:t>
      </w:r>
    </w:p>
    <w:p w14:paraId="72034BF3">
      <w:pPr>
        <w:adjustRightInd w:val="0"/>
        <w:snapToGrid w:val="0"/>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恭喜您成功中标（成交），为我市采购人提供优质产品及服务。为优化政府采购营商环境，发挥政府采购政策功能，缓解企业融资难题，我省已推出政府采购线上合同信用融资贷款业务，特此告知如下：</w:t>
      </w:r>
    </w:p>
    <w:p w14:paraId="53683A23">
      <w:pPr>
        <w:adjustRightInd w:val="0"/>
        <w:snapToGrid w:val="0"/>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p>
    <w:p w14:paraId="181645AD">
      <w:pPr>
        <w:adjustRightInd w:val="0"/>
        <w:snapToGrid w:val="0"/>
        <w:spacing w:line="360" w:lineRule="auto"/>
        <w:ind w:firstLine="560" w:firstLineChars="2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如您需要帮助，请致电镇江市财政局政府采购管理处，电话：0511-80909958。我们将竭诚为您服务！ </w:t>
      </w:r>
    </w:p>
    <w:p w14:paraId="4CD7E048">
      <w:pPr>
        <w:adjustRightInd w:val="0"/>
        <w:snapToGrid w:val="0"/>
        <w:spacing w:line="360" w:lineRule="auto"/>
        <w:ind w:firstLine="560" w:firstLineChars="200"/>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镇江市财政局</w:t>
      </w:r>
    </w:p>
    <w:p w14:paraId="06B655DD">
      <w:pPr>
        <w:bidi w:val="0"/>
        <w:rPr>
          <w:highlight w:val="none"/>
        </w:rPr>
      </w:pPr>
    </w:p>
    <w:p w14:paraId="1F7BC519">
      <w:pPr>
        <w:rPr>
          <w:rFonts w:ascii="宋体" w:hAnsi="宋体" w:cs="楷体"/>
          <w:sz w:val="24"/>
          <w:highlight w:val="none"/>
          <w:u w:val="single"/>
        </w:rPr>
      </w:pPr>
      <w:bookmarkStart w:id="165" w:name="_bookmark89"/>
      <w:bookmarkEnd w:id="165"/>
    </w:p>
    <w:sectPr>
      <w:headerReference r:id="rId13" w:type="default"/>
      <w:footerReference r:id="rId14" w:type="default"/>
      <w:pgSz w:w="11907" w:h="16840"/>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B8E3F93-F100-4358-806B-A1B982490FC6}"/>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FAA5896E-AE19-4C24-B52B-091FF3C92E69}"/>
  </w:font>
  <w:font w:name="楷体_GB2312">
    <w:panose1 w:val="02010609030101010101"/>
    <w:charset w:val="86"/>
    <w:family w:val="modern"/>
    <w:pitch w:val="default"/>
    <w:sig w:usb0="00000001" w:usb1="080E0000" w:usb2="00000000" w:usb3="00000000" w:csb0="00040000" w:csb1="00000000"/>
    <w:embedRegular r:id="rId3" w:fontKey="{84ABFB9C-62F8-4254-9165-39AE6C6FF940}"/>
  </w:font>
  <w:font w:name="幼圆">
    <w:panose1 w:val="0201050906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embedRegular r:id="rId4" w:fontKey="{C4AB1A8D-BD0E-4C43-B39A-62F12A642299}"/>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Helvetica Neue">
    <w:altName w:val="Times New Roman"/>
    <w:panose1 w:val="00000000000000000000"/>
    <w:charset w:val="00"/>
    <w:family w:val="auto"/>
    <w:pitch w:val="default"/>
    <w:sig w:usb0="00000000" w:usb1="00000000" w:usb2="00000000" w:usb3="00000000" w:csb0="00000000" w:csb1="00000000"/>
  </w:font>
  <w:font w:name="Arial Unicode MS">
    <w:panose1 w:val="020B0604020202020204"/>
    <w:charset w:val="86"/>
    <w:family w:val="roman"/>
    <w:pitch w:val="default"/>
    <w:sig w:usb0="F7FFAEFF" w:usb1="F9DFFFFF" w:usb2="0000007F" w:usb3="00000000" w:csb0="203F01FF" w:csb1="DFFF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5" w:fontKey="{04495680-B327-4E40-99DE-53FC87C838B0}"/>
  </w:font>
  <w:font w:name="Cambria Math">
    <w:panose1 w:val="02040503050406030204"/>
    <w:charset w:val="00"/>
    <w:family w:val="roman"/>
    <w:pitch w:val="default"/>
    <w:sig w:usb0="E00006FF" w:usb1="420024FF" w:usb2="02000000" w:usb3="00000000" w:csb0="2000019F" w:csb1="00000000"/>
    <w:embedRegular r:id="rId6" w:fontKey="{CAA9E474-051D-4A35-BF52-71CDD8F847B5}"/>
  </w:font>
  <w:font w:name="楷体">
    <w:panose1 w:val="02010609060101010101"/>
    <w:charset w:val="86"/>
    <w:family w:val="modern"/>
    <w:pitch w:val="default"/>
    <w:sig w:usb0="800002BF" w:usb1="38CF7CFA" w:usb2="00000016" w:usb3="00000000" w:csb0="00040001" w:csb1="00000000"/>
    <w:embedRegular r:id="rId7" w:fontKey="{F2BC7134-6E00-4BE0-848C-FA67DF488D84}"/>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BA111">
    <w:pPr>
      <w:spacing w:line="178" w:lineRule="auto"/>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F98B76">
    <w:pPr>
      <w:pStyle w:val="255"/>
      <w:jc w:val="center"/>
    </w:pPr>
    <w:r>
      <w:fldChar w:fldCharType="begin"/>
    </w:r>
    <w:r>
      <w:rPr>
        <w:highlight w:val="white"/>
      </w:rPr>
      <w:instrText xml:space="preserve">PAGE   \* MERGEFORMAT</w:instrText>
    </w:r>
    <w:r>
      <w:fldChar w:fldCharType="separate"/>
    </w:r>
    <w:r>
      <w:rPr>
        <w:highlight w:val="white"/>
        <w:lang w:val="zh-CN"/>
      </w:rPr>
      <w:t>72</w:t>
    </w:r>
    <w:r>
      <w:fldChar w:fldCharType="end"/>
    </w:r>
  </w:p>
  <w:p w14:paraId="196CD5EF">
    <w:pPr>
      <w:pStyle w:val="25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06EA1">
    <w:pPr>
      <w:pStyle w:val="24"/>
      <w:jc w:val="center"/>
    </w:pPr>
    <w:r>
      <w:fldChar w:fldCharType="begin"/>
    </w:r>
    <w:r>
      <w:instrText xml:space="preserve">PAGE   \* MERGEFORMAT</w:instrText>
    </w:r>
    <w:r>
      <w:fldChar w:fldCharType="separate"/>
    </w:r>
    <w:r>
      <w:rPr>
        <w:lang w:val="zh-CN"/>
      </w:rPr>
      <w:t>70</w:t>
    </w:r>
    <w:r>
      <w:rPr>
        <w:lang w:val="zh-CN"/>
      </w:rPr>
      <w:fldChar w:fldCharType="end"/>
    </w:r>
  </w:p>
  <w:p w14:paraId="069209D3">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13D1A">
    <w:pPr>
      <w:pStyle w:val="24"/>
      <w:tabs>
        <w:tab w:val="center" w:pos="4153"/>
        <w:tab w:val="right" w:pos="8306"/>
        <w:tab w:val="clear" w:pos="7143"/>
        <w:tab w:val="clear" w:pos="14287"/>
      </w:tabs>
      <w:jc w:val="center"/>
      <w:rPr>
        <w:rFonts w:hint="eastAsia"/>
      </w:rPr>
    </w:pPr>
    <w:r>
      <w:fldChar w:fldCharType="begin"/>
    </w:r>
    <w:r>
      <w:rPr>
        <w:rStyle w:val="44"/>
      </w:rPr>
      <w:instrText xml:space="preserve"> PAGE </w:instrText>
    </w:r>
    <w:r>
      <w:fldChar w:fldCharType="separate"/>
    </w:r>
    <w:r>
      <w:rPr>
        <w:rStyle w:val="44"/>
        <w:rFonts w:hint="eastAsia"/>
      </w:rPr>
      <w:t>１７４</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046EC">
    <w:pPr>
      <w:pStyle w:val="255"/>
    </w:pPr>
    <w:r>
      <w:pict>
        <v:shape id="文本框 1050" o:spid="_x0000_s1048"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L7tv50gEAAK0DAAAOAAAAAAAAAAEAIAAAAB4BAABk&#10;cnMvZTJvRG9jLnhtbFBLBQYAAAAABgAGAFkBAABiBQAAAAA=&#10;">
          <v:path/>
          <v:fill on="f" focussize="0,0"/>
          <v:stroke on="f" joinstyle="miter"/>
          <v:imagedata o:title=""/>
          <o:lock v:ext="edit"/>
          <v:textbox inset="0mm,0mm,0mm,0mm" style="mso-fit-shape-to-text:t;">
            <w:txbxContent>
              <w:p w14:paraId="24025B88">
                <w:pPr>
                  <w:pStyle w:val="24"/>
                </w:pPr>
                <w:r>
                  <w:fldChar w:fldCharType="begin"/>
                </w:r>
                <w:r>
                  <w:instrText xml:space="preserve"> PAGE  \* MERGEFORMAT </w:instrText>
                </w:r>
                <w:r>
                  <w:fldChar w:fldCharType="separate"/>
                </w:r>
                <w:r>
                  <w:t>73</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4AD30">
    <w:pPr>
      <w:pStyle w:val="247"/>
      <w:spacing w:line="14" w:lineRule="auto"/>
      <w:rPr>
        <w:b/>
        <w:bCs/>
        <w:sz w:val="20"/>
      </w:rPr>
    </w:pPr>
    <w:r>
      <w:rPr>
        <w:sz w:val="20"/>
      </w:rPr>
      <w:pict>
        <v:shape id="文本框 1051" o:spid="_x0000_s1027"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CPC6i7UAQAArQMAAA4AAAAAAAAAAQAgAAAAHgEA&#10;AGRycy9lMm9Eb2MueG1sUEsFBgAAAAAGAAYAWQEAAGQFAAAAAA==&#10;">
          <v:path/>
          <v:fill on="f" focussize="0,0"/>
          <v:stroke on="f" joinstyle="miter"/>
          <v:imagedata o:title=""/>
          <o:lock v:ext="edit"/>
          <v:textbox inset="0mm,0mm,0mm,0mm" style="mso-fit-shape-to-text:t;">
            <w:txbxContent>
              <w:p w14:paraId="6F5DEF30">
                <w:pPr>
                  <w:pStyle w:val="24"/>
                </w:pPr>
                <w:r>
                  <w:fldChar w:fldCharType="begin"/>
                </w:r>
                <w:r>
                  <w:instrText xml:space="preserve"> PAGE  \* MERGEFORMAT </w:instrText>
                </w:r>
                <w:r>
                  <w:fldChar w:fldCharType="separate"/>
                </w:r>
                <w:r>
                  <w:t>75</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EB77C">
    <w:pPr>
      <w:pStyle w:val="257"/>
      <w:pBdr>
        <w:bottom w:val="none" w:color="000000"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EDF73">
    <w:pPr>
      <w:pStyle w:val="257"/>
      <w:pBdr>
        <w:bottom w:val="none" w:color="auto" w:sz="0" w:space="1"/>
      </w:pBdr>
    </w:pPr>
  </w:p>
  <w:p w14:paraId="42BFEA3C">
    <w:pPr>
      <w:pStyle w:val="257"/>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1DCEC">
    <w:pPr>
      <w:spacing w:line="14" w:lineRule="exact"/>
      <w:ind w:right="189"/>
      <w:rPr>
        <w:rFonts w:ascii="Arial"/>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3BD01">
    <w:pPr>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26922">
    <w:pPr>
      <w:spacing w:line="14" w:lineRule="exact"/>
      <w:rPr>
        <w:rFonts w:ascii="Arial"/>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1443A">
    <w:pPr>
      <w:spacing w:line="14" w:lineRule="exact"/>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suff w:val="space"/>
      <w:lvlText w:val="第%1章"/>
      <w:lvlJc w:val="left"/>
      <w:pPr>
        <w:ind w:left="0" w:firstLine="0"/>
      </w:pPr>
      <w:rPr>
        <w:rFonts w:hint="eastAsia"/>
        <w:b/>
        <w:bCs/>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sz w:val="28"/>
        <w:szCs w:val="28"/>
      </w:rPr>
    </w:lvl>
    <w:lvl w:ilvl="3" w:tentative="0">
      <w:start w:val="1"/>
      <w:numFmt w:val="decimal"/>
      <w:isLgl/>
      <w:suff w:val="space"/>
      <w:lvlText w:val="%1.%2.%3.%4"/>
      <w:lvlJc w:val="left"/>
      <w:pPr>
        <w:ind w:left="0" w:firstLine="0"/>
      </w:pPr>
      <w:rPr>
        <w:rFonts w:hint="default"/>
        <w:sz w:val="24"/>
        <w:szCs w:val="24"/>
      </w:rPr>
    </w:lvl>
    <w:lvl w:ilvl="4" w:tentative="0">
      <w:start w:val="1"/>
      <w:numFmt w:val="decimal"/>
      <w:isLgl/>
      <w:suff w:val="space"/>
      <w:lvlText w:val="%1.%2.%3.%4.%5"/>
      <w:lvlJc w:val="left"/>
      <w:pPr>
        <w:ind w:left="0" w:firstLine="0"/>
      </w:pPr>
      <w:rPr>
        <w:rFonts w:hint="default"/>
        <w:sz w:val="24"/>
        <w:szCs w:val="24"/>
      </w:rPr>
    </w:lvl>
    <w:lvl w:ilvl="5" w:tentative="0">
      <w:start w:val="1"/>
      <w:numFmt w:val="decimal"/>
      <w:isLgl/>
      <w:suff w:val="space"/>
      <w:lvlText w:val="%1.%2.%3.%4.%5.%6"/>
      <w:lvlJc w:val="left"/>
      <w:pPr>
        <w:ind w:left="0" w:firstLine="0"/>
      </w:pPr>
      <w:rPr>
        <w:rFonts w:hint="eastAsia"/>
      </w:rPr>
    </w:lvl>
    <w:lvl w:ilvl="6" w:tentative="0">
      <w:start w:val="1"/>
      <w:numFmt w:val="decimal"/>
      <w:lvlText w:val="%1.%2.%3.%4.%5.%6.%7"/>
      <w:lvlJc w:val="left"/>
      <w:pPr>
        <w:ind w:left="3827" w:hanging="1276"/>
      </w:pPr>
      <w:rPr>
        <w:rFonts w:hint="eastAsia"/>
      </w:rPr>
    </w:lvl>
    <w:lvl w:ilvl="7" w:tentative="0">
      <w:start w:val="1"/>
      <w:numFmt w:val="decimal"/>
      <w:lvlRestart w:val="1"/>
      <w:pStyle w:val="309"/>
      <w:isLgl/>
      <w:suff w:val="space"/>
      <w:lvlText w:val="图%1-%8"/>
      <w:lvlJc w:val="left"/>
      <w:pPr>
        <w:ind w:left="0" w:firstLine="0"/>
      </w:pPr>
      <w:rPr>
        <w:rFonts w:hint="default" w:ascii="Times New Roman" w:hAnsi="Times New Roman" w:eastAsia="宋体"/>
        <w:sz w:val="21"/>
        <w:szCs w:val="16"/>
      </w:rPr>
    </w:lvl>
    <w:lvl w:ilvl="8" w:tentative="0">
      <w:start w:val="1"/>
      <w:numFmt w:val="decimal"/>
      <w:lvlRestart w:val="1"/>
      <w:isLgl/>
      <w:suff w:val="space"/>
      <w:lvlText w:val="表%1.%9"/>
      <w:lvlJc w:val="left"/>
      <w:pPr>
        <w:ind w:left="0" w:firstLine="0"/>
      </w:pPr>
      <w:rPr>
        <w:rFonts w:hint="default" w:ascii="Times New Roman" w:hAnsi="Times New Roman" w:eastAsia="宋体"/>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19"/>
  <w:noPunctuationKerning w:val="1"/>
  <w:characterSpacingControl w:val="doNotCompress"/>
  <w:hdrShapeDefaults>
    <o:shapelayout v:ext="edit">
      <o:idmap v:ext="edit" data="1"/>
    </o:shapelayout>
  </w:hdrShapeDefaults>
  <w:compat>
    <w:balanceSingleByteDoubleByteWidth/>
    <w:ulTrailSpace/>
    <w:doNotExpandShiftReturn/>
    <w:useFELayout/>
    <w:compatSetting w:name="compatibilityMode" w:uri="http://schemas.microsoft.com/office/word" w:val="12"/>
  </w:compat>
  <w:rsids>
    <w:rsidRoot w:val="00CF069C"/>
    <w:rsid w:val="001128BD"/>
    <w:rsid w:val="00114B1B"/>
    <w:rsid w:val="0013667B"/>
    <w:rsid w:val="00245C05"/>
    <w:rsid w:val="0026268C"/>
    <w:rsid w:val="003A3590"/>
    <w:rsid w:val="003B6663"/>
    <w:rsid w:val="004414A8"/>
    <w:rsid w:val="00453D90"/>
    <w:rsid w:val="004920ED"/>
    <w:rsid w:val="004D18D8"/>
    <w:rsid w:val="004E65A2"/>
    <w:rsid w:val="00537F56"/>
    <w:rsid w:val="006704DA"/>
    <w:rsid w:val="006B59EC"/>
    <w:rsid w:val="008A63A0"/>
    <w:rsid w:val="00940660"/>
    <w:rsid w:val="0095420E"/>
    <w:rsid w:val="009B012B"/>
    <w:rsid w:val="00A30354"/>
    <w:rsid w:val="00B64C69"/>
    <w:rsid w:val="00BC793D"/>
    <w:rsid w:val="00BD1DF1"/>
    <w:rsid w:val="00C450DD"/>
    <w:rsid w:val="00CA2967"/>
    <w:rsid w:val="00CA7C33"/>
    <w:rsid w:val="00CF069C"/>
    <w:rsid w:val="00D040EC"/>
    <w:rsid w:val="00D356C5"/>
    <w:rsid w:val="00D802FB"/>
    <w:rsid w:val="00E43839"/>
    <w:rsid w:val="00E85CD7"/>
    <w:rsid w:val="00F117B7"/>
    <w:rsid w:val="00FE002B"/>
    <w:rsid w:val="016D343C"/>
    <w:rsid w:val="01D6466C"/>
    <w:rsid w:val="031418F0"/>
    <w:rsid w:val="03200295"/>
    <w:rsid w:val="060A2B37"/>
    <w:rsid w:val="0788780A"/>
    <w:rsid w:val="07A36A33"/>
    <w:rsid w:val="07CF4546"/>
    <w:rsid w:val="07D57174"/>
    <w:rsid w:val="08C94F2B"/>
    <w:rsid w:val="08D83149"/>
    <w:rsid w:val="09440A55"/>
    <w:rsid w:val="0A267A78"/>
    <w:rsid w:val="0A854E82"/>
    <w:rsid w:val="0AC57974"/>
    <w:rsid w:val="0AF404CC"/>
    <w:rsid w:val="0B3F3282"/>
    <w:rsid w:val="0C880C59"/>
    <w:rsid w:val="0C983640"/>
    <w:rsid w:val="0CA23AC9"/>
    <w:rsid w:val="0D104C34"/>
    <w:rsid w:val="0D286D68"/>
    <w:rsid w:val="0DAB10A3"/>
    <w:rsid w:val="0E4D43AA"/>
    <w:rsid w:val="10753310"/>
    <w:rsid w:val="10F62635"/>
    <w:rsid w:val="11103548"/>
    <w:rsid w:val="117F635E"/>
    <w:rsid w:val="12341DE4"/>
    <w:rsid w:val="125661BD"/>
    <w:rsid w:val="12E2397B"/>
    <w:rsid w:val="14AA3E63"/>
    <w:rsid w:val="14DF1632"/>
    <w:rsid w:val="15711BC1"/>
    <w:rsid w:val="1585042C"/>
    <w:rsid w:val="15EE4223"/>
    <w:rsid w:val="16640041"/>
    <w:rsid w:val="170950EB"/>
    <w:rsid w:val="173B732A"/>
    <w:rsid w:val="174A1D67"/>
    <w:rsid w:val="17966920"/>
    <w:rsid w:val="17BF63A5"/>
    <w:rsid w:val="18054537"/>
    <w:rsid w:val="184719C8"/>
    <w:rsid w:val="198D747A"/>
    <w:rsid w:val="1A4D79AA"/>
    <w:rsid w:val="1AEC6857"/>
    <w:rsid w:val="1B6034CD"/>
    <w:rsid w:val="1B754CA3"/>
    <w:rsid w:val="1C6E39C8"/>
    <w:rsid w:val="1C7C76F5"/>
    <w:rsid w:val="1CD53A3D"/>
    <w:rsid w:val="1D5F1562"/>
    <w:rsid w:val="1DE25A53"/>
    <w:rsid w:val="1E9532EC"/>
    <w:rsid w:val="1F195CE1"/>
    <w:rsid w:val="2097250D"/>
    <w:rsid w:val="20C6170B"/>
    <w:rsid w:val="20D924E2"/>
    <w:rsid w:val="22281E72"/>
    <w:rsid w:val="227E248B"/>
    <w:rsid w:val="23A83C63"/>
    <w:rsid w:val="2437514E"/>
    <w:rsid w:val="248D617B"/>
    <w:rsid w:val="24F271AB"/>
    <w:rsid w:val="24F44686"/>
    <w:rsid w:val="24F84C9B"/>
    <w:rsid w:val="25E25DA3"/>
    <w:rsid w:val="268F0567"/>
    <w:rsid w:val="26C16DEA"/>
    <w:rsid w:val="27514612"/>
    <w:rsid w:val="27F32686"/>
    <w:rsid w:val="2B17347C"/>
    <w:rsid w:val="2B1971F4"/>
    <w:rsid w:val="2C970D19"/>
    <w:rsid w:val="2D265BF9"/>
    <w:rsid w:val="2D4349FC"/>
    <w:rsid w:val="2E331E6B"/>
    <w:rsid w:val="2F83700A"/>
    <w:rsid w:val="2F947791"/>
    <w:rsid w:val="2FD73401"/>
    <w:rsid w:val="307956EF"/>
    <w:rsid w:val="314F30C2"/>
    <w:rsid w:val="31CF4AB1"/>
    <w:rsid w:val="3296277D"/>
    <w:rsid w:val="339A6510"/>
    <w:rsid w:val="33B27EB7"/>
    <w:rsid w:val="33DC1707"/>
    <w:rsid w:val="342062EF"/>
    <w:rsid w:val="35373099"/>
    <w:rsid w:val="35831E3A"/>
    <w:rsid w:val="35C85946"/>
    <w:rsid w:val="36017203"/>
    <w:rsid w:val="363B0902"/>
    <w:rsid w:val="36D31958"/>
    <w:rsid w:val="36FF7BE6"/>
    <w:rsid w:val="378E7BEC"/>
    <w:rsid w:val="37B502A5"/>
    <w:rsid w:val="38145A24"/>
    <w:rsid w:val="384C270B"/>
    <w:rsid w:val="38B95B73"/>
    <w:rsid w:val="38F83336"/>
    <w:rsid w:val="3A3E4582"/>
    <w:rsid w:val="3A8A612C"/>
    <w:rsid w:val="3B7D368C"/>
    <w:rsid w:val="3B9A0687"/>
    <w:rsid w:val="3B9B428B"/>
    <w:rsid w:val="3BDD1D33"/>
    <w:rsid w:val="3BE1308D"/>
    <w:rsid w:val="3C37572C"/>
    <w:rsid w:val="3C4B1C3D"/>
    <w:rsid w:val="3C750133"/>
    <w:rsid w:val="3D1309AC"/>
    <w:rsid w:val="3D5774B4"/>
    <w:rsid w:val="3E974BA8"/>
    <w:rsid w:val="3EAD5F00"/>
    <w:rsid w:val="3EB017C6"/>
    <w:rsid w:val="3FF73E65"/>
    <w:rsid w:val="41282790"/>
    <w:rsid w:val="423233DD"/>
    <w:rsid w:val="42A15FF5"/>
    <w:rsid w:val="43397FDC"/>
    <w:rsid w:val="437101AA"/>
    <w:rsid w:val="44125178"/>
    <w:rsid w:val="44A744A4"/>
    <w:rsid w:val="4518343C"/>
    <w:rsid w:val="454F521F"/>
    <w:rsid w:val="4571639A"/>
    <w:rsid w:val="45905EAD"/>
    <w:rsid w:val="466C40D0"/>
    <w:rsid w:val="46B326A2"/>
    <w:rsid w:val="46C91677"/>
    <w:rsid w:val="470E09DA"/>
    <w:rsid w:val="47154E47"/>
    <w:rsid w:val="480C2163"/>
    <w:rsid w:val="4875227E"/>
    <w:rsid w:val="48DF6B26"/>
    <w:rsid w:val="48FB75B5"/>
    <w:rsid w:val="49175570"/>
    <w:rsid w:val="4A477482"/>
    <w:rsid w:val="4ABA5EC7"/>
    <w:rsid w:val="4B105AC6"/>
    <w:rsid w:val="4D7D0635"/>
    <w:rsid w:val="4DA16EA9"/>
    <w:rsid w:val="4DCE5341"/>
    <w:rsid w:val="4F781E8C"/>
    <w:rsid w:val="5065535A"/>
    <w:rsid w:val="508C523B"/>
    <w:rsid w:val="50CD317B"/>
    <w:rsid w:val="50FC1AA6"/>
    <w:rsid w:val="521A36CE"/>
    <w:rsid w:val="5290573F"/>
    <w:rsid w:val="52CB155A"/>
    <w:rsid w:val="532317F1"/>
    <w:rsid w:val="535406BF"/>
    <w:rsid w:val="536C0C73"/>
    <w:rsid w:val="5393341E"/>
    <w:rsid w:val="53C30570"/>
    <w:rsid w:val="541A1764"/>
    <w:rsid w:val="54417169"/>
    <w:rsid w:val="54C17E31"/>
    <w:rsid w:val="5522723D"/>
    <w:rsid w:val="55B81234"/>
    <w:rsid w:val="561227A5"/>
    <w:rsid w:val="566B3837"/>
    <w:rsid w:val="571A1D3E"/>
    <w:rsid w:val="57CF1CA5"/>
    <w:rsid w:val="590E7F53"/>
    <w:rsid w:val="5A49507E"/>
    <w:rsid w:val="5A6574B1"/>
    <w:rsid w:val="5D5475DC"/>
    <w:rsid w:val="5DB217C6"/>
    <w:rsid w:val="5DB72F61"/>
    <w:rsid w:val="5DEF7705"/>
    <w:rsid w:val="5E1A6E9C"/>
    <w:rsid w:val="5F0454EA"/>
    <w:rsid w:val="5FAD7930"/>
    <w:rsid w:val="60E10C14"/>
    <w:rsid w:val="60EF50B4"/>
    <w:rsid w:val="615076B3"/>
    <w:rsid w:val="616044A2"/>
    <w:rsid w:val="61C044BC"/>
    <w:rsid w:val="61C64A0E"/>
    <w:rsid w:val="61E87F22"/>
    <w:rsid w:val="6214104D"/>
    <w:rsid w:val="625E5455"/>
    <w:rsid w:val="6293593A"/>
    <w:rsid w:val="63387E58"/>
    <w:rsid w:val="640E2967"/>
    <w:rsid w:val="663A3EE7"/>
    <w:rsid w:val="664D344A"/>
    <w:rsid w:val="67811EF3"/>
    <w:rsid w:val="67954732"/>
    <w:rsid w:val="68FE78CA"/>
    <w:rsid w:val="6B4C2E28"/>
    <w:rsid w:val="6C094140"/>
    <w:rsid w:val="6C1B3E73"/>
    <w:rsid w:val="6C29246F"/>
    <w:rsid w:val="6C643EE9"/>
    <w:rsid w:val="6CDF1345"/>
    <w:rsid w:val="6D611D5A"/>
    <w:rsid w:val="6DDB64CE"/>
    <w:rsid w:val="6E432276"/>
    <w:rsid w:val="6E896E17"/>
    <w:rsid w:val="6E964E64"/>
    <w:rsid w:val="6EB913C0"/>
    <w:rsid w:val="6F566B32"/>
    <w:rsid w:val="6FA429E3"/>
    <w:rsid w:val="703B27FD"/>
    <w:rsid w:val="707B3132"/>
    <w:rsid w:val="70C31ED0"/>
    <w:rsid w:val="718D6810"/>
    <w:rsid w:val="719941B8"/>
    <w:rsid w:val="71CF3736"/>
    <w:rsid w:val="73255924"/>
    <w:rsid w:val="744D7413"/>
    <w:rsid w:val="74C36FAE"/>
    <w:rsid w:val="78451BB6"/>
    <w:rsid w:val="785173F2"/>
    <w:rsid w:val="78BD4FE7"/>
    <w:rsid w:val="78CB7042"/>
    <w:rsid w:val="7950012B"/>
    <w:rsid w:val="7A1B0853"/>
    <w:rsid w:val="7A580EAF"/>
    <w:rsid w:val="7AA15E8B"/>
    <w:rsid w:val="7BF20526"/>
    <w:rsid w:val="7C0A6A36"/>
    <w:rsid w:val="7C9149ED"/>
    <w:rsid w:val="7D371900"/>
    <w:rsid w:val="7EB22D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1"/>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87"/>
    <w:qFormat/>
    <w:uiPriority w:val="9"/>
    <w:pPr>
      <w:keepNext/>
      <w:keepLines/>
      <w:spacing w:before="480" w:after="200"/>
      <w:outlineLvl w:val="0"/>
    </w:pPr>
    <w:rPr>
      <w:rFonts w:ascii="Arial" w:hAnsi="Arial" w:eastAsia="Arial" w:cs="Arial"/>
      <w:sz w:val="40"/>
      <w:szCs w:val="40"/>
    </w:rPr>
  </w:style>
  <w:style w:type="paragraph" w:styleId="2">
    <w:name w:val="heading 2"/>
    <w:basedOn w:val="1"/>
    <w:next w:val="1"/>
    <w:link w:val="8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1"/>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5"/>
    <w:unhideWhenUsed/>
    <w:qFormat/>
    <w:uiPriority w:val="9"/>
    <w:pPr>
      <w:keepNext/>
      <w:keepLines/>
      <w:spacing w:before="320" w:after="200"/>
      <w:outlineLvl w:val="8"/>
    </w:pPr>
    <w:rPr>
      <w:rFonts w:ascii="Arial" w:hAnsi="Arial" w:eastAsia="Arial" w:cs="Arial"/>
      <w:i/>
      <w:iCs/>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semiHidden/>
    <w:unhideWhenUsed/>
    <w:qFormat/>
    <w:uiPriority w:val="99"/>
    <w:pPr>
      <w:jc w:val="left"/>
    </w:pPr>
  </w:style>
  <w:style w:type="paragraph" w:styleId="15">
    <w:name w:val="Body Text"/>
    <w:basedOn w:val="1"/>
    <w:next w:val="1"/>
    <w:semiHidden/>
    <w:qFormat/>
    <w:uiPriority w:val="0"/>
    <w:rPr>
      <w:rFonts w:ascii="Arial" w:hAnsi="Arial" w:eastAsia="Arial" w:cs="Arial"/>
      <w:szCs w:val="21"/>
      <w:lang w:eastAsia="en-US"/>
    </w:rPr>
  </w:style>
  <w:style w:type="paragraph" w:styleId="16">
    <w:name w:val="Body Text Indent"/>
    <w:basedOn w:val="1"/>
    <w:next w:val="17"/>
    <w:qFormat/>
    <w:uiPriority w:val="99"/>
    <w:pPr>
      <w:adjustRightInd w:val="0"/>
      <w:spacing w:line="312" w:lineRule="atLeast"/>
      <w:ind w:firstLine="574"/>
      <w:textAlignment w:val="baseline"/>
    </w:pPr>
    <w:rPr>
      <w:rFonts w:ascii="宋体"/>
      <w:sz w:val="28"/>
    </w:rPr>
  </w:style>
  <w:style w:type="paragraph" w:styleId="17">
    <w:name w:val="envelope return"/>
    <w:basedOn w:val="1"/>
    <w:qFormat/>
    <w:uiPriority w:val="0"/>
    <w:pPr>
      <w:widowControl/>
      <w:topLinePunct/>
      <w:adjustRightInd w:val="0"/>
      <w:snapToGrid w:val="0"/>
      <w:spacing w:before="160" w:after="160" w:line="240" w:lineRule="atLeast"/>
      <w:ind w:left="1701"/>
      <w:jc w:val="left"/>
    </w:pPr>
    <w:rPr>
      <w:rFonts w:ascii="Arial" w:hAnsi="Arial" w:cs="Arial"/>
      <w:szCs w:val="21"/>
    </w:rPr>
  </w:style>
  <w:style w:type="paragraph" w:styleId="18">
    <w:name w:val="Block Text"/>
    <w:basedOn w:val="1"/>
    <w:unhideWhenUsed/>
    <w:qFormat/>
    <w:uiPriority w:val="99"/>
    <w:pPr>
      <w:spacing w:after="120"/>
      <w:ind w:left="1440" w:right="144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endnote text"/>
    <w:basedOn w:val="1"/>
    <w:link w:val="232"/>
    <w:semiHidden/>
    <w:unhideWhenUsed/>
    <w:qFormat/>
    <w:uiPriority w:val="99"/>
    <w:rPr>
      <w:sz w:val="20"/>
    </w:rPr>
  </w:style>
  <w:style w:type="paragraph" w:styleId="23">
    <w:name w:val="Balloon Text"/>
    <w:basedOn w:val="1"/>
    <w:link w:val="316"/>
    <w:semiHidden/>
    <w:unhideWhenUsed/>
    <w:qFormat/>
    <w:uiPriority w:val="99"/>
    <w:rPr>
      <w:sz w:val="18"/>
      <w:szCs w:val="18"/>
    </w:rPr>
  </w:style>
  <w:style w:type="paragraph" w:styleId="24">
    <w:name w:val="footer"/>
    <w:basedOn w:val="1"/>
    <w:link w:val="105"/>
    <w:unhideWhenUsed/>
    <w:qFormat/>
    <w:uiPriority w:val="99"/>
    <w:pPr>
      <w:tabs>
        <w:tab w:val="center" w:pos="7143"/>
        <w:tab w:val="right" w:pos="14287"/>
      </w:tabs>
    </w:pPr>
  </w:style>
  <w:style w:type="paragraph" w:styleId="25">
    <w:name w:val="header"/>
    <w:basedOn w:val="1"/>
    <w:link w:val="103"/>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8"/>
    <w:qFormat/>
    <w:uiPriority w:val="11"/>
    <w:pPr>
      <w:spacing w:before="200" w:after="200"/>
    </w:pPr>
    <w:rPr>
      <w:sz w:val="24"/>
    </w:rPr>
  </w:style>
  <w:style w:type="paragraph" w:styleId="29">
    <w:name w:val="footnote text"/>
    <w:basedOn w:val="1"/>
    <w:link w:val="23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spacing w:after="120" w:line="480" w:lineRule="auto"/>
    </w:pPr>
  </w:style>
  <w:style w:type="paragraph" w:styleId="35">
    <w:name w:val="Normal (Web)"/>
    <w:basedOn w:val="1"/>
    <w:qFormat/>
    <w:uiPriority w:val="0"/>
    <w:pPr>
      <w:widowControl/>
      <w:spacing w:before="100" w:beforeAutospacing="1" w:after="100" w:afterAutospacing="1"/>
      <w:jc w:val="left"/>
    </w:pPr>
    <w:rPr>
      <w:rFonts w:ascii="宋体" w:hAnsi="宋体" w:cs="宋体" w:eastAsiaTheme="minorEastAsia"/>
      <w:color w:val="000000"/>
      <w:sz w:val="24"/>
    </w:rPr>
  </w:style>
  <w:style w:type="paragraph" w:styleId="36">
    <w:name w:val="Title"/>
    <w:basedOn w:val="1"/>
    <w:next w:val="1"/>
    <w:link w:val="97"/>
    <w:qFormat/>
    <w:uiPriority w:val="10"/>
    <w:pPr>
      <w:spacing w:before="300" w:after="200"/>
      <w:contextualSpacing/>
    </w:pPr>
    <w:rPr>
      <w:sz w:val="48"/>
      <w:szCs w:val="48"/>
    </w:rPr>
  </w:style>
  <w:style w:type="paragraph" w:styleId="37">
    <w:name w:val="Body Text First Indent"/>
    <w:basedOn w:val="15"/>
    <w:qFormat/>
    <w:uiPriority w:val="0"/>
    <w:pPr>
      <w:spacing w:line="360" w:lineRule="auto"/>
      <w:ind w:firstLine="420"/>
    </w:pPr>
    <w:rPr>
      <w:sz w:val="20"/>
    </w:rPr>
  </w:style>
  <w:style w:type="paragraph" w:styleId="38">
    <w:name w:val="Body Text First Indent 2"/>
    <w:basedOn w:val="16"/>
    <w:unhideWhenUsed/>
    <w:qFormat/>
    <w:uiPriority w:val="99"/>
    <w:pPr>
      <w:spacing w:after="120"/>
      <w:ind w:left="420" w:leftChars="200" w:firstLine="420" w:firstLineChars="200"/>
    </w:pPr>
    <w:rPr>
      <w:rFonts w:ascii="Times New Roman"/>
      <w:sz w:val="20"/>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bCs/>
    </w:rPr>
  </w:style>
  <w:style w:type="character" w:styleId="43">
    <w:name w:val="endnote reference"/>
    <w:semiHidden/>
    <w:unhideWhenUsed/>
    <w:qFormat/>
    <w:uiPriority w:val="99"/>
    <w:rPr>
      <w:vertAlign w:val="superscript"/>
    </w:rPr>
  </w:style>
  <w:style w:type="character" w:styleId="44">
    <w:name w:val="page number"/>
    <w:basedOn w:val="41"/>
    <w:qFormat/>
    <w:uiPriority w:val="0"/>
  </w:style>
  <w:style w:type="character" w:styleId="45">
    <w:name w:val="Emphasis"/>
    <w:basedOn w:val="41"/>
    <w:qFormat/>
    <w:uiPriority w:val="20"/>
    <w:rPr>
      <w:color w:val="CC0000"/>
    </w:rPr>
  </w:style>
  <w:style w:type="character" w:styleId="46">
    <w:name w:val="Hyperlink"/>
    <w:unhideWhenUsed/>
    <w:qFormat/>
    <w:uiPriority w:val="99"/>
    <w:rPr>
      <w:color w:val="0000FF" w:themeColor="hyperlink"/>
      <w:u w:val="single"/>
    </w:rPr>
  </w:style>
  <w:style w:type="character" w:styleId="47">
    <w:name w:val="footnote reference"/>
    <w:unhideWhenUsed/>
    <w:qFormat/>
    <w:uiPriority w:val="99"/>
    <w:rPr>
      <w:vertAlign w:val="superscript"/>
    </w:rPr>
  </w:style>
  <w:style w:type="paragraph" w:customStyle="1" w:styleId="48">
    <w:name w:val="正文缩进1"/>
    <w:basedOn w:val="1"/>
    <w:link w:val="241"/>
    <w:qFormat/>
    <w:uiPriority w:val="0"/>
    <w:pPr>
      <w:ind w:firstLine="420"/>
    </w:pPr>
    <w:rPr>
      <w:rFonts w:ascii="Arial" w:hAnsi="Arial" w:eastAsia="楷体_GB2312"/>
      <w:sz w:val="20"/>
      <w:szCs w:val="20"/>
    </w:rPr>
  </w:style>
  <w:style w:type="character" w:customStyle="1" w:styleId="49">
    <w:name w:val="Heading 1 Char"/>
    <w:basedOn w:val="41"/>
    <w:qFormat/>
    <w:uiPriority w:val="9"/>
    <w:rPr>
      <w:rFonts w:ascii="Arial" w:hAnsi="Arial" w:eastAsia="Arial" w:cs="Arial"/>
      <w:sz w:val="40"/>
      <w:szCs w:val="40"/>
    </w:rPr>
  </w:style>
  <w:style w:type="character" w:customStyle="1" w:styleId="50">
    <w:name w:val="Heading 2 Char"/>
    <w:basedOn w:val="41"/>
    <w:qFormat/>
    <w:uiPriority w:val="9"/>
    <w:rPr>
      <w:rFonts w:ascii="Arial" w:hAnsi="Arial" w:eastAsia="Arial" w:cs="Arial"/>
      <w:sz w:val="34"/>
    </w:rPr>
  </w:style>
  <w:style w:type="character" w:customStyle="1" w:styleId="51">
    <w:name w:val="Heading 3 Char"/>
    <w:basedOn w:val="41"/>
    <w:qFormat/>
    <w:uiPriority w:val="9"/>
    <w:rPr>
      <w:rFonts w:ascii="Arial" w:hAnsi="Arial" w:eastAsia="Arial" w:cs="Arial"/>
      <w:sz w:val="30"/>
      <w:szCs w:val="30"/>
    </w:rPr>
  </w:style>
  <w:style w:type="character" w:customStyle="1" w:styleId="52">
    <w:name w:val="Heading 4 Char"/>
    <w:basedOn w:val="41"/>
    <w:qFormat/>
    <w:uiPriority w:val="9"/>
    <w:rPr>
      <w:rFonts w:ascii="Arial" w:hAnsi="Arial" w:eastAsia="Arial" w:cs="Arial"/>
      <w:b/>
      <w:bCs/>
      <w:sz w:val="26"/>
      <w:szCs w:val="26"/>
    </w:rPr>
  </w:style>
  <w:style w:type="character" w:customStyle="1" w:styleId="53">
    <w:name w:val="Heading 5 Char"/>
    <w:basedOn w:val="41"/>
    <w:qFormat/>
    <w:uiPriority w:val="9"/>
    <w:rPr>
      <w:rFonts w:ascii="Arial" w:hAnsi="Arial" w:eastAsia="Arial" w:cs="Arial"/>
      <w:b/>
      <w:bCs/>
      <w:sz w:val="24"/>
      <w:szCs w:val="24"/>
    </w:rPr>
  </w:style>
  <w:style w:type="character" w:customStyle="1" w:styleId="54">
    <w:name w:val="Heading 6 Char"/>
    <w:basedOn w:val="41"/>
    <w:qFormat/>
    <w:uiPriority w:val="9"/>
    <w:rPr>
      <w:rFonts w:ascii="Arial" w:hAnsi="Arial" w:eastAsia="Arial" w:cs="Arial"/>
      <w:b/>
      <w:bCs/>
      <w:sz w:val="22"/>
      <w:szCs w:val="22"/>
    </w:rPr>
  </w:style>
  <w:style w:type="character" w:customStyle="1" w:styleId="55">
    <w:name w:val="Heading 7 Char"/>
    <w:basedOn w:val="41"/>
    <w:qFormat/>
    <w:uiPriority w:val="9"/>
    <w:rPr>
      <w:rFonts w:ascii="Arial" w:hAnsi="Arial" w:eastAsia="Arial" w:cs="Arial"/>
      <w:b/>
      <w:bCs/>
      <w:i/>
      <w:iCs/>
      <w:sz w:val="22"/>
      <w:szCs w:val="22"/>
    </w:rPr>
  </w:style>
  <w:style w:type="character" w:customStyle="1" w:styleId="56">
    <w:name w:val="Heading 8 Char"/>
    <w:basedOn w:val="41"/>
    <w:qFormat/>
    <w:uiPriority w:val="9"/>
    <w:rPr>
      <w:rFonts w:ascii="Arial" w:hAnsi="Arial" w:eastAsia="Arial" w:cs="Arial"/>
      <w:i/>
      <w:iCs/>
      <w:sz w:val="22"/>
      <w:szCs w:val="22"/>
    </w:rPr>
  </w:style>
  <w:style w:type="character" w:customStyle="1" w:styleId="57">
    <w:name w:val="Heading 9 Char"/>
    <w:basedOn w:val="41"/>
    <w:qFormat/>
    <w:uiPriority w:val="9"/>
    <w:rPr>
      <w:rFonts w:ascii="Arial" w:hAnsi="Arial" w:eastAsia="Arial" w:cs="Arial"/>
      <w:i/>
      <w:iCs/>
      <w:sz w:val="21"/>
      <w:szCs w:val="21"/>
    </w:rPr>
  </w:style>
  <w:style w:type="character" w:customStyle="1" w:styleId="58">
    <w:name w:val="Title Char"/>
    <w:basedOn w:val="41"/>
    <w:qFormat/>
    <w:uiPriority w:val="10"/>
    <w:rPr>
      <w:sz w:val="48"/>
      <w:szCs w:val="48"/>
    </w:rPr>
  </w:style>
  <w:style w:type="character" w:customStyle="1" w:styleId="59">
    <w:name w:val="Subtitle Char"/>
    <w:basedOn w:val="41"/>
    <w:qFormat/>
    <w:uiPriority w:val="11"/>
    <w:rPr>
      <w:sz w:val="24"/>
      <w:szCs w:val="24"/>
    </w:rPr>
  </w:style>
  <w:style w:type="character" w:customStyle="1" w:styleId="60">
    <w:name w:val="Quote Char"/>
    <w:qFormat/>
    <w:uiPriority w:val="29"/>
    <w:rPr>
      <w:i/>
    </w:rPr>
  </w:style>
  <w:style w:type="character" w:customStyle="1" w:styleId="61">
    <w:name w:val="Intense Quote Char"/>
    <w:qFormat/>
    <w:uiPriority w:val="30"/>
    <w:rPr>
      <w:i/>
    </w:rPr>
  </w:style>
  <w:style w:type="character" w:customStyle="1" w:styleId="62">
    <w:name w:val="Header Char"/>
    <w:basedOn w:val="41"/>
    <w:qFormat/>
    <w:uiPriority w:val="99"/>
  </w:style>
  <w:style w:type="character" w:customStyle="1" w:styleId="63">
    <w:name w:val="Caption Char"/>
    <w:qFormat/>
    <w:uiPriority w:val="99"/>
  </w:style>
  <w:style w:type="table" w:customStyle="1" w:styleId="64">
    <w:name w:val="Plain Table 1"/>
    <w:basedOn w:val="3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2"/>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3"/>
    <w:basedOn w:val="3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4"/>
    <w:basedOn w:val="3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5 Dark"/>
    <w:basedOn w:val="3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4">
    <w:name w:val="Grid Table 6 Colorful"/>
    <w:basedOn w:val="3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75">
    <w:name w:val="Grid Table 7 Colorful"/>
    <w:basedOn w:val="3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76">
    <w:name w:val="List Table 1 Light"/>
    <w:basedOn w:val="3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7">
    <w:name w:val="List Table 2"/>
    <w:basedOn w:val="3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List Table 3"/>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9">
    <w:name w:val="List Table 4"/>
    <w:basedOn w:val="3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0">
    <w:name w:val="List Table 5 Dark"/>
    <w:basedOn w:val="3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1">
    <w:name w:val="List Table 6 Colorful"/>
    <w:basedOn w:val="3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82">
    <w:name w:val="List Table 7 Colorful"/>
    <w:basedOn w:val="3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标题1"/>
    <w:unhideWhenUsed/>
    <w:qFormat/>
    <w:uiPriority w:val="39"/>
    <w:rPr>
      <w:rFonts w:ascii="Times New Roman" w:hAnsi="Times New Roman" w:eastAsia="宋体" w:cs="Times New Roman"/>
      <w:lang w:val="en-US" w:eastAsia="zh-CN" w:bidi="ar-SA"/>
    </w:rPr>
  </w:style>
  <w:style w:type="paragraph" w:customStyle="1" w:styleId="86">
    <w:name w:val="正文文本缩进1"/>
    <w:basedOn w:val="1"/>
    <w:next w:val="1"/>
    <w:qFormat/>
    <w:uiPriority w:val="99"/>
    <w:pPr>
      <w:ind w:firstLine="645"/>
    </w:pPr>
    <w:rPr>
      <w:rFonts w:ascii="楷体_GB2312" w:eastAsia="楷体_GB2312"/>
      <w:sz w:val="32"/>
      <w:szCs w:val="20"/>
    </w:rPr>
  </w:style>
  <w:style w:type="character" w:customStyle="1" w:styleId="87">
    <w:name w:val="标题 1 Char"/>
    <w:link w:val="3"/>
    <w:qFormat/>
    <w:uiPriority w:val="9"/>
    <w:rPr>
      <w:rFonts w:ascii="Arial" w:hAnsi="Arial" w:eastAsia="Arial" w:cs="Arial"/>
      <w:sz w:val="40"/>
      <w:szCs w:val="40"/>
    </w:rPr>
  </w:style>
  <w:style w:type="character" w:customStyle="1" w:styleId="88">
    <w:name w:val="标题 2 Char"/>
    <w:link w:val="2"/>
    <w:qFormat/>
    <w:uiPriority w:val="9"/>
    <w:rPr>
      <w:rFonts w:ascii="Arial" w:hAnsi="Arial" w:eastAsia="Arial" w:cs="Arial"/>
      <w:sz w:val="34"/>
    </w:rPr>
  </w:style>
  <w:style w:type="character" w:customStyle="1" w:styleId="89">
    <w:name w:val="标题 3 Char"/>
    <w:link w:val="4"/>
    <w:qFormat/>
    <w:uiPriority w:val="9"/>
    <w:rPr>
      <w:rFonts w:ascii="Arial" w:hAnsi="Arial" w:eastAsia="Arial" w:cs="Arial"/>
      <w:sz w:val="30"/>
      <w:szCs w:val="30"/>
    </w:rPr>
  </w:style>
  <w:style w:type="character" w:customStyle="1" w:styleId="90">
    <w:name w:val="标题 4 Char"/>
    <w:link w:val="5"/>
    <w:qFormat/>
    <w:uiPriority w:val="9"/>
    <w:rPr>
      <w:rFonts w:ascii="Arial" w:hAnsi="Arial" w:eastAsia="Arial" w:cs="Arial"/>
      <w:b/>
      <w:bCs/>
      <w:sz w:val="26"/>
      <w:szCs w:val="26"/>
    </w:rPr>
  </w:style>
  <w:style w:type="character" w:customStyle="1" w:styleId="91">
    <w:name w:val="标题 5 Char"/>
    <w:link w:val="6"/>
    <w:qFormat/>
    <w:uiPriority w:val="9"/>
    <w:rPr>
      <w:rFonts w:ascii="Arial" w:hAnsi="Arial" w:eastAsia="Arial" w:cs="Arial"/>
      <w:b/>
      <w:bCs/>
      <w:sz w:val="24"/>
      <w:szCs w:val="24"/>
    </w:rPr>
  </w:style>
  <w:style w:type="character" w:customStyle="1" w:styleId="92">
    <w:name w:val="标题 6 Char"/>
    <w:link w:val="7"/>
    <w:qFormat/>
    <w:uiPriority w:val="9"/>
    <w:rPr>
      <w:rFonts w:ascii="Arial" w:hAnsi="Arial" w:eastAsia="Arial" w:cs="Arial"/>
      <w:b/>
      <w:bCs/>
      <w:sz w:val="22"/>
      <w:szCs w:val="22"/>
    </w:rPr>
  </w:style>
  <w:style w:type="character" w:customStyle="1" w:styleId="93">
    <w:name w:val="标题 7 Char"/>
    <w:link w:val="8"/>
    <w:qFormat/>
    <w:uiPriority w:val="9"/>
    <w:rPr>
      <w:rFonts w:ascii="Arial" w:hAnsi="Arial" w:eastAsia="Arial" w:cs="Arial"/>
      <w:b/>
      <w:bCs/>
      <w:i/>
      <w:iCs/>
      <w:sz w:val="22"/>
      <w:szCs w:val="22"/>
    </w:rPr>
  </w:style>
  <w:style w:type="character" w:customStyle="1" w:styleId="94">
    <w:name w:val="标题 8 Char"/>
    <w:link w:val="9"/>
    <w:qFormat/>
    <w:uiPriority w:val="9"/>
    <w:rPr>
      <w:rFonts w:ascii="Arial" w:hAnsi="Arial" w:eastAsia="Arial" w:cs="Arial"/>
      <w:i/>
      <w:iCs/>
      <w:sz w:val="22"/>
      <w:szCs w:val="22"/>
    </w:rPr>
  </w:style>
  <w:style w:type="character" w:customStyle="1" w:styleId="95">
    <w:name w:val="标题 9 Char"/>
    <w:link w:val="10"/>
    <w:qFormat/>
    <w:uiPriority w:val="9"/>
    <w:rPr>
      <w:rFonts w:ascii="Arial" w:hAnsi="Arial" w:eastAsia="Arial" w:cs="Arial"/>
      <w:i/>
      <w:iCs/>
      <w:sz w:val="21"/>
      <w:szCs w:val="21"/>
    </w:rPr>
  </w:style>
  <w:style w:type="paragraph" w:styleId="96">
    <w:name w:val="No Spacing"/>
    <w:qFormat/>
    <w:uiPriority w:val="1"/>
    <w:rPr>
      <w:rFonts w:ascii="Times New Roman" w:hAnsi="Times New Roman" w:eastAsia="宋体" w:cs="Times New Roman"/>
      <w:lang w:val="en-US" w:eastAsia="zh-CN" w:bidi="ar-SA"/>
    </w:rPr>
  </w:style>
  <w:style w:type="character" w:customStyle="1" w:styleId="97">
    <w:name w:val="标题 Char"/>
    <w:link w:val="36"/>
    <w:qFormat/>
    <w:uiPriority w:val="10"/>
    <w:rPr>
      <w:sz w:val="48"/>
      <w:szCs w:val="48"/>
    </w:rPr>
  </w:style>
  <w:style w:type="character" w:customStyle="1" w:styleId="98">
    <w:name w:val="副标题 Char"/>
    <w:link w:val="28"/>
    <w:qFormat/>
    <w:uiPriority w:val="11"/>
    <w:rPr>
      <w:sz w:val="24"/>
      <w:szCs w:val="24"/>
    </w:rPr>
  </w:style>
  <w:style w:type="paragraph" w:styleId="99">
    <w:name w:val="Quote"/>
    <w:basedOn w:val="1"/>
    <w:next w:val="1"/>
    <w:link w:val="100"/>
    <w:qFormat/>
    <w:uiPriority w:val="29"/>
    <w:pPr>
      <w:ind w:left="720" w:right="720"/>
    </w:pPr>
    <w:rPr>
      <w:i/>
    </w:rPr>
  </w:style>
  <w:style w:type="character" w:customStyle="1" w:styleId="100">
    <w:name w:val="引用 Char"/>
    <w:link w:val="99"/>
    <w:qFormat/>
    <w:uiPriority w:val="29"/>
    <w:rPr>
      <w:i/>
    </w:rPr>
  </w:style>
  <w:style w:type="paragraph" w:styleId="101">
    <w:name w:val="Intense Quote"/>
    <w:basedOn w:val="1"/>
    <w:next w:val="1"/>
    <w:link w:val="10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2">
    <w:name w:val="明显引用 Char"/>
    <w:link w:val="101"/>
    <w:qFormat/>
    <w:uiPriority w:val="30"/>
    <w:rPr>
      <w:i/>
    </w:rPr>
  </w:style>
  <w:style w:type="character" w:customStyle="1" w:styleId="103">
    <w:name w:val="页眉 Char"/>
    <w:link w:val="25"/>
    <w:qFormat/>
    <w:uiPriority w:val="99"/>
  </w:style>
  <w:style w:type="character" w:customStyle="1" w:styleId="104">
    <w:name w:val="Footer Char"/>
    <w:qFormat/>
    <w:uiPriority w:val="99"/>
  </w:style>
  <w:style w:type="character" w:customStyle="1" w:styleId="105">
    <w:name w:val="页脚 Char"/>
    <w:link w:val="24"/>
    <w:qFormat/>
    <w:uiPriority w:val="99"/>
  </w:style>
  <w:style w:type="table" w:customStyle="1" w:styleId="10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4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4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5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5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6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1">
    <w:name w:val="脚注文本 Char"/>
    <w:link w:val="29"/>
    <w:qFormat/>
    <w:uiPriority w:val="99"/>
    <w:rPr>
      <w:sz w:val="18"/>
    </w:rPr>
  </w:style>
  <w:style w:type="character" w:customStyle="1" w:styleId="232">
    <w:name w:val="尾注文本 Char"/>
    <w:link w:val="22"/>
    <w:qFormat/>
    <w:uiPriority w:val="99"/>
    <w:rPr>
      <w:sz w:val="20"/>
    </w:rPr>
  </w:style>
  <w:style w:type="paragraph" w:customStyle="1" w:styleId="233">
    <w:name w:val="TOC 标题11"/>
    <w:unhideWhenUsed/>
    <w:qFormat/>
    <w:uiPriority w:val="39"/>
    <w:rPr>
      <w:rFonts w:ascii="Times New Roman" w:hAnsi="Times New Roman" w:eastAsia="宋体" w:cs="Times New Roman"/>
      <w:lang w:val="en-US" w:eastAsia="zh-CN" w:bidi="ar-SA"/>
    </w:rPr>
  </w:style>
  <w:style w:type="paragraph" w:customStyle="1" w:styleId="234">
    <w:name w:val="标题 11"/>
    <w:basedOn w:val="1"/>
    <w:next w:val="1"/>
    <w:qFormat/>
    <w:uiPriority w:val="9"/>
    <w:pPr>
      <w:keepNext/>
      <w:spacing w:before="120" w:after="120"/>
      <w:jc w:val="left"/>
      <w:outlineLvl w:val="0"/>
    </w:pPr>
    <w:rPr>
      <w:rFonts w:ascii="楷体_GB2312" w:hAnsi="楷体_GB2312"/>
      <w:sz w:val="28"/>
    </w:rPr>
  </w:style>
  <w:style w:type="paragraph" w:customStyle="1" w:styleId="235">
    <w:name w:val="标题 21"/>
    <w:basedOn w:val="1"/>
    <w:next w:val="48"/>
    <w:link w:val="240"/>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236">
    <w:name w:val="标题 31"/>
    <w:basedOn w:val="1"/>
    <w:next w:val="48"/>
    <w:link w:val="242"/>
    <w:qFormat/>
    <w:uiPriority w:val="9"/>
    <w:pPr>
      <w:keepNext/>
      <w:keepLines/>
      <w:spacing w:before="260" w:after="260" w:line="416" w:lineRule="auto"/>
      <w:outlineLvl w:val="2"/>
    </w:pPr>
    <w:rPr>
      <w:b/>
      <w:sz w:val="32"/>
      <w:szCs w:val="20"/>
    </w:rPr>
  </w:style>
  <w:style w:type="paragraph" w:customStyle="1" w:styleId="237">
    <w:name w:val="标题 41"/>
    <w:basedOn w:val="1"/>
    <w:next w:val="1"/>
    <w:qFormat/>
    <w:uiPriority w:val="1"/>
    <w:pPr>
      <w:jc w:val="center"/>
      <w:outlineLvl w:val="3"/>
    </w:pPr>
    <w:rPr>
      <w:rFonts w:ascii="宋体" w:hAnsi="宋体" w:cs="宋体"/>
      <w:b/>
      <w:bCs/>
      <w:sz w:val="31"/>
      <w:szCs w:val="31"/>
      <w:lang w:val="zh-CN" w:bidi="zh-CN"/>
    </w:rPr>
  </w:style>
  <w:style w:type="character" w:customStyle="1" w:styleId="238">
    <w:name w:val="默认段落字体1"/>
    <w:semiHidden/>
    <w:qFormat/>
    <w:uiPriority w:val="0"/>
  </w:style>
  <w:style w:type="table" w:customStyle="1" w:styleId="239">
    <w:name w:val="普通表格1"/>
    <w:semiHidden/>
    <w:qFormat/>
    <w:uiPriority w:val="0"/>
    <w:tblPr>
      <w:tblCellMar>
        <w:top w:w="0" w:type="dxa"/>
        <w:left w:w="0" w:type="dxa"/>
        <w:bottom w:w="0" w:type="dxa"/>
        <w:right w:w="0" w:type="dxa"/>
      </w:tblCellMar>
    </w:tblPr>
  </w:style>
  <w:style w:type="character" w:customStyle="1" w:styleId="240">
    <w:name w:val="标题 2 字符"/>
    <w:link w:val="235"/>
    <w:qFormat/>
    <w:uiPriority w:val="9"/>
    <w:rPr>
      <w:rFonts w:ascii="幼圆" w:hAnsi="Arial" w:eastAsia="楷体_GB2312"/>
      <w:b/>
      <w:sz w:val="44"/>
      <w:szCs w:val="20"/>
    </w:rPr>
  </w:style>
  <w:style w:type="character" w:customStyle="1" w:styleId="241">
    <w:name w:val="正文缩进 字符"/>
    <w:link w:val="48"/>
    <w:qFormat/>
    <w:uiPriority w:val="0"/>
    <w:rPr>
      <w:rFonts w:ascii="Arial" w:hAnsi="Arial" w:eastAsia="楷体_GB2312"/>
    </w:rPr>
  </w:style>
  <w:style w:type="character" w:customStyle="1" w:styleId="242">
    <w:name w:val="标题 3 字符"/>
    <w:link w:val="236"/>
    <w:qFormat/>
    <w:uiPriority w:val="9"/>
    <w:rPr>
      <w:b/>
      <w:sz w:val="32"/>
      <w:szCs w:val="20"/>
    </w:rPr>
  </w:style>
  <w:style w:type="paragraph" w:customStyle="1" w:styleId="243">
    <w:name w:val="目录 71"/>
    <w:basedOn w:val="1"/>
    <w:next w:val="1"/>
    <w:unhideWhenUsed/>
    <w:qFormat/>
    <w:uiPriority w:val="39"/>
    <w:pPr>
      <w:ind w:left="2520"/>
    </w:pPr>
    <w:rPr>
      <w:rFonts w:ascii="等线" w:hAnsi="等线" w:eastAsia="等线"/>
      <w:szCs w:val="22"/>
    </w:rPr>
  </w:style>
  <w:style w:type="paragraph" w:customStyle="1" w:styleId="244">
    <w:name w:val="文档结构图1"/>
    <w:basedOn w:val="1"/>
    <w:link w:val="245"/>
    <w:qFormat/>
    <w:uiPriority w:val="0"/>
    <w:rPr>
      <w:rFonts w:ascii="宋体"/>
      <w:sz w:val="18"/>
      <w:szCs w:val="18"/>
    </w:rPr>
  </w:style>
  <w:style w:type="character" w:customStyle="1" w:styleId="245">
    <w:name w:val="文档结构图 字符"/>
    <w:link w:val="244"/>
    <w:qFormat/>
    <w:uiPriority w:val="0"/>
    <w:rPr>
      <w:rFonts w:ascii="宋体"/>
      <w:sz w:val="18"/>
      <w:szCs w:val="18"/>
    </w:rPr>
  </w:style>
  <w:style w:type="paragraph" w:customStyle="1" w:styleId="246">
    <w:name w:val="正文文本 31"/>
    <w:basedOn w:val="1"/>
    <w:qFormat/>
    <w:uiPriority w:val="0"/>
    <w:rPr>
      <w:rFonts w:ascii="仿宋_GB2312" w:hAnsi="Arial" w:eastAsia="仿宋_GB2312"/>
      <w:sz w:val="32"/>
      <w:szCs w:val="32"/>
    </w:rPr>
  </w:style>
  <w:style w:type="paragraph" w:customStyle="1" w:styleId="247">
    <w:name w:val="正文文本1"/>
    <w:basedOn w:val="1"/>
    <w:qFormat/>
    <w:uiPriority w:val="0"/>
    <w:rPr>
      <w:rFonts w:ascii="楷体_GB2312" w:hAnsi="Arial" w:eastAsia="楷体_GB2312"/>
      <w:sz w:val="28"/>
      <w:szCs w:val="20"/>
    </w:rPr>
  </w:style>
  <w:style w:type="paragraph" w:customStyle="1" w:styleId="248">
    <w:name w:val="目录 51"/>
    <w:basedOn w:val="1"/>
    <w:next w:val="1"/>
    <w:unhideWhenUsed/>
    <w:qFormat/>
    <w:uiPriority w:val="39"/>
    <w:pPr>
      <w:ind w:left="1680"/>
    </w:pPr>
    <w:rPr>
      <w:rFonts w:ascii="等线" w:hAnsi="等线" w:eastAsia="等线"/>
      <w:szCs w:val="22"/>
    </w:rPr>
  </w:style>
  <w:style w:type="paragraph" w:customStyle="1" w:styleId="249">
    <w:name w:val="目录 31"/>
    <w:basedOn w:val="1"/>
    <w:next w:val="1"/>
    <w:qFormat/>
    <w:uiPriority w:val="39"/>
    <w:pPr>
      <w:ind w:left="840"/>
    </w:pPr>
  </w:style>
  <w:style w:type="paragraph" w:customStyle="1" w:styleId="250">
    <w:name w:val="纯文本1"/>
    <w:basedOn w:val="1"/>
    <w:qFormat/>
    <w:uiPriority w:val="99"/>
    <w:rPr>
      <w:rFonts w:ascii="宋体" w:hAnsi="Courier New" w:cs="Courier New"/>
      <w:szCs w:val="21"/>
    </w:rPr>
  </w:style>
  <w:style w:type="paragraph" w:customStyle="1" w:styleId="251">
    <w:name w:val="目录 81"/>
    <w:basedOn w:val="1"/>
    <w:next w:val="1"/>
    <w:unhideWhenUsed/>
    <w:qFormat/>
    <w:uiPriority w:val="39"/>
    <w:pPr>
      <w:ind w:left="2940"/>
    </w:pPr>
    <w:rPr>
      <w:rFonts w:ascii="等线" w:hAnsi="等线" w:eastAsia="等线"/>
      <w:szCs w:val="22"/>
    </w:rPr>
  </w:style>
  <w:style w:type="paragraph" w:customStyle="1" w:styleId="252">
    <w:name w:val="日期1"/>
    <w:basedOn w:val="1"/>
    <w:next w:val="1"/>
    <w:link w:val="253"/>
    <w:qFormat/>
    <w:uiPriority w:val="0"/>
    <w:pPr>
      <w:ind w:left="100"/>
    </w:pPr>
  </w:style>
  <w:style w:type="character" w:customStyle="1" w:styleId="253">
    <w:name w:val="日期 字符"/>
    <w:link w:val="252"/>
    <w:qFormat/>
    <w:uiPriority w:val="0"/>
    <w:rPr>
      <w:sz w:val="21"/>
      <w:szCs w:val="24"/>
    </w:rPr>
  </w:style>
  <w:style w:type="paragraph" w:customStyle="1" w:styleId="254">
    <w:name w:val="正文文本缩进 21"/>
    <w:basedOn w:val="1"/>
    <w:qFormat/>
    <w:uiPriority w:val="0"/>
    <w:pPr>
      <w:spacing w:line="400" w:lineRule="exact"/>
      <w:ind w:firstLine="480"/>
    </w:pPr>
    <w:rPr>
      <w:rFonts w:eastAsia="仿宋_GB2312"/>
      <w:sz w:val="24"/>
    </w:rPr>
  </w:style>
  <w:style w:type="paragraph" w:customStyle="1" w:styleId="255">
    <w:name w:val="页脚1"/>
    <w:basedOn w:val="1"/>
    <w:link w:val="256"/>
    <w:qFormat/>
    <w:uiPriority w:val="99"/>
    <w:pPr>
      <w:tabs>
        <w:tab w:val="center" w:pos="4153"/>
        <w:tab w:val="right" w:pos="8306"/>
      </w:tabs>
      <w:jc w:val="left"/>
    </w:pPr>
    <w:rPr>
      <w:sz w:val="18"/>
      <w:szCs w:val="20"/>
    </w:rPr>
  </w:style>
  <w:style w:type="character" w:customStyle="1" w:styleId="256">
    <w:name w:val="页脚 字符"/>
    <w:link w:val="255"/>
    <w:qFormat/>
    <w:uiPriority w:val="99"/>
    <w:rPr>
      <w:sz w:val="18"/>
    </w:rPr>
  </w:style>
  <w:style w:type="paragraph" w:customStyle="1" w:styleId="25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58">
    <w:name w:val="目录 11"/>
    <w:basedOn w:val="1"/>
    <w:next w:val="1"/>
    <w:qFormat/>
    <w:uiPriority w:val="39"/>
  </w:style>
  <w:style w:type="paragraph" w:customStyle="1" w:styleId="259">
    <w:name w:val="目录 41"/>
    <w:basedOn w:val="1"/>
    <w:next w:val="1"/>
    <w:unhideWhenUsed/>
    <w:qFormat/>
    <w:uiPriority w:val="39"/>
    <w:pPr>
      <w:ind w:left="1260"/>
    </w:pPr>
    <w:rPr>
      <w:rFonts w:ascii="等线" w:hAnsi="等线" w:eastAsia="等线"/>
      <w:szCs w:val="22"/>
    </w:rPr>
  </w:style>
  <w:style w:type="paragraph" w:customStyle="1" w:styleId="260">
    <w:name w:val="副标题1"/>
    <w:basedOn w:val="1"/>
    <w:next w:val="1"/>
    <w:link w:val="261"/>
    <w:qFormat/>
    <w:uiPriority w:val="0"/>
    <w:pPr>
      <w:spacing w:before="240" w:after="60" w:line="312" w:lineRule="auto"/>
      <w:jc w:val="center"/>
      <w:outlineLvl w:val="1"/>
    </w:pPr>
    <w:rPr>
      <w:rFonts w:ascii="等线 Light" w:hAnsi="等线 Light"/>
      <w:b/>
      <w:bCs/>
      <w:sz w:val="32"/>
      <w:szCs w:val="32"/>
    </w:rPr>
  </w:style>
  <w:style w:type="character" w:customStyle="1" w:styleId="261">
    <w:name w:val="副标题 字符"/>
    <w:link w:val="260"/>
    <w:qFormat/>
    <w:uiPriority w:val="0"/>
    <w:rPr>
      <w:rFonts w:ascii="等线 Light" w:hAnsi="等线 Light" w:cs="Times New Roman"/>
      <w:b/>
      <w:bCs/>
      <w:sz w:val="32"/>
      <w:szCs w:val="32"/>
    </w:rPr>
  </w:style>
  <w:style w:type="paragraph" w:customStyle="1" w:styleId="262">
    <w:name w:val="目录 61"/>
    <w:basedOn w:val="1"/>
    <w:next w:val="1"/>
    <w:unhideWhenUsed/>
    <w:qFormat/>
    <w:uiPriority w:val="39"/>
    <w:pPr>
      <w:ind w:left="2100"/>
    </w:pPr>
    <w:rPr>
      <w:rFonts w:ascii="等线" w:hAnsi="等线" w:eastAsia="等线"/>
      <w:szCs w:val="22"/>
    </w:rPr>
  </w:style>
  <w:style w:type="paragraph" w:customStyle="1" w:styleId="263">
    <w:name w:val="正文文本缩进 31"/>
    <w:basedOn w:val="1"/>
    <w:link w:val="264"/>
    <w:qFormat/>
    <w:uiPriority w:val="0"/>
    <w:pPr>
      <w:ind w:left="520" w:firstLine="425"/>
      <w:jc w:val="center"/>
    </w:pPr>
    <w:rPr>
      <w:rFonts w:ascii="微软雅黑" w:hAnsi="Arial" w:eastAsia="微软雅黑"/>
      <w:sz w:val="36"/>
      <w:szCs w:val="20"/>
    </w:rPr>
  </w:style>
  <w:style w:type="character" w:customStyle="1" w:styleId="264">
    <w:name w:val="正文文本缩进 3 字符"/>
    <w:link w:val="263"/>
    <w:qFormat/>
    <w:uiPriority w:val="0"/>
    <w:rPr>
      <w:rFonts w:ascii="微软雅黑" w:hAnsi="Arial" w:eastAsia="微软雅黑"/>
      <w:sz w:val="36"/>
    </w:rPr>
  </w:style>
  <w:style w:type="paragraph" w:customStyle="1" w:styleId="265">
    <w:name w:val="目录 21"/>
    <w:basedOn w:val="1"/>
    <w:next w:val="1"/>
    <w:qFormat/>
    <w:uiPriority w:val="39"/>
    <w:pPr>
      <w:ind w:left="420"/>
    </w:pPr>
  </w:style>
  <w:style w:type="paragraph" w:customStyle="1" w:styleId="266">
    <w:name w:val="目录 91"/>
    <w:basedOn w:val="1"/>
    <w:next w:val="1"/>
    <w:unhideWhenUsed/>
    <w:qFormat/>
    <w:uiPriority w:val="39"/>
    <w:pPr>
      <w:ind w:left="3360"/>
    </w:pPr>
    <w:rPr>
      <w:rFonts w:ascii="等线" w:hAnsi="等线" w:eastAsia="等线"/>
      <w:szCs w:val="22"/>
    </w:rPr>
  </w:style>
  <w:style w:type="paragraph" w:customStyle="1" w:styleId="267">
    <w:name w:val="正文文本 21"/>
    <w:basedOn w:val="1"/>
    <w:qFormat/>
    <w:uiPriority w:val="0"/>
    <w:pPr>
      <w:spacing w:after="120" w:line="480" w:lineRule="auto"/>
    </w:pPr>
  </w:style>
  <w:style w:type="paragraph" w:customStyle="1" w:styleId="268">
    <w:name w:val="普通(网站)11"/>
    <w:basedOn w:val="1"/>
    <w:qFormat/>
    <w:uiPriority w:val="99"/>
    <w:pPr>
      <w:widowControl/>
      <w:spacing w:before="100" w:beforeAutospacing="1" w:after="100" w:afterAutospacing="1"/>
      <w:jc w:val="left"/>
    </w:pPr>
    <w:rPr>
      <w:rFonts w:ascii="宋体" w:hAnsi="宋体"/>
      <w:color w:val="000000"/>
      <w:sz w:val="24"/>
    </w:rPr>
  </w:style>
  <w:style w:type="paragraph" w:customStyle="1" w:styleId="269">
    <w:name w:val="正文首行缩进1"/>
    <w:basedOn w:val="247"/>
    <w:next w:val="1"/>
    <w:qFormat/>
    <w:uiPriority w:val="0"/>
    <w:pPr>
      <w:spacing w:line="360" w:lineRule="auto"/>
      <w:ind w:firstLine="420"/>
    </w:pPr>
    <w:rPr>
      <w:rFonts w:ascii="Arial"/>
      <w:sz w:val="20"/>
      <w:szCs w:val="21"/>
    </w:rPr>
  </w:style>
  <w:style w:type="table" w:customStyle="1" w:styleId="270">
    <w:name w:val="网格型1"/>
    <w:basedOn w:val="239"/>
    <w:unhideWhenUsed/>
    <w:qFormat/>
    <w:uiPriority w:val="39"/>
    <w:tblPr>
      <w:tblCellMar>
        <w:top w:w="0" w:type="dxa"/>
        <w:left w:w="0" w:type="dxa"/>
        <w:bottom w:w="0" w:type="dxa"/>
        <w:right w:w="0" w:type="dxa"/>
      </w:tblCellMar>
    </w:tblPr>
  </w:style>
  <w:style w:type="character" w:customStyle="1" w:styleId="271">
    <w:name w:val="页码1"/>
    <w:link w:val="1"/>
    <w:qFormat/>
    <w:uiPriority w:val="99"/>
    <w:rPr>
      <w:rFonts w:ascii="Times New Roman" w:hAnsi="Times New Roman" w:eastAsia="宋体" w:cs="Times New Roman"/>
      <w:sz w:val="21"/>
      <w:szCs w:val="24"/>
      <w:lang w:val="en-US" w:eastAsia="zh-CN" w:bidi="ar-SA"/>
    </w:rPr>
  </w:style>
  <w:style w:type="character" w:customStyle="1" w:styleId="272">
    <w:name w:val="已访问的超链接1"/>
    <w:qFormat/>
    <w:uiPriority w:val="0"/>
    <w:rPr>
      <w:color w:val="333333"/>
      <w:u w:val="none"/>
    </w:rPr>
  </w:style>
  <w:style w:type="character" w:customStyle="1" w:styleId="273">
    <w:name w:val="超链接1"/>
    <w:qFormat/>
    <w:uiPriority w:val="99"/>
    <w:rPr>
      <w:color w:val="0000FF"/>
      <w:u w:val="single"/>
    </w:rPr>
  </w:style>
  <w:style w:type="paragraph" w:customStyle="1" w:styleId="274">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75">
    <w:name w:val="htd0"/>
    <w:basedOn w:val="41"/>
    <w:qFormat/>
    <w:uiPriority w:val="0"/>
  </w:style>
  <w:style w:type="paragraph" w:customStyle="1" w:styleId="276">
    <w:name w:val="技术正文（深信服）"/>
    <w:basedOn w:val="1"/>
    <w:qFormat/>
    <w:uiPriority w:val="0"/>
    <w:pPr>
      <w:spacing w:line="360" w:lineRule="auto"/>
      <w:ind w:firstLine="480"/>
    </w:pPr>
    <w:rPr>
      <w:sz w:val="24"/>
      <w:szCs w:val="20"/>
    </w:rPr>
  </w:style>
  <w:style w:type="paragraph" w:customStyle="1" w:styleId="277">
    <w:name w:val="普通(网站)1"/>
    <w:basedOn w:val="1"/>
    <w:qFormat/>
    <w:uiPriority w:val="0"/>
    <w:pPr>
      <w:widowControl/>
      <w:spacing w:before="100" w:beforeAutospacing="1" w:after="100" w:afterAutospacing="1"/>
      <w:jc w:val="left"/>
    </w:pPr>
    <w:rPr>
      <w:rFonts w:ascii="宋体" w:hAnsi="宋体" w:cs="宋体"/>
      <w:color w:val="000000"/>
      <w:sz w:val="24"/>
    </w:rPr>
  </w:style>
  <w:style w:type="paragraph" w:customStyle="1" w:styleId="278">
    <w:name w:val="列出段落11"/>
    <w:basedOn w:val="1"/>
    <w:qFormat/>
    <w:uiPriority w:val="34"/>
    <w:pPr>
      <w:ind w:firstLine="420"/>
    </w:pPr>
  </w:style>
  <w:style w:type="paragraph" w:customStyle="1" w:styleId="279">
    <w:name w:val="样式 首行缩进:  2 字符"/>
    <w:basedOn w:val="1"/>
    <w:qFormat/>
    <w:uiPriority w:val="0"/>
    <w:pPr>
      <w:ind w:firstLine="480"/>
    </w:pPr>
    <w:rPr>
      <w:rFonts w:cs="宋体"/>
      <w:szCs w:val="20"/>
    </w:rPr>
  </w:style>
  <w:style w:type="paragraph" w:customStyle="1" w:styleId="280">
    <w:name w:val="列表段落1"/>
    <w:basedOn w:val="1"/>
    <w:qFormat/>
    <w:uiPriority w:val="34"/>
    <w:pPr>
      <w:ind w:firstLine="420"/>
    </w:pPr>
    <w:rPr>
      <w:rFonts w:ascii="Calibri" w:hAnsi="Calibri"/>
      <w:szCs w:val="22"/>
    </w:rPr>
  </w:style>
  <w:style w:type="character" w:customStyle="1" w:styleId="281">
    <w:name w:val="NormalCharacter1"/>
    <w:semiHidden/>
    <w:qFormat/>
    <w:uiPriority w:val="0"/>
  </w:style>
  <w:style w:type="paragraph" w:customStyle="1" w:styleId="282">
    <w:name w:val="Normal_0"/>
    <w:qFormat/>
    <w:uiPriority w:val="0"/>
    <w:rPr>
      <w:rFonts w:ascii="Times New Roman" w:hAnsi="Times New Roman" w:eastAsia="Times New Roman" w:cs="Times New Roman"/>
      <w:sz w:val="24"/>
      <w:szCs w:val="24"/>
      <w:lang w:val="en-US" w:eastAsia="zh-CN" w:bidi="ar-SA"/>
    </w:rPr>
  </w:style>
  <w:style w:type="paragraph" w:customStyle="1" w:styleId="283">
    <w:name w:val="正文1"/>
    <w:qFormat/>
    <w:uiPriority w:val="0"/>
    <w:pPr>
      <w:spacing w:line="460" w:lineRule="exact"/>
    </w:pPr>
    <w:rPr>
      <w:rFonts w:ascii="Helvetica Neue" w:hAnsi="Helvetica Neue" w:eastAsia="宋体" w:cs="Arial Unicode MS"/>
      <w:color w:val="000000"/>
      <w:sz w:val="22"/>
      <w:szCs w:val="22"/>
      <w:lang w:val="en-US" w:eastAsia="zh-CN" w:bidi="ar-SA"/>
    </w:rPr>
  </w:style>
  <w:style w:type="paragraph" w:customStyle="1" w:styleId="284">
    <w:name w:val="TOC 标题2"/>
    <w:basedOn w:val="234"/>
    <w:next w:val="1"/>
    <w:qFormat/>
    <w:uiPriority w:val="39"/>
    <w:pPr>
      <w:keepLines/>
      <w:widowControl/>
      <w:spacing w:before="240" w:line="259" w:lineRule="auto"/>
      <w:outlineLvl w:val="9"/>
    </w:pPr>
    <w:rPr>
      <w:rFonts w:ascii="等线 Light" w:hAnsi="等线 Light" w:eastAsia="等线 Light"/>
      <w:color w:val="2F5496"/>
      <w:sz w:val="32"/>
      <w:szCs w:val="32"/>
    </w:rPr>
  </w:style>
  <w:style w:type="paragraph" w:customStyle="1" w:styleId="285">
    <w:name w:val="正文格式"/>
    <w:qFormat/>
    <w:uiPriority w:val="99"/>
    <w:pPr>
      <w:spacing w:line="360" w:lineRule="auto"/>
      <w:ind w:firstLine="200"/>
    </w:pPr>
    <w:rPr>
      <w:rFonts w:ascii="宋体" w:hAnsi="宋体" w:eastAsia="宋体" w:cs="Times New Roman"/>
      <w:sz w:val="28"/>
      <w:szCs w:val="22"/>
      <w:lang w:val="en-US" w:eastAsia="zh-CN" w:bidi="ar-SA"/>
    </w:rPr>
  </w:style>
  <w:style w:type="paragraph" w:customStyle="1" w:styleId="286">
    <w:name w:val="正文_13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7">
    <w:name w:val="Table Paragraph"/>
    <w:basedOn w:val="1"/>
    <w:qFormat/>
    <w:uiPriority w:val="1"/>
    <w:rPr>
      <w:rFonts w:ascii="宋体" w:hAnsi="宋体" w:cs="宋体"/>
      <w:lang w:val="zh-CN" w:bidi="zh-CN"/>
    </w:rPr>
  </w:style>
  <w:style w:type="character" w:customStyle="1" w:styleId="288">
    <w:name w:val="未处理的提及1"/>
    <w:unhideWhenUsed/>
    <w:qFormat/>
    <w:uiPriority w:val="99"/>
    <w:rPr>
      <w:color w:val="605E5C"/>
      <w:shd w:val="clear" w:color="auto" w:fill="E1DFDD"/>
    </w:rPr>
  </w:style>
  <w:style w:type="paragraph" w:customStyle="1" w:styleId="289">
    <w:name w:val="Normal_1"/>
    <w:qFormat/>
    <w:uiPriority w:val="0"/>
    <w:rPr>
      <w:rFonts w:ascii="Times New Roman" w:hAnsi="Times New Roman" w:eastAsia="Times New Roman" w:cs="Times New Roman"/>
      <w:sz w:val="24"/>
      <w:szCs w:val="24"/>
      <w:lang w:val="en-US" w:eastAsia="zh-CN" w:bidi="ar-SA"/>
    </w:rPr>
  </w:style>
  <w:style w:type="paragraph" w:customStyle="1" w:styleId="290">
    <w:name w:val="正文-奇安信"/>
    <w:basedOn w:val="1"/>
    <w:qFormat/>
    <w:uiPriority w:val="0"/>
    <w:pPr>
      <w:spacing w:line="360" w:lineRule="auto"/>
      <w:ind w:firstLine="420"/>
    </w:pPr>
    <w:rPr>
      <w:rFonts w:eastAsia="仿宋"/>
      <w:sz w:val="24"/>
      <w:szCs w:val="20"/>
    </w:rPr>
  </w:style>
  <w:style w:type="paragraph" w:customStyle="1" w:styleId="291">
    <w:name w:val="Normal_3"/>
    <w:qFormat/>
    <w:uiPriority w:val="0"/>
    <w:rPr>
      <w:rFonts w:ascii="Times New Roman" w:hAnsi="Times New Roman" w:eastAsia="Times New Roman" w:cs="Times New Roman"/>
      <w:sz w:val="24"/>
      <w:szCs w:val="24"/>
      <w:lang w:val="en-US" w:eastAsia="zh-CN" w:bidi="ar-SA"/>
    </w:rPr>
  </w:style>
  <w:style w:type="paragraph" w:customStyle="1" w:styleId="292">
    <w:name w:val="表格正文2"/>
    <w:basedOn w:val="1"/>
    <w:qFormat/>
    <w:uiPriority w:val="0"/>
    <w:pPr>
      <w:keepNext/>
      <w:widowControl/>
    </w:pPr>
    <w:rPr>
      <w:rFonts w:cs="宋体"/>
      <w:color w:val="000000"/>
      <w:szCs w:val="21"/>
    </w:rPr>
  </w:style>
  <w:style w:type="paragraph" w:customStyle="1" w:styleId="293">
    <w:name w:val="首行缩进"/>
    <w:basedOn w:val="1"/>
    <w:qFormat/>
    <w:uiPriority w:val="0"/>
    <w:pPr>
      <w:spacing w:line="360" w:lineRule="auto"/>
      <w:ind w:firstLine="480"/>
      <w:jc w:val="left"/>
    </w:pPr>
    <w:rPr>
      <w:rFonts w:ascii="宋体" w:hAnsi="宋体" w:cs="宋体"/>
      <w:sz w:val="24"/>
    </w:rPr>
  </w:style>
  <w:style w:type="character" w:customStyle="1" w:styleId="294">
    <w:name w:val="font51"/>
    <w:qFormat/>
    <w:uiPriority w:val="0"/>
    <w:rPr>
      <w:rFonts w:hint="eastAsia" w:ascii="宋体" w:hAnsi="宋体" w:eastAsia="宋体" w:cs="宋体"/>
      <w:color w:val="000000"/>
      <w:sz w:val="20"/>
      <w:szCs w:val="20"/>
      <w:u w:val="none"/>
      <w:vertAlign w:val="superscript"/>
    </w:rPr>
  </w:style>
  <w:style w:type="paragraph" w:customStyle="1" w:styleId="295">
    <w:name w:val="样式 首行缩进:  0 字符"/>
    <w:basedOn w:val="1"/>
    <w:qFormat/>
    <w:uiPriority w:val="0"/>
    <w:pPr>
      <w:spacing w:line="360" w:lineRule="auto"/>
      <w:ind w:firstLine="200"/>
    </w:pPr>
    <w:rPr>
      <w:rFonts w:cs="宋体"/>
      <w:sz w:val="24"/>
      <w:szCs w:val="20"/>
    </w:rPr>
  </w:style>
  <w:style w:type="paragraph" w:customStyle="1" w:styleId="296">
    <w:name w:val="列出段落3"/>
    <w:basedOn w:val="1"/>
    <w:qFormat/>
    <w:uiPriority w:val="99"/>
    <w:pPr>
      <w:ind w:firstLine="420"/>
    </w:pPr>
    <w:rPr>
      <w:rFonts w:ascii="Calibri" w:hAnsi="Calibri"/>
      <w:szCs w:val="22"/>
    </w:rPr>
  </w:style>
  <w:style w:type="table" w:customStyle="1" w:styleId="297">
    <w:name w:val="Table Normal"/>
    <w:unhideWhenUsed/>
    <w:qFormat/>
    <w:uiPriority w:val="0"/>
    <w:tblPr>
      <w:tblCellMar>
        <w:top w:w="0" w:type="dxa"/>
        <w:left w:w="0" w:type="dxa"/>
        <w:bottom w:w="0" w:type="dxa"/>
        <w:right w:w="0" w:type="dxa"/>
      </w:tblCellMar>
    </w:tblPr>
  </w:style>
  <w:style w:type="paragraph" w:customStyle="1" w:styleId="298">
    <w:name w:val="WPSOffice手动目录 1"/>
    <w:qFormat/>
    <w:uiPriority w:val="0"/>
    <w:rPr>
      <w:rFonts w:ascii="Times New Roman" w:hAnsi="Times New Roman" w:eastAsia="宋体" w:cs="Times New Roman"/>
      <w:lang w:val="en-US" w:eastAsia="zh-CN" w:bidi="ar-SA"/>
    </w:rPr>
  </w:style>
  <w:style w:type="paragraph" w:styleId="299">
    <w:name w:val="List Paragraph"/>
    <w:basedOn w:val="1"/>
    <w:qFormat/>
    <w:uiPriority w:val="0"/>
    <w:pPr>
      <w:ind w:firstLine="420"/>
    </w:pPr>
  </w:style>
  <w:style w:type="paragraph" w:customStyle="1" w:styleId="300">
    <w:name w:val="Normal_6"/>
    <w:qFormat/>
    <w:uiPriority w:val="0"/>
    <w:rPr>
      <w:rFonts w:ascii="Times New Roman" w:hAnsi="Times New Roman" w:eastAsia="Times New Roman" w:cs="Times New Roman"/>
      <w:sz w:val="24"/>
      <w:szCs w:val="24"/>
      <w:lang w:val="en-US" w:eastAsia="zh-CN" w:bidi="ar-SA"/>
    </w:rPr>
  </w:style>
  <w:style w:type="paragraph" w:customStyle="1" w:styleId="301">
    <w:name w:val="Normal_2"/>
    <w:qFormat/>
    <w:uiPriority w:val="0"/>
    <w:rPr>
      <w:rFonts w:ascii="Times New Roman" w:hAnsi="Times New Roman" w:eastAsia="Times New Roman" w:cs="Times New Roman"/>
      <w:sz w:val="24"/>
      <w:szCs w:val="24"/>
      <w:lang w:val="en-US" w:eastAsia="zh-CN" w:bidi="ar-SA"/>
    </w:rPr>
  </w:style>
  <w:style w:type="paragraph" w:customStyle="1" w:styleId="302">
    <w:name w:val="Table Text"/>
    <w:basedOn w:val="1"/>
    <w:semiHidden/>
    <w:qFormat/>
    <w:uiPriority w:val="0"/>
    <w:rPr>
      <w:rFonts w:ascii="宋体" w:hAnsi="宋体" w:cs="宋体"/>
      <w:sz w:val="24"/>
      <w:lang w:eastAsia="en-US"/>
    </w:rPr>
  </w:style>
  <w:style w:type="character" w:customStyle="1" w:styleId="303">
    <w:name w:val="font21"/>
    <w:basedOn w:val="41"/>
    <w:qFormat/>
    <w:uiPriority w:val="0"/>
    <w:rPr>
      <w:rFonts w:ascii="宋体" w:hAnsi="宋体" w:eastAsia="宋体" w:cs="宋体"/>
      <w:b/>
      <w:bCs/>
      <w:color w:val="000000"/>
      <w:sz w:val="18"/>
      <w:szCs w:val="18"/>
      <w:u w:val="none"/>
    </w:rPr>
  </w:style>
  <w:style w:type="character" w:customStyle="1" w:styleId="304">
    <w:name w:val="font31"/>
    <w:basedOn w:val="41"/>
    <w:qFormat/>
    <w:uiPriority w:val="0"/>
    <w:rPr>
      <w:rFonts w:ascii="宋体" w:hAnsi="宋体" w:eastAsia="宋体" w:cs="宋体"/>
      <w:color w:val="000000"/>
      <w:sz w:val="18"/>
      <w:szCs w:val="18"/>
      <w:u w:val="none"/>
    </w:rPr>
  </w:style>
  <w:style w:type="paragraph" w:customStyle="1" w:styleId="305">
    <w:name w:val="Normal_8"/>
    <w:qFormat/>
    <w:uiPriority w:val="0"/>
    <w:rPr>
      <w:rFonts w:ascii="Times New Roman" w:hAnsi="Times New Roman" w:eastAsia="Times New Roman" w:cs="Times New Roman"/>
      <w:sz w:val="24"/>
      <w:szCs w:val="24"/>
      <w:lang w:val="en-US" w:eastAsia="zh-CN" w:bidi="ar-SA"/>
    </w:rPr>
  </w:style>
  <w:style w:type="paragraph" w:customStyle="1" w:styleId="306">
    <w:name w:val="Normal_9"/>
    <w:qFormat/>
    <w:uiPriority w:val="0"/>
    <w:pPr>
      <w:widowControl w:val="0"/>
      <w:jc w:val="both"/>
    </w:pPr>
    <w:rPr>
      <w:rFonts w:ascii="Calibri" w:hAnsi="Calibri" w:eastAsia="宋体" w:cs="Times New Roman"/>
      <w:sz w:val="21"/>
      <w:szCs w:val="22"/>
      <w:lang w:val="en-US" w:eastAsia="zh-CN" w:bidi="ar-SA"/>
    </w:rPr>
  </w:style>
  <w:style w:type="paragraph" w:customStyle="1" w:styleId="307">
    <w:name w:val="Normal_29"/>
    <w:qFormat/>
    <w:uiPriority w:val="0"/>
    <w:rPr>
      <w:rFonts w:ascii="Times New Roman" w:hAnsi="Times New Roman" w:eastAsia="Times New Roman" w:cs="Times New Roman"/>
      <w:sz w:val="24"/>
      <w:szCs w:val="24"/>
      <w:lang w:val="en-US" w:eastAsia="zh-CN" w:bidi="ar-SA"/>
    </w:rPr>
  </w:style>
  <w:style w:type="paragraph" w:customStyle="1" w:styleId="308">
    <w:name w:val="0正文"/>
    <w:basedOn w:val="1"/>
    <w:qFormat/>
    <w:uiPriority w:val="0"/>
    <w:rPr>
      <w:rFonts w:cs="Wingdings"/>
      <w:szCs w:val="20"/>
    </w:rPr>
  </w:style>
  <w:style w:type="paragraph" w:customStyle="1" w:styleId="309">
    <w:name w:val="图编号"/>
    <w:next w:val="1"/>
    <w:qFormat/>
    <w:uiPriority w:val="0"/>
    <w:pPr>
      <w:numPr>
        <w:ilvl w:val="7"/>
        <w:numId w:val="1"/>
      </w:numPr>
      <w:jc w:val="center"/>
    </w:pPr>
    <w:rPr>
      <w:rFonts w:ascii="Times New Roman" w:hAnsi="Times New Roman" w:eastAsia="宋体" w:cstheme="majorBidi"/>
      <w:bCs/>
      <w:sz w:val="24"/>
      <w:szCs w:val="32"/>
      <w:lang w:val="en-US" w:eastAsia="zh-CN" w:bidi="ar-SA"/>
    </w:rPr>
  </w:style>
  <w:style w:type="paragraph" w:customStyle="1" w:styleId="310">
    <w:name w:val="01-标书-标题1"/>
    <w:next w:val="1"/>
    <w:qFormat/>
    <w:uiPriority w:val="0"/>
    <w:pPr>
      <w:tabs>
        <w:tab w:val="left" w:pos="425"/>
      </w:tabs>
      <w:spacing w:after="160" w:line="360" w:lineRule="auto"/>
      <w:ind w:left="425" w:hanging="425"/>
      <w:outlineLvl w:val="0"/>
    </w:pPr>
    <w:rPr>
      <w:rFonts w:ascii="黑体" w:hAnsi="宋体" w:eastAsia="黑体" w:cs="Times New Roman"/>
      <w:sz w:val="44"/>
      <w:szCs w:val="32"/>
      <w:lang w:val="en-US" w:eastAsia="zh-CN" w:bidi="ar-SA"/>
    </w:rPr>
  </w:style>
  <w:style w:type="paragraph" w:customStyle="1" w:styleId="311">
    <w:name w:val="正文_0"/>
    <w:qFormat/>
    <w:uiPriority w:val="0"/>
    <w:pPr>
      <w:widowControl w:val="0"/>
      <w:spacing w:after="160" w:line="278" w:lineRule="auto"/>
      <w:jc w:val="both"/>
    </w:pPr>
    <w:rPr>
      <w:rFonts w:ascii="Times New Roman" w:hAnsi="Times New Roman" w:eastAsia="宋体" w:cs="Times New Roman"/>
      <w:sz w:val="21"/>
      <w:szCs w:val="24"/>
      <w:lang w:val="en-US" w:eastAsia="zh-CN" w:bidi="ar-SA"/>
    </w:rPr>
  </w:style>
  <w:style w:type="character" w:customStyle="1" w:styleId="312">
    <w:name w:val="页码11"/>
    <w:qFormat/>
    <w:uiPriority w:val="0"/>
  </w:style>
  <w:style w:type="table" w:customStyle="1" w:styleId="313">
    <w:name w:val="网格型10"/>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314">
    <w:name w:val="正文_14"/>
    <w:qFormat/>
    <w:uiPriority w:val="0"/>
    <w:pPr>
      <w:widowControl w:val="0"/>
      <w:jc w:val="both"/>
    </w:pPr>
    <w:rPr>
      <w:rFonts w:ascii="Calibri" w:hAnsi="Calibri" w:eastAsia="宋体" w:cs="Times New Roman"/>
      <w:sz w:val="21"/>
      <w:szCs w:val="22"/>
      <w:lang w:val="en-US" w:eastAsia="zh-CN" w:bidi="ar-SA"/>
    </w:rPr>
  </w:style>
  <w:style w:type="paragraph" w:customStyle="1" w:styleId="315">
    <w:name w:val="a0"/>
    <w:basedOn w:val="1"/>
    <w:qFormat/>
    <w:uiPriority w:val="0"/>
    <w:pPr>
      <w:widowControl/>
      <w:spacing w:before="100" w:beforeAutospacing="1" w:after="100" w:afterAutospacing="1"/>
      <w:jc w:val="left"/>
    </w:pPr>
    <w:rPr>
      <w:rFonts w:ascii="宋体" w:hAnsi="宋体" w:cs="宋体"/>
      <w:sz w:val="24"/>
    </w:rPr>
  </w:style>
  <w:style w:type="character" w:customStyle="1" w:styleId="316">
    <w:name w:val="批注框文本 Char"/>
    <w:basedOn w:val="41"/>
    <w:link w:val="23"/>
    <w:semiHidden/>
    <w:qFormat/>
    <w:uiPriority w:val="99"/>
    <w:rPr>
      <w:sz w:val="18"/>
      <w:szCs w:val="18"/>
    </w:rPr>
  </w:style>
  <w:style w:type="paragraph" w:customStyle="1" w:styleId="317">
    <w:name w:val="Normal_28"/>
    <w:qFormat/>
    <w:uiPriority w:val="0"/>
    <w:rPr>
      <w:rFonts w:ascii="Times New Roman" w:hAnsi="Times New Roman" w:eastAsia="Times New Roman" w:cs="Times New Roman"/>
      <w:sz w:val="24"/>
      <w:szCs w:val="24"/>
      <w:lang w:val="zh-CN" w:eastAsia="zh-CN" w:bidi="ar-SA"/>
    </w:rPr>
  </w:style>
  <w:style w:type="paragraph" w:customStyle="1" w:styleId="318">
    <w:name w:val="Normal_3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19">
    <w:name w:val="列表段落"/>
    <w:basedOn w:val="1"/>
    <w:qFormat/>
    <w:uiPriority w:val="34"/>
    <w:pPr>
      <w:ind w:firstLine="420"/>
    </w:pPr>
    <w:rPr>
      <w:rFonts w:ascii="Calibri" w:hAnsi="Calibri" w:eastAsia="宋体" w:cs="Times New Roman"/>
      <w:szCs w:val="22"/>
    </w:rPr>
  </w:style>
  <w:style w:type="paragraph" w:customStyle="1" w:styleId="320">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321">
    <w:name w:val="Normal_1_0"/>
    <w:qFormat/>
    <w:uiPriority w:val="0"/>
    <w:rPr>
      <w:rFonts w:ascii="Times New Roman" w:hAnsi="Times New Roman" w:eastAsia="Times New Roman" w:cs="Times New Roman"/>
      <w:sz w:val="24"/>
      <w:szCs w:val="24"/>
      <w:lang w:val="en-US" w:eastAsia="zh-CN" w:bidi="ar-SA"/>
    </w:rPr>
  </w:style>
  <w:style w:type="paragraph" w:customStyle="1" w:styleId="322">
    <w:name w:val="Normal_14"/>
    <w:qFormat/>
    <w:uiPriority w:val="0"/>
    <w:rPr>
      <w:rFonts w:ascii="Times New Roman" w:hAnsi="Times New Roman" w:eastAsia="Times New Roman" w:cs="Times New Roman"/>
      <w:sz w:val="24"/>
      <w:szCs w:val="24"/>
      <w:lang w:val="en-US" w:eastAsia="zh-CN" w:bidi="ar-SA"/>
    </w:rPr>
  </w:style>
  <w:style w:type="paragraph" w:customStyle="1" w:styleId="323">
    <w:name w:val="Normal_6_0"/>
    <w:qFormat/>
    <w:uiPriority w:val="0"/>
    <w:rPr>
      <w:rFonts w:ascii="Times New Roman" w:hAnsi="Times New Roman" w:eastAsia="Times New Roman" w:cs="Times New Roman"/>
      <w:sz w:val="24"/>
      <w:szCs w:val="24"/>
      <w:lang w:val="en-US" w:eastAsia="zh-CN" w:bidi="ar-SA"/>
    </w:rPr>
  </w:style>
  <w:style w:type="paragraph" w:customStyle="1" w:styleId="324">
    <w:name w:val="Normal_4_0"/>
    <w:qFormat/>
    <w:uiPriority w:val="0"/>
    <w:rPr>
      <w:rFonts w:ascii="Times New Roman" w:hAnsi="Times New Roman" w:eastAsia="Times New Roman" w:cs="Times New Roman"/>
      <w:sz w:val="24"/>
      <w:szCs w:val="24"/>
      <w:lang w:val="en-US" w:eastAsia="zh-CN" w:bidi="ar-SA"/>
    </w:rPr>
  </w:style>
  <w:style w:type="paragraph" w:customStyle="1" w:styleId="325">
    <w:name w:val="Normal_11"/>
    <w:qFormat/>
    <w:uiPriority w:val="0"/>
    <w:rPr>
      <w:rFonts w:ascii="Times New Roman" w:hAnsi="Times New Roman" w:eastAsia="Times New Roman" w:cs="Times New Roman"/>
      <w:sz w:val="24"/>
      <w:szCs w:val="24"/>
      <w:lang w:val="en-US" w:eastAsia="zh-CN" w:bidi="ar-SA"/>
    </w:rPr>
  </w:style>
  <w:style w:type="paragraph" w:customStyle="1" w:styleId="326">
    <w:name w:val="正文_6"/>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Normal_5_0"/>
    <w:qFormat/>
    <w:uiPriority w:val="0"/>
    <w:rPr>
      <w:rFonts w:ascii="Times New Roman" w:hAnsi="Times New Roman" w:eastAsia="Times New Roman" w:cs="Times New Roman"/>
      <w:sz w:val="24"/>
      <w:szCs w:val="24"/>
      <w:lang w:val="en-US" w:eastAsia="zh-CN" w:bidi="ar-SA"/>
    </w:rPr>
  </w:style>
  <w:style w:type="paragraph" w:customStyle="1" w:styleId="328">
    <w:name w:val="Normal_12"/>
    <w:qFormat/>
    <w:uiPriority w:val="0"/>
    <w:rPr>
      <w:rFonts w:ascii="Times New Roman" w:hAnsi="Times New Roman" w:eastAsia="Times New Roman" w:cs="Times New Roman"/>
      <w:sz w:val="24"/>
      <w:szCs w:val="24"/>
      <w:lang w:val="en-US" w:eastAsia="zh-CN" w:bidi="ar-SA"/>
    </w:rPr>
  </w:style>
  <w:style w:type="paragraph" w:customStyle="1" w:styleId="329">
    <w:name w:val="正文_7"/>
    <w:qFormat/>
    <w:uiPriority w:val="0"/>
    <w:pPr>
      <w:widowControl w:val="0"/>
      <w:jc w:val="both"/>
    </w:pPr>
    <w:rPr>
      <w:rFonts w:ascii="Calibri" w:hAnsi="Calibri" w:eastAsia="宋体" w:cs="Times New Roman"/>
      <w:sz w:val="21"/>
      <w:szCs w:val="22"/>
      <w:lang w:val="en-US" w:eastAsia="zh-CN" w:bidi="ar-SA"/>
    </w:rPr>
  </w:style>
  <w:style w:type="paragraph" w:customStyle="1" w:styleId="330">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331">
    <w:name w:val="Normal_13"/>
    <w:qFormat/>
    <w:uiPriority w:val="0"/>
    <w:pPr>
      <w:widowControl w:val="0"/>
      <w:jc w:val="both"/>
    </w:pPr>
    <w:rPr>
      <w:rFonts w:ascii="Calibri" w:hAnsi="Calibri" w:eastAsia="宋体" w:cs="Times New Roman"/>
      <w:sz w:val="21"/>
      <w:szCs w:val="22"/>
      <w:lang w:val="en-US" w:eastAsia="zh-CN" w:bidi="ar-SA"/>
    </w:rPr>
  </w:style>
  <w:style w:type="paragraph" w:customStyle="1" w:styleId="332">
    <w:name w:val="正文_8"/>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正文文本缩进_1"/>
    <w:basedOn w:val="332"/>
    <w:qFormat/>
    <w:uiPriority w:val="99"/>
    <w:pPr>
      <w:ind w:firstLine="645"/>
    </w:pPr>
    <w:rPr>
      <w:rFonts w:ascii="楷体_GB2312" w:eastAsia="楷体_GB2312"/>
      <w:sz w:val="32"/>
      <w:szCs w:val="20"/>
    </w:rPr>
  </w:style>
  <w:style w:type="paragraph" w:customStyle="1" w:styleId="334">
    <w:name w:val="Normal_7"/>
    <w:qFormat/>
    <w:uiPriority w:val="0"/>
    <w:rPr>
      <w:rFonts w:ascii="Times New Roman" w:hAnsi="Times New Roman" w:eastAsia="Times New Roman" w:cs="Times New Roman"/>
      <w:sz w:val="24"/>
      <w:szCs w:val="24"/>
      <w:lang w:val="en-US" w:eastAsia="zh-CN" w:bidi="ar-SA"/>
    </w:rPr>
  </w:style>
  <w:style w:type="paragraph" w:customStyle="1" w:styleId="335">
    <w:name w:val="Normal_10"/>
    <w:qFormat/>
    <w:uiPriority w:val="0"/>
    <w:rPr>
      <w:rFonts w:ascii="Times New Roman" w:hAnsi="Times New Roman" w:eastAsia="Times New Roman" w:cs="Times New Roman"/>
      <w:sz w:val="24"/>
      <w:szCs w:val="24"/>
      <w:lang w:val="en-US" w:eastAsia="zh-CN" w:bidi="ar-SA"/>
    </w:rPr>
  </w:style>
  <w:style w:type="paragraph" w:customStyle="1" w:styleId="336">
    <w:name w:val="Normal_18"/>
    <w:qFormat/>
    <w:uiPriority w:val="0"/>
    <w:rPr>
      <w:rFonts w:ascii="Times New Roman" w:hAnsi="Times New Roman" w:eastAsia="Times New Roman" w:cs="Times New Roman"/>
      <w:sz w:val="24"/>
      <w:szCs w:val="24"/>
      <w:lang w:val="en-US" w:eastAsia="zh-CN" w:bidi="ar-SA"/>
    </w:rPr>
  </w:style>
  <w:style w:type="paragraph" w:customStyle="1" w:styleId="337">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38">
    <w:name w:val="Normal_21"/>
    <w:qFormat/>
    <w:uiPriority w:val="0"/>
    <w:rPr>
      <w:rFonts w:ascii="Times New Roman" w:hAnsi="Times New Roman" w:eastAsia="Times New Roman" w:cs="Times New Roman"/>
      <w:sz w:val="24"/>
      <w:szCs w:val="24"/>
      <w:lang w:val="en-US" w:eastAsia="zh-CN" w:bidi="ar-SA"/>
    </w:rPr>
  </w:style>
  <w:style w:type="paragraph" w:customStyle="1" w:styleId="339">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340">
    <w:name w:val="Normal_22"/>
    <w:qFormat/>
    <w:uiPriority w:val="0"/>
    <w:rPr>
      <w:rFonts w:ascii="Times New Roman" w:hAnsi="Times New Roman" w:eastAsia="Times New Roman" w:cs="Times New Roman"/>
      <w:sz w:val="24"/>
      <w:szCs w:val="24"/>
      <w:lang w:val="en-US" w:eastAsia="zh-CN" w:bidi="ar-SA"/>
    </w:rPr>
  </w:style>
  <w:style w:type="paragraph" w:customStyle="1" w:styleId="341">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42">
    <w:name w:val="Normal_24"/>
    <w:qFormat/>
    <w:uiPriority w:val="0"/>
    <w:rPr>
      <w:rFonts w:ascii="Times New Roman" w:hAnsi="Times New Roman" w:eastAsia="Times New Roman" w:cs="Times New Roman"/>
      <w:sz w:val="24"/>
      <w:szCs w:val="24"/>
      <w:lang w:val="en-US" w:eastAsia="zh-CN" w:bidi="ar-SA"/>
    </w:rPr>
  </w:style>
  <w:style w:type="paragraph" w:customStyle="1" w:styleId="343">
    <w:name w:val="Normal_23"/>
    <w:qFormat/>
    <w:uiPriority w:val="0"/>
    <w:rPr>
      <w:rFonts w:ascii="Times New Roman" w:hAnsi="Times New Roman" w:eastAsia="Times New Roman" w:cs="Times New Roman"/>
      <w:sz w:val="24"/>
      <w:szCs w:val="24"/>
      <w:lang w:val="en-US" w:eastAsia="zh-CN" w:bidi="ar-SA"/>
    </w:rPr>
  </w:style>
  <w:style w:type="paragraph" w:customStyle="1" w:styleId="344">
    <w:name w:val="Normal_16"/>
    <w:qFormat/>
    <w:uiPriority w:val="0"/>
    <w:rPr>
      <w:rFonts w:ascii="Times New Roman" w:hAnsi="Times New Roman" w:eastAsia="Times New Roman"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4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58</Words>
  <Characters>84</Characters>
  <Lines>274</Lines>
  <Paragraphs>77</Paragraphs>
  <TotalTime>10</TotalTime>
  <ScaleCrop>false</ScaleCrop>
  <LinksUpToDate>false</LinksUpToDate>
  <CharactersWithSpaces>90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2023-09-28T01:46:00Z</dcterms:created>
  <dc:creator>Adminis</dc:creator>
  <cp:lastModifiedBy>L.xx</cp:lastModifiedBy>
  <cp:lastPrinted>2026-06-29T06:08:00Z</cp:lastPrinted>
  <dcterms:modified xsi:type="dcterms:W3CDTF">2026-10-27T09:33:18Z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D656764AF471413B8B9DFF30B27E7B9C_13</vt:lpwstr>
  </property>
  <property fmtid="{D5CDD505-2E9C-101B-9397-08002B2CF9AE}" pid="4" name="KSOTemplateDocerSaveRecord">
    <vt:lpwstr>eyJoZGlkIjoiOWIwODEwNWEwZjFlZjg2NGYyNDY4NGJjN2QzODQxYTIiLCJ1c2VySWQiOiIxMTYxMjU4NjkyIn0=</vt:lpwstr>
  </property>
</Properties>
</file>