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4"/>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t xml:space="preserve"> </w:t>
      </w:r>
      <w:r>
        <w:rPr>
          <w:rFonts w:hint="eastAsia" w:ascii="Arial" w:hAnsi="Arial" w:eastAsia="黑体"/>
          <w:b/>
          <w:bCs/>
          <w:color w:val="000000"/>
          <w:sz w:val="84"/>
          <w:szCs w:val="24"/>
          <w:highlight w:val="none"/>
        </w:rPr>
      </w:r>
      <w:r/>
    </w:p>
    <w:p>
      <w:pPr>
        <w:pStyle w:val="724"/>
        <w:jc w:val="left"/>
        <w:spacing w:before="120" w:after="120" w:line="360" w:lineRule="auto"/>
        <w:rPr>
          <w:rFonts w:hint="eastAsia" w:ascii="Arial" w:hAnsi="Arial" w:eastAsia="黑体"/>
          <w:b/>
          <w:bCs/>
          <w:color w:val="000000"/>
          <w:sz w:val="84"/>
          <w:szCs w:val="24"/>
          <w:highlight w:val="none"/>
        </w:rPr>
      </w:pPr>
      <w:r>
        <w:rPr>
          <w:rFonts w:hint="eastAsia" w:ascii="Arial" w:hAnsi="Arial" w:eastAsia="黑体"/>
          <w:b/>
          <w:bCs/>
          <w:color w:val="000000"/>
          <w:sz w:val="84"/>
          <w:szCs w:val="24"/>
          <w:highlight w:val="none"/>
        </w:rPr>
      </w:r>
      <w:r/>
    </w:p>
    <w:p>
      <w:pPr>
        <w:pStyle w:val="724"/>
        <w:jc w:val="center"/>
        <w:rPr>
          <w:rFonts w:hint="eastAsia" w:ascii="Arial" w:hAnsi="Arial" w:eastAsia="黑体"/>
          <w:b/>
          <w:bCs/>
          <w:color w:val="000000"/>
          <w:sz w:val="84"/>
          <w:szCs w:val="24"/>
          <w:highlight w:val="none"/>
        </w:rPr>
      </w:pPr>
      <w:r>
        <w:rPr>
          <w:rFonts w:hint="eastAsia" w:ascii="黑体" w:hAnsi="黑体" w:eastAsia="黑体"/>
          <w:b/>
          <w:color w:val="000000"/>
          <w:sz w:val="84"/>
          <w:szCs w:val="84"/>
          <w:highlight w:val="none"/>
        </w:rPr>
        <w:t xml:space="preserve">招　标　文　件</w:t>
      </w:r>
      <w:r>
        <w:rPr>
          <w:rFonts w:hint="eastAsia" w:ascii="Arial" w:hAnsi="Arial" w:eastAsia="黑体"/>
          <w:b/>
          <w:bCs/>
          <w:color w:val="000000"/>
          <w:sz w:val="84"/>
          <w:szCs w:val="24"/>
          <w:highlight w:val="none"/>
        </w:rPr>
      </w:r>
      <w:r/>
    </w:p>
    <w:p>
      <w:pPr>
        <w:pStyle w:val="724"/>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724"/>
        <w:ind w:firstLine="2249"/>
        <w:jc w:val="left"/>
        <w:spacing w:before="120" w:after="120" w:line="360" w:lineRule="auto"/>
        <w:rPr>
          <w:rFonts w:hint="eastAsia" w:ascii="Arial" w:hAnsi="Arial"/>
          <w:b/>
          <w:bCs/>
          <w:color w:val="000000"/>
          <w:sz w:val="32"/>
          <w:szCs w:val="24"/>
          <w:highlight w:val="none"/>
        </w:rPr>
      </w:pPr>
      <w:r>
        <w:rPr>
          <w:rFonts w:hint="eastAsia" w:ascii="Arial" w:hAnsi="Arial"/>
          <w:b/>
          <w:bCs/>
          <w:color w:val="000000"/>
          <w:sz w:val="32"/>
          <w:szCs w:val="24"/>
          <w:highlight w:val="none"/>
        </w:rPr>
      </w:r>
      <w:r/>
    </w:p>
    <w:p>
      <w:pPr>
        <w:pStyle w:val="724"/>
        <w:spacing w:line="360" w:lineRule="auto"/>
        <w:rPr>
          <w:rFonts w:ascii="宋体" w:hAnsi="宋体" w:eastAsia="宋体" w:cs="Times New Roman"/>
          <w:b/>
          <w:bCs/>
          <w:color w:val="000000"/>
          <w:spacing w:val="16"/>
          <w:sz w:val="44"/>
          <w:szCs w:val="24"/>
          <w:highlight w:val="none"/>
        </w:rPr>
      </w:pPr>
      <w:r>
        <w:rPr>
          <w:rFonts w:ascii="宋体" w:hAnsi="宋体" w:eastAsia="宋体" w:cs="Times New Roman"/>
          <w:b/>
          <w:bCs/>
          <w:color w:val="000000"/>
          <w:spacing w:val="16"/>
          <w:sz w:val="44"/>
          <w:szCs w:val="24"/>
          <w:highlight w:val="none"/>
        </w:rPr>
      </w:r>
      <w:r/>
    </w:p>
    <w:p>
      <w:pPr>
        <w:pStyle w:val="724"/>
        <w:ind w:left="840"/>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b/>
          <w:bCs/>
          <w:color w:val="000000"/>
          <w:sz w:val="30"/>
          <w:szCs w:val="30"/>
          <w:highlight w:val="none"/>
        </w:rPr>
        <w:t xml:space="preserve">项目名称：</w:t>
      </w:r>
      <w:r>
        <w:rPr>
          <w:rFonts w:hint="eastAsia" w:ascii="宋体" w:hAnsi="宋体" w:cs="Times New Roman"/>
          <w:b/>
          <w:bCs/>
          <w:color w:val="000000"/>
          <w:sz w:val="28"/>
          <w:szCs w:val="28"/>
          <w:highlight w:val="none"/>
          <w:lang w:eastAsia="zh-CN"/>
        </w:rPr>
        <w:t xml:space="preserve">杨集镇城镇公共卫生服务采购项目（专门面向中小企业）</w:t>
      </w:r>
      <w:r>
        <w:rPr>
          <w:rFonts w:hint="eastAsia" w:ascii="宋体" w:hAnsi="宋体" w:eastAsia="宋体" w:cs="Times New Roman"/>
          <w:b/>
          <w:bCs/>
          <w:color w:val="000000"/>
          <w:sz w:val="28"/>
          <w:szCs w:val="28"/>
          <w:highlight w:val="none"/>
          <w:lang w:eastAsia="zh-CN"/>
        </w:rPr>
      </w:r>
      <w:r/>
    </w:p>
    <w:p>
      <w:pPr>
        <w:pStyle w:val="724"/>
        <w:ind w:left="840"/>
        <w:spacing w:line="360" w:lineRule="auto"/>
        <w:rPr>
          <w:rFonts w:hint="eastAsia" w:ascii="宋体" w:hAnsi="宋体" w:eastAsia="宋体" w:cs="Times New Roman"/>
          <w:b/>
          <w:bCs/>
          <w:color w:val="000000"/>
          <w:sz w:val="28"/>
          <w:szCs w:val="28"/>
          <w:highlight w:val="none"/>
          <w:lang w:eastAsia="zh-CN"/>
        </w:rPr>
      </w:pPr>
      <w:r>
        <w:rPr>
          <w:rFonts w:hint="eastAsia" w:ascii="宋体" w:hAnsi="宋体" w:eastAsia="宋体" w:cs="Times New Roman"/>
          <w:b/>
          <w:bCs/>
          <w:color w:val="000000"/>
          <w:sz w:val="28"/>
          <w:szCs w:val="28"/>
          <w:highlight w:val="none"/>
        </w:rPr>
        <w:t xml:space="preserve">项目</w:t>
      </w:r>
      <w:r>
        <w:rPr>
          <w:rFonts w:hint="eastAsia" w:ascii="宋体" w:hAnsi="宋体" w:cs="Times New Roman"/>
          <w:b/>
          <w:bCs/>
          <w:color w:val="000000"/>
          <w:sz w:val="28"/>
          <w:szCs w:val="28"/>
          <w:highlight w:val="none"/>
          <w:lang w:eastAsia="zh-CN"/>
        </w:rPr>
        <w:t xml:space="preserve">编号：JSZC-320723-SWZD-G2026-0003</w:t>
      </w:r>
      <w:r>
        <w:rPr>
          <w:rFonts w:hint="eastAsia" w:ascii="宋体" w:hAnsi="宋体" w:eastAsia="宋体" w:cs="Times New Roman"/>
          <w:b/>
          <w:bCs/>
          <w:color w:val="000000"/>
          <w:sz w:val="28"/>
          <w:szCs w:val="28"/>
          <w:highlight w:val="none"/>
          <w:lang w:eastAsia="zh-CN"/>
        </w:rPr>
      </w:r>
      <w:r/>
    </w:p>
    <w:p>
      <w:pPr>
        <w:pStyle w:val="724"/>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pStyle w:val="724"/>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pStyle w:val="724"/>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pStyle w:val="724"/>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p>
      <w:pPr>
        <w:pStyle w:val="724"/>
        <w:spacing w:line="360" w:lineRule="auto"/>
        <w:rPr>
          <w:rFonts w:ascii="宋体" w:hAnsi="宋体" w:eastAsia="宋体" w:cs="Times New Roman"/>
          <w:color w:val="000000"/>
          <w:szCs w:val="24"/>
          <w:highlight w:val="none"/>
        </w:rPr>
      </w:pPr>
      <w:r>
        <w:rPr>
          <w:rFonts w:ascii="宋体" w:hAnsi="宋体" w:eastAsia="宋体" w:cs="Times New Roman"/>
          <w:color w:val="000000"/>
          <w:szCs w:val="24"/>
          <w:highlight w:val="none"/>
        </w:rPr>
      </w:r>
      <w:r/>
    </w:p>
    <w:tbl>
      <w:tblPr>
        <w:tblW w:w="0" w:type="auto"/>
        <w:tblInd w:w="-108" w:type="dxa"/>
        <w:tblBorders>
          <w:top w:val="single" w:color="000000" w:sz="18"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8"/>
        <w:gridCol w:w="2520"/>
        <w:gridCol w:w="6686"/>
      </w:tblGrid>
      <w:tr>
        <w:trPr>
          <w:trHeight w:val="1107"/>
        </w:trPr>
        <w:tc>
          <w:tcPr>
            <w:tcW w:w="648" w:type="dxa"/>
            <w:vAlign w:val="top"/>
            <w:textDirection w:val="lrTb"/>
            <w:noWrap w:val="false"/>
          </w:tcPr>
          <w:p>
            <w:pPr>
              <w:pStyle w:val="724"/>
              <w:spacing w:line="360" w:lineRule="auto"/>
              <w:rPr>
                <w:rFonts w:ascii="宋体" w:hAnsi="宋体" w:eastAsia="宋体" w:cs="Times New Roman"/>
                <w:b/>
                <w:bCs/>
                <w:color w:val="000000"/>
                <w:sz w:val="32"/>
                <w:szCs w:val="24"/>
                <w:highlight w:val="none"/>
              </w:rPr>
            </w:pPr>
            <w:r>
              <w:rPr>
                <w:rFonts w:ascii="宋体" w:hAnsi="宋体" w:eastAsia="宋体" w:cs="Times New Roman"/>
                <w:b/>
                <w:bCs/>
                <w:color w:val="000000"/>
                <w:sz w:val="32"/>
                <w:szCs w:val="24"/>
                <w:highlight w:val="none"/>
              </w:rPr>
            </w:r>
            <w:r/>
          </w:p>
          <w:p>
            <w:pPr>
              <w:pStyle w:val="724"/>
              <w:spacing w:line="360" w:lineRule="auto"/>
              <w:rPr>
                <w:rFonts w:ascii="宋体" w:hAnsi="宋体" w:eastAsia="宋体" w:cs="Times New Roman"/>
                <w:b/>
                <w:bCs/>
                <w:color w:val="000000"/>
                <w:sz w:val="32"/>
                <w:szCs w:val="24"/>
                <w:highlight w:val="none"/>
              </w:rPr>
            </w:pPr>
            <w:r>
              <w:rPr>
                <w:rFonts w:ascii="宋体" w:hAnsi="宋体" w:eastAsia="宋体" w:cs="Times New Roman"/>
                <w:b/>
                <w:bCs/>
                <w:color w:val="000000"/>
                <w:sz w:val="32"/>
                <w:szCs w:val="24"/>
                <w:highlight w:val="none"/>
              </w:rPr>
            </w:r>
            <w:r/>
          </w:p>
        </w:tc>
        <w:tc>
          <w:tcPr>
            <w:tcW w:w="2520" w:type="dxa"/>
            <w:vAlign w:val="bottom"/>
            <w:textDirection w:val="lrTb"/>
            <w:noWrap w:val="false"/>
          </w:tcPr>
          <w:p>
            <w:pPr>
              <w:pStyle w:val="724"/>
              <w:jc w:val="right"/>
              <w:spacing w:line="360" w:lineRule="auto"/>
              <w:rPr>
                <w:rFonts w:ascii="宋体" w:hAnsi="宋体" w:eastAsia="宋体" w:cs="Times New Roman"/>
                <w:b/>
                <w:bCs/>
                <w:color w:val="000000"/>
                <w:sz w:val="32"/>
                <w:szCs w:val="24"/>
                <w:highlight w:val="none"/>
              </w:rPr>
            </w:pPr>
            <w:r>
              <w:rPr>
                <w:rFonts w:hint="eastAsia" w:ascii="宋体" w:hAnsi="宋体" w:eastAsia="宋体" w:cs="Times New Roman"/>
                <w:b/>
                <w:bCs/>
                <w:color w:val="000000"/>
                <w:sz w:val="32"/>
                <w:szCs w:val="24"/>
                <w:highlight w:val="none"/>
              </w:rPr>
              <w:t xml:space="preserve">采   购   人：</w:t>
            </w:r>
            <w:r>
              <w:rPr>
                <w:rFonts w:ascii="宋体" w:hAnsi="宋体" w:eastAsia="宋体" w:cs="Times New Roman"/>
                <w:b/>
                <w:bCs/>
                <w:color w:val="000000"/>
                <w:sz w:val="32"/>
                <w:szCs w:val="24"/>
                <w:highlight w:val="none"/>
              </w:rPr>
            </w:r>
            <w:r/>
          </w:p>
        </w:tc>
        <w:tc>
          <w:tcPr>
            <w:tcW w:w="6686" w:type="dxa"/>
            <w:vAlign w:val="bottom"/>
            <w:textDirection w:val="lrTb"/>
            <w:noWrap w:val="false"/>
          </w:tcPr>
          <w:p>
            <w:pPr>
              <w:pStyle w:val="724"/>
              <w:spacing w:line="360" w:lineRule="auto"/>
              <w:rPr>
                <w:rFonts w:ascii="宋体" w:hAnsi="宋体" w:eastAsia="宋体" w:cs="Times New Roman"/>
                <w:b/>
                <w:bCs/>
                <w:strike/>
                <w:color w:val="000000"/>
                <w:sz w:val="32"/>
                <w:szCs w:val="24"/>
                <w:highlight w:val="none"/>
              </w:rPr>
            </w:pPr>
            <w:r>
              <w:rPr>
                <w:rFonts w:hint="eastAsia" w:ascii="文鼎CS楷体" w:hAnsi="Courier New" w:eastAsia="文鼎CS楷体" w:cs="Times New Roman"/>
                <w:b/>
                <w:bCs/>
                <w:color w:val="000000"/>
                <w:spacing w:val="20"/>
                <w:sz w:val="32"/>
                <w:szCs w:val="20"/>
                <w:highlight w:val="none"/>
              </w:rPr>
              <w:t xml:space="preserve">灌云县杨集镇人民政府</w:t>
            </w:r>
            <w:r>
              <w:rPr>
                <w:rFonts w:ascii="宋体" w:hAnsi="宋体" w:eastAsia="宋体" w:cs="Times New Roman"/>
                <w:b/>
                <w:bCs/>
                <w:strike/>
                <w:color w:val="000000"/>
                <w:sz w:val="32"/>
                <w:szCs w:val="24"/>
                <w:highlight w:val="none"/>
              </w:rPr>
            </w:r>
            <w:r/>
          </w:p>
        </w:tc>
      </w:tr>
      <w:tr>
        <w:trPr/>
        <w:tc>
          <w:tcPr>
            <w:tcW w:w="648" w:type="dxa"/>
            <w:vAlign w:val="top"/>
            <w:textDirection w:val="lrTb"/>
            <w:noWrap w:val="false"/>
          </w:tcPr>
          <w:p>
            <w:pPr>
              <w:pStyle w:val="724"/>
              <w:spacing w:line="360" w:lineRule="auto"/>
              <w:rPr>
                <w:rFonts w:ascii="宋体" w:hAnsi="宋体" w:eastAsia="宋体" w:cs="Times New Roman"/>
                <w:b/>
                <w:bCs/>
                <w:color w:val="000000"/>
                <w:sz w:val="32"/>
                <w:szCs w:val="24"/>
                <w:highlight w:val="none"/>
              </w:rPr>
            </w:pPr>
            <w:r>
              <w:rPr>
                <w:rFonts w:ascii="宋体" w:hAnsi="宋体" w:eastAsia="宋体" w:cs="Times New Roman"/>
                <w:b/>
                <w:bCs/>
                <w:color w:val="000000"/>
                <w:sz w:val="32"/>
                <w:szCs w:val="24"/>
                <w:highlight w:val="none"/>
              </w:rPr>
            </w:r>
            <w:r/>
          </w:p>
        </w:tc>
        <w:tc>
          <w:tcPr>
            <w:tcW w:w="2520" w:type="dxa"/>
            <w:vAlign w:val="center"/>
            <w:textDirection w:val="lrTb"/>
            <w:noWrap w:val="false"/>
          </w:tcPr>
          <w:p>
            <w:pPr>
              <w:pStyle w:val="724"/>
              <w:jc w:val="right"/>
              <w:spacing w:line="360" w:lineRule="auto"/>
              <w:rPr>
                <w:rFonts w:ascii="宋体" w:hAnsi="宋体" w:eastAsia="宋体" w:cs="Times New Roman"/>
                <w:color w:val="000000"/>
                <w:szCs w:val="24"/>
                <w:highlight w:val="none"/>
              </w:rPr>
            </w:pPr>
            <w:r>
              <w:rPr>
                <w:rFonts w:hint="eastAsia" w:ascii="宋体" w:hAnsi="宋体" w:eastAsia="宋体" w:cs="Times New Roman"/>
                <w:b/>
                <w:bCs/>
                <w:color w:val="000000"/>
                <w:sz w:val="32"/>
                <w:szCs w:val="24"/>
                <w:highlight w:val="none"/>
              </w:rPr>
              <w:t xml:space="preserve">采购代理机构：</w:t>
            </w:r>
            <w:r>
              <w:rPr>
                <w:rFonts w:ascii="宋体" w:hAnsi="宋体" w:eastAsia="宋体" w:cs="Times New Roman"/>
                <w:color w:val="000000"/>
                <w:szCs w:val="24"/>
                <w:highlight w:val="none"/>
              </w:rPr>
            </w:r>
            <w:r/>
          </w:p>
        </w:tc>
        <w:tc>
          <w:tcPr>
            <w:tcW w:w="6686" w:type="dxa"/>
            <w:vAlign w:val="center"/>
            <w:textDirection w:val="lrTb"/>
            <w:noWrap w:val="false"/>
          </w:tcPr>
          <w:p>
            <w:pPr>
              <w:pStyle w:val="724"/>
              <w:spacing w:line="360" w:lineRule="auto"/>
              <w:rPr>
                <w:rFonts w:ascii="宋体" w:hAnsi="宋体" w:eastAsia="宋体" w:cs="Times New Roman"/>
                <w:b/>
                <w:bCs/>
                <w:color w:val="000000"/>
                <w:spacing w:val="20"/>
                <w:sz w:val="32"/>
                <w:szCs w:val="20"/>
                <w:highlight w:val="none"/>
              </w:rPr>
            </w:pPr>
            <w:r>
              <w:rPr>
                <w:rFonts w:hint="eastAsia" w:ascii="文鼎CS楷体" w:hAnsi="Courier New" w:eastAsia="文鼎CS楷体" w:cs="Times New Roman"/>
                <w:b/>
                <w:bCs/>
                <w:color w:val="000000"/>
                <w:spacing w:val="20"/>
                <w:sz w:val="32"/>
                <w:szCs w:val="20"/>
                <w:highlight w:val="none"/>
              </w:rPr>
              <w:t xml:space="preserve">江苏伟之达项目管理咨询有限公司</w:t>
            </w:r>
            <w:r>
              <w:rPr>
                <w:rFonts w:ascii="宋体" w:hAnsi="宋体" w:eastAsia="宋体" w:cs="Times New Roman"/>
                <w:b/>
                <w:bCs/>
                <w:color w:val="000000"/>
                <w:spacing w:val="20"/>
                <w:sz w:val="32"/>
                <w:szCs w:val="20"/>
                <w:highlight w:val="none"/>
              </w:rPr>
            </w:r>
            <w:r/>
          </w:p>
        </w:tc>
      </w:tr>
    </w:tbl>
    <w:p>
      <w:pPr>
        <w:pStyle w:val="724"/>
        <w:rPr>
          <w:rFonts w:hint="eastAsia" w:ascii="黑体" w:hAnsi="Arial" w:eastAsia="黑体"/>
          <w:b/>
          <w:color w:val="000000"/>
          <w:sz w:val="44"/>
          <w:szCs w:val="21"/>
          <w:highlight w:val="none"/>
        </w:rPr>
      </w:pPr>
      <w:r/>
      <w:bookmarkStart w:id="0" w:name="_Toc120614210"/>
      <w:r/>
      <w:bookmarkStart w:id="1" w:name="_Toc479757206"/>
      <w:r/>
      <w:bookmarkStart w:id="2" w:name="_Toc20823272"/>
      <w:r/>
      <w:bookmarkStart w:id="3" w:name="_Toc513029200"/>
      <w:r/>
      <w:bookmarkStart w:id="4" w:name="_Toc16938516"/>
      <w:r/>
      <w:bookmarkStart w:id="5" w:name="_Toc523127445"/>
      <w:r>
        <w:rPr>
          <w:rFonts w:hint="eastAsia" w:ascii="黑体" w:hAnsi="Arial" w:eastAsia="黑体"/>
          <w:b/>
          <w:color w:val="000000"/>
          <w:sz w:val="44"/>
          <w:szCs w:val="21"/>
          <w:highlight w:val="none"/>
        </w:rPr>
        <w:br w:type="page" w:clear="all"/>
      </w:r>
      <w:r>
        <w:rPr>
          <w:rFonts w:hint="eastAsia" w:ascii="黑体" w:hAnsi="Arial" w:eastAsia="黑体"/>
          <w:b/>
          <w:color w:val="000000"/>
          <w:sz w:val="44"/>
          <w:szCs w:val="21"/>
          <w:highlight w:val="none"/>
        </w:rPr>
      </w:r>
      <w:r/>
    </w:p>
    <w:p>
      <w:pPr>
        <w:pStyle w:val="724"/>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r>
      <w:r/>
    </w:p>
    <w:p>
      <w:pPr>
        <w:pStyle w:val="724"/>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b/>
          <w:color w:val="000000"/>
          <w:sz w:val="44"/>
          <w:szCs w:val="21"/>
          <w:highlight w:val="none"/>
        </w:rPr>
        <w:t xml:space="preserve">总目录</w:t>
      </w:r>
      <w:r>
        <w:rPr>
          <w:rFonts w:hint="eastAsia" w:ascii="黑体" w:hAnsi="Arial" w:eastAsia="黑体"/>
          <w:b/>
          <w:color w:val="000000"/>
          <w:sz w:val="44"/>
          <w:szCs w:val="21"/>
          <w:highlight w:val="none"/>
        </w:rPr>
      </w:r>
      <w:r/>
    </w:p>
    <w:p>
      <w:pPr>
        <w:pStyle w:val="724"/>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724"/>
        <w:numPr>
          <w:ilvl w:val="0"/>
          <w:numId w:val="4"/>
        </w:numPr>
        <w:spacing w:line="480" w:lineRule="auto"/>
        <w:tabs>
          <w:tab w:val="left" w:pos="1440" w:leader="none"/>
        </w:tabs>
        <w:rPr>
          <w:rFonts w:hint="eastAsia" w:ascii="黑体" w:hAnsi="Showcard Gothic" w:eastAsia="黑体"/>
          <w:color w:val="000000"/>
          <w:sz w:val="32"/>
          <w:szCs w:val="21"/>
          <w:highlight w:val="none"/>
        </w:rPr>
        <w:outlineLvl w:val="0"/>
      </w:pPr>
      <w:r>
        <w:rPr>
          <w:rFonts w:hint="eastAsia" w:ascii="黑体" w:hAnsi="宋体" w:eastAsia="黑体"/>
          <w:color w:val="000000"/>
          <w:sz w:val="36"/>
          <w:szCs w:val="21"/>
          <w:highlight w:val="none"/>
        </w:rPr>
        <w:t xml:space="preserve">投标邀请</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w:t>
      </w:r>
      <w:r>
        <w:rPr>
          <w:rFonts w:hint="eastAsia" w:ascii="黑体" w:hAnsi="Showcard Gothic" w:eastAsia="黑体"/>
          <w:color w:val="000000"/>
          <w:sz w:val="32"/>
          <w:szCs w:val="21"/>
          <w:highlight w:val="none"/>
        </w:rPr>
      </w:r>
      <w:r/>
    </w:p>
    <w:p>
      <w:pPr>
        <w:pStyle w:val="724"/>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8</w:t>
      </w:r>
      <w:r>
        <w:rPr>
          <w:rFonts w:hint="eastAsia" w:ascii="黑体" w:hAnsi="Showcard Gothic" w:eastAsia="黑体"/>
          <w:color w:val="000000"/>
          <w:sz w:val="36"/>
          <w:szCs w:val="21"/>
          <w:highlight w:val="none"/>
        </w:rPr>
      </w:r>
      <w:r/>
    </w:p>
    <w:p>
      <w:pPr>
        <w:pStyle w:val="724"/>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合同文本</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25</w:t>
      </w:r>
      <w:r>
        <w:rPr>
          <w:rFonts w:hint="eastAsia" w:ascii="黑体" w:hAnsi="Showcard Gothic" w:eastAsia="黑体"/>
          <w:color w:val="000000"/>
          <w:sz w:val="36"/>
          <w:szCs w:val="21"/>
          <w:highlight w:val="none"/>
        </w:rPr>
      </w:r>
      <w:r/>
    </w:p>
    <w:p>
      <w:pPr>
        <w:pStyle w:val="724"/>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采购需求</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30</w:t>
      </w:r>
      <w:r>
        <w:rPr>
          <w:rFonts w:hint="eastAsia" w:ascii="黑体" w:hAnsi="Showcard Gothic" w:eastAsia="黑体"/>
          <w:color w:val="000000"/>
          <w:sz w:val="36"/>
          <w:szCs w:val="21"/>
          <w:highlight w:val="none"/>
        </w:rPr>
      </w:r>
      <w:r/>
    </w:p>
    <w:p>
      <w:pPr>
        <w:pStyle w:val="724"/>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36</w:t>
      </w:r>
      <w:r>
        <w:rPr>
          <w:rFonts w:hint="eastAsia" w:ascii="黑体" w:hAnsi="Showcard Gothic" w:eastAsia="黑体"/>
          <w:color w:val="000000"/>
          <w:sz w:val="36"/>
          <w:szCs w:val="21"/>
          <w:highlight w:val="none"/>
        </w:rPr>
      </w:r>
      <w:r/>
    </w:p>
    <w:p>
      <w:pPr>
        <w:pStyle w:val="724"/>
        <w:numPr>
          <w:ilvl w:val="0"/>
          <w:numId w:val="4"/>
        </w:numPr>
        <w:spacing w:line="480" w:lineRule="auto"/>
        <w:tabs>
          <w:tab w:val="left" w:pos="1440" w:leader="none"/>
        </w:tabs>
        <w:rPr>
          <w:rFonts w:hint="eastAsia" w:ascii="黑体" w:hAnsi="Showcard Gothic" w:eastAsia="黑体"/>
          <w:color w:val="000000"/>
          <w:sz w:val="36"/>
          <w:szCs w:val="21"/>
          <w:highlight w:val="none"/>
        </w:rPr>
        <w:outlineLvl w:val="0"/>
      </w:pPr>
      <w:r>
        <w:rPr>
          <w:rFonts w:hint="eastAsia" w:ascii="黑体" w:hAnsi="宋体" w:eastAsia="黑体"/>
          <w:color w:val="000000"/>
          <w:sz w:val="36"/>
          <w:szCs w:val="21"/>
          <w:highlight w:val="none"/>
        </w:rPr>
        <w:t xml:space="preserve">投标文件格式</w:t>
      </w:r>
      <w:r>
        <w:rPr>
          <w:rFonts w:hint="eastAsia" w:ascii="黑体" w:hAnsi="Showcard Gothic" w:eastAsia="黑体"/>
          <w:color w:val="000000"/>
          <w:sz w:val="36"/>
          <w:szCs w:val="21"/>
          <w:highlight w:val="none"/>
        </w:rPr>
        <w:t xml:space="preserve">………………………………</w:t>
      </w:r>
      <w:r>
        <w:rPr>
          <w:rFonts w:hint="eastAsia" w:ascii="黑体" w:hAnsi="Showcard Gothic" w:eastAsia="黑体"/>
          <w:color w:val="000000"/>
          <w:sz w:val="36"/>
          <w:szCs w:val="21"/>
          <w:highlight w:val="none"/>
          <w:lang w:val="en-US" w:eastAsia="zh-CN"/>
        </w:rPr>
        <w:t xml:space="preserve">41</w:t>
      </w:r>
      <w:r>
        <w:rPr>
          <w:rFonts w:hint="eastAsia" w:ascii="黑体" w:hAnsi="Showcard Gothic" w:eastAsia="黑体"/>
          <w:color w:val="000000"/>
          <w:sz w:val="36"/>
          <w:szCs w:val="21"/>
          <w:highlight w:val="none"/>
        </w:rPr>
      </w:r>
      <w:r/>
    </w:p>
    <w:p>
      <w:pPr>
        <w:pStyle w:val="724"/>
        <w:rPr>
          <w:rFonts w:hint="eastAsia"/>
          <w:color w:val="000000"/>
          <w:szCs w:val="21"/>
          <w:highlight w:val="none"/>
        </w:rPr>
      </w:pPr>
      <w:r>
        <w:rPr>
          <w:rFonts w:hint="eastAsia"/>
          <w:color w:val="000000"/>
          <w:szCs w:val="21"/>
          <w:highlight w:val="none"/>
        </w:rPr>
      </w:r>
      <w:r/>
    </w:p>
    <w:p>
      <w:pPr>
        <w:pStyle w:val="724"/>
        <w:rPr>
          <w:rFonts w:hint="eastAsia"/>
          <w:color w:val="000000"/>
          <w:szCs w:val="21"/>
          <w:highlight w:val="none"/>
        </w:rPr>
      </w:pPr>
      <w:r>
        <w:rPr>
          <w:rFonts w:hint="eastAsia"/>
          <w:color w:val="000000"/>
          <w:szCs w:val="21"/>
          <w:highlight w:val="none"/>
        </w:rPr>
      </w:r>
      <w:r/>
    </w:p>
    <w:p>
      <w:pPr>
        <w:pStyle w:val="724"/>
        <w:rPr>
          <w:rFonts w:hint="eastAsia"/>
          <w:color w:val="000000"/>
          <w:szCs w:val="21"/>
          <w:highlight w:val="none"/>
        </w:rPr>
      </w:pPr>
      <w:r>
        <w:rPr>
          <w:rFonts w:hint="eastAsia"/>
          <w:color w:val="000000"/>
          <w:szCs w:val="21"/>
          <w:highlight w:val="none"/>
        </w:rPr>
      </w:r>
      <w:r/>
    </w:p>
    <w:p>
      <w:pPr>
        <w:pStyle w:val="724"/>
        <w:rPr>
          <w:rFonts w:hint="eastAsia"/>
          <w:color w:val="000000"/>
          <w:szCs w:val="21"/>
          <w:highlight w:val="none"/>
        </w:rPr>
      </w:pPr>
      <w:r>
        <w:rPr>
          <w:rFonts w:hint="eastAsia"/>
          <w:color w:val="000000"/>
          <w:szCs w:val="21"/>
          <w:highlight w:val="none"/>
        </w:rPr>
      </w:r>
      <w:r/>
    </w:p>
    <w:p>
      <w:pPr>
        <w:pStyle w:val="724"/>
        <w:rPr>
          <w:rFonts w:hint="eastAsia"/>
          <w:color w:val="000000"/>
          <w:szCs w:val="21"/>
          <w:highlight w:val="none"/>
        </w:rPr>
      </w:pPr>
      <w:r>
        <w:rPr>
          <w:rFonts w:hint="eastAsia"/>
          <w:color w:val="000000"/>
          <w:szCs w:val="21"/>
          <w:highlight w:val="none"/>
        </w:rPr>
      </w:r>
      <w:r/>
    </w:p>
    <w:p>
      <w:pPr>
        <w:pStyle w:val="724"/>
        <w:rPr>
          <w:rFonts w:hint="eastAsia"/>
          <w:color w:val="000000"/>
          <w:szCs w:val="21"/>
          <w:highlight w:val="none"/>
        </w:rPr>
      </w:pPr>
      <w:r>
        <w:rPr>
          <w:rFonts w:hint="eastAsia"/>
          <w:color w:val="000000"/>
          <w:szCs w:val="21"/>
          <w:highlight w:val="none"/>
        </w:rPr>
      </w:r>
      <w:r/>
    </w:p>
    <w:p>
      <w:pPr>
        <w:pStyle w:val="724"/>
        <w:jc w:val="center"/>
        <w:keepNext/>
        <w:rPr>
          <w:rFonts w:hint="eastAsia" w:ascii="黑体" w:eastAsia="黑体"/>
          <w:bCs/>
          <w:color w:val="000000"/>
          <w:sz w:val="44"/>
          <w:szCs w:val="44"/>
          <w:highlight w:val="none"/>
        </w:rPr>
        <w:outlineLvl w:val="0"/>
      </w:pPr>
      <w:r>
        <w:rPr>
          <w:rFonts w:hint="eastAsia" w:ascii="黑体" w:eastAsia="黑体"/>
          <w:color w:val="000000"/>
          <w:sz w:val="44"/>
          <w:szCs w:val="44"/>
          <w:highlight w:val="none"/>
        </w:rPr>
        <w:br w:type="page" w:clear="all"/>
      </w:r>
      <w:r>
        <w:rPr>
          <w:rFonts w:hint="eastAsia" w:ascii="黑体" w:eastAsia="黑体"/>
          <w:color w:val="000000"/>
          <w:sz w:val="44"/>
          <w:szCs w:val="44"/>
          <w:highlight w:val="none"/>
        </w:rPr>
        <w:t xml:space="preserve">第一章</w:t>
      </w:r>
      <w:bookmarkEnd w:id="0"/>
      <w:r>
        <w:rPr>
          <w:rFonts w:hint="eastAsia" w:ascii="黑体" w:eastAsia="黑体"/>
          <w:color w:val="000000"/>
          <w:sz w:val="44"/>
          <w:szCs w:val="44"/>
          <w:highlight w:val="none"/>
        </w:rPr>
        <w:t xml:space="preserve">投标邀请</w:t>
      </w:r>
      <w:r>
        <w:rPr>
          <w:rFonts w:hint="eastAsia" w:ascii="黑体" w:eastAsia="黑体"/>
          <w:bCs/>
          <w:color w:val="000000"/>
          <w:sz w:val="44"/>
          <w:szCs w:val="44"/>
          <w:highlight w:val="none"/>
        </w:rPr>
      </w:r>
      <w:r/>
    </w:p>
    <w:p>
      <w:pPr>
        <w:pStyle w:val="724"/>
        <w:ind w:firstLine="480"/>
        <w:jc w:val="left"/>
        <w:spacing w:line="500" w:lineRule="exact"/>
        <w:rPr>
          <w:rFonts w:hint="eastAsia" w:ascii="Calibri" w:hAnsi="Calibri"/>
          <w:color w:val="000000"/>
          <w:sz w:val="24"/>
          <w:szCs w:val="24"/>
          <w:highlight w:val="none"/>
        </w:rPr>
      </w:pPr>
      <w:r/>
      <w:bookmarkStart w:id="6" w:name="_Toc35393627"/>
      <w:r/>
      <w:bookmarkStart w:id="7" w:name="_Toc28359085"/>
      <w:r/>
      <w:bookmarkStart w:id="8" w:name="_Toc35393796"/>
      <w:r/>
      <w:bookmarkStart w:id="9" w:name="_Toc38985269"/>
      <w:r/>
      <w:bookmarkStart w:id="10" w:name="_Toc28359008"/>
      <w:r>
        <w:rPr>
          <w:rFonts w:hint="eastAsia" w:ascii="Calibri" w:hAnsi="Calibri"/>
          <w:color w:val="000000"/>
          <w:sz w:val="24"/>
          <w:szCs w:val="24"/>
          <w:highlight w:val="none"/>
        </w:rPr>
        <w:t xml:space="preserve">受</w:t>
      </w:r>
      <w:r>
        <w:rPr>
          <w:rFonts w:hint="eastAsia" w:ascii="Calibri" w:hAnsi="Calibri"/>
          <w:color w:val="000000"/>
          <w:sz w:val="24"/>
          <w:szCs w:val="24"/>
          <w:highlight w:val="none"/>
          <w:u w:val="single"/>
          <w:lang w:eastAsia="zh-CN"/>
        </w:rPr>
        <w:t xml:space="preserve">灌云县杨集镇人民政府</w:t>
      </w:r>
      <w:r>
        <w:rPr>
          <w:rFonts w:hint="eastAsia" w:ascii="Calibri" w:hAnsi="Calibri"/>
          <w:color w:val="000000"/>
          <w:sz w:val="24"/>
          <w:szCs w:val="24"/>
          <w:highlight w:val="none"/>
        </w:rPr>
        <w:t xml:space="preserve">的委托，</w:t>
      </w:r>
      <w:r>
        <w:rPr>
          <w:rFonts w:hint="eastAsia" w:ascii="Calibri" w:hAnsi="Calibri"/>
          <w:color w:val="000000"/>
          <w:sz w:val="24"/>
          <w:szCs w:val="24"/>
          <w:highlight w:val="none"/>
          <w:u w:val="single"/>
          <w:lang w:eastAsia="zh-CN"/>
        </w:rPr>
        <w:t xml:space="preserve">江苏伟之达项目管理咨询有限公司</w:t>
      </w:r>
      <w:r>
        <w:rPr>
          <w:rFonts w:hint="eastAsia" w:ascii="Calibri" w:hAnsi="Calibri"/>
          <w:color w:val="000000"/>
          <w:sz w:val="24"/>
          <w:szCs w:val="24"/>
          <w:highlight w:val="none"/>
        </w:rPr>
        <w:t xml:space="preserve">就</w:t>
      </w:r>
      <w:r>
        <w:rPr>
          <w:rFonts w:hint="eastAsia" w:ascii="Calibri" w:hAnsi="Calibri"/>
          <w:color w:val="000000"/>
          <w:sz w:val="24"/>
          <w:szCs w:val="24"/>
          <w:highlight w:val="none"/>
          <w:u w:val="single"/>
          <w:lang w:eastAsia="zh-CN"/>
        </w:rPr>
        <w:t xml:space="preserve">杨集镇城镇公共卫生服务采购项目（专门面向中小企业）</w:t>
      </w:r>
      <w:r>
        <w:rPr>
          <w:rFonts w:hint="eastAsia" w:ascii="Calibri" w:hAnsi="Calibri"/>
          <w:color w:val="000000"/>
          <w:sz w:val="24"/>
          <w:szCs w:val="24"/>
          <w:highlight w:val="none"/>
        </w:rPr>
        <w:t xml:space="preserve">(项目编号</w:t>
      </w:r>
      <w:r>
        <w:rPr>
          <w:rFonts w:hint="eastAsia" w:ascii="Calibri" w:hAnsi="Calibri"/>
          <w:color w:val="000000"/>
          <w:sz w:val="24"/>
          <w:szCs w:val="24"/>
          <w:highlight w:val="none"/>
          <w:u w:val="single"/>
        </w:rPr>
        <w:t xml:space="preserve">JSZC-320723-SWZD-G2026-0003</w:t>
      </w:r>
      <w:r>
        <w:rPr>
          <w:rFonts w:hint="eastAsia" w:ascii="Calibri" w:hAnsi="Calibri"/>
          <w:color w:val="000000"/>
          <w:sz w:val="24"/>
          <w:szCs w:val="24"/>
          <w:highlight w:val="none"/>
        </w:rPr>
        <w:t xml:space="preserve">)进行公开招标采购，欢迎符合条件的供应商投标。</w:t>
      </w:r>
      <w:r>
        <w:rPr>
          <w:rFonts w:hint="eastAsia" w:ascii="Calibri" w:hAnsi="Calibri"/>
          <w:color w:val="000000"/>
          <w:sz w:val="24"/>
          <w:szCs w:val="24"/>
          <w:highlight w:val="none"/>
        </w:rPr>
      </w:r>
      <w:r/>
    </w:p>
    <w:p>
      <w:pPr>
        <w:pStyle w:val="724"/>
        <w:ind w:firstLine="480"/>
        <w:spacing w:line="5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724"/>
        <w:ind w:firstLine="480"/>
        <w:spacing w:line="50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杨集镇城镇公共卫生服务采购项目（专门面向中小企业）</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“江苏政府采购网”自行免费下载</w:t>
      </w:r>
      <w:r>
        <w:rPr>
          <w:rFonts w:hint="eastAsia" w:ascii="宋体" w:hAnsi="宋体"/>
          <w:color w:val="000000"/>
          <w:sz w:val="24"/>
          <w:szCs w:val="24"/>
          <w:highlight w:val="none"/>
        </w:rPr>
        <w:t xml:space="preserve">招标文件，并于</w:t>
      </w:r>
      <w:r>
        <w:rPr>
          <w:rFonts w:hint="eastAsia" w:ascii="宋体" w:hAnsi="宋体"/>
          <w:color w:val="000000"/>
          <w:sz w:val="24"/>
          <w:szCs w:val="24"/>
          <w:highlight w:val="none"/>
          <w:u w:val="single"/>
        </w:rPr>
        <w:t xml:space="preserve">2026</w:t>
      </w:r>
      <w:r>
        <w:rPr>
          <w:rFonts w:hint="eastAsia" w:ascii="宋体" w:hAnsi="宋体"/>
          <w:bCs/>
          <w:color w:val="000000"/>
          <w:sz w:val="24"/>
          <w:szCs w:val="24"/>
          <w:highlight w:val="none"/>
          <w:u w:val="single"/>
        </w:rPr>
        <w:t xml:space="preserve">年</w:t>
      </w:r>
      <w:r>
        <w:rPr>
          <w:rFonts w:hint="eastAsia" w:ascii="宋体" w:hAnsi="宋体"/>
          <w:bCs/>
          <w:color w:val="000000"/>
          <w:sz w:val="24"/>
          <w:szCs w:val="24"/>
          <w:highlight w:val="none"/>
          <w:u w:val="single"/>
          <w:lang w:val="en-US" w:eastAsia="zh-CN"/>
        </w:rPr>
        <w:t xml:space="preserve">11</w:t>
      </w:r>
      <w:r>
        <w:rPr>
          <w:rFonts w:hint="eastAsia" w:ascii="宋体" w:hAnsi="宋体"/>
          <w:bCs/>
          <w:color w:val="000000"/>
          <w:sz w:val="24"/>
          <w:szCs w:val="24"/>
          <w:highlight w:val="none"/>
          <w:u w:val="single"/>
        </w:rPr>
        <w:t xml:space="preserve">月</w:t>
      </w:r>
      <w:r>
        <w:rPr>
          <w:rFonts w:hint="eastAsia" w:ascii="宋体" w:hAnsi="宋体"/>
          <w:bCs/>
          <w:color w:val="000000"/>
          <w:sz w:val="24"/>
          <w:szCs w:val="24"/>
          <w:highlight w:val="none"/>
          <w:u w:val="single"/>
          <w:lang w:val="en-US" w:eastAsia="zh-CN"/>
        </w:rPr>
        <w:t xml:space="preserve">13</w:t>
      </w:r>
      <w:r>
        <w:rPr>
          <w:rFonts w:hint="eastAsia" w:ascii="宋体" w:hAnsi="宋体"/>
          <w:bCs/>
          <w:color w:val="000000"/>
          <w:sz w:val="24"/>
          <w:szCs w:val="24"/>
          <w:highlight w:val="none"/>
          <w:u w:val="single"/>
        </w:rPr>
        <w:t xml:space="preserve">日10点00分</w:t>
      </w:r>
      <w:r>
        <w:rPr>
          <w:rFonts w:hint="eastAsia"/>
          <w:color w:val="000000"/>
          <w:sz w:val="24"/>
          <w:szCs w:val="24"/>
          <w:highlight w:val="none"/>
        </w:rPr>
        <w:t xml:space="preserve">（北京时间）前递交（上传）投标文件。</w:t>
      </w:r>
      <w:r>
        <w:rPr>
          <w:rFonts w:ascii="宋体" w:hAnsi="宋体"/>
          <w:color w:val="000000"/>
          <w:sz w:val="24"/>
          <w:szCs w:val="24"/>
          <w:highlight w:val="none"/>
        </w:rPr>
      </w:r>
      <w:r/>
    </w:p>
    <w:p>
      <w:pPr>
        <w:pStyle w:val="914"/>
        <w:ind w:firstLine="498"/>
        <w:spacing w:before="145" w:after="145" w:line="500" w:lineRule="exact"/>
        <w:rPr>
          <w:color w:val="000000"/>
          <w:highlight w:val="none"/>
        </w:rPr>
      </w:pPr>
      <w:r/>
      <w:bookmarkStart w:id="11" w:name="_Toc28359002"/>
      <w:r/>
      <w:bookmarkStart w:id="12" w:name="_Toc38985263"/>
      <w:r/>
      <w:bookmarkStart w:id="13" w:name="_Toc35393621"/>
      <w:r/>
      <w:bookmarkStart w:id="14" w:name="_Toc35393790"/>
      <w:r/>
      <w:bookmarkStart w:id="15" w:name="_Hlk24379207"/>
      <w:r/>
      <w:bookmarkStart w:id="16" w:name="_Toc28359079"/>
      <w:r>
        <w:rPr>
          <w:rFonts w:hint="eastAsia"/>
          <w:color w:val="000000"/>
          <w:highlight w:val="none"/>
        </w:rPr>
        <w:t xml:space="preserve">一、项目基本情况</w:t>
      </w:r>
      <w:bookmarkEnd w:id="11"/>
      <w:r/>
      <w:bookmarkEnd w:id="12"/>
      <w:r/>
      <w:bookmarkEnd w:id="13"/>
      <w:r/>
      <w:bookmarkEnd w:id="14"/>
      <w:r/>
      <w:bookmarkEnd w:id="16"/>
      <w:r>
        <w:rPr>
          <w:color w:val="000000"/>
          <w:highlight w:val="none"/>
        </w:rPr>
      </w:r>
      <w:r/>
    </w:p>
    <w:p>
      <w:pPr>
        <w:pStyle w:val="72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1.项目编号：JSZC-320723-SWZD-G2026-0003</w:t>
      </w:r>
      <w:r>
        <w:rPr>
          <w:rFonts w:hint="eastAsia" w:ascii="宋体" w:hAnsi="宋体" w:eastAsia="宋体"/>
          <w:color w:val="000000"/>
          <w:sz w:val="24"/>
          <w:szCs w:val="24"/>
          <w:highlight w:val="none"/>
          <w:lang w:eastAsia="zh-CN"/>
        </w:rPr>
      </w:r>
      <w:r/>
    </w:p>
    <w:p>
      <w:pPr>
        <w:pStyle w:val="724"/>
        <w:ind w:firstLine="48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w:t>
      </w:r>
      <w:bookmarkEnd w:id="15"/>
      <w:r>
        <w:rPr>
          <w:rFonts w:hint="eastAsia" w:ascii="宋体" w:hAnsi="宋体"/>
          <w:color w:val="000000"/>
          <w:sz w:val="24"/>
          <w:szCs w:val="24"/>
          <w:highlight w:val="none"/>
          <w:lang w:eastAsia="zh-CN"/>
        </w:rPr>
        <w:t xml:space="preserve">杨集镇城镇公共卫生服务采购项目（专门面向中小企业）</w:t>
      </w:r>
      <w:r>
        <w:rPr>
          <w:rFonts w:hint="eastAsia" w:ascii="宋体" w:hAnsi="宋体" w:eastAsia="宋体"/>
          <w:color w:val="000000"/>
          <w:sz w:val="24"/>
          <w:szCs w:val="24"/>
          <w:highlight w:val="none"/>
          <w:lang w:eastAsia="zh-CN"/>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color w:val="000000"/>
          <w:sz w:val="24"/>
          <w:szCs w:val="24"/>
          <w:highlight w:val="none"/>
          <w:lang w:eastAsia="zh-CN"/>
        </w:rPr>
        <w:t xml:space="preserve">270</w:t>
      </w:r>
      <w:r>
        <w:rPr>
          <w:rFonts w:hint="eastAsia" w:ascii="宋体" w:hAnsi="宋体"/>
          <w:color w:val="000000"/>
          <w:sz w:val="24"/>
          <w:szCs w:val="24"/>
          <w:highlight w:val="none"/>
        </w:rPr>
        <w:t xml:space="preserve">.00万元</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4.最高限价：</w:t>
      </w:r>
      <w:r>
        <w:rPr>
          <w:rFonts w:hint="eastAsia" w:ascii="宋体" w:hAnsi="宋体"/>
          <w:color w:val="000000"/>
          <w:sz w:val="24"/>
          <w:szCs w:val="24"/>
          <w:highlight w:val="none"/>
          <w:lang w:eastAsia="zh-CN"/>
        </w:rPr>
        <w:t xml:space="preserve">270</w:t>
      </w:r>
      <w:r>
        <w:rPr>
          <w:rFonts w:hint="eastAsia" w:ascii="宋体" w:hAnsi="宋体"/>
          <w:color w:val="000000"/>
          <w:sz w:val="24"/>
          <w:szCs w:val="24"/>
          <w:highlight w:val="none"/>
        </w:rPr>
        <w:t xml:space="preserve">.00万元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135万元/年</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，高于此限价的投标文件将作为无效处理。</w:t>
      </w:r>
      <w:r>
        <w:rPr>
          <w:rFonts w:hint="eastAsia" w:ascii="宋体" w:hAnsi="宋体"/>
          <w:color w:val="000000"/>
          <w:sz w:val="24"/>
          <w:szCs w:val="24"/>
          <w:highlight w:val="none"/>
        </w:rPr>
      </w:r>
      <w:r/>
    </w:p>
    <w:p>
      <w:pPr>
        <w:pStyle w:val="724"/>
        <w:ind w:firstLine="480"/>
        <w:jc w:val="left"/>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Calibri" w:hAnsi="Calibri"/>
          <w:color w:val="000000"/>
          <w:sz w:val="24"/>
          <w:szCs w:val="24"/>
          <w:highlight w:val="none"/>
        </w:rPr>
        <w:t xml:space="preserve">采购方式：公开招标</w:t>
      </w:r>
      <w:r>
        <w:rPr>
          <w:rFonts w:hint="eastAsia" w:ascii="宋体" w:hAnsi="宋体"/>
          <w:color w:val="000000"/>
          <w:sz w:val="24"/>
          <w:szCs w:val="24"/>
          <w:highlight w:val="none"/>
        </w:rPr>
      </w:r>
      <w:r/>
    </w:p>
    <w:p>
      <w:pPr>
        <w:pStyle w:val="724"/>
        <w:ind w:firstLine="480"/>
        <w:keepLines w:val="0"/>
        <w:keepNext w:val="0"/>
        <w:pageBreakBefore w:val="0"/>
        <w:spacing w:line="580" w:lineRule="exact"/>
        <w:widowControl w:val="off"/>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6.采购需求：</w:t>
      </w:r>
      <w:r>
        <w:rPr>
          <w:rFonts w:hint="eastAsia" w:ascii="宋体" w:hAnsi="宋体"/>
          <w:color w:val="000000"/>
          <w:sz w:val="24"/>
          <w:szCs w:val="24"/>
          <w:highlight w:val="none"/>
          <w:lang w:val="en-US" w:eastAsia="zh-CN"/>
        </w:rPr>
        <w:t xml:space="preserve">杨集镇利华村、镇东村、城东村、三星社区、元兴村全域、主要交通干道路线沿线、利华村高速口至杨集卫生院西侧辉煌酒楼路段（含道路两侧5米范围内）沿线的清扫、生活垃圾清理清运等；镇区22座公共厕所的日常卫生清理打扫；杨集、沂北2个垃圾中转站的日常卫生清理打扫及运营车辆维修；清运车辆的日常维护、常规修理等。具体详见第四章采购需求。</w:t>
      </w:r>
      <w:r>
        <w:rPr>
          <w:rFonts w:hint="eastAsia" w:ascii="宋体" w:hAnsi="宋体"/>
          <w:color w:val="000000"/>
          <w:sz w:val="24"/>
          <w:szCs w:val="24"/>
          <w:highlight w:val="none"/>
          <w:lang w:val="en-US" w:eastAsia="zh-CN"/>
        </w:rPr>
      </w:r>
      <w:r/>
    </w:p>
    <w:p>
      <w:pPr>
        <w:pStyle w:val="724"/>
        <w:ind w:firstLine="482"/>
        <w:jc w:val="left"/>
        <w:spacing w:line="500" w:lineRule="exact"/>
        <w:rPr>
          <w:rFonts w:ascii="Calibri" w:hAnsi="Calibri"/>
          <w:b/>
          <w:color w:val="000000"/>
          <w:sz w:val="24"/>
          <w:szCs w:val="24"/>
          <w:highlight w:val="none"/>
        </w:rPr>
      </w:pPr>
      <w:r>
        <w:rPr>
          <w:rFonts w:hint="eastAsia" w:ascii="Calibri" w:hAnsi="Calibri"/>
          <w:b/>
          <w:color w:val="000000"/>
          <w:sz w:val="24"/>
          <w:szCs w:val="24"/>
          <w:highlight w:val="none"/>
        </w:rPr>
        <w:t xml:space="preserve">对本项目资格要求、采购需求、评标方法与评标标准等部分的询问、质疑请与采购人联系，由采购人负责答复。</w:t>
      </w:r>
      <w:r>
        <w:rPr>
          <w:rFonts w:ascii="Calibri" w:hAnsi="Calibri"/>
          <w:b/>
          <w:color w:val="000000"/>
          <w:sz w:val="24"/>
          <w:szCs w:val="24"/>
          <w:highlight w:val="none"/>
        </w:rPr>
      </w:r>
      <w:r/>
    </w:p>
    <w:p>
      <w:pPr>
        <w:pStyle w:val="724"/>
        <w:ind w:firstLine="480"/>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rPr>
        <w:t xml:space="preserve">合同</w:t>
      </w:r>
      <w:r>
        <w:rPr>
          <w:rFonts w:hint="eastAsia" w:ascii="宋体" w:hAnsi="宋体"/>
          <w:color w:val="000000"/>
          <w:sz w:val="24"/>
          <w:szCs w:val="24"/>
          <w:highlight w:val="none"/>
          <w:lang w:val="en-US" w:eastAsia="zh-CN"/>
        </w:rPr>
        <w:t xml:space="preserve">履行期限：两年，具体提供的服务开始时间以甲方的书面通知时间为准。</w:t>
      </w:r>
      <w:r>
        <w:rPr>
          <w:rFonts w:hint="eastAsia" w:ascii="宋体" w:hAnsi="宋体"/>
          <w:color w:val="000000"/>
          <w:sz w:val="24"/>
          <w:szCs w:val="24"/>
          <w:highlight w:val="none"/>
          <w:lang w:val="en-US" w:eastAsia="zh-CN"/>
        </w:rPr>
      </w:r>
      <w:r/>
    </w:p>
    <w:p>
      <w:pPr>
        <w:pStyle w:val="724"/>
        <w:ind w:firstLine="480"/>
        <w:spacing w:line="500" w:lineRule="exact"/>
        <w:rPr>
          <w:rFonts w:hint="eastAsia" w:ascii="宋体" w:hAnsi="宋体"/>
          <w:color w:val="000000"/>
          <w:sz w:val="24"/>
          <w:szCs w:val="24"/>
          <w:highlight w:val="none"/>
          <w:lang w:val="en-US" w:eastAsia="zh-CN"/>
        </w:rPr>
      </w:pPr>
      <w:r>
        <w:rPr>
          <w:rFonts w:hint="eastAsia" w:ascii="宋体" w:hAnsi="宋体"/>
          <w:color w:val="000000"/>
          <w:sz w:val="24"/>
          <w:szCs w:val="24"/>
          <w:highlight w:val="none"/>
          <w:lang w:val="en-US" w:eastAsia="zh-CN"/>
        </w:rPr>
        <w:t xml:space="preserve">本项目（是/否）接受联合体投标：不接受联合体。</w:t>
      </w:r>
      <w:r>
        <w:rPr>
          <w:rFonts w:hint="eastAsia" w:ascii="宋体" w:hAnsi="宋体"/>
          <w:color w:val="000000"/>
          <w:sz w:val="24"/>
          <w:szCs w:val="24"/>
          <w:highlight w:val="none"/>
          <w:lang w:val="en-US" w:eastAsia="zh-CN"/>
        </w:rPr>
      </w:r>
      <w:r/>
    </w:p>
    <w:p>
      <w:pPr>
        <w:pStyle w:val="914"/>
        <w:ind w:firstLine="498"/>
        <w:spacing w:before="145" w:after="145" w:line="500" w:lineRule="exact"/>
        <w:rPr>
          <w:rFonts w:hint="eastAsia"/>
          <w:color w:val="000000"/>
          <w:highlight w:val="none"/>
        </w:rPr>
      </w:pPr>
      <w:r/>
      <w:bookmarkStart w:id="17" w:name="_Toc38985264"/>
      <w:r/>
      <w:bookmarkStart w:id="18" w:name="_Toc35393622"/>
      <w:r/>
      <w:bookmarkStart w:id="19" w:name="_Toc35393791"/>
      <w:r/>
      <w:bookmarkStart w:id="20" w:name="_Toc28359003"/>
      <w:r/>
      <w:bookmarkStart w:id="21" w:name="_Toc28359080"/>
      <w:r>
        <w:rPr>
          <w:rFonts w:hint="eastAsia"/>
          <w:color w:val="000000"/>
          <w:highlight w:val="none"/>
        </w:rPr>
        <w:t xml:space="preserve">二、申请人的资格要求：</w:t>
      </w:r>
      <w:bookmarkEnd w:id="17"/>
      <w:r/>
      <w:bookmarkEnd w:id="18"/>
      <w:r/>
      <w:bookmarkEnd w:id="19"/>
      <w:r/>
      <w:bookmarkEnd w:id="20"/>
      <w:r/>
      <w:bookmarkEnd w:id="21"/>
      <w:r>
        <w:rPr>
          <w:rFonts w:hint="eastAsia"/>
          <w:color w:val="000000"/>
          <w:highlight w:val="none"/>
        </w:rPr>
      </w:r>
      <w:r/>
    </w:p>
    <w:p>
      <w:pPr>
        <w:pStyle w:val="724"/>
        <w:ind w:firstLine="480"/>
        <w:jc w:val="left"/>
        <w:spacing w:line="500" w:lineRule="exact"/>
        <w:rPr>
          <w:rFonts w:ascii="Calibri" w:hAnsi="Calibri"/>
          <w:color w:val="000000"/>
          <w:sz w:val="24"/>
          <w:szCs w:val="24"/>
          <w:highlight w:val="none"/>
        </w:rPr>
      </w:pPr>
      <w:r/>
      <w:bookmarkStart w:id="22" w:name="_Toc38985265"/>
      <w:r/>
      <w:bookmarkStart w:id="23" w:name="_Toc28359081"/>
      <w:r/>
      <w:bookmarkStart w:id="24" w:name="_Toc35393792"/>
      <w:r/>
      <w:bookmarkStart w:id="25" w:name="_Toc28359004"/>
      <w:r/>
      <w:bookmarkStart w:id="26" w:name="_Toc35393623"/>
      <w:r>
        <w:rPr>
          <w:rFonts w:hint="eastAsia"/>
          <w:color w:val="000000"/>
          <w:sz w:val="24"/>
          <w:szCs w:val="24"/>
          <w:highlight w:val="none"/>
        </w:rPr>
        <w:t xml:space="preserve">（一）</w:t>
      </w:r>
      <w:r>
        <w:rPr>
          <w:rFonts w:hint="eastAsia" w:ascii="Calibri" w:hAnsi="Calibri"/>
          <w:color w:val="000000"/>
          <w:sz w:val="24"/>
          <w:szCs w:val="24"/>
          <w:highlight w:val="none"/>
        </w:rPr>
        <w:t xml:space="preserve">满足《中华人民共和国政府采购法》第二十二条规定，并提供下列材料：</w:t>
      </w:r>
      <w:r>
        <w:rPr>
          <w:rFonts w:ascii="Calibri" w:hAnsi="Calibri"/>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color w:val="000000"/>
          <w:sz w:val="24"/>
          <w:szCs w:val="24"/>
          <w:highlight w:val="none"/>
        </w:rPr>
        <w:t xml:space="preserve">法人或者其他组织的营业执照等证明文件，自然人的身份证明</w:t>
      </w:r>
      <w:r>
        <w:rPr>
          <w:rFonts w:hint="eastAsia" w:ascii="宋体" w:hAnsi="宋体"/>
          <w:color w:val="000000"/>
          <w:sz w:val="24"/>
          <w:szCs w:val="24"/>
          <w:highlight w:val="none"/>
        </w:rPr>
        <w:t xml:space="preserve">（提供法人或者其他组织的营业执照等证明文件）；</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(2)具有良好的商业信誉和健全的财务会计制度；根据连财购〔2023〕4号文件精神，</w:t>
      </w:r>
      <w:r>
        <w:rPr>
          <w:rFonts w:hint="eastAsia" w:ascii="宋体" w:hAnsi="宋体"/>
          <w:color w:val="000000"/>
          <w:sz w:val="24"/>
          <w:szCs w:val="24"/>
          <w:highlight w:val="none"/>
          <w:lang w:val="en-US" w:eastAsia="zh-CN"/>
        </w:rPr>
        <w:t xml:space="preserve">本</w:t>
      </w:r>
      <w:r>
        <w:rPr>
          <w:rFonts w:hint="eastAsia" w:ascii="宋体" w:hAnsi="宋体"/>
          <w:color w:val="000000"/>
          <w:sz w:val="24"/>
          <w:szCs w:val="24"/>
          <w:highlight w:val="none"/>
        </w:rPr>
        <w:t xml:space="preserve">项可以提供《财务状况报告及税收、社会保障资金缴纳情况承诺函》，详见招标文件投标文件格式。</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(3)具备履行合同所必需的设备和专业技术能力的声明；</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(4)依法缴纳税收和社会保障资金的良好记录；根据连财购〔2023〕4号文件精神，</w:t>
      </w:r>
      <w:r>
        <w:rPr>
          <w:rFonts w:hint="eastAsia" w:ascii="宋体" w:hAnsi="宋体"/>
          <w:color w:val="000000"/>
          <w:sz w:val="24"/>
          <w:szCs w:val="24"/>
          <w:highlight w:val="none"/>
          <w:lang w:val="en-US" w:eastAsia="zh-CN"/>
        </w:rPr>
        <w:t xml:space="preserve">本</w:t>
      </w:r>
      <w:r>
        <w:rPr>
          <w:rFonts w:hint="eastAsia" w:ascii="宋体" w:hAnsi="宋体"/>
          <w:color w:val="000000"/>
          <w:sz w:val="24"/>
          <w:szCs w:val="24"/>
          <w:highlight w:val="none"/>
        </w:rPr>
        <w:t xml:space="preserve">项可以提供《财务状况报告及税收、社会保障资金缴纳情况承诺函》，详见招标文件投标文件格式。</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(5)参加政府采购活动前三年内在经营活动中没有重大违法记录的声明；</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(6)法律、行政法规规定的其他条件。</w:t>
      </w:r>
      <w:r>
        <w:rPr>
          <w:rFonts w:hint="eastAsia" w:ascii="宋体" w:hAnsi="宋体"/>
          <w:color w:val="000000"/>
          <w:sz w:val="24"/>
          <w:szCs w:val="24"/>
          <w:highlight w:val="none"/>
        </w:rPr>
      </w:r>
      <w:r/>
    </w:p>
    <w:p>
      <w:pPr>
        <w:pStyle w:val="724"/>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（二）落实政府采购政策需满足的资格要求：</w:t>
      </w:r>
      <w:r>
        <w:rPr>
          <w:rFonts w:hint="eastAsia"/>
          <w:color w:val="000000"/>
          <w:sz w:val="24"/>
          <w:szCs w:val="24"/>
          <w:highlight w:val="none"/>
        </w:rPr>
      </w:r>
      <w:r/>
    </w:p>
    <w:p>
      <w:pPr>
        <w:pStyle w:val="724"/>
        <w:ind w:firstLine="480"/>
        <w:jc w:val="left"/>
        <w:spacing w:line="500" w:lineRule="exact"/>
        <w:rPr>
          <w:rFonts w:hint="eastAsia" w:ascii="Calibri" w:hAnsi="Calibri"/>
          <w:color w:val="000000"/>
          <w:sz w:val="24"/>
          <w:szCs w:val="24"/>
          <w:highlight w:val="none"/>
        </w:rPr>
      </w:pPr>
      <w:r>
        <w:rPr>
          <w:rFonts w:hint="eastAsia" w:ascii="宋体" w:hAnsi="宋体"/>
          <w:color w:val="000000"/>
          <w:sz w:val="24"/>
          <w:szCs w:val="24"/>
          <w:highlight w:val="none"/>
        </w:rPr>
        <w:t xml:space="preserve">本项目只接受中小企业投标，中小企业以外的供应商投标将会被拒绝（本采购所称中小企业，是指在中华人民共和国境内依法设立，依据国务院批准的中小企业划分标准确定的中型企业、小型企业和微型企业，但与大企业的负责人为同一人，或者与大企业存在直接控股、管理关系的除外），提供中小企业声明函。本项目所属行业为</w:t>
      </w:r>
      <w:r>
        <w:rPr>
          <w:rFonts w:hint="eastAsia" w:ascii="宋体" w:hAnsi="宋体"/>
          <w:b/>
          <w:bCs/>
          <w:color w:val="000000"/>
          <w:sz w:val="24"/>
          <w:szCs w:val="24"/>
          <w:highlight w:val="none"/>
          <w:lang w:val="en-US" w:eastAsia="zh-CN"/>
        </w:rPr>
        <w:t xml:space="preserve">其他未列明行</w:t>
      </w:r>
      <w:r>
        <w:rPr>
          <w:rFonts w:hint="eastAsia" w:ascii="宋体" w:hAnsi="宋体"/>
          <w:b/>
          <w:bCs/>
          <w:color w:val="000000"/>
          <w:sz w:val="24"/>
          <w:szCs w:val="24"/>
          <w:highlight w:val="none"/>
        </w:rPr>
        <w:t xml:space="preserve">业</w:t>
      </w:r>
      <w:r>
        <w:rPr>
          <w:rFonts w:hint="eastAsia" w:ascii="宋体" w:hAnsi="宋体"/>
          <w:color w:val="000000"/>
          <w:sz w:val="24"/>
          <w:szCs w:val="24"/>
          <w:highlight w:val="none"/>
        </w:rPr>
        <w:t xml:space="preserve">，属性为</w:t>
      </w:r>
      <w:r>
        <w:rPr>
          <w:rFonts w:hint="eastAsia" w:ascii="宋体" w:hAnsi="宋体"/>
          <w:b/>
          <w:bCs/>
          <w:color w:val="000000"/>
          <w:sz w:val="24"/>
          <w:szCs w:val="24"/>
          <w:highlight w:val="none"/>
        </w:rPr>
        <w:t xml:space="preserve">服务</w:t>
      </w:r>
      <w:r>
        <w:rPr>
          <w:rFonts w:hint="eastAsia" w:ascii="宋体" w:hAnsi="宋体"/>
          <w:color w:val="000000"/>
          <w:sz w:val="24"/>
          <w:szCs w:val="24"/>
          <w:highlight w:val="none"/>
        </w:rPr>
        <w:t xml:space="preserve">，并提供中小企业声明函。</w:t>
      </w:r>
      <w:r>
        <w:rPr>
          <w:rFonts w:hint="eastAsia" w:ascii="Calibri" w:hAnsi="Calibri"/>
          <w:color w:val="000000"/>
          <w:sz w:val="24"/>
          <w:szCs w:val="24"/>
          <w:highlight w:val="none"/>
        </w:rPr>
      </w:r>
      <w:r/>
    </w:p>
    <w:p>
      <w:pPr>
        <w:pStyle w:val="724"/>
        <w:numPr>
          <w:ilvl w:val="0"/>
          <w:numId w:val="5"/>
        </w:numPr>
        <w:ind w:firstLine="480"/>
        <w:jc w:val="left"/>
        <w:spacing w:line="500" w:lineRule="exact"/>
        <w:rPr>
          <w:rFonts w:hint="eastAsia"/>
          <w:color w:val="000000"/>
          <w:sz w:val="24"/>
          <w:szCs w:val="24"/>
          <w:highlight w:val="none"/>
        </w:rPr>
      </w:pPr>
      <w:r>
        <w:rPr>
          <w:rFonts w:hint="eastAsia"/>
          <w:color w:val="000000"/>
          <w:sz w:val="24"/>
          <w:szCs w:val="24"/>
          <w:highlight w:val="none"/>
        </w:rPr>
        <w:t xml:space="preserve">本项目的特定资格要求：</w:t>
      </w:r>
      <w:r>
        <w:rPr>
          <w:rFonts w:hint="eastAsia"/>
          <w:color w:val="000000"/>
          <w:sz w:val="24"/>
          <w:szCs w:val="24"/>
          <w:highlight w:val="none"/>
        </w:rPr>
      </w:r>
      <w:r/>
    </w:p>
    <w:p>
      <w:pPr>
        <w:pStyle w:val="724"/>
        <w:numPr>
          <w:ilvl w:val="0"/>
          <w:numId w:val="0"/>
        </w:numPr>
        <w:ind w:firstLine="480"/>
        <w:jc w:val="left"/>
        <w:spacing w:line="500" w:lineRule="exact"/>
        <w:rPr>
          <w:rFonts w:hint="eastAsia"/>
          <w:color w:val="000000"/>
          <w:sz w:val="24"/>
          <w:szCs w:val="24"/>
          <w:highlight w:val="none"/>
        </w:rPr>
      </w:pPr>
      <w:r>
        <w:rPr>
          <w:rFonts w:hint="eastAsia" w:ascii="宋体" w:hAnsi="宋体"/>
          <w:color w:val="000000"/>
          <w:sz w:val="24"/>
          <w:szCs w:val="24"/>
          <w:highlight w:val="none"/>
        </w:rPr>
        <w:t xml:space="preserve">投标文件递交截止前被“信用中国”网站、中国政府采购网网站列入失信执行人、重大税收违法案件当事人名单、政府采购严重违法失信行为记录名单的投标人，拒绝其参与政府采购活动（采购人或</w:t>
      </w:r>
      <w:r>
        <w:rPr>
          <w:rFonts w:hint="eastAsia" w:ascii="宋体" w:hAnsi="宋体"/>
          <w:color w:val="000000"/>
          <w:sz w:val="24"/>
          <w:szCs w:val="24"/>
          <w:highlight w:val="none"/>
          <w:lang w:val="en-US" w:eastAsia="zh-CN"/>
        </w:rPr>
        <w:t xml:space="preserve">采购代理机构</w:t>
      </w:r>
      <w:r>
        <w:rPr>
          <w:rFonts w:hint="eastAsia" w:ascii="宋体" w:hAnsi="宋体"/>
          <w:color w:val="000000"/>
          <w:sz w:val="24"/>
          <w:szCs w:val="24"/>
          <w:highlight w:val="none"/>
        </w:rPr>
        <w:t xml:space="preserve">将通过信用中国网站（www.creditchina.gov.cn）、中国政府采购网（www.ccgp.gov.cn），对投标人信用记录情况进行查询）。</w:t>
      </w:r>
      <w:r>
        <w:rPr>
          <w:rFonts w:hint="eastAsia"/>
          <w:color w:val="000000"/>
          <w:sz w:val="24"/>
          <w:szCs w:val="24"/>
          <w:highlight w:val="none"/>
        </w:rPr>
      </w:r>
      <w:r/>
    </w:p>
    <w:p>
      <w:pPr>
        <w:pStyle w:val="914"/>
        <w:ind w:firstLine="498"/>
        <w:spacing w:before="145" w:after="145" w:line="500" w:lineRule="exact"/>
        <w:rPr>
          <w:rFonts w:hint="eastAsia"/>
          <w:color w:val="000000"/>
          <w:highlight w:val="none"/>
        </w:rPr>
      </w:pPr>
      <w:r>
        <w:rPr>
          <w:rFonts w:hint="eastAsia"/>
          <w:color w:val="000000"/>
          <w:highlight w:val="none"/>
        </w:rPr>
        <w:t xml:space="preserve">三、获取</w:t>
      </w:r>
      <w:bookmarkEnd w:id="22"/>
      <w:r/>
      <w:bookmarkEnd w:id="23"/>
      <w:r/>
      <w:bookmarkEnd w:id="24"/>
      <w:r/>
      <w:bookmarkEnd w:id="25"/>
      <w:r/>
      <w:bookmarkEnd w:id="26"/>
      <w:r>
        <w:rPr>
          <w:rFonts w:hint="eastAsia"/>
          <w:color w:val="000000"/>
          <w:highlight w:val="none"/>
        </w:rPr>
        <w:t xml:space="preserve">招标文件</w:t>
      </w:r>
      <w:r>
        <w:rPr>
          <w:rFonts w:hint="eastAsia"/>
          <w:color w:val="000000"/>
          <w:highlight w:val="none"/>
        </w:rPr>
      </w:r>
      <w:r/>
    </w:p>
    <w:p>
      <w:pPr>
        <w:pStyle w:val="724"/>
        <w:ind w:firstLine="540"/>
        <w:spacing w:line="500" w:lineRule="exact"/>
        <w:rPr>
          <w:rFonts w:hint="eastAsia" w:ascii="宋体" w:hAnsi="宋体" w:cs="宋体"/>
          <w:color w:val="000000"/>
          <w:sz w:val="24"/>
          <w:szCs w:val="24"/>
          <w:highlight w:val="none"/>
        </w:rPr>
      </w:pPr>
      <w:r/>
      <w:bookmarkStart w:id="27" w:name="_Toc35393624"/>
      <w:r/>
      <w:bookmarkStart w:id="28" w:name="_Toc35393793"/>
      <w:r/>
      <w:bookmarkStart w:id="29" w:name="_Toc38985266"/>
      <w:r/>
      <w:bookmarkStart w:id="30" w:name="_Toc28359082"/>
      <w:r/>
      <w:bookmarkStart w:id="31" w:name="_Toc28359005"/>
      <w:r>
        <w:rPr>
          <w:rFonts w:hint="eastAsia" w:ascii="宋体" w:hAnsi="宋体" w:cs="宋体"/>
          <w:color w:val="000000"/>
          <w:sz w:val="24"/>
          <w:szCs w:val="24"/>
          <w:highlight w:val="none"/>
        </w:rPr>
        <w:t xml:space="preserve">1.时间：2026年</w:t>
      </w:r>
      <w:r>
        <w:rPr>
          <w:rFonts w:hint="eastAsia" w:ascii="宋体" w:hAnsi="宋体" w:cs="宋体"/>
          <w:color w:val="000000"/>
          <w:sz w:val="24"/>
          <w:szCs w:val="24"/>
          <w:highlight w:val="none"/>
          <w:lang w:val="en-US" w:eastAsia="zh-CN"/>
        </w:rPr>
        <w:t xml:space="preserve">10</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12日起至2026年10</w:t>
      </w:r>
      <w:r>
        <w:rPr>
          <w:rFonts w:hint="eastAsia"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19</w:t>
      </w:r>
      <w:r>
        <w:rPr>
          <w:rFonts w:hint="eastAsia" w:ascii="宋体" w:hAnsi="宋体" w:cs="宋体"/>
          <w:color w:val="000000"/>
          <w:sz w:val="24"/>
          <w:szCs w:val="24"/>
          <w:highlight w:val="none"/>
        </w:rPr>
        <w:t xml:space="preserve">日</w:t>
      </w:r>
      <w:r>
        <w:rPr>
          <w:rFonts w:hint="eastAsia" w:ascii="宋体" w:hAnsi="宋体" w:cs="宋体"/>
          <w:color w:val="000000"/>
          <w:sz w:val="24"/>
          <w:szCs w:val="24"/>
          <w:highlight w:val="none"/>
        </w:rPr>
      </w:r>
      <w:r/>
    </w:p>
    <w:p>
      <w:pPr>
        <w:pStyle w:val="724"/>
        <w:ind w:firstLine="540"/>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2.方式：在“江苏政府采购网”自行免费下载招标文件。</w:t>
      </w:r>
      <w:r>
        <w:rPr>
          <w:rFonts w:hint="eastAsia" w:ascii="宋体" w:hAnsi="宋体" w:cs="宋体"/>
          <w:color w:val="000000"/>
          <w:sz w:val="24"/>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（1）潜在</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访问电子招标投标交易平台的网络地址和方法：</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①</w:t>
      </w:r>
      <w:r>
        <w:rPr>
          <w:rFonts w:ascii="宋体" w:hAnsi="宋体" w:cs="宋体"/>
          <w:color w:val="000000"/>
          <w:sz w:val="24"/>
          <w:szCs w:val="24"/>
          <w:highlight w:val="none"/>
        </w:rPr>
        <w:t xml:space="preserve">登录http://jszfcg.jsczt.cn/，或进入江苏政府采购网，点击“苏采云”进入系统。</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②</w:t>
      </w:r>
      <w:r>
        <w:rPr>
          <w:rFonts w:hint="eastAsia" w:ascii="Tahoma" w:hAnsi="Tahoma" w:cs="Tahoma"/>
          <w:color w:val="000000"/>
          <w:sz w:val="24"/>
          <w:szCs w:val="24"/>
          <w:highlight w:val="none"/>
        </w:rPr>
        <w:t xml:space="preserve">“</w:t>
      </w:r>
      <w:r>
        <w:rPr>
          <w:rFonts w:ascii="宋体" w:hAnsi="宋体" w:cs="宋体"/>
          <w:color w:val="000000"/>
          <w:sz w:val="24"/>
          <w:szCs w:val="24"/>
          <w:highlight w:val="none"/>
        </w:rPr>
        <w:t xml:space="preserve">苏采云”系统用户注册-获取“CA数字证书”-CA绑定与登录-网上报名-下载</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(后缀名为“.kedt”)-将后缀名为“.kedt”的</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导入政府采购客户端工具-制作</w:t>
      </w:r>
      <w:r>
        <w:rPr>
          <w:rFonts w:hint="eastAsia" w:ascii="宋体" w:hAnsi="宋体" w:cs="宋体"/>
          <w:color w:val="000000"/>
          <w:sz w:val="24"/>
          <w:szCs w:val="24"/>
          <w:highlight w:val="none"/>
        </w:rPr>
        <w:t xml:space="preserve">投标文件</w:t>
      </w:r>
      <w:r>
        <w:rPr>
          <w:rFonts w:ascii="宋体" w:hAnsi="宋体" w:cs="宋体"/>
          <w:color w:val="000000"/>
          <w:sz w:val="24"/>
          <w:szCs w:val="24"/>
          <w:highlight w:val="none"/>
        </w:rPr>
        <w:t xml:space="preserve">--导出加密的</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文件(后缀名为zip)--通过“苏采云”系统上传投标文件。具体见《江苏省政府采购管理交易系统(苏采云)</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操作手册》。</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③</w:t>
      </w:r>
      <w:r>
        <w:rPr>
          <w:rFonts w:ascii="宋体" w:hAnsi="宋体" w:cs="宋体"/>
          <w:color w:val="000000"/>
          <w:sz w:val="24"/>
          <w:szCs w:val="24"/>
          <w:highlight w:val="none"/>
        </w:rPr>
        <w:t xml:space="preserve">潜在</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访问“苏采云”系统的网络地址和方法:“苏采云”系统的网址:http://jszfcg.jsczt.cn/。</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④</w:t>
      </w:r>
      <w:r>
        <w:rPr>
          <w:rFonts w:ascii="宋体" w:hAnsi="宋体" w:cs="宋体"/>
          <w:color w:val="000000"/>
          <w:sz w:val="24"/>
          <w:szCs w:val="24"/>
          <w:highlight w:val="none"/>
        </w:rPr>
        <w:t xml:space="preserve">“CA数字证书”的获取:</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需办理CA锁，“苏采云”系统目前仅支持政务CA、方正签章，省内各地区办理的用于“苏采云”平台的政务CA、方正签章全省通用。“CA数字证书”的办理方法详见《江苏省政府采购数字证书(</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)CA及电子签章办理指南》。</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⑤招标文件</w:t>
      </w:r>
      <w:r>
        <w:rPr>
          <w:rFonts w:ascii="宋体" w:hAnsi="宋体" w:cs="宋体"/>
          <w:color w:val="000000"/>
          <w:sz w:val="24"/>
          <w:szCs w:val="24"/>
          <w:highlight w:val="none"/>
        </w:rPr>
        <w:t xml:space="preserve">(后缀名为“.kedt”)、</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操作手册及政府采购客户端工具可通过“苏采云”系统--已报名项目--报名详情页面内相应链接进行下载。</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⑥采购</w:t>
      </w:r>
      <w:r>
        <w:rPr>
          <w:rFonts w:ascii="宋体" w:hAnsi="宋体" w:cs="宋体"/>
          <w:color w:val="000000"/>
          <w:sz w:val="24"/>
          <w:szCs w:val="24"/>
          <w:highlight w:val="none"/>
        </w:rPr>
        <w:t xml:space="preserve">代理机构将数据电文形式的</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加载至“苏采云”系统，供潜在</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下载或者查阅。</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⑦</w:t>
      </w:r>
      <w:r>
        <w:rPr>
          <w:rFonts w:ascii="宋体" w:hAnsi="宋体" w:cs="宋体"/>
          <w:color w:val="000000"/>
          <w:sz w:val="24"/>
          <w:szCs w:val="24"/>
          <w:highlight w:val="none"/>
        </w:rPr>
        <w:t xml:space="preserve">请潜在</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提前安装相应的控件(详见《江苏省政府采购管理交易系统(苏采云)</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操作手册&gt;)并使用谷歌浏览器登录“苏采云”系统参与不见面开评标。</w:t>
      </w:r>
      <w:r>
        <w:rPr>
          <w:color w:val="000000"/>
          <w:szCs w:val="24"/>
          <w:highlight w:val="none"/>
        </w:rPr>
      </w:r>
      <w:r/>
    </w:p>
    <w:p>
      <w:pPr>
        <w:pStyle w:val="724"/>
        <w:ind w:firstLine="540"/>
        <w:spacing w:line="500" w:lineRule="exact"/>
        <w:rPr>
          <w:rFonts w:hint="eastAsia" w:ascii="宋体" w:hAnsi="宋体" w:cs="宋体"/>
          <w:color w:val="000000"/>
          <w:sz w:val="24"/>
          <w:szCs w:val="24"/>
          <w:highlight w:val="none"/>
        </w:rPr>
      </w:pPr>
      <w:r>
        <w:rPr>
          <w:rFonts w:hint="eastAsia" w:ascii="宋体" w:hAnsi="宋体" w:cs="宋体"/>
          <w:b/>
          <w:color w:val="000000"/>
          <w:sz w:val="24"/>
          <w:szCs w:val="24"/>
          <w:highlight w:val="none"/>
        </w:rPr>
        <w:t xml:space="preserve">注</w:t>
      </w:r>
      <w:r>
        <w:rPr>
          <w:rFonts w:ascii="宋体" w:hAnsi="宋体" w:cs="宋体"/>
          <w:b/>
          <w:color w:val="000000"/>
          <w:sz w:val="24"/>
          <w:szCs w:val="24"/>
          <w:highlight w:val="none"/>
        </w:rPr>
        <w:t xml:space="preserve">:</w:t>
      </w:r>
      <w:r>
        <w:rPr>
          <w:rFonts w:hint="eastAsia" w:ascii="宋体" w:hAnsi="宋体" w:cs="宋体"/>
          <w:b/>
          <w:color w:val="000000"/>
          <w:sz w:val="24"/>
          <w:szCs w:val="24"/>
          <w:highlight w:val="none"/>
        </w:rPr>
        <w:t xml:space="preserve">如潜在投标人未按上述要求操作，将自行承担所产生的风险。</w:t>
      </w:r>
      <w:r>
        <w:rPr>
          <w:rFonts w:hint="eastAsia" w:ascii="宋体" w:hAnsi="宋体" w:cs="宋体"/>
          <w:color w:val="000000"/>
          <w:sz w:val="24"/>
          <w:szCs w:val="24"/>
          <w:highlight w:val="none"/>
        </w:rPr>
      </w:r>
      <w:r/>
    </w:p>
    <w:p>
      <w:pPr>
        <w:pStyle w:val="914"/>
        <w:ind w:firstLine="498"/>
        <w:spacing w:before="145" w:after="145" w:line="500" w:lineRule="exact"/>
        <w:rPr>
          <w:color w:val="000000"/>
          <w:highlight w:val="none"/>
        </w:rPr>
      </w:pPr>
      <w:r>
        <w:rPr>
          <w:rFonts w:hint="eastAsia"/>
          <w:color w:val="000000"/>
          <w:highlight w:val="none"/>
        </w:rPr>
        <w:t xml:space="preserve">四、提交投标文件</w:t>
      </w:r>
      <w:bookmarkEnd w:id="30"/>
      <w:r/>
      <w:bookmarkEnd w:id="31"/>
      <w:r>
        <w:rPr>
          <w:rFonts w:hint="eastAsia"/>
          <w:color w:val="000000"/>
          <w:highlight w:val="none"/>
        </w:rPr>
        <w:t xml:space="preserve">截止时间、开标时间和地点</w:t>
      </w:r>
      <w:bookmarkEnd w:id="27"/>
      <w:r/>
      <w:bookmarkEnd w:id="28"/>
      <w:r/>
      <w:bookmarkEnd w:id="29"/>
      <w:r>
        <w:rPr>
          <w:color w:val="000000"/>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bookmarkStart w:id="32" w:name="_Toc35393625"/>
      <w:r/>
      <w:bookmarkStart w:id="33" w:name="_Toc28359007"/>
      <w:r/>
      <w:bookmarkStart w:id="34" w:name="_Toc38985267"/>
      <w:r/>
      <w:bookmarkStart w:id="35" w:name="_Toc35393794"/>
      <w:r/>
      <w:bookmarkStart w:id="36" w:name="_Toc28359084"/>
      <w:r>
        <w:rPr>
          <w:rFonts w:ascii="宋体" w:hAnsi="宋体" w:cs="宋体"/>
          <w:color w:val="000000"/>
          <w:sz w:val="24"/>
          <w:szCs w:val="24"/>
          <w:highlight w:val="none"/>
        </w:rPr>
        <w:t xml:space="preserve">时间：20</w:t>
      </w:r>
      <w:r>
        <w:rPr>
          <w:rFonts w:hint="eastAsia" w:ascii="宋体" w:hAnsi="宋体" w:cs="宋体"/>
          <w:color w:val="000000"/>
          <w:sz w:val="24"/>
          <w:szCs w:val="24"/>
          <w:highlight w:val="none"/>
        </w:rPr>
        <w:t xml:space="preserve">26</w:t>
      </w:r>
      <w:r>
        <w:rPr>
          <w:rFonts w:ascii="宋体" w:hAnsi="宋体" w:cs="宋体"/>
          <w:color w:val="000000"/>
          <w:sz w:val="24"/>
          <w:szCs w:val="24"/>
          <w:highlight w:val="none"/>
        </w:rPr>
        <w:t xml:space="preserve">年</w:t>
      </w:r>
      <w:r>
        <w:rPr>
          <w:rFonts w:hint="eastAsia" w:ascii="宋体" w:hAnsi="宋体" w:cs="宋体"/>
          <w:color w:val="000000"/>
          <w:sz w:val="24"/>
          <w:szCs w:val="24"/>
          <w:highlight w:val="none"/>
          <w:lang w:val="en-US" w:eastAsia="zh-CN"/>
        </w:rPr>
        <w:t xml:space="preserve">11</w:t>
      </w:r>
      <w:r>
        <w:rPr>
          <w:rFonts w:ascii="宋体" w:hAnsi="宋体" w:cs="宋体"/>
          <w:color w:val="000000"/>
          <w:sz w:val="24"/>
          <w:szCs w:val="24"/>
          <w:highlight w:val="none"/>
        </w:rPr>
        <w:t xml:space="preserve">月</w:t>
      </w:r>
      <w:r>
        <w:rPr>
          <w:rFonts w:hint="eastAsia" w:ascii="宋体" w:hAnsi="宋体" w:cs="宋体"/>
          <w:color w:val="000000"/>
          <w:sz w:val="24"/>
          <w:szCs w:val="24"/>
          <w:highlight w:val="none"/>
          <w:lang w:val="en-US" w:eastAsia="zh-CN"/>
        </w:rPr>
        <w:t xml:space="preserve">13</w:t>
      </w:r>
      <w:r>
        <w:rPr>
          <w:rFonts w:ascii="宋体" w:hAnsi="宋体" w:cs="宋体"/>
          <w:color w:val="000000"/>
          <w:sz w:val="24"/>
          <w:szCs w:val="24"/>
          <w:highlight w:val="none"/>
        </w:rPr>
        <w:t xml:space="preserve">日</w:t>
      </w:r>
      <w:r>
        <w:rPr>
          <w:rFonts w:hint="eastAsia" w:ascii="宋体" w:hAnsi="宋体" w:cs="宋体"/>
          <w:color w:val="000000"/>
          <w:sz w:val="24"/>
          <w:szCs w:val="24"/>
          <w:highlight w:val="none"/>
        </w:rPr>
        <w:t xml:space="preserve">10</w:t>
      </w:r>
      <w:r>
        <w:rPr>
          <w:rFonts w:ascii="宋体" w:hAnsi="宋体" w:cs="宋体"/>
          <w:color w:val="000000"/>
          <w:sz w:val="24"/>
          <w:szCs w:val="24"/>
          <w:highlight w:val="none"/>
        </w:rPr>
        <w:t xml:space="preserve">时00分（北京时间）；</w:t>
      </w:r>
      <w:r>
        <w:rPr>
          <w:color w:val="000000"/>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开标时间：提交投标文件截止时间</w:t>
      </w:r>
      <w:r>
        <w:rPr>
          <w:rFonts w:ascii="Calibri" w:hAnsi="Calibri"/>
          <w:color w:val="000000"/>
          <w:sz w:val="24"/>
          <w:szCs w:val="24"/>
          <w:highlight w:val="none"/>
        </w:rPr>
      </w:r>
      <w:r/>
    </w:p>
    <w:p>
      <w:pPr>
        <w:pStyle w:val="724"/>
        <w:ind w:firstLine="480"/>
        <w:jc w:val="left"/>
        <w:spacing w:line="500" w:lineRule="exact"/>
        <w:rPr>
          <w:rFonts w:ascii="Calibri" w:hAnsi="Calibri"/>
          <w:color w:val="000000"/>
          <w:highlight w:val="none"/>
        </w:rPr>
      </w:pPr>
      <w:r>
        <w:rPr>
          <w:rFonts w:hint="eastAsia" w:ascii="Calibri" w:hAnsi="Calibri"/>
          <w:color w:val="000000"/>
          <w:sz w:val="24"/>
          <w:szCs w:val="24"/>
          <w:highlight w:val="none"/>
        </w:rPr>
        <w:t xml:space="preserve">开标地点：“苏采云”政府采购交易系统网上开标大厅</w:t>
      </w:r>
      <w:r>
        <w:rPr>
          <w:rFonts w:ascii="Calibri" w:hAnsi="Calibri"/>
          <w:color w:val="000000"/>
          <w:highlight w:val="none"/>
        </w:rPr>
      </w:r>
      <w:r/>
    </w:p>
    <w:p>
      <w:pPr>
        <w:pStyle w:val="914"/>
        <w:ind w:firstLine="498"/>
        <w:spacing w:before="145" w:after="145" w:line="500" w:lineRule="exact"/>
        <w:rPr>
          <w:color w:val="000000"/>
          <w:highlight w:val="none"/>
        </w:rPr>
      </w:pPr>
      <w:r>
        <w:rPr>
          <w:rFonts w:hint="eastAsia"/>
          <w:color w:val="000000"/>
          <w:highlight w:val="none"/>
        </w:rPr>
        <w:t xml:space="preserve">五、公告期限</w:t>
      </w:r>
      <w:bookmarkEnd w:id="32"/>
      <w:r/>
      <w:bookmarkEnd w:id="33"/>
      <w:r/>
      <w:bookmarkEnd w:id="34"/>
      <w:r/>
      <w:bookmarkEnd w:id="35"/>
      <w:r/>
      <w:bookmarkEnd w:id="36"/>
      <w:r>
        <w:rPr>
          <w:color w:val="000000"/>
          <w:highlight w:val="none"/>
        </w:rPr>
      </w:r>
      <w:r/>
    </w:p>
    <w:p>
      <w:pPr>
        <w:pStyle w:val="724"/>
        <w:ind w:firstLine="480"/>
        <w:spacing w:line="500" w:lineRule="exact"/>
        <w:rPr>
          <w:rFonts w:ascii="宋体" w:hAnsi="宋体" w:cs="宋体"/>
          <w:color w:val="000000"/>
          <w:sz w:val="24"/>
          <w:szCs w:val="24"/>
          <w:highlight w:val="none"/>
        </w:rPr>
      </w:pPr>
      <w:r/>
      <w:bookmarkStart w:id="37" w:name="_Toc38985268"/>
      <w:r/>
      <w:bookmarkStart w:id="38" w:name="_Toc35393795"/>
      <w:r/>
      <w:bookmarkStart w:id="39" w:name="_Toc35393626"/>
      <w:r>
        <w:rPr>
          <w:rFonts w:hint="eastAsia" w:ascii="宋体" w:hAnsi="宋体" w:cs="宋体"/>
          <w:color w:val="000000"/>
          <w:sz w:val="24"/>
          <w:szCs w:val="24"/>
          <w:highlight w:val="none"/>
        </w:rPr>
        <w:t xml:space="preserve">自本公告发布之日起5个工作日。</w:t>
      </w:r>
      <w:r>
        <w:rPr>
          <w:rFonts w:ascii="宋体" w:hAnsi="宋体" w:cs="宋体"/>
          <w:color w:val="000000"/>
          <w:sz w:val="24"/>
          <w:szCs w:val="24"/>
          <w:highlight w:val="none"/>
        </w:rPr>
      </w:r>
      <w:r/>
    </w:p>
    <w:p>
      <w:pPr>
        <w:pStyle w:val="914"/>
        <w:ind w:firstLine="498"/>
        <w:spacing w:before="145" w:after="145" w:line="500" w:lineRule="exact"/>
        <w:rPr>
          <w:color w:val="000000"/>
          <w:highlight w:val="none"/>
        </w:rPr>
      </w:pPr>
      <w:r>
        <w:rPr>
          <w:rFonts w:hint="eastAsia"/>
          <w:color w:val="000000"/>
          <w:highlight w:val="none"/>
        </w:rPr>
        <w:t xml:space="preserve">六、其他补充事宜</w:t>
      </w:r>
      <w:bookmarkEnd w:id="37"/>
      <w:r/>
      <w:bookmarkEnd w:id="38"/>
      <w:r/>
      <w:bookmarkEnd w:id="39"/>
      <w:r>
        <w:rPr>
          <w:color w:val="000000"/>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1</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本</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中标注</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的款项为实质性响应要求和条件，如不满足将按无效</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处理。</w:t>
      </w:r>
      <w:r>
        <w:rPr>
          <w:color w:val="000000"/>
          <w:szCs w:val="24"/>
          <w:highlight w:val="none"/>
        </w:rPr>
      </w:r>
      <w:r/>
    </w:p>
    <w:p>
      <w:pPr>
        <w:pStyle w:val="724"/>
        <w:ind w:firstLine="480"/>
        <w:spacing w:line="500" w:lineRule="exact"/>
        <w:rPr>
          <w:color w:val="000000"/>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2</w:t>
      </w:r>
      <w:r>
        <w:rPr>
          <w:rFonts w:hint="eastAsia" w:ascii="宋体" w:hAnsi="宋体" w:cs="宋体"/>
          <w:color w:val="000000"/>
          <w:sz w:val="24"/>
          <w:szCs w:val="24"/>
          <w:highlight w:val="none"/>
        </w:rPr>
        <w:t xml:space="preserve">、</w:t>
      </w:r>
      <w:r>
        <w:rPr>
          <w:rFonts w:ascii="宋体" w:hAnsi="宋体" w:cs="宋体"/>
          <w:color w:val="000000"/>
          <w:sz w:val="24"/>
          <w:szCs w:val="24"/>
          <w:highlight w:val="none"/>
        </w:rPr>
        <w:t xml:space="preserve">无论出于何种原因，采购人在采购活动开始前可对</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进行修改、补充或变更，其内容作为</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的重要组成部分，请各</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关注江苏政府采购网。若因</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自身原因未及时关注本项目有关修改、补充或变更信息，导致</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文件编制或提交失误，由此造成的一切损失由</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自行承担。</w:t>
      </w:r>
      <w:r>
        <w:rPr>
          <w:color w:val="000000"/>
          <w:szCs w:val="24"/>
          <w:highlight w:val="none"/>
        </w:rPr>
      </w:r>
      <w:r/>
    </w:p>
    <w:p>
      <w:pPr>
        <w:pStyle w:val="724"/>
        <w:ind w:firstLine="480"/>
        <w:spacing w:line="500" w:lineRule="exact"/>
        <w:rPr>
          <w:rFonts w:hint="eastAsia"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3</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制作</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文件时如遇投标工具中投标格式与</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不一致，请</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按照</w:t>
      </w:r>
      <w:r>
        <w:rPr>
          <w:rFonts w:hint="eastAsia" w:ascii="宋体" w:hAnsi="宋体" w:cs="宋体"/>
          <w:color w:val="000000"/>
          <w:sz w:val="24"/>
          <w:szCs w:val="24"/>
          <w:highlight w:val="none"/>
        </w:rPr>
        <w:t xml:space="preserve">招标文件</w:t>
      </w:r>
      <w:r>
        <w:rPr>
          <w:rFonts w:ascii="宋体" w:hAnsi="宋体" w:cs="宋体"/>
          <w:color w:val="000000"/>
          <w:sz w:val="24"/>
          <w:szCs w:val="24"/>
          <w:highlight w:val="none"/>
        </w:rPr>
        <w:t xml:space="preserve">中投标格式要求编制一份</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文件资料添加在投标工具其他材料中。</w:t>
      </w:r>
      <w:r>
        <w:rPr>
          <w:rFonts w:hint="eastAsia"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4、根据苏财购</w:t>
      </w:r>
      <w:r>
        <w:rPr>
          <w:rFonts w:hint="eastAsia" w:ascii="宋体" w:hAnsi="宋体" w:cs="宋体"/>
          <w:color w:val="000000"/>
          <w:sz w:val="24"/>
          <w:szCs w:val="24"/>
          <w:highlight w:val="none"/>
          <w:lang w:eastAsia="zh-CN"/>
        </w:rPr>
        <w:t xml:space="preserve">〔2020〕52号</w:t>
      </w:r>
      <w:r>
        <w:rPr>
          <w:rFonts w:hint="eastAsia" w:ascii="宋体" w:hAnsi="宋体" w:cs="宋体"/>
          <w:color w:val="000000"/>
          <w:sz w:val="24"/>
          <w:szCs w:val="24"/>
          <w:highlight w:val="none"/>
        </w:rPr>
        <w:t xml:space="preserve">规定，本项目不收取投标保证金。</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5</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文件相关要求：</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①本项目采用</w:t>
      </w:r>
      <w:r>
        <w:rPr>
          <w:rFonts w:hint="eastAsia" w:ascii="宋体" w:hAnsi="宋体" w:cs="宋体"/>
          <w:color w:val="000000"/>
          <w:sz w:val="24"/>
          <w:szCs w:val="24"/>
          <w:highlight w:val="none"/>
        </w:rPr>
        <w:t xml:space="preserve">不见面远程模式，投标人在各自地点通过不见面交易系统参加开标会</w:t>
      </w:r>
      <w:r>
        <w:rPr>
          <w:rFonts w:ascii="宋体" w:hAnsi="宋体" w:cs="宋体"/>
          <w:color w:val="000000"/>
          <w:sz w:val="24"/>
          <w:szCs w:val="24"/>
          <w:highlight w:val="none"/>
        </w:rPr>
        <w:t xml:space="preserve">；</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②</w:t>
      </w:r>
      <w:r>
        <w:rPr>
          <w:rFonts w:hint="eastAsia" w:ascii="宋体" w:hAnsi="宋体" w:cs="宋体"/>
          <w:color w:val="000000"/>
          <w:sz w:val="24"/>
          <w:szCs w:val="24"/>
          <w:highlight w:val="none"/>
        </w:rPr>
        <w:t xml:space="preserve">请各投标人充分考虑项目周期，谨慎参与交易，中标后不得以任何理由放弃中标资格或不按规定履约；</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③逾期上传</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文件的，采购人不予受理；</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④</w:t>
      </w:r>
      <w:r>
        <w:rPr>
          <w:rFonts w:hint="eastAsia" w:ascii="宋体" w:hAnsi="宋体" w:cs="宋体"/>
          <w:color w:val="000000"/>
          <w:sz w:val="24"/>
          <w:szCs w:val="24"/>
          <w:highlight w:val="none"/>
        </w:rPr>
        <w:t xml:space="preserve">中标</w:t>
      </w:r>
      <w:r>
        <w:rPr>
          <w:rFonts w:ascii="宋体" w:hAnsi="宋体" w:cs="宋体"/>
          <w:color w:val="000000"/>
          <w:sz w:val="24"/>
          <w:szCs w:val="24"/>
          <w:highlight w:val="none"/>
        </w:rPr>
        <w:t xml:space="preserve">后</w:t>
      </w:r>
      <w:r>
        <w:rPr>
          <w:rFonts w:hint="eastAsia" w:ascii="宋体" w:hAnsi="宋体" w:cs="宋体"/>
          <w:color w:val="000000"/>
          <w:sz w:val="24"/>
          <w:szCs w:val="24"/>
          <w:highlight w:val="none"/>
        </w:rPr>
        <w:t xml:space="preserve">中标人</w:t>
      </w:r>
      <w:r>
        <w:rPr>
          <w:rFonts w:ascii="宋体" w:hAnsi="宋体" w:cs="宋体"/>
          <w:color w:val="000000"/>
          <w:sz w:val="24"/>
          <w:szCs w:val="24"/>
          <w:highlight w:val="none"/>
        </w:rPr>
        <w:t xml:space="preserve">按以下要求提供书面</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szCs w:val="24"/>
          <w:highlight w:val="none"/>
        </w:rPr>
        <w:t xml:space="preserve">中标人</w:t>
      </w:r>
      <w:r>
        <w:rPr>
          <w:rFonts w:ascii="宋体" w:hAnsi="宋体" w:cs="宋体"/>
          <w:color w:val="000000"/>
          <w:sz w:val="24"/>
          <w:szCs w:val="24"/>
          <w:highlight w:val="none"/>
        </w:rPr>
        <w:t xml:space="preserve">提供的书面</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文件必须与网络上传</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文件（加密文件）一致，纸质与电子标书内容不一致的，以电子标书为准；</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文件应用不褪色的材料书写或打印，并由</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的法定代表人或其委托代理人签字或盖单位章。委托代理人签字的，</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文件应附法定代表人签署的授权委托书。</w:t>
      </w:r>
      <w:r>
        <w:rPr>
          <w:rFonts w:hint="eastAsia" w:ascii="宋体" w:hAnsi="宋体" w:cs="宋体"/>
          <w:color w:val="000000"/>
          <w:sz w:val="24"/>
          <w:szCs w:val="24"/>
          <w:highlight w:val="none"/>
        </w:rPr>
        <w:t xml:space="preserve">投标</w:t>
      </w:r>
      <w:r>
        <w:rPr>
          <w:rFonts w:ascii="宋体" w:hAnsi="宋体" w:cs="宋体"/>
          <w:color w:val="000000"/>
          <w:sz w:val="24"/>
          <w:szCs w:val="24"/>
          <w:highlight w:val="none"/>
        </w:rPr>
        <w:t xml:space="preserve">文件应尽量避免涂改、行间插字或删除。如果出现上述情况，改动之处应加盖单</w:t>
      </w:r>
      <w:r>
        <w:rPr>
          <w:rFonts w:hint="eastAsia" w:ascii="宋体" w:hAnsi="宋体" w:cs="宋体"/>
          <w:color w:val="000000"/>
          <w:sz w:val="24"/>
          <w:szCs w:val="24"/>
          <w:highlight w:val="none"/>
        </w:rPr>
        <w:t xml:space="preserve">位公</w:t>
      </w:r>
      <w:r>
        <w:rPr>
          <w:rFonts w:ascii="宋体" w:hAnsi="宋体" w:cs="宋体"/>
          <w:color w:val="000000"/>
          <w:sz w:val="24"/>
          <w:szCs w:val="24"/>
          <w:highlight w:val="none"/>
        </w:rPr>
        <w:t xml:space="preserve">章或由</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的法定代表人或其授权的代理人签字确认；</w:t>
      </w:r>
      <w:r>
        <w:rPr>
          <w:rFonts w:hint="eastAsia" w:ascii="宋体" w:hAnsi="宋体" w:cs="宋体"/>
          <w:color w:val="000000"/>
          <w:sz w:val="24"/>
          <w:szCs w:val="24"/>
          <w:highlight w:val="none"/>
        </w:rPr>
        <w:t xml:space="preserve">投标文件</w:t>
      </w:r>
      <w:r>
        <w:rPr>
          <w:rFonts w:hint="eastAsia" w:ascii="宋体" w:hAnsi="宋体" w:cs="宋体"/>
          <w:color w:val="000000"/>
          <w:sz w:val="24"/>
          <w:szCs w:val="24"/>
          <w:highlight w:val="none"/>
          <w:lang w:val="en-US" w:eastAsia="zh-CN"/>
        </w:rPr>
        <w:t xml:space="preserve">一正三副</w:t>
      </w:r>
      <w:r>
        <w:rPr>
          <w:rFonts w:hint="eastAsia" w:ascii="宋体" w:hAnsi="宋体" w:cs="宋体"/>
          <w:color w:val="000000"/>
          <w:sz w:val="24"/>
          <w:szCs w:val="24"/>
          <w:highlight w:val="none"/>
        </w:rPr>
        <w:t xml:space="preserve">（带页码）</w:t>
      </w:r>
      <w:r>
        <w:rPr>
          <w:rFonts w:ascii="宋体" w:hAnsi="宋体" w:cs="宋体"/>
          <w:color w:val="000000"/>
          <w:sz w:val="24"/>
          <w:szCs w:val="24"/>
          <w:highlight w:val="none"/>
        </w:rPr>
        <w:t xml:space="preserve">，</w:t>
      </w:r>
      <w:r>
        <w:rPr>
          <w:rFonts w:hint="eastAsia" w:ascii="宋体" w:hAnsi="宋体" w:cs="宋体"/>
          <w:color w:val="000000"/>
          <w:sz w:val="24"/>
          <w:szCs w:val="24"/>
          <w:highlight w:val="none"/>
        </w:rPr>
        <w:t xml:space="preserve">电子标书一份（U盘形式、不加密无毒），中标</w:t>
      </w:r>
      <w:r>
        <w:rPr>
          <w:rFonts w:ascii="宋体" w:hAnsi="宋体" w:cs="宋体"/>
          <w:color w:val="000000"/>
          <w:sz w:val="24"/>
          <w:szCs w:val="24"/>
          <w:highlight w:val="none"/>
        </w:rPr>
        <w:t xml:space="preserve">后提供。</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szCs w:val="24"/>
          <w:highlight w:val="none"/>
        </w:rPr>
        <w:t xml:space="preserve">为保证交互效果，建议</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选择封闭安静的地点参与远程交互。因</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自身软硬件配备不齐全或发生故障等问题而导致在交互过程中出现不稳定或中断等情况的，由</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自身承担一切后果。</w:t>
      </w:r>
      <w:r>
        <w:rPr>
          <w:rFonts w:ascii="宋体" w:hAnsi="宋体" w:cs="宋体"/>
          <w:color w:val="000000"/>
          <w:sz w:val="24"/>
          <w:szCs w:val="24"/>
          <w:highlight w:val="none"/>
        </w:rPr>
      </w:r>
      <w:r/>
    </w:p>
    <w:p>
      <w:pPr>
        <w:pStyle w:val="724"/>
        <w:ind w:firstLine="480"/>
        <w:spacing w:line="500" w:lineRule="exact"/>
        <w:rPr>
          <w:rFonts w:ascii="宋体" w:hAnsi="宋体" w:cs="宋体"/>
          <w:color w:val="000000"/>
          <w:sz w:val="24"/>
          <w:szCs w:val="24"/>
          <w:highlight w:val="none"/>
        </w:rPr>
      </w:pPr>
      <w:r>
        <w:rPr>
          <w:rFonts w:ascii="宋体" w:hAnsi="宋体" w:cs="宋体"/>
          <w:color w:val="000000"/>
          <w:sz w:val="24"/>
          <w:szCs w:val="24"/>
          <w:highlight w:val="none"/>
        </w:rPr>
        <w:t xml:space="preserve">注：</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在签到时，需填写单位名称、项目负责人姓名，手机号码（手机号码务必能打通，否则答疑联系不上产生的所有后果由</w:t>
      </w:r>
      <w:r>
        <w:rPr>
          <w:rFonts w:hint="eastAsia" w:ascii="宋体" w:hAnsi="宋体" w:cs="宋体"/>
          <w:color w:val="000000"/>
          <w:sz w:val="24"/>
          <w:szCs w:val="24"/>
          <w:highlight w:val="none"/>
        </w:rPr>
        <w:t xml:space="preserve">投标人</w:t>
      </w:r>
      <w:r>
        <w:rPr>
          <w:rFonts w:ascii="宋体" w:hAnsi="宋体" w:cs="宋体"/>
          <w:color w:val="000000"/>
          <w:sz w:val="24"/>
          <w:szCs w:val="24"/>
          <w:highlight w:val="none"/>
        </w:rPr>
        <w:t xml:space="preserve">自行承担）。</w:t>
      </w:r>
      <w:r>
        <w:rPr>
          <w:rFonts w:ascii="宋体" w:hAnsi="宋体" w:cs="宋体"/>
          <w:color w:val="000000"/>
          <w:sz w:val="24"/>
          <w:szCs w:val="24"/>
          <w:highlight w:val="none"/>
        </w:rPr>
      </w:r>
      <w:r/>
    </w:p>
    <w:p>
      <w:pPr>
        <w:pStyle w:val="724"/>
        <w:ind w:firstLine="643"/>
        <w:spacing w:line="500" w:lineRule="exact"/>
        <w:rPr>
          <w:b/>
          <w:bCs/>
          <w:color w:val="000000"/>
          <w:sz w:val="32"/>
          <w:szCs w:val="32"/>
          <w:highlight w:val="none"/>
        </w:rPr>
      </w:pPr>
      <w:r>
        <w:rPr>
          <w:rFonts w:hint="eastAsia"/>
          <w:b/>
          <w:bCs/>
          <w:color w:val="000000"/>
          <w:sz w:val="32"/>
          <w:szCs w:val="32"/>
          <w:highlight w:val="none"/>
        </w:rPr>
        <w:t xml:space="preserve">七、本次招标联系方式</w:t>
      </w:r>
      <w:bookmarkEnd w:id="6"/>
      <w:r/>
      <w:bookmarkEnd w:id="7"/>
      <w:r/>
      <w:bookmarkEnd w:id="8"/>
      <w:r/>
      <w:bookmarkEnd w:id="9"/>
      <w:r/>
      <w:bookmarkEnd w:id="10"/>
      <w:r>
        <w:rPr>
          <w:b/>
          <w:bCs/>
          <w:color w:val="000000"/>
          <w:sz w:val="32"/>
          <w:szCs w:val="32"/>
          <w:highlight w:val="none"/>
        </w:rPr>
      </w:r>
      <w:r/>
    </w:p>
    <w:p>
      <w:pPr>
        <w:pStyle w:val="724"/>
        <w:jc w:val="left"/>
        <w:spacing w:line="500" w:lineRule="exact"/>
        <w:widowControl/>
        <w:rPr>
          <w:rFonts w:ascii="宋体" w:hAnsi="宋体"/>
          <w:color w:val="000000"/>
          <w:sz w:val="24"/>
          <w:szCs w:val="24"/>
          <w:highlight w:val="none"/>
        </w:rPr>
      </w:pPr>
      <w:r>
        <w:rPr>
          <w:rFonts w:hint="eastAsia" w:ascii="仿宋" w:hAnsi="仿宋" w:eastAsia="仿宋" w:cs="宋体"/>
          <w:color w:val="000000"/>
          <w:sz w:val="28"/>
          <w:szCs w:val="28"/>
          <w:highlight w:val="none"/>
        </w:rPr>
        <w:t xml:space="preserve">　　　</w:t>
      </w:r>
      <w:r>
        <w:rPr>
          <w:rFonts w:hint="eastAsia" w:ascii="宋体" w:hAnsi="宋体" w:cs="宋体"/>
          <w:color w:val="000000"/>
          <w:sz w:val="24"/>
          <w:szCs w:val="24"/>
          <w:highlight w:val="none"/>
        </w:rPr>
        <w:t xml:space="preserve">1.采购人信息</w:t>
      </w:r>
      <w:r>
        <w:rPr>
          <w:rFonts w:ascii="宋体" w:hAnsi="宋体"/>
          <w:color w:val="000000"/>
          <w:sz w:val="24"/>
          <w:szCs w:val="24"/>
          <w:highlight w:val="none"/>
        </w:rPr>
      </w:r>
      <w:r/>
    </w:p>
    <w:p>
      <w:pPr>
        <w:pStyle w:val="724"/>
        <w:ind w:left="1079" w:hanging="30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灌云县杨集镇人民政府</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24"/>
        <w:ind w:left="1079" w:hanging="300"/>
        <w:jc w:val="left"/>
        <w:spacing w:line="500" w:lineRule="exact"/>
        <w:rPr>
          <w:rFonts w:hint="eastAsia" w:ascii="宋体" w:hAnsi="宋体" w:cs="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s="宋体"/>
          <w:color w:val="000000"/>
          <w:sz w:val="24"/>
          <w:szCs w:val="24"/>
          <w:highlight w:val="none"/>
          <w:u w:val="single"/>
          <w:lang w:val="en-US" w:eastAsia="zh-CN"/>
        </w:rPr>
        <w:t xml:space="preserve">灌云县杨集镇镇东村迎宾路1号</w:t>
      </w:r>
      <w:r>
        <w:rPr>
          <w:rFonts w:hint="eastAsia" w:ascii="宋体" w:hAnsi="宋体" w:cs="宋体"/>
          <w:color w:val="000000"/>
          <w:sz w:val="24"/>
          <w:szCs w:val="24"/>
          <w:highlight w:val="none"/>
          <w:u w:val="single"/>
        </w:rPr>
      </w:r>
      <w:r/>
    </w:p>
    <w:p>
      <w:pPr>
        <w:pStyle w:val="724"/>
        <w:ind w:left="1079" w:hanging="30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丁所长</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24"/>
        <w:ind w:left="1079" w:hanging="300"/>
        <w:jc w:val="left"/>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bookmarkStart w:id="40" w:name="_Toc28359086"/>
      <w:r/>
      <w:bookmarkStart w:id="41" w:name="_Toc28359009"/>
      <w:r>
        <w:rPr>
          <w:rFonts w:hint="eastAsia" w:ascii="宋体" w:hAnsi="宋体"/>
          <w:color w:val="000000"/>
          <w:sz w:val="24"/>
          <w:szCs w:val="24"/>
          <w:highlight w:val="none"/>
          <w:u w:val="single"/>
          <w:lang w:val="en-US" w:eastAsia="zh-CN"/>
        </w:rPr>
        <w:t xml:space="preserve">15298630777</w:t>
      </w:r>
      <w:r>
        <w:rPr>
          <w:rFonts w:ascii="宋体" w:hAnsi="宋体" w:eastAsia="宋体"/>
          <w:color w:val="000000"/>
          <w:sz w:val="24"/>
          <w:szCs w:val="24"/>
          <w:highlight w:val="none"/>
          <w:u w:val="single"/>
          <w:lang w:val="en-US" w:eastAsia="zh-CN"/>
        </w:rPr>
      </w:r>
      <w:r/>
    </w:p>
    <w:p>
      <w:pPr>
        <w:pStyle w:val="724"/>
        <w:ind w:firstLine="720"/>
        <w:spacing w:line="500" w:lineRule="exact"/>
        <w:rPr>
          <w:rFonts w:hint="eastAsia" w:ascii="宋体" w:hAnsi="宋体"/>
          <w:color w:val="000000"/>
          <w:sz w:val="24"/>
          <w:szCs w:val="24"/>
          <w:highlight w:val="none"/>
        </w:rPr>
      </w:pPr>
      <w:r/>
      <w:bookmarkEnd w:id="40"/>
      <w:r/>
      <w:bookmarkEnd w:id="41"/>
      <w:r>
        <w:rPr>
          <w:rFonts w:hint="eastAsia" w:ascii="宋体" w:hAnsi="宋体"/>
          <w:color w:val="000000"/>
          <w:sz w:val="24"/>
          <w:szCs w:val="24"/>
          <w:highlight w:val="none"/>
        </w:rPr>
        <w:t xml:space="preserve">2.采购代理机构信息</w:t>
      </w:r>
      <w:r>
        <w:rPr>
          <w:rFonts w:hint="eastAsia" w:ascii="宋体" w:hAnsi="宋体"/>
          <w:color w:val="000000"/>
          <w:sz w:val="24"/>
          <w:szCs w:val="24"/>
          <w:highlight w:val="none"/>
        </w:rPr>
      </w:r>
      <w:r/>
    </w:p>
    <w:p>
      <w:pPr>
        <w:pStyle w:val="724"/>
        <w:ind w:firstLine="720"/>
        <w:jc w:val="left"/>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名称：</w:t>
      </w:r>
      <w:r>
        <w:rPr>
          <w:rFonts w:hint="eastAsia" w:ascii="宋体" w:hAnsi="宋体" w:cs="宋体"/>
          <w:color w:val="000000"/>
          <w:sz w:val="24"/>
          <w:szCs w:val="24"/>
          <w:highlight w:val="none"/>
          <w:u w:val="single"/>
          <w:lang w:eastAsia="zh-CN"/>
        </w:rPr>
        <w:t xml:space="preserve">江苏伟之达项目管理咨询有限公司</w:t>
      </w:r>
      <w:r>
        <w:rPr>
          <w:rFonts w:hint="eastAsia" w:ascii="宋体" w:hAnsi="宋体" w:eastAsia="宋体"/>
          <w:color w:val="000000"/>
          <w:sz w:val="24"/>
          <w:szCs w:val="24"/>
          <w:highlight w:val="none"/>
          <w:lang w:eastAsia="zh-CN"/>
        </w:rPr>
      </w:r>
      <w:r/>
    </w:p>
    <w:p>
      <w:pPr>
        <w:pStyle w:val="724"/>
        <w:ind w:firstLine="720"/>
        <w:spacing w:line="500" w:lineRule="exac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地　址：</w:t>
      </w:r>
      <w:r>
        <w:rPr>
          <w:rFonts w:hint="eastAsia" w:ascii="宋体" w:hAnsi="宋体"/>
          <w:color w:val="000000"/>
          <w:sz w:val="24"/>
          <w:szCs w:val="24"/>
          <w:highlight w:val="none"/>
          <w:u w:val="single"/>
          <w:lang w:eastAsia="zh-CN"/>
        </w:rPr>
        <w:t xml:space="preserve">海州区新大街9号光辉岁月商务花园3号楼一楼</w:t>
      </w:r>
      <w:r>
        <w:rPr>
          <w:rFonts w:hint="eastAsia" w:ascii="宋体" w:hAnsi="宋体" w:eastAsia="宋体"/>
          <w:color w:val="000000"/>
          <w:sz w:val="24"/>
          <w:szCs w:val="24"/>
          <w:highlight w:val="none"/>
          <w:lang w:eastAsia="zh-CN"/>
        </w:rPr>
      </w:r>
      <w:r/>
    </w:p>
    <w:p>
      <w:pPr>
        <w:pStyle w:val="724"/>
        <w:ind w:firstLine="72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刘工</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24"/>
        <w:ind w:firstLine="720"/>
        <w:spacing w:line="500" w:lineRule="exact"/>
        <w:rPr>
          <w:rFonts w:hint="eastAsia" w:ascii="宋体" w:hAnsi="宋体" w:eastAsia="宋体"/>
          <w:color w:val="000000"/>
          <w:sz w:val="24"/>
          <w:szCs w:val="24"/>
          <w:highlight w:val="none"/>
          <w:u w:val="single"/>
          <w:lang w:eastAsia="zh-CN"/>
        </w:rPr>
      </w:pPr>
      <w:r>
        <w:rPr>
          <w:rFonts w:hint="eastAsia" w:ascii="宋体" w:hAnsi="宋体"/>
          <w:color w:val="000000"/>
          <w:sz w:val="24"/>
          <w:szCs w:val="24"/>
          <w:highlight w:val="none"/>
        </w:rPr>
        <w:t xml:space="preserve">联系方式：</w:t>
      </w:r>
      <w:bookmarkStart w:id="42" w:name="_Toc28359087"/>
      <w:r/>
      <w:bookmarkStart w:id="43" w:name="_Toc28359010"/>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18115991881</w:t>
      </w:r>
      <w:r>
        <w:rPr>
          <w:rFonts w:hint="eastAsia" w:ascii="宋体" w:hAnsi="宋体" w:eastAsia="宋体"/>
          <w:color w:val="000000"/>
          <w:sz w:val="24"/>
          <w:szCs w:val="24"/>
          <w:highlight w:val="none"/>
          <w:u w:val="single"/>
          <w:lang w:eastAsia="zh-CN"/>
        </w:rPr>
      </w:r>
      <w:r/>
    </w:p>
    <w:p>
      <w:pPr>
        <w:pStyle w:val="724"/>
        <w:ind w:firstLine="720"/>
        <w:spacing w:line="500" w:lineRule="exact"/>
        <w:rPr>
          <w:rFonts w:ascii="宋体" w:hAnsi="宋体"/>
          <w:color w:val="000000"/>
          <w:sz w:val="24"/>
          <w:szCs w:val="24"/>
          <w:highlight w:val="none"/>
        </w:rPr>
      </w:pPr>
      <w:r>
        <w:rPr>
          <w:rFonts w:ascii="宋体" w:hAnsi="宋体"/>
          <w:color w:val="000000"/>
          <w:sz w:val="24"/>
          <w:szCs w:val="24"/>
          <w:highlight w:val="none"/>
        </w:rPr>
        <w:t xml:space="preserve">3.项目联系方式</w:t>
      </w:r>
      <w:r>
        <w:rPr>
          <w:rFonts w:ascii="宋体" w:hAnsi="宋体"/>
          <w:color w:val="000000"/>
          <w:sz w:val="24"/>
          <w:szCs w:val="24"/>
          <w:highlight w:val="none"/>
        </w:rPr>
      </w:r>
      <w:r/>
    </w:p>
    <w:p>
      <w:pPr>
        <w:pStyle w:val="724"/>
        <w:ind w:firstLine="720"/>
        <w:jc w:val="left"/>
        <w:spacing w:line="500" w:lineRule="exact"/>
        <w:rPr>
          <w:rFonts w:ascii="宋体" w:hAnsi="宋体"/>
          <w:color w:val="000000"/>
          <w:sz w:val="24"/>
          <w:szCs w:val="24"/>
          <w:highlight w:val="none"/>
        </w:rPr>
      </w:pPr>
      <w:r/>
      <w:bookmarkEnd w:id="42"/>
      <w:r/>
      <w:bookmarkEnd w:id="43"/>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丁所长</w:t>
      </w:r>
      <w:r>
        <w:rPr>
          <w:rFonts w:hint="eastAsia" w:ascii="宋体" w:hAnsi="宋体"/>
          <w:color w:val="000000"/>
          <w:sz w:val="24"/>
          <w:szCs w:val="24"/>
          <w:highlight w:val="none"/>
          <w:u w:val="single"/>
        </w:rPr>
        <w:t xml:space="preserve">  </w:t>
      </w:r>
      <w:r>
        <w:rPr>
          <w:rFonts w:ascii="宋体" w:hAnsi="宋体"/>
          <w:color w:val="000000"/>
          <w:sz w:val="24"/>
          <w:szCs w:val="24"/>
          <w:highlight w:val="none"/>
        </w:rPr>
      </w:r>
      <w:r/>
    </w:p>
    <w:p>
      <w:pPr>
        <w:pStyle w:val="724"/>
        <w:ind w:firstLine="720"/>
        <w:jc w:val="left"/>
        <w:spacing w:line="500" w:lineRule="exact"/>
        <w:rPr>
          <w:rFonts w:ascii="宋体" w:hAnsi="宋体" w:eastAsia="宋体"/>
          <w:color w:val="000000"/>
          <w:sz w:val="24"/>
          <w:szCs w:val="24"/>
          <w:highlight w:val="none"/>
          <w:u w:val="single"/>
          <w:lang w:val="en-US" w:eastAsia="zh-CN"/>
        </w:rPr>
      </w:pPr>
      <w:r>
        <w:rPr>
          <w:rFonts w:hint="eastAsia" w:ascii="宋体" w:hAnsi="宋体"/>
          <w:color w:val="000000"/>
          <w:sz w:val="24"/>
          <w:szCs w:val="24"/>
          <w:highlight w:val="none"/>
        </w:rPr>
        <w:t xml:space="preserve">联系方式：</w:t>
      </w:r>
      <w:r>
        <w:rPr>
          <w:rFonts w:hint="eastAsia" w:ascii="Calibri" w:hAnsi="Calibri"/>
          <w:color w:val="000000"/>
          <w:sz w:val="24"/>
          <w:szCs w:val="24"/>
          <w:highlight w:val="none"/>
          <w:u w:val="single"/>
        </w:rPr>
        <w:t xml:space="preserve"> </w:t>
      </w:r>
      <w:r>
        <w:rPr>
          <w:rFonts w:hint="eastAsia" w:ascii="宋体" w:hAnsi="宋体"/>
          <w:color w:val="000000"/>
          <w:sz w:val="24"/>
          <w:szCs w:val="24"/>
          <w:highlight w:val="none"/>
          <w:u w:val="single"/>
          <w:lang w:val="en-US" w:eastAsia="zh-CN"/>
        </w:rPr>
        <w:t xml:space="preserve">15298630777</w:t>
      </w:r>
      <w:r>
        <w:rPr>
          <w:rFonts w:hint="eastAsia" w:ascii="Calibri" w:hAnsi="Calibri"/>
          <w:color w:val="000000"/>
          <w:sz w:val="24"/>
          <w:szCs w:val="24"/>
          <w:highlight w:val="none"/>
          <w:u w:val="single"/>
          <w:lang w:val="en-US" w:eastAsia="zh-CN"/>
        </w:rPr>
        <w:t xml:space="preserve"> </w:t>
      </w:r>
      <w:r>
        <w:rPr>
          <w:rFonts w:ascii="宋体" w:hAnsi="宋体" w:eastAsia="宋体"/>
          <w:color w:val="000000"/>
          <w:sz w:val="24"/>
          <w:szCs w:val="24"/>
          <w:highlight w:val="none"/>
          <w:u w:val="single"/>
          <w:lang w:val="en-US" w:eastAsia="zh-CN"/>
        </w:rPr>
      </w:r>
      <w:r/>
    </w:p>
    <w:p>
      <w:pPr>
        <w:pStyle w:val="724"/>
        <w:ind w:firstLine="498"/>
        <w:keepLines/>
        <w:keepNext/>
        <w:spacing w:before="145" w:after="145" w:line="500" w:lineRule="exact"/>
        <w:rPr>
          <w:b/>
          <w:bCs/>
          <w:color w:val="000000"/>
          <w:sz w:val="32"/>
          <w:szCs w:val="32"/>
          <w:highlight w:val="none"/>
        </w:rPr>
        <w:outlineLvl w:val="2"/>
      </w:pPr>
      <w:r>
        <w:rPr>
          <w:rFonts w:hint="eastAsia"/>
          <w:b/>
          <w:bCs/>
          <w:color w:val="000000"/>
          <w:sz w:val="32"/>
          <w:szCs w:val="32"/>
          <w:highlight w:val="none"/>
        </w:rPr>
        <w:t xml:space="preserve">八、其他</w:t>
      </w:r>
      <w:r>
        <w:rPr>
          <w:b/>
          <w:bCs/>
          <w:color w:val="000000"/>
          <w:sz w:val="32"/>
          <w:szCs w:val="32"/>
          <w:highlight w:val="none"/>
        </w:rPr>
      </w:r>
      <w:r/>
    </w:p>
    <w:p>
      <w:pPr>
        <w:pStyle w:val="724"/>
        <w:ind w:firstLine="480"/>
        <w:jc w:val="left"/>
        <w:spacing w:line="500" w:lineRule="exact"/>
        <w:tabs>
          <w:tab w:val="left" w:pos="900" w:leader="none"/>
        </w:tabs>
        <w:rPr>
          <w:rFonts w:hint="eastAsia" w:ascii="宋体" w:hAnsi="宋体"/>
          <w:bCs/>
          <w:color w:val="000000"/>
          <w:sz w:val="24"/>
          <w:szCs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bCs/>
          <w:color w:val="000000"/>
          <w:sz w:val="24"/>
          <w:szCs w:val="24"/>
          <w:highlight w:val="none"/>
        </w:rPr>
        <w:t xml:space="preserve">根据省财政厅《关于更换全省政府采购交易系统CA数字证书和电子签章的通知》（苏财购〔2023〕101号），</w:t>
      </w:r>
      <w:r>
        <w:rPr>
          <w:rFonts w:hint="eastAsia" w:ascii="宋体" w:hAnsi="宋体"/>
          <w:color w:val="000000"/>
          <w:sz w:val="24"/>
          <w:szCs w:val="24"/>
          <w:highlight w:val="none"/>
        </w:rPr>
        <w:t xml:space="preserve">“苏采云”政府采购交易系统（以下简称苏采云系统）</w:t>
      </w:r>
      <w:r>
        <w:rPr>
          <w:rFonts w:hint="eastAsia" w:ascii="宋体" w:hAnsi="宋体"/>
          <w:bCs/>
          <w:color w:val="000000"/>
          <w:sz w:val="24"/>
          <w:szCs w:val="24"/>
          <w:highlight w:val="none"/>
        </w:rPr>
        <w:t xml:space="preserve">的CA数字证书、电子签章已更换为江苏省电子政务证书认证中心CA和方正国际软件（北京）有限公司电子签章。如果投标人通过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参与政府采购项目，需要更换CA数字证书和电子签章。具体办理指南和操作手册见链接：</w:t>
      </w:r>
      <w:r>
        <w:rPr>
          <w:rFonts w:hint="eastAsia" w:ascii="宋体" w:hAnsi="宋体"/>
          <w:bCs/>
          <w:color w:val="000000"/>
          <w:sz w:val="24"/>
          <w:szCs w:val="24"/>
          <w:highlight w:val="none"/>
        </w:rPr>
        <w:fldChar w:fldCharType="begin"/>
      </w:r>
      <w:r>
        <w:rPr>
          <w:rFonts w:hint="eastAsia" w:ascii="宋体" w:hAnsi="宋体"/>
          <w:bCs/>
          <w:color w:val="000000"/>
          <w:sz w:val="24"/>
          <w:szCs w:val="24"/>
          <w:highlight w:val="none"/>
        </w:rPr>
        <w:instrText xml:space="preserve"> HYPERLINK "http://www.ccgp-jiangsu.gov.cn/" </w:instrText>
      </w:r>
      <w:r>
        <w:rPr>
          <w:rFonts w:hint="eastAsia" w:ascii="宋体" w:hAnsi="宋体"/>
          <w:bCs/>
          <w:color w:val="000000"/>
          <w:sz w:val="24"/>
          <w:szCs w:val="24"/>
          <w:highlight w:val="none"/>
        </w:rPr>
        <w:fldChar w:fldCharType="separate"/>
      </w:r>
      <w:r>
        <w:rPr>
          <w:rFonts w:hint="eastAsia" w:ascii="宋体" w:hAnsi="宋体"/>
          <w:bCs/>
          <w:color w:val="000000"/>
          <w:sz w:val="24"/>
          <w:szCs w:val="24"/>
          <w:highlight w:val="none"/>
        </w:rPr>
        <w:t xml:space="preserve">http://www.ccgp-jiangsu.gov.cn/</w:t>
      </w:r>
      <w:r>
        <w:rPr>
          <w:rFonts w:hint="eastAsia" w:ascii="宋体" w:hAnsi="宋体"/>
          <w:bCs/>
          <w:color w:val="000000"/>
          <w:sz w:val="24"/>
          <w:szCs w:val="24"/>
          <w:highlight w:val="none"/>
        </w:rPr>
        <w:fldChar w:fldCharType="end"/>
      </w:r>
      <w:r>
        <w:rPr>
          <w:rFonts w:hint="eastAsia" w:ascii="宋体" w:hAnsi="宋体"/>
          <w:bCs/>
          <w:color w:val="000000"/>
          <w:sz w:val="24"/>
          <w:szCs w:val="24"/>
          <w:highlight w:val="none"/>
        </w:rPr>
        <w:t xml:space="preserve">jiangsu/zlxz/ee/ee3a4bc5a3454aa</w:t>
      </w:r>
      <w:r>
        <w:rPr>
          <w:rFonts w:hint="eastAsia" w:ascii="宋体" w:hAnsi="宋体"/>
          <w:bCs/>
          <w:color w:val="000000"/>
          <w:sz w:val="24"/>
          <w:szCs w:val="24"/>
          <w:highlight w:val="none"/>
        </w:rPr>
      </w:r>
      <w:r/>
    </w:p>
    <w:p>
      <w:pPr>
        <w:pStyle w:val="724"/>
        <w:spacing w:line="500" w:lineRule="exact"/>
        <w:tabs>
          <w:tab w:val="left" w:pos="900" w:leader="none"/>
        </w:tabs>
        <w:rPr>
          <w:rFonts w:hint="eastAsia" w:ascii="宋体" w:hAnsi="宋体"/>
          <w:color w:val="000000"/>
          <w:sz w:val="24"/>
          <w:szCs w:val="24"/>
          <w:highlight w:val="none"/>
        </w:rPr>
      </w:pPr>
      <w:r>
        <w:rPr>
          <w:rFonts w:hint="eastAsia" w:ascii="宋体" w:hAnsi="宋体"/>
          <w:bCs/>
          <w:color w:val="000000"/>
          <w:sz w:val="24"/>
          <w:szCs w:val="24"/>
          <w:highlight w:val="none"/>
        </w:rPr>
        <w:t xml:space="preserve">2b0d9312230633ce9.html。领取CA和办理电子签章、进行注册并按《操作手册》要求制作、上传电子投标文件。</w:t>
      </w:r>
      <w:r>
        <w:rPr>
          <w:rFonts w:hint="eastAsia" w:ascii="宋体" w:hAnsi="宋体"/>
          <w:color w:val="000000"/>
          <w:sz w:val="24"/>
          <w:szCs w:val="24"/>
          <w:highlight w:val="none"/>
        </w:rPr>
      </w:r>
      <w:r/>
    </w:p>
    <w:p>
      <w:pPr>
        <w:pStyle w:val="724"/>
        <w:numPr>
          <w:ilvl w:val="0"/>
          <w:numId w:val="6"/>
        </w:numPr>
        <w:ind w:firstLine="480"/>
        <w:jc w:val="left"/>
        <w:spacing w:line="50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有关本次采购的事项若存在变动或修改，敬请及时关注“江苏政府采购网”发布的更正公告。</w:t>
      </w:r>
      <w:r>
        <w:rPr>
          <w:rFonts w:hint="eastAsia" w:ascii="宋体" w:hAnsi="宋体"/>
          <w:bCs/>
          <w:color w:val="000000"/>
          <w:sz w:val="24"/>
          <w:szCs w:val="24"/>
          <w:highlight w:val="none"/>
        </w:rPr>
      </w:r>
      <w:r/>
    </w:p>
    <w:p>
      <w:pPr>
        <w:pStyle w:val="724"/>
        <w:ind w:right="840"/>
        <w:jc w:val="center"/>
        <w:spacing w:line="500" w:lineRule="exact"/>
        <w:rPr>
          <w:rFonts w:hint="eastAsia" w:ascii="黑体" w:hAnsi="Arial" w:eastAsia="黑体" w:cs="Arial"/>
          <w:color w:val="000000"/>
          <w:sz w:val="44"/>
          <w:szCs w:val="44"/>
          <w:highlight w:val="none"/>
        </w:rPr>
      </w:pPr>
      <w:r/>
      <w:bookmarkStart w:id="44" w:name="_Toc120614211"/>
      <w:r>
        <w:rPr>
          <w:rFonts w:hint="eastAsia" w:ascii="宋体" w:hAnsi="宋体"/>
          <w:bCs/>
          <w:color w:val="000000"/>
          <w:sz w:val="24"/>
          <w:szCs w:val="24"/>
          <w:highlight w:val="none"/>
        </w:rPr>
        <w:br w:type="page" w:clear="all"/>
      </w:r>
      <w:r>
        <w:rPr>
          <w:rFonts w:hint="eastAsia" w:ascii="黑体" w:hAnsi="Arial" w:eastAsia="黑体" w:cs="Arial"/>
          <w:b/>
          <w:bCs/>
          <w:color w:val="000000"/>
          <w:sz w:val="44"/>
          <w:szCs w:val="44"/>
          <w:highlight w:val="none"/>
        </w:rPr>
        <w:t xml:space="preserve">第二章</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hAnsi="Arial" w:eastAsia="黑体" w:cs="Arial"/>
          <w:b/>
          <w:bCs/>
          <w:color w:val="000000"/>
          <w:sz w:val="44"/>
          <w:szCs w:val="44"/>
          <w:highlight w:val="none"/>
        </w:rPr>
        <w:t xml:space="preserve">投标人须知</w:t>
      </w:r>
      <w:bookmarkEnd w:id="45"/>
      <w:r/>
      <w:bookmarkEnd w:id="46"/>
      <w:r/>
      <w:bookmarkEnd w:id="47"/>
      <w:r/>
      <w:bookmarkEnd w:id="48"/>
      <w:r>
        <w:rPr>
          <w:rFonts w:hint="eastAsia" w:ascii="黑体" w:hAnsi="Arial" w:eastAsia="黑体" w:cs="Arial"/>
          <w:color w:val="000000"/>
          <w:sz w:val="44"/>
          <w:szCs w:val="44"/>
          <w:highlight w:val="none"/>
        </w:rPr>
      </w:r>
      <w:r/>
    </w:p>
    <w:p>
      <w:pPr>
        <w:pStyle w:val="724"/>
        <w:ind w:firstLine="498"/>
        <w:keepLines/>
        <w:keepNext/>
        <w:spacing w:before="145" w:after="145" w:line="500" w:lineRule="exact"/>
        <w:rPr>
          <w:rFonts w:hint="eastAsia"/>
          <w:b/>
          <w:bCs/>
          <w:color w:val="000000"/>
          <w:sz w:val="32"/>
          <w:szCs w:val="32"/>
          <w:highlight w:val="none"/>
        </w:rPr>
        <w:outlineLvl w:val="2"/>
      </w:pPr>
      <w:r/>
      <w:bookmarkStart w:id="49" w:name="_Toc120614214"/>
      <w:r/>
      <w:bookmarkStart w:id="50" w:name="_Toc20823275"/>
      <w:r/>
      <w:bookmarkStart w:id="51" w:name="_Toc513029203"/>
      <w:r/>
      <w:bookmarkStart w:id="52" w:name="_Toc16938519"/>
      <w:r>
        <w:rPr>
          <w:rFonts w:hint="eastAsia"/>
          <w:b/>
          <w:bCs/>
          <w:color w:val="000000"/>
          <w:sz w:val="32"/>
          <w:szCs w:val="32"/>
          <w:highlight w:val="none"/>
        </w:rPr>
        <w:t xml:space="preserve">一、总则</w:t>
      </w:r>
      <w:bookmarkEnd w:id="49"/>
      <w:r/>
      <w:bookmarkEnd w:id="50"/>
      <w:r/>
      <w:bookmarkEnd w:id="51"/>
      <w:r/>
      <w:bookmarkEnd w:id="52"/>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53" w:name="_Hlt16619475"/>
      <w:r/>
      <w:bookmarkEnd w:id="53"/>
      <w:r/>
      <w:bookmarkStart w:id="54" w:name="_Toc458694821"/>
      <w:r/>
      <w:bookmarkStart w:id="55" w:name="_Toc20823276"/>
      <w:r/>
      <w:bookmarkStart w:id="56" w:name="_Toc16938520"/>
      <w:r/>
      <w:bookmarkStart w:id="57" w:name="_Toc513029204"/>
      <w:r>
        <w:rPr>
          <w:rFonts w:hint="eastAsia" w:ascii="Arial" w:hAnsi="Arial" w:eastAsia="黑体" w:cs="Arial"/>
          <w:color w:val="000000"/>
          <w:sz w:val="28"/>
          <w:szCs w:val="28"/>
          <w:highlight w:val="none"/>
        </w:rPr>
        <w:t xml:space="preserve">1</w:t>
      </w:r>
      <w:bookmarkEnd w:id="54"/>
      <w:r>
        <w:rPr>
          <w:rFonts w:hint="eastAsia" w:ascii="Arial" w:hAnsi="Arial" w:eastAsia="黑体" w:cs="Arial"/>
          <w:color w:val="000000"/>
          <w:sz w:val="28"/>
          <w:szCs w:val="28"/>
          <w:highlight w:val="none"/>
        </w:rPr>
        <w:t xml:space="preserve">、招标方式</w:t>
      </w:r>
      <w:bookmarkEnd w:id="55"/>
      <w:r/>
      <w:bookmarkEnd w:id="56"/>
      <w:r/>
      <w:bookmarkEnd w:id="57"/>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1.1本次招标采取公开招标方式，本招标文件仅适用于招标公告中所述项目。</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58" w:name="_Toc513029205"/>
      <w:r/>
      <w:bookmarkStart w:id="59" w:name="_Toc20823277"/>
      <w:r/>
      <w:bookmarkStart w:id="60" w:name="_Toc16938521"/>
      <w:r>
        <w:rPr>
          <w:rFonts w:hint="eastAsia" w:ascii="Arial" w:hAnsi="Arial" w:eastAsia="黑体" w:cs="Arial"/>
          <w:color w:val="000000"/>
          <w:sz w:val="28"/>
          <w:szCs w:val="28"/>
          <w:highlight w:val="none"/>
        </w:rPr>
        <w:t xml:space="preserve">2、合格的</w:t>
      </w:r>
      <w:bookmarkEnd w:id="58"/>
      <w:r/>
      <w:bookmarkEnd w:id="59"/>
      <w:r/>
      <w:bookmarkEnd w:id="60"/>
      <w:r>
        <w:rPr>
          <w:rFonts w:hint="eastAsia" w:ascii="Arial" w:hAnsi="Arial" w:eastAsia="黑体" w:cs="Arial"/>
          <w:color w:val="000000"/>
          <w:sz w:val="28"/>
          <w:szCs w:val="28"/>
          <w:highlight w:val="none"/>
        </w:rPr>
        <w:t xml:space="preserve">投标人</w:t>
      </w:r>
      <w:r>
        <w:rPr>
          <w:rFonts w:hint="eastAsia" w:ascii="Arial" w:hAnsi="Arial" w:eastAsia="黑体" w:cs="Arial"/>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bookmarkStart w:id="61" w:name="_Toc20823278"/>
      <w:r/>
      <w:bookmarkStart w:id="62" w:name="_Toc16938522"/>
      <w:r/>
      <w:bookmarkStart w:id="63" w:name="_Toc513029206"/>
      <w:r>
        <w:rPr>
          <w:rFonts w:hint="eastAsia" w:ascii="Calibri" w:hAnsi="Calibri"/>
          <w:color w:val="000000"/>
          <w:sz w:val="24"/>
          <w:szCs w:val="24"/>
          <w:highlight w:val="none"/>
        </w:rPr>
        <w:t xml:space="preserve">2.1满足招标公告中申请人的资格要求的规定。</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2.2银行、保险、石油石化、电力、电信等特殊行业法人的分支机构（不具有独立的法人资格）参与本项目政府采购活动的，应当提供总公司出具的愿为其参与政府采购活动以及履约行为承担民事责任的承诺书（或授权书）。</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2.3满足本招标文件全部实质性要求和条件的规定。</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2.4符合上述条件的投标人应承担投标及履约过程应承担的全部责任与义务。</w:t>
      </w:r>
      <w:r>
        <w:rPr>
          <w:rFonts w:ascii="Calibri" w:hAnsi="Calibri"/>
          <w:color w:val="000000"/>
          <w:sz w:val="24"/>
          <w:szCs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3、适用法律</w:t>
      </w:r>
      <w:bookmarkEnd w:id="61"/>
      <w:r/>
      <w:bookmarkEnd w:id="62"/>
      <w:r/>
      <w:bookmarkEnd w:id="63"/>
      <w:r>
        <w:rPr>
          <w:rFonts w:hint="eastAsia" w:ascii="Arial" w:hAnsi="Arial" w:eastAsia="黑体" w:cs="Arial"/>
          <w:color w:val="000000"/>
          <w:sz w:val="28"/>
          <w:szCs w:val="28"/>
          <w:highlight w:val="none"/>
        </w:rPr>
      </w:r>
      <w:r/>
    </w:p>
    <w:p>
      <w:pPr>
        <w:pStyle w:val="724"/>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3.1本次招标及由此产生的合同受中华人民共和国有关的法律法规制约和保护</w:t>
      </w:r>
      <w:r>
        <w:rPr>
          <w:rFonts w:ascii="宋体" w:hAnsi="宋体"/>
          <w:color w:val="000000"/>
          <w:sz w:val="24"/>
          <w:szCs w:val="21"/>
          <w:highlight w:val="none"/>
        </w:rPr>
        <w:t xml:space="preserve">。</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64" w:name="_Toc462564067"/>
      <w:r/>
      <w:bookmarkStart w:id="65" w:name="_Toc16938523"/>
      <w:r/>
      <w:bookmarkStart w:id="66" w:name="_Toc20823279"/>
      <w:r/>
      <w:bookmarkStart w:id="67" w:name="_Toc513029207"/>
      <w:r>
        <w:rPr>
          <w:rFonts w:hint="eastAsia" w:ascii="Arial" w:hAnsi="Arial" w:eastAsia="黑体" w:cs="Arial"/>
          <w:color w:val="000000"/>
          <w:sz w:val="28"/>
          <w:szCs w:val="28"/>
          <w:highlight w:val="none"/>
        </w:rPr>
        <w:t xml:space="preserve">4、投标费用</w:t>
      </w:r>
      <w:bookmarkEnd w:id="64"/>
      <w:r/>
      <w:bookmarkEnd w:id="65"/>
      <w:r/>
      <w:bookmarkEnd w:id="66"/>
      <w:r/>
      <w:bookmarkEnd w:id="67"/>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4.1</w:t>
      </w:r>
      <w:r>
        <w:rPr>
          <w:rFonts w:hint="eastAsia" w:ascii="宋体" w:hAnsi="宋体"/>
          <w:color w:val="000000"/>
          <w:sz w:val="24"/>
          <w:szCs w:val="21"/>
          <w:highlight w:val="none"/>
        </w:rPr>
        <w:t xml:space="preserve">投标人应自行承担所有与参加投标有关的费用，无论投标过程中的做法和结果如何，</w:t>
      </w:r>
      <w:r>
        <w:rPr>
          <w:rFonts w:hint="eastAsia" w:ascii="宋体" w:hAnsi="宋体"/>
          <w:color w:val="000000"/>
          <w:sz w:val="24"/>
          <w:szCs w:val="21"/>
          <w:highlight w:val="none"/>
          <w:lang w:val="en-US" w:eastAsia="zh-CN"/>
        </w:rPr>
        <w:t xml:space="preserve">采购人或</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代理机构</w:t>
      </w:r>
      <w:r>
        <w:rPr>
          <w:rFonts w:hint="eastAsia" w:ascii="宋体" w:hAnsi="宋体"/>
          <w:color w:val="000000"/>
          <w:sz w:val="24"/>
          <w:szCs w:val="21"/>
          <w:highlight w:val="none"/>
        </w:rPr>
        <w:t xml:space="preserve">在任何情况下均无义务和责任承担这些费用。</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4.2本次</w:t>
      </w:r>
      <w:r>
        <w:rPr>
          <w:rFonts w:hint="eastAsia" w:ascii="宋体" w:hAnsi="宋体"/>
          <w:color w:val="000000"/>
          <w:sz w:val="24"/>
          <w:szCs w:val="21"/>
          <w:highlight w:val="none"/>
          <w:lang w:val="en-US" w:eastAsia="zh-CN"/>
        </w:rPr>
        <w:t xml:space="preserve">招标</w:t>
      </w:r>
      <w:r>
        <w:rPr>
          <w:rFonts w:hint="eastAsia" w:ascii="宋体" w:hAnsi="宋体"/>
          <w:color w:val="000000"/>
          <w:sz w:val="24"/>
          <w:szCs w:val="21"/>
          <w:highlight w:val="none"/>
        </w:rPr>
        <w:t xml:space="preserve">的采购代理费按苏招协</w:t>
      </w:r>
      <w:r>
        <w:rPr>
          <w:rFonts w:hint="eastAsia" w:ascii="宋体" w:hAnsi="宋体"/>
          <w:color w:val="000000"/>
          <w:sz w:val="24"/>
          <w:szCs w:val="21"/>
          <w:highlight w:val="none"/>
          <w:lang w:eastAsia="zh-CN"/>
        </w:rPr>
        <w:t xml:space="preserve">〔2022〕2号</w:t>
      </w:r>
      <w:r>
        <w:rPr>
          <w:rFonts w:hint="eastAsia" w:ascii="宋体" w:hAnsi="宋体"/>
          <w:color w:val="000000"/>
          <w:sz w:val="24"/>
          <w:szCs w:val="21"/>
          <w:highlight w:val="none"/>
        </w:rPr>
        <w:t xml:space="preserve">文“服务招标”标准费率的计取</w:t>
      </w:r>
      <w:r>
        <w:rPr>
          <w:rFonts w:hint="eastAsia" w:ascii="宋体" w:hAnsi="宋体"/>
          <w:color w:val="000000"/>
          <w:sz w:val="24"/>
          <w:szCs w:val="21"/>
          <w:highlight w:val="none"/>
          <w:lang w:val="en-US" w:eastAsia="zh-CN"/>
        </w:rPr>
        <w:t xml:space="preserve">后下浮30%</w:t>
      </w:r>
      <w:r>
        <w:rPr>
          <w:rFonts w:hint="eastAsia" w:ascii="宋体" w:hAnsi="宋体"/>
          <w:color w:val="000000"/>
          <w:sz w:val="24"/>
          <w:szCs w:val="21"/>
          <w:highlight w:val="none"/>
        </w:rPr>
        <w:t xml:space="preserve">，由中标人在领取中标通知书时一次性支付；</w:t>
      </w:r>
      <w:r>
        <w:rPr>
          <w:rFonts w:hint="eastAsia" w:ascii="宋体" w:hAnsi="宋体"/>
          <w:color w:val="000000"/>
          <w:sz w:val="24"/>
          <w:szCs w:val="21"/>
          <w:highlight w:val="none"/>
          <w:lang w:val="en-US" w:eastAsia="zh-CN"/>
        </w:rPr>
        <w:t xml:space="preserve">涉及的其他费用按实计取；上述费用均需</w:t>
      </w:r>
      <w:r>
        <w:rPr>
          <w:rFonts w:hint="eastAsia" w:ascii="宋体" w:hAnsi="宋体"/>
          <w:color w:val="000000"/>
          <w:sz w:val="24"/>
          <w:szCs w:val="21"/>
          <w:highlight w:val="none"/>
        </w:rPr>
        <w:t xml:space="preserve">考虑在投标报价中，不得单列。</w:t>
      </w:r>
      <w:r>
        <w:rPr>
          <w:rFonts w:hint="eastAsia" w:ascii="宋体" w:hAnsi="宋体"/>
          <w:color w:val="000000"/>
          <w:sz w:val="24"/>
          <w:szCs w:val="21"/>
          <w:highlight w:val="none"/>
        </w:rPr>
      </w:r>
      <w:r/>
    </w:p>
    <w:p>
      <w:pPr>
        <w:pStyle w:val="724"/>
        <w:ind w:firstLine="602"/>
        <w:spacing w:line="500" w:lineRule="exact"/>
        <w:rPr>
          <w:rFonts w:hint="eastAsia" w:ascii="黑体" w:hAnsi="宋体" w:eastAsia="黑体" w:cs="Arial"/>
          <w:color w:val="000000"/>
          <w:sz w:val="28"/>
          <w:szCs w:val="28"/>
          <w:highlight w:val="none"/>
        </w:rPr>
      </w:pPr>
      <w:r>
        <w:rPr>
          <w:rFonts w:hint="eastAsia" w:ascii="宋体" w:hAnsi="宋体" w:eastAsia="黑体" w:cs="Arial"/>
          <w:b/>
          <w:bCs/>
          <w:color w:val="000000"/>
          <w:sz w:val="30"/>
          <w:szCs w:val="28"/>
          <w:highlight w:val="none"/>
        </w:rPr>
        <w:t xml:space="preserve">5、</w:t>
      </w:r>
      <w:r>
        <w:rPr>
          <w:rFonts w:hint="eastAsia" w:ascii="黑体" w:hAnsi="宋体" w:eastAsia="黑体" w:cs="Arial"/>
          <w:color w:val="000000"/>
          <w:sz w:val="28"/>
          <w:szCs w:val="28"/>
          <w:highlight w:val="none"/>
        </w:rPr>
        <w:t xml:space="preserve">招标文件的约束力</w:t>
      </w:r>
      <w:r>
        <w:rPr>
          <w:rFonts w:hint="eastAsia" w:ascii="黑体" w:hAnsi="宋体" w:eastAsia="黑体" w:cs="Arial"/>
          <w:color w:val="000000"/>
          <w:sz w:val="28"/>
          <w:szCs w:val="28"/>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投标人一旦参加本项目采购活动，即被认为接受了本招标文件的规定和约束。</w:t>
      </w:r>
      <w:r>
        <w:rPr>
          <w:rFonts w:hint="eastAsia" w:ascii="宋体" w:hAnsi="宋体"/>
          <w:color w:val="000000"/>
          <w:sz w:val="24"/>
          <w:szCs w:val="24"/>
          <w:highlight w:val="none"/>
        </w:rPr>
      </w:r>
      <w:r/>
    </w:p>
    <w:p>
      <w:pPr>
        <w:pStyle w:val="724"/>
        <w:ind w:firstLine="321"/>
        <w:keepLines/>
        <w:keepNext/>
        <w:spacing w:before="145" w:after="145" w:line="500" w:lineRule="exact"/>
        <w:rPr>
          <w:rFonts w:hint="eastAsia"/>
          <w:b/>
          <w:bCs/>
          <w:color w:val="000000"/>
          <w:sz w:val="32"/>
          <w:szCs w:val="32"/>
          <w:highlight w:val="none"/>
        </w:rPr>
        <w:outlineLvl w:val="2"/>
      </w:pPr>
      <w:r/>
      <w:bookmarkStart w:id="68" w:name="_Toc20823281"/>
      <w:r/>
      <w:bookmarkStart w:id="69" w:name="_Toc120614215"/>
      <w:r/>
      <w:bookmarkStart w:id="70" w:name="_Toc513029209"/>
      <w:r/>
      <w:bookmarkStart w:id="71" w:name="_Toc16938525"/>
      <w:r>
        <w:rPr>
          <w:rFonts w:hint="eastAsia"/>
          <w:b/>
          <w:bCs/>
          <w:color w:val="000000"/>
          <w:sz w:val="32"/>
          <w:szCs w:val="32"/>
          <w:highlight w:val="none"/>
        </w:rPr>
        <w:t xml:space="preserve">二、</w:t>
      </w:r>
      <w:bookmarkEnd w:id="68"/>
      <w:r/>
      <w:bookmarkEnd w:id="69"/>
      <w:r/>
      <w:bookmarkEnd w:id="70"/>
      <w:r/>
      <w:bookmarkEnd w:id="71"/>
      <w:r>
        <w:rPr>
          <w:rFonts w:hint="eastAsia"/>
          <w:b/>
          <w:bCs/>
          <w:color w:val="000000"/>
          <w:sz w:val="32"/>
          <w:szCs w:val="32"/>
          <w:highlight w:val="none"/>
        </w:rPr>
        <w:t xml:space="preserve">招标文件</w:t>
      </w:r>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72" w:name="_Toc16938526"/>
      <w:r/>
      <w:bookmarkStart w:id="73" w:name="_Toc20823282"/>
      <w:r/>
      <w:bookmarkStart w:id="74" w:name="_Toc513029210"/>
      <w:r>
        <w:rPr>
          <w:rFonts w:hint="eastAsia" w:ascii="Arial" w:hAnsi="Arial" w:eastAsia="黑体" w:cs="Arial"/>
          <w:color w:val="000000"/>
          <w:sz w:val="28"/>
          <w:szCs w:val="28"/>
          <w:highlight w:val="none"/>
        </w:rPr>
        <w:t xml:space="preserve">6、招标文件构成</w:t>
      </w:r>
      <w:bookmarkEnd w:id="72"/>
      <w:r/>
      <w:bookmarkEnd w:id="73"/>
      <w:r/>
      <w:bookmarkEnd w:id="74"/>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6.1</w:t>
      </w:r>
      <w:r>
        <w:rPr>
          <w:rFonts w:hint="eastAsia" w:ascii="宋体" w:hAnsi="宋体"/>
          <w:color w:val="000000"/>
          <w:sz w:val="24"/>
          <w:szCs w:val="21"/>
          <w:highlight w:val="none"/>
        </w:rPr>
        <w:t xml:space="preserve">招标文件由以下部分组成：</w:t>
      </w:r>
      <w:r>
        <w:rPr>
          <w:rFonts w:hint="eastAsia" w:ascii="宋体" w:hAnsi="宋体"/>
          <w:color w:val="000000"/>
          <w:sz w:val="24"/>
          <w:szCs w:val="21"/>
          <w:highlight w:val="none"/>
        </w:rPr>
      </w:r>
      <w:r/>
    </w:p>
    <w:p>
      <w:pPr>
        <w:pStyle w:val="724"/>
        <w:ind w:firstLine="3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724"/>
        <w:ind w:firstLine="3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724"/>
        <w:ind w:firstLine="3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724"/>
        <w:ind w:firstLine="3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（4）采购需求</w:t>
      </w:r>
      <w:r>
        <w:rPr>
          <w:rFonts w:hint="eastAsia" w:ascii="宋体" w:hAnsi="宋体"/>
          <w:color w:val="000000"/>
          <w:sz w:val="24"/>
          <w:szCs w:val="24"/>
          <w:highlight w:val="none"/>
        </w:rPr>
      </w:r>
      <w:r/>
    </w:p>
    <w:p>
      <w:pPr>
        <w:pStyle w:val="724"/>
        <w:ind w:firstLine="360"/>
        <w:spacing w:line="50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724"/>
        <w:ind w:firstLine="36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请仔细检查招标文件是否齐全，如有缺漏请立即与</w:t>
      </w:r>
      <w:r>
        <w:rPr>
          <w:rFonts w:hint="eastAsia" w:ascii="宋体" w:hAnsi="宋体"/>
          <w:color w:val="000000"/>
          <w:sz w:val="24"/>
          <w:szCs w:val="21"/>
          <w:highlight w:val="none"/>
          <w:lang w:eastAsia="zh-CN"/>
        </w:rPr>
        <w:t xml:space="preserve">采购代理机构</w:t>
      </w:r>
      <w:r>
        <w:rPr>
          <w:rFonts w:hint="eastAsia" w:ascii="宋体" w:hAnsi="宋体"/>
          <w:color w:val="000000"/>
          <w:sz w:val="24"/>
          <w:szCs w:val="21"/>
          <w:highlight w:val="none"/>
        </w:rPr>
        <w:t xml:space="preserve">联系解决。</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6.2</w:t>
      </w:r>
      <w:r>
        <w:rPr>
          <w:rFonts w:hint="eastAsia" w:ascii="宋体" w:hAnsi="宋体"/>
          <w:color w:val="000000"/>
          <w:sz w:val="24"/>
          <w:szCs w:val="21"/>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szCs w:val="21"/>
          <w:highlight w:val="none"/>
        </w:rPr>
      </w:r>
      <w:r/>
    </w:p>
    <w:p>
      <w:pPr>
        <w:pStyle w:val="724"/>
        <w:ind w:firstLine="560"/>
        <w:keepLines/>
        <w:keepNext/>
        <w:spacing w:line="500" w:lineRule="exact"/>
        <w:rPr>
          <w:rFonts w:hint="eastAsia" w:ascii="Arial" w:hAnsi="Arial" w:eastAsia="黑体" w:cs="Arial"/>
          <w:color w:val="000000"/>
          <w:sz w:val="28"/>
          <w:szCs w:val="28"/>
          <w:highlight w:val="none"/>
        </w:rPr>
        <w:outlineLvl w:val="3"/>
      </w:pPr>
      <w:r/>
      <w:bookmarkStart w:id="75" w:name="_Toc513029211"/>
      <w:r/>
      <w:bookmarkStart w:id="76" w:name="_Toc16938527"/>
      <w:r/>
      <w:bookmarkStart w:id="77" w:name="_Toc462564070"/>
      <w:r/>
      <w:bookmarkStart w:id="78" w:name="_Toc20823283"/>
      <w:r>
        <w:rPr>
          <w:rFonts w:hint="eastAsia" w:ascii="Arial" w:hAnsi="Arial" w:eastAsia="黑体" w:cs="Arial"/>
          <w:color w:val="000000"/>
          <w:sz w:val="28"/>
          <w:szCs w:val="28"/>
          <w:highlight w:val="none"/>
        </w:rPr>
        <w:t xml:space="preserve">7、招标文件的澄清</w:t>
      </w:r>
      <w:bookmarkEnd w:id="75"/>
      <w:r/>
      <w:bookmarkEnd w:id="76"/>
      <w:r/>
      <w:bookmarkEnd w:id="77"/>
      <w:r/>
      <w:bookmarkEnd w:id="78"/>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7.1</w:t>
      </w:r>
      <w:r>
        <w:rPr>
          <w:rFonts w:hint="eastAsia" w:ascii="宋体" w:hAnsi="宋体"/>
          <w:color w:val="000000"/>
          <w:sz w:val="24"/>
          <w:szCs w:val="21"/>
          <w:highlight w:val="none"/>
        </w:rPr>
        <w:t xml:space="preserve">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szCs w:val="21"/>
          <w:highlight w:val="none"/>
        </w:rPr>
        <w:t xml:space="preserve">按招标公告中的通讯地址，以书面形式通知采购</w:t>
      </w:r>
      <w:r>
        <w:rPr>
          <w:rFonts w:hint="eastAsia" w:ascii="宋体" w:hAnsi="宋体"/>
          <w:color w:val="000000"/>
          <w:sz w:val="24"/>
          <w:szCs w:val="21"/>
          <w:highlight w:val="none"/>
          <w:lang w:val="en-US" w:eastAsia="zh-CN"/>
        </w:rPr>
        <w:t xml:space="preserve">人或采购代理机构</w:t>
      </w:r>
      <w:r>
        <w:rPr>
          <w:rFonts w:hint="eastAsia" w:ascii="宋体" w:hAnsi="宋体"/>
          <w:color w:val="000000"/>
          <w:sz w:val="24"/>
          <w:szCs w:val="21"/>
          <w:highlight w:val="none"/>
        </w:rPr>
        <w:t xml:space="preserve">。</w:t>
      </w:r>
      <w:r>
        <w:rPr>
          <w:rFonts w:hint="eastAsia" w:ascii="宋体" w:hAnsi="宋体"/>
          <w:color w:val="000000"/>
          <w:sz w:val="24"/>
          <w:szCs w:val="24"/>
          <w:highlight w:val="none"/>
        </w:rPr>
      </w:r>
      <w:r/>
    </w:p>
    <w:p>
      <w:pPr>
        <w:pStyle w:val="724"/>
        <w:ind w:firstLine="560"/>
        <w:keepLines/>
        <w:keepNext/>
        <w:spacing w:line="500" w:lineRule="exact"/>
        <w:rPr>
          <w:rFonts w:hint="eastAsia" w:ascii="Arial" w:hAnsi="Arial" w:eastAsia="黑体" w:cs="Arial"/>
          <w:color w:val="000000"/>
          <w:sz w:val="28"/>
          <w:szCs w:val="28"/>
          <w:highlight w:val="none"/>
        </w:rPr>
        <w:outlineLvl w:val="3"/>
      </w:pPr>
      <w:r/>
      <w:bookmarkStart w:id="79" w:name="_Toc513029212"/>
      <w:r/>
      <w:bookmarkStart w:id="80" w:name="_Toc20823284"/>
      <w:r/>
      <w:bookmarkStart w:id="81" w:name="_Toc462564071"/>
      <w:r/>
      <w:bookmarkStart w:id="82" w:name="_Toc16938528"/>
      <w:r>
        <w:rPr>
          <w:rFonts w:hint="eastAsia" w:ascii="Arial" w:hAnsi="Arial" w:eastAsia="黑体" w:cs="Arial"/>
          <w:color w:val="000000"/>
          <w:sz w:val="28"/>
          <w:szCs w:val="28"/>
          <w:highlight w:val="none"/>
        </w:rPr>
        <w:t xml:space="preserve">8、招标文件的修改</w:t>
      </w:r>
      <w:bookmarkEnd w:id="79"/>
      <w:r/>
      <w:bookmarkEnd w:id="80"/>
      <w:r/>
      <w:bookmarkEnd w:id="81"/>
      <w:r/>
      <w:bookmarkEnd w:id="82"/>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8.1</w:t>
      </w:r>
      <w:r>
        <w:rPr>
          <w:rFonts w:hint="eastAsia" w:ascii="宋体" w:hAnsi="宋体"/>
          <w:color w:val="000000"/>
          <w:sz w:val="24"/>
          <w:szCs w:val="21"/>
          <w:highlight w:val="none"/>
        </w:rPr>
        <w:t xml:space="preserve">在投标截止时间</w:t>
      </w:r>
      <w:r>
        <w:rPr>
          <w:rFonts w:hint="eastAsia" w:ascii="仿宋_GB2312" w:hAnsi="仿宋_GB2312"/>
          <w:color w:val="000000"/>
          <w:sz w:val="24"/>
          <w:szCs w:val="21"/>
          <w:highlight w:val="none"/>
        </w:rPr>
        <w:t xml:space="preserve">前</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人或采购代理机构</w:t>
      </w:r>
      <w:r>
        <w:rPr>
          <w:rFonts w:hint="eastAsia" w:ascii="宋体" w:hAnsi="宋体"/>
          <w:color w:val="000000"/>
          <w:sz w:val="24"/>
          <w:szCs w:val="21"/>
          <w:highlight w:val="none"/>
        </w:rPr>
        <w:t xml:space="preserve">可以对招标文件进行修改。</w:t>
      </w:r>
      <w:r>
        <w:rPr>
          <w:rFonts w:hint="eastAsia" w:ascii="宋体" w:hAnsi="宋体"/>
          <w:color w:val="000000"/>
          <w:sz w:val="24"/>
          <w:szCs w:val="21"/>
          <w:highlight w:val="none"/>
        </w:rPr>
      </w:r>
      <w:r/>
    </w:p>
    <w:p>
      <w:pPr>
        <w:pStyle w:val="724"/>
        <w:ind w:firstLine="480"/>
        <w:spacing w:line="500" w:lineRule="exact"/>
        <w:rPr>
          <w:rFonts w:hint="eastAsia" w:ascii="宋体" w:hAnsi="Arial"/>
          <w:color w:val="000000"/>
          <w:sz w:val="28"/>
          <w:szCs w:val="21"/>
          <w:highlight w:val="none"/>
        </w:rPr>
      </w:pPr>
      <w:r>
        <w:rPr>
          <w:rFonts w:hint="eastAsia" w:ascii="宋体" w:hAnsi="宋体"/>
          <w:bCs/>
          <w:color w:val="000000"/>
          <w:sz w:val="24"/>
          <w:szCs w:val="21"/>
          <w:highlight w:val="none"/>
        </w:rPr>
        <w:t xml:space="preserve">8.2</w:t>
      </w:r>
      <w:r>
        <w:rPr>
          <w:rFonts w:hint="eastAsia" w:ascii="宋体" w:hAnsi="宋体"/>
          <w:color w:val="000000"/>
          <w:sz w:val="24"/>
          <w:szCs w:val="21"/>
          <w:highlight w:val="none"/>
        </w:rPr>
        <w:t xml:space="preserve">采购</w:t>
      </w:r>
      <w:r>
        <w:rPr>
          <w:rFonts w:hint="eastAsia" w:ascii="宋体" w:hAnsi="宋体"/>
          <w:color w:val="000000"/>
          <w:sz w:val="24"/>
          <w:szCs w:val="21"/>
          <w:highlight w:val="none"/>
          <w:lang w:val="en-US" w:eastAsia="zh-CN"/>
        </w:rPr>
        <w:t xml:space="preserve">人或采购代理机构</w:t>
      </w:r>
      <w:r>
        <w:rPr>
          <w:rFonts w:hint="eastAsia" w:ascii="宋体" w:hAnsi="宋体"/>
          <w:color w:val="000000"/>
          <w:sz w:val="24"/>
          <w:szCs w:val="24"/>
          <w:highlight w:val="none"/>
        </w:rPr>
        <w:t xml:space="preserve">有权按照法定的要求</w:t>
      </w:r>
      <w:r>
        <w:rPr>
          <w:rFonts w:hint="eastAsia" w:ascii="宋体" w:hAnsi="宋体"/>
          <w:color w:val="000000"/>
          <w:sz w:val="24"/>
          <w:szCs w:val="21"/>
          <w:highlight w:val="none"/>
        </w:rPr>
        <w:t xml:space="preserve">推迟投标截止日期和开标日期。</w:t>
      </w:r>
      <w:r>
        <w:rPr>
          <w:rFonts w:hint="eastAsia" w:ascii="宋体" w:hAnsi="Arial"/>
          <w:color w:val="000000"/>
          <w:sz w:val="28"/>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bCs/>
          <w:color w:val="000000"/>
          <w:sz w:val="24"/>
          <w:szCs w:val="21"/>
          <w:highlight w:val="none"/>
        </w:rPr>
        <w:t xml:space="preserve">8.3</w:t>
      </w:r>
      <w:r>
        <w:rPr>
          <w:rFonts w:hint="eastAsia" w:ascii="宋体" w:hAnsi="宋体"/>
          <w:color w:val="000000"/>
          <w:sz w:val="24"/>
          <w:szCs w:val="21"/>
          <w:highlight w:val="none"/>
        </w:rPr>
        <w:t xml:space="preserve">招标文件的修改将在江苏政府采购网公布，</w:t>
      </w:r>
      <w:r>
        <w:rPr>
          <w:rFonts w:hint="eastAsia" w:ascii="宋体" w:hAnsi="宋体"/>
          <w:color w:val="000000"/>
          <w:sz w:val="24"/>
          <w:szCs w:val="24"/>
          <w:highlight w:val="none"/>
        </w:rPr>
        <w:t xml:space="preserve">补充文件将作为招标文件的组成部分，</w:t>
      </w:r>
      <w:r>
        <w:rPr>
          <w:rFonts w:hint="eastAsia" w:ascii="宋体" w:hAnsi="宋体"/>
          <w:color w:val="000000"/>
          <w:sz w:val="24"/>
          <w:szCs w:val="21"/>
          <w:highlight w:val="none"/>
        </w:rPr>
        <w:t xml:space="preserve">并对投标人具有约束力。</w:t>
      </w:r>
      <w:r>
        <w:rPr>
          <w:rFonts w:hint="eastAsia" w:ascii="宋体" w:hAnsi="宋体"/>
          <w:color w:val="000000"/>
          <w:sz w:val="24"/>
          <w:szCs w:val="21"/>
          <w:highlight w:val="none"/>
        </w:rPr>
      </w:r>
      <w:r/>
    </w:p>
    <w:p>
      <w:pPr>
        <w:pStyle w:val="724"/>
        <w:ind w:firstLine="482"/>
        <w:keepLines/>
        <w:keepNext/>
        <w:spacing w:before="145" w:after="145" w:line="500" w:lineRule="exact"/>
        <w:rPr>
          <w:rFonts w:hint="eastAsia"/>
          <w:b/>
          <w:bCs/>
          <w:color w:val="000000"/>
          <w:sz w:val="32"/>
          <w:szCs w:val="32"/>
          <w:highlight w:val="none"/>
        </w:rPr>
        <w:outlineLvl w:val="2"/>
      </w:pPr>
      <w:r/>
      <w:bookmarkStart w:id="83" w:name="_Toc513029213"/>
      <w:r/>
      <w:bookmarkStart w:id="84" w:name="_Toc120614216"/>
      <w:r/>
      <w:bookmarkStart w:id="85" w:name="_Toc16938529"/>
      <w:r/>
      <w:bookmarkStart w:id="86" w:name="_Toc462564072"/>
      <w:r/>
      <w:bookmarkStart w:id="87" w:name="_Toc20823285"/>
      <w:r>
        <w:rPr>
          <w:rFonts w:hint="eastAsia"/>
          <w:b/>
          <w:bCs/>
          <w:color w:val="000000"/>
          <w:sz w:val="32"/>
          <w:szCs w:val="32"/>
          <w:highlight w:val="none"/>
        </w:rPr>
        <w:t xml:space="preserve">三、投标文件的编制</w:t>
      </w:r>
      <w:bookmarkEnd w:id="83"/>
      <w:r/>
      <w:bookmarkEnd w:id="84"/>
      <w:r/>
      <w:bookmarkEnd w:id="85"/>
      <w:r/>
      <w:bookmarkEnd w:id="86"/>
      <w:r/>
      <w:bookmarkEnd w:id="87"/>
      <w:r>
        <w:rPr>
          <w:rFonts w:hint="eastAsia"/>
          <w:b/>
          <w:bCs/>
          <w:color w:val="000000"/>
          <w:sz w:val="32"/>
          <w:szCs w:val="32"/>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bookmarkStart w:id="88" w:name="_Toc20823287"/>
      <w:r/>
      <w:bookmarkStart w:id="89" w:name="_Toc16938531"/>
      <w:r/>
      <w:bookmarkStart w:id="90" w:name="_Toc462564074"/>
      <w:r/>
      <w:bookmarkStart w:id="91" w:name="_Toc513029215"/>
      <w:r>
        <w:rPr>
          <w:rFonts w:hint="eastAsia" w:ascii="Calibri" w:hAnsi="Calibri"/>
          <w:b/>
          <w:bCs/>
          <w:color w:val="000000"/>
          <w:sz w:val="28"/>
          <w:szCs w:val="28"/>
          <w:highlight w:val="none"/>
        </w:rPr>
        <w:t xml:space="preserve">9、投标文件编写注意事项</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9.1投标人应当仔细阅读招标文件中所有的事项、格式、条款和规范等要求，在完全了解招标内容、技术性能要求和商务条件后，按照招标文件的要求编制投标文件。投标文件应当对招标文件提出的实质性要求和条件作出明确响应，并保证所提供的全部资料的真实性，否则作无效投标处理。</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9.2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bookmarkEnd w:id="88"/>
      <w:r/>
      <w:bookmarkEnd w:id="89"/>
      <w:r/>
      <w:bookmarkEnd w:id="90"/>
      <w:r/>
      <w:bookmarkEnd w:id="91"/>
      <w:r/>
      <w:bookmarkStart w:id="92" w:name="_Hlt26668975"/>
      <w:r/>
      <w:bookmarkEnd w:id="92"/>
      <w:r/>
      <w:bookmarkStart w:id="93" w:name="_Hlt26670360"/>
      <w:r/>
      <w:bookmarkEnd w:id="93"/>
      <w:r/>
      <w:bookmarkStart w:id="94" w:name="_Hlt26954838"/>
      <w:r/>
      <w:bookmarkEnd w:id="94"/>
      <w:r/>
      <w:bookmarkStart w:id="95" w:name="_Toc14577357"/>
      <w:r/>
      <w:bookmarkStart w:id="96" w:name="_Toc513029219"/>
      <w:r/>
      <w:bookmarkStart w:id="97" w:name="_Toc49090509"/>
      <w:r/>
      <w:bookmarkStart w:id="98" w:name="_Toc513029216"/>
      <w:r/>
      <w:bookmarkStart w:id="99" w:name="_Toc14577354"/>
      <w:r/>
      <w:bookmarkStart w:id="100" w:name="_Toc49090507"/>
      <w:r/>
      <w:bookmarkStart w:id="101" w:name="_Toc14577355"/>
      <w:r/>
      <w:bookmarkStart w:id="102" w:name="_Toc49090508"/>
      <w:r>
        <w:rPr>
          <w:rFonts w:hint="eastAsia" w:ascii="Calibri" w:hAnsi="Calibri"/>
          <w:b/>
          <w:bCs/>
          <w:color w:val="000000"/>
          <w:sz w:val="28"/>
          <w:szCs w:val="28"/>
          <w:highlight w:val="none"/>
        </w:rPr>
        <w:t xml:space="preserve">10、投标文件的语言及度量衡单位</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10.1除专用术语外，投标人提交的投标文件以及投标人与采购人和</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10.2除技术性能另有规定外，投标文件所使用的度量衡单位，均须采用国家法定计量单位。</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11、投标文件的构成</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11.1投标人编写的投标文件应包括资格证明文件、符合性证明文件、投标分项报价表、技术要求响应及偏离表、商务要求响应及偏离表、其他证明文件、投标函、开标一览表等部分。</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11.2如投标文件制作工具中格式和内容与江苏政府采购网发布的招标文件不一致，请以江苏政府采购网发布的招标文件为准。</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11.3特别提醒投标人，混乱的编排导致投标文件被误读或评标委员会（以下简称评委会）查找不到有效文件导致废标，由投标人自行承担。</w:t>
      </w:r>
      <w:r>
        <w:rPr>
          <w:rFonts w:ascii="Calibri" w:hAnsi="Calibri"/>
          <w:color w:val="000000"/>
          <w:sz w:val="24"/>
          <w:szCs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12、证明投标人及投标标的符合招标文件规定的文件</w:t>
      </w:r>
      <w:bookmarkEnd w:id="95"/>
      <w:r/>
      <w:bookmarkEnd w:id="96"/>
      <w:r/>
      <w:bookmarkEnd w:id="97"/>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4"/>
          <w:highlight w:val="none"/>
        </w:rPr>
      </w:pPr>
      <w:r/>
      <w:bookmarkEnd w:id="98"/>
      <w:r/>
      <w:bookmarkEnd w:id="99"/>
      <w:r/>
      <w:bookmarkEnd w:id="100"/>
      <w:r>
        <w:rPr>
          <w:rFonts w:hint="eastAsia" w:ascii="宋体" w:hAnsi="宋体"/>
          <w:color w:val="000000"/>
          <w:sz w:val="24"/>
          <w:szCs w:val="24"/>
          <w:highlight w:val="none"/>
        </w:rPr>
        <w:t xml:space="preserve">12.1投标人应按照招标文件要求提交证明文件，证明其及投标标的符合招标文件规定。</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12.2招标文件对证明文件无明确形式要求的，证明文件可以以文字资料、图纸和数据等形式提交。</w:t>
      </w:r>
      <w:r>
        <w:rPr>
          <w:rFonts w:hint="eastAsia" w:ascii="宋体" w:hAnsi="宋体"/>
          <w:color w:val="000000"/>
          <w:sz w:val="24"/>
          <w:szCs w:val="24"/>
          <w:highlight w:val="none"/>
        </w:rPr>
      </w:r>
      <w:r/>
    </w:p>
    <w:p>
      <w:pPr>
        <w:pStyle w:val="724"/>
        <w:ind w:firstLine="480"/>
        <w:jc w:val="left"/>
        <w:spacing w:line="500" w:lineRule="exact"/>
        <w:rPr>
          <w:rFonts w:hint="eastAsia" w:ascii="宋体" w:hAnsi="宋体"/>
          <w:color w:val="000000"/>
          <w:sz w:val="24"/>
          <w:szCs w:val="24"/>
          <w:highlight w:val="none"/>
        </w:rPr>
      </w:pPr>
      <w:r>
        <w:rPr>
          <w:rFonts w:hint="eastAsia" w:ascii="Calibri" w:hAnsi="Calibri"/>
          <w:color w:val="000000"/>
          <w:sz w:val="24"/>
          <w:szCs w:val="24"/>
          <w:highlight w:val="none"/>
        </w:rPr>
        <w:t xml:space="preserve">12.3投标人委托代理时应当提交授权委托书，请按招标文件第六章给定格式及要求填写并附法定代表人（单位负责人）与委托代理人身份证明。</w:t>
      </w:r>
      <w:r>
        <w:rPr>
          <w:rFonts w:hint="eastAsia" w:ascii="宋体" w:hAnsi="宋体"/>
          <w:color w:val="000000"/>
          <w:sz w:val="24"/>
          <w:szCs w:val="24"/>
          <w:highlight w:val="none"/>
        </w:rPr>
      </w:r>
      <w:r/>
    </w:p>
    <w:p>
      <w:pPr>
        <w:pStyle w:val="724"/>
        <w:ind w:firstLine="562"/>
        <w:jc w:val="left"/>
        <w:keepLines/>
        <w:keepNext/>
        <w:spacing w:line="360" w:lineRule="auto"/>
        <w:rPr>
          <w:rFonts w:ascii="Calibri" w:hAnsi="Calibri"/>
          <w:b/>
          <w:bCs/>
          <w:color w:val="000000"/>
          <w:sz w:val="32"/>
          <w:szCs w:val="32"/>
          <w:highlight w:val="none"/>
        </w:rPr>
        <w:outlineLvl w:val="2"/>
      </w:pPr>
      <w:r/>
      <w:bookmarkEnd w:id="101"/>
      <w:r/>
      <w:bookmarkEnd w:id="102"/>
      <w:r/>
      <w:bookmarkStart w:id="103" w:name="_Hlt26954731"/>
      <w:r/>
      <w:bookmarkEnd w:id="103"/>
      <w:r/>
      <w:bookmarkStart w:id="104" w:name="_Hlt26954848"/>
      <w:r/>
      <w:bookmarkEnd w:id="104"/>
      <w:r/>
      <w:bookmarkStart w:id="105" w:name="_Hlt26954846"/>
      <w:r/>
      <w:bookmarkEnd w:id="105"/>
      <w:r/>
      <w:bookmarkStart w:id="106" w:name="_Hlt26670482"/>
      <w:r/>
      <w:bookmarkEnd w:id="106"/>
      <w:r/>
      <w:bookmarkStart w:id="107" w:name="_Hlt26670486"/>
      <w:r/>
      <w:bookmarkEnd w:id="107"/>
      <w:r>
        <w:rPr>
          <w:rFonts w:hint="eastAsia" w:ascii="Calibri" w:hAnsi="Calibri"/>
          <w:b/>
          <w:bCs/>
          <w:color w:val="000000"/>
          <w:sz w:val="28"/>
          <w:szCs w:val="28"/>
          <w:highlight w:val="none"/>
        </w:rPr>
        <w:t xml:space="preserve">13、投标分项报价表</w:t>
      </w:r>
      <w:r>
        <w:rPr>
          <w:rFonts w:ascii="Calibri" w:hAnsi="Calibri"/>
          <w:b/>
          <w:bCs/>
          <w:color w:val="000000"/>
          <w:sz w:val="32"/>
          <w:szCs w:val="32"/>
          <w:highlight w:val="none"/>
        </w:rPr>
      </w:r>
      <w:r/>
    </w:p>
    <w:p>
      <w:pPr>
        <w:pStyle w:val="724"/>
        <w:ind w:firstLine="480"/>
        <w:jc w:val="left"/>
        <w:spacing w:line="500" w:lineRule="exact"/>
        <w:rPr>
          <w:rFonts w:hint="eastAsia" w:ascii="Calibri" w:hAnsi="Calibri" w:eastAsia="宋体"/>
          <w:color w:val="000000"/>
          <w:sz w:val="24"/>
          <w:szCs w:val="24"/>
          <w:highlight w:val="none"/>
          <w:lang w:eastAsia="zh-CN"/>
        </w:rPr>
      </w:pPr>
      <w:r>
        <w:rPr>
          <w:rFonts w:hint="eastAsia" w:ascii="Calibri" w:hAnsi="Calibri"/>
          <w:color w:val="000000"/>
          <w:sz w:val="24"/>
          <w:szCs w:val="24"/>
          <w:highlight w:val="none"/>
        </w:rPr>
        <w:t xml:space="preserve">13.1投标报价指</w:t>
      </w:r>
      <w:r>
        <w:rPr>
          <w:rFonts w:hint="eastAsia" w:ascii="Calibri" w:hAnsi="Calibri"/>
          <w:color w:val="000000"/>
          <w:sz w:val="24"/>
          <w:szCs w:val="24"/>
          <w:highlight w:val="none"/>
          <w:lang w:val="en-US" w:eastAsia="zh-CN"/>
        </w:rPr>
        <w:t xml:space="preserve">服务</w:t>
      </w:r>
      <w:r>
        <w:rPr>
          <w:rFonts w:hint="eastAsia" w:ascii="Calibri" w:hAnsi="Calibri"/>
          <w:color w:val="000000"/>
          <w:sz w:val="24"/>
          <w:szCs w:val="24"/>
          <w:highlight w:val="none"/>
        </w:rPr>
        <w:t xml:space="preserve">（标的）的报价和标准、专用工具</w:t>
      </w:r>
      <w:r>
        <w:rPr>
          <w:rFonts w:hint="eastAsia" w:ascii="Calibri" w:hAnsi="Calibri"/>
          <w:color w:val="000000"/>
          <w:sz w:val="24"/>
          <w:szCs w:val="24"/>
          <w:highlight w:val="none"/>
          <w:lang w:val="en-US" w:eastAsia="zh-CN"/>
        </w:rPr>
        <w:t xml:space="preserve">等</w:t>
      </w:r>
      <w:r>
        <w:rPr>
          <w:rFonts w:hint="eastAsia" w:ascii="Calibri" w:hAnsi="Calibri"/>
          <w:color w:val="000000"/>
          <w:sz w:val="24"/>
          <w:szCs w:val="24"/>
          <w:highlight w:val="none"/>
        </w:rPr>
        <w:t xml:space="preserve">所需的各种费用及必要的保险费用和各项税金等所有费用的总和。投标报价为</w:t>
      </w:r>
      <w:r>
        <w:rPr>
          <w:rFonts w:hint="eastAsia" w:ascii="Calibri" w:hAnsi="Calibri"/>
          <w:color w:val="000000"/>
          <w:sz w:val="24"/>
          <w:szCs w:val="24"/>
          <w:highlight w:val="none"/>
          <w:lang w:val="en-US" w:eastAsia="zh-CN"/>
        </w:rPr>
        <w:t xml:space="preserve">固定总价</w:t>
      </w:r>
      <w:r>
        <w:rPr>
          <w:rFonts w:hint="eastAsia" w:ascii="Calibri" w:hAnsi="Calibri"/>
          <w:color w:val="000000"/>
          <w:sz w:val="24"/>
          <w:szCs w:val="24"/>
          <w:highlight w:val="none"/>
        </w:rPr>
        <w:t xml:space="preserve">，投标报价必须含以下部分：完成该项目包括但不限于人员工资、</w:t>
      </w:r>
      <w:r>
        <w:rPr>
          <w:rFonts w:hint="eastAsia" w:ascii="Calibri" w:hAnsi="Calibri"/>
          <w:color w:val="000000"/>
          <w:sz w:val="24"/>
          <w:szCs w:val="24"/>
          <w:highlight w:val="none"/>
          <w:lang w:val="en-US" w:eastAsia="zh-CN"/>
        </w:rPr>
        <w:t xml:space="preserve">清扫</w:t>
      </w:r>
      <w:r>
        <w:rPr>
          <w:rFonts w:hint="eastAsia" w:ascii="Calibri" w:hAnsi="Calibri"/>
          <w:color w:val="000000"/>
          <w:sz w:val="24"/>
          <w:szCs w:val="24"/>
          <w:highlight w:val="none"/>
        </w:rPr>
        <w:t xml:space="preserve">工具耗材费、器材和车辆添置费、人身意外保险、奖金、设备费、材料费、包装费、运输费（运抵指定地点）、装卸费、机械费、保险费、验收费、服务费、税金、利润、措施费、管理费、不可预见费、矛盾纠纷协调费及</w:t>
      </w:r>
      <w:r>
        <w:rPr>
          <w:rFonts w:hint="eastAsia" w:ascii="Calibri" w:hAnsi="Calibri"/>
          <w:color w:val="000000"/>
          <w:sz w:val="24"/>
          <w:szCs w:val="24"/>
          <w:highlight w:val="none"/>
          <w:lang w:eastAsia="zh-CN"/>
        </w:rPr>
        <w:t xml:space="preserve">其他</w:t>
      </w:r>
      <w:r>
        <w:rPr>
          <w:rFonts w:hint="eastAsia" w:ascii="Calibri" w:hAnsi="Calibri"/>
          <w:color w:val="000000"/>
          <w:sz w:val="24"/>
          <w:szCs w:val="24"/>
          <w:highlight w:val="none"/>
        </w:rPr>
        <w:t xml:space="preserve">相关隐含的内容等费用，直至项目服务期满所涉及到的一切费用，中标后不再因任何原因而增加费用</w:t>
      </w:r>
      <w:r>
        <w:rPr>
          <w:rFonts w:hint="eastAsia" w:ascii="Calibri" w:hAnsi="Calibri"/>
          <w:color w:val="000000"/>
          <w:sz w:val="24"/>
          <w:szCs w:val="24"/>
          <w:highlight w:val="none"/>
          <w:lang w:eastAsia="zh-CN"/>
        </w:rPr>
        <w:t xml:space="preserve">。</w:t>
      </w:r>
      <w:r>
        <w:rPr>
          <w:rFonts w:hint="eastAsia" w:ascii="Calibri" w:hAnsi="Calibri" w:eastAsia="宋体"/>
          <w:color w:val="000000"/>
          <w:sz w:val="24"/>
          <w:szCs w:val="24"/>
          <w:highlight w:val="none"/>
          <w:lang w:eastAsia="zh-CN"/>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13.2投标人应根据投标报价要求在投标分项报价表中列明各项投标单价、总价等，未全部列示的作无效响应处理。</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13.3投标文件中的单价和总价无特殊规定的采用人民币报价，以元为单位标注。招标文件中另有规定的按规定执行。</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14、技术要求响应及偏离表、商务要求响应及偏离表</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14.1技术要求是指对采购标的的质量要求或者服务内容和标准等。商务要求是指取得采购标的的</w:t>
      </w:r>
      <w:r>
        <w:rPr>
          <w:rFonts w:hint="eastAsia" w:ascii="Calibri" w:hAnsi="Calibri"/>
          <w:color w:val="000000"/>
          <w:sz w:val="24"/>
          <w:szCs w:val="24"/>
          <w:highlight w:val="none"/>
          <w:lang w:val="en-US" w:eastAsia="zh-CN"/>
        </w:rPr>
        <w:t xml:space="preserve">服务期限</w:t>
      </w:r>
      <w:r>
        <w:rPr>
          <w:rFonts w:hint="eastAsia" w:ascii="Calibri" w:hAnsi="Calibri"/>
          <w:color w:val="000000"/>
          <w:sz w:val="24"/>
          <w:szCs w:val="24"/>
          <w:highlight w:val="none"/>
        </w:rPr>
        <w:t xml:space="preserve">、</w:t>
      </w:r>
      <w:r>
        <w:rPr>
          <w:rFonts w:hint="eastAsia" w:ascii="Calibri" w:hAnsi="Calibri"/>
          <w:color w:val="000000"/>
          <w:sz w:val="24"/>
          <w:szCs w:val="24"/>
          <w:highlight w:val="none"/>
          <w:lang w:val="en-US" w:eastAsia="zh-CN"/>
        </w:rPr>
        <w:t xml:space="preserve">付款</w:t>
      </w:r>
      <w:r>
        <w:rPr>
          <w:rFonts w:hint="eastAsia" w:ascii="Calibri" w:hAnsi="Calibri"/>
          <w:color w:val="000000"/>
          <w:sz w:val="24"/>
          <w:szCs w:val="24"/>
          <w:highlight w:val="none"/>
        </w:rPr>
        <w:t xml:space="preserve">和</w:t>
      </w:r>
      <w:r>
        <w:rPr>
          <w:rFonts w:hint="eastAsia" w:ascii="Calibri" w:hAnsi="Calibri"/>
          <w:color w:val="000000"/>
          <w:sz w:val="24"/>
          <w:szCs w:val="24"/>
          <w:highlight w:val="none"/>
          <w:lang w:val="en-US" w:eastAsia="zh-CN"/>
        </w:rPr>
        <w:t xml:space="preserve">履约保证等</w:t>
      </w:r>
      <w:r>
        <w:rPr>
          <w:rFonts w:hint="eastAsia" w:ascii="Calibri" w:hAnsi="Calibri"/>
          <w:color w:val="000000"/>
          <w:sz w:val="24"/>
          <w:szCs w:val="24"/>
          <w:highlight w:val="none"/>
        </w:rPr>
        <w:t xml:space="preserve">要求。投标人应对招标文件中的技术要求与商务要求逐项作出响应或偏离。</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14.2投标人可在投标文件中提供认为需要的其他技术文件或说明。</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bookmarkStart w:id="108" w:name="_Hlt26954739"/>
      <w:r/>
      <w:bookmarkEnd w:id="108"/>
      <w:r/>
      <w:bookmarkStart w:id="109" w:name="_Hlt26954852"/>
      <w:r/>
      <w:bookmarkEnd w:id="109"/>
      <w:r/>
      <w:bookmarkStart w:id="110" w:name="_Toc513029224"/>
      <w:r/>
      <w:bookmarkStart w:id="111" w:name="_Toc16938540"/>
      <w:r/>
      <w:bookmarkStart w:id="112" w:name="_Toc20823296"/>
      <w:r/>
      <w:bookmarkStart w:id="113" w:name="_Toc120614217"/>
      <w:r>
        <w:rPr>
          <w:rFonts w:hint="eastAsia" w:ascii="Calibri" w:hAnsi="Calibri"/>
          <w:b/>
          <w:bCs/>
          <w:color w:val="000000"/>
          <w:sz w:val="28"/>
          <w:szCs w:val="28"/>
          <w:highlight w:val="none"/>
        </w:rPr>
        <w:t xml:space="preserve">15、服务承诺、培训计划、人员安排及其他</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15.1投标人应根据招标文件要求提供有关服务人员的数量、素质、技术水平等。</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15.2投标人应根据招标文件要求提供培训计划、人员安排等。</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16、投标函和开标一览表</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16.1投标人应按照招标文件提供的格式完整、正确填写投标函、开标一览表。</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16.2对于采用货币报价的项目，开标一览表中的投标总报价应与投标分项报价表中的投标总报价一致，如不一致，不作无效投标处理，但评标时以开标一览表中价格为准。</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17、投标有效期</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17.1投标有效期为招标文件规定的开标之日后六十（60）天。投标有效期比规定短的将被视为未实质性响应招标文件而予以拒绝。</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17.2在特殊情况下，采购</w:t>
      </w:r>
      <w:r>
        <w:rPr>
          <w:rFonts w:hint="eastAsia" w:ascii="Calibri" w:hAnsi="Calibri"/>
          <w:color w:val="000000"/>
          <w:sz w:val="24"/>
          <w:szCs w:val="24"/>
          <w:highlight w:val="none"/>
          <w:lang w:val="en-US" w:eastAsia="zh-CN"/>
        </w:rPr>
        <w:t xml:space="preserve">人或采购代理机构</w:t>
      </w:r>
      <w:r>
        <w:rPr>
          <w:rFonts w:hint="eastAsia" w:ascii="Calibri" w:hAnsi="Calibri"/>
          <w:color w:val="000000"/>
          <w:sz w:val="24"/>
          <w:szCs w:val="24"/>
          <w:highlight w:val="none"/>
        </w:rPr>
        <w:t xml:space="preserve">于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rPr>
          <w:rFonts w:ascii="Calibri" w:hAnsi="Calibri"/>
          <w:color w:val="000000"/>
          <w:sz w:val="24"/>
          <w:szCs w:val="24"/>
          <w:highlight w:val="none"/>
        </w:rPr>
      </w:r>
      <w:r/>
    </w:p>
    <w:p>
      <w:pPr>
        <w:pStyle w:val="724"/>
        <w:keepLines/>
        <w:keepNext/>
        <w:spacing w:before="145" w:after="145" w:line="500" w:lineRule="exact"/>
        <w:rPr>
          <w:rFonts w:hint="eastAsia"/>
          <w:b/>
          <w:bCs/>
          <w:color w:val="000000"/>
          <w:sz w:val="32"/>
          <w:szCs w:val="32"/>
          <w:highlight w:val="none"/>
        </w:rPr>
        <w:outlineLvl w:val="2"/>
      </w:pPr>
      <w:r>
        <w:rPr>
          <w:rFonts w:hint="eastAsia"/>
          <w:b/>
          <w:bCs/>
          <w:color w:val="000000"/>
          <w:sz w:val="32"/>
          <w:szCs w:val="32"/>
          <w:highlight w:val="none"/>
        </w:rPr>
        <w:t xml:space="preserve">四、投标文件的递交</w:t>
      </w:r>
      <w:bookmarkEnd w:id="110"/>
      <w:r/>
      <w:bookmarkEnd w:id="111"/>
      <w:r/>
      <w:bookmarkEnd w:id="112"/>
      <w:r/>
      <w:bookmarkEnd w:id="113"/>
      <w:r>
        <w:rPr>
          <w:rFonts w:hint="eastAsia"/>
          <w:b/>
          <w:bCs/>
          <w:color w:val="000000"/>
          <w:sz w:val="32"/>
          <w:szCs w:val="32"/>
          <w:highlight w:val="none"/>
        </w:rPr>
      </w:r>
      <w:r/>
    </w:p>
    <w:p>
      <w:pPr>
        <w:pStyle w:val="724"/>
        <w:ind w:firstLine="420"/>
        <w:keepLines/>
        <w:keepNext/>
        <w:spacing w:line="500" w:lineRule="exact"/>
        <w:rPr>
          <w:rFonts w:hint="eastAsia" w:ascii="黑体" w:hAnsi="Arial" w:eastAsia="黑体" w:cs="Arial"/>
          <w:color w:val="000000"/>
          <w:sz w:val="28"/>
          <w:szCs w:val="28"/>
          <w:highlight w:val="none"/>
        </w:rPr>
        <w:outlineLvl w:val="3"/>
      </w:pPr>
      <w:r/>
      <w:bookmarkStart w:id="114" w:name="_Toc16938541"/>
      <w:r/>
      <w:bookmarkStart w:id="115" w:name="_Toc513029225"/>
      <w:r/>
      <w:bookmarkStart w:id="116" w:name="_Toc462564084"/>
      <w:r/>
      <w:bookmarkStart w:id="117" w:name="_Toc20823297"/>
      <w:r>
        <w:rPr>
          <w:rFonts w:hint="eastAsia" w:ascii="Arial" w:hAnsi="Arial" w:eastAsia="黑体" w:cs="Arial"/>
          <w:color w:val="000000"/>
          <w:sz w:val="28"/>
          <w:szCs w:val="28"/>
          <w:highlight w:val="none"/>
        </w:rPr>
        <w:t xml:space="preserve">1</w:t>
      </w:r>
      <w:r>
        <w:rPr>
          <w:rFonts w:ascii="Arial" w:hAnsi="Arial" w:eastAsia="黑体" w:cs="Arial"/>
          <w:color w:val="000000"/>
          <w:sz w:val="28"/>
          <w:szCs w:val="28"/>
          <w:highlight w:val="none"/>
        </w:rPr>
        <w:t xml:space="preserve">8</w:t>
      </w:r>
      <w:r>
        <w:rPr>
          <w:rFonts w:hint="eastAsia" w:ascii="Arial" w:hAnsi="Arial" w:eastAsia="黑体" w:cs="Arial"/>
          <w:color w:val="000000"/>
          <w:sz w:val="28"/>
          <w:szCs w:val="28"/>
          <w:highlight w:val="none"/>
        </w:rPr>
        <w:t xml:space="preserve">、电子</w:t>
      </w:r>
      <w:r>
        <w:rPr>
          <w:rFonts w:hint="eastAsia" w:ascii="黑体" w:hAnsi="Arial" w:eastAsia="黑体" w:cs="Arial"/>
          <w:color w:val="000000"/>
          <w:sz w:val="28"/>
          <w:szCs w:val="28"/>
          <w:highlight w:val="none"/>
        </w:rPr>
        <w:t xml:space="preserve">投标文件</w:t>
      </w:r>
      <w:bookmarkEnd w:id="114"/>
      <w:r/>
      <w:bookmarkEnd w:id="115"/>
      <w:r/>
      <w:bookmarkEnd w:id="116"/>
      <w:r/>
      <w:bookmarkEnd w:id="117"/>
      <w:r>
        <w:rPr>
          <w:rFonts w:hint="eastAsia" w:ascii="黑体" w:hAnsi="Arial" w:eastAsia="黑体" w:cs="Arial"/>
          <w:color w:val="000000"/>
          <w:sz w:val="28"/>
          <w:szCs w:val="28"/>
          <w:highlight w:val="none"/>
        </w:rPr>
        <w:t xml:space="preserve">的递交</w:t>
      </w:r>
      <w:r>
        <w:rPr>
          <w:rFonts w:hint="eastAsia" w:ascii="黑体" w:hAnsi="Arial" w:eastAsia="黑体" w:cs="Arial"/>
          <w:color w:val="000000"/>
          <w:sz w:val="28"/>
          <w:szCs w:val="28"/>
          <w:highlight w:val="none"/>
        </w:rPr>
      </w:r>
      <w:r/>
    </w:p>
    <w:p>
      <w:pPr>
        <w:pStyle w:val="724"/>
        <w:ind w:left="525"/>
        <w:jc w:val="left"/>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18.1投标人应当按照《操作手册》规定，在投标截止时间前</w:t>
      </w:r>
      <w:r>
        <w:rPr>
          <w:rFonts w:ascii="宋体" w:hAnsi="宋体"/>
          <w:bCs/>
          <w:color w:val="000000"/>
          <w:sz w:val="24"/>
          <w:szCs w:val="21"/>
          <w:highlight w:val="none"/>
        </w:rPr>
        <w:t xml:space="preserve">制作</w:t>
      </w:r>
      <w:r>
        <w:rPr>
          <w:rFonts w:hint="eastAsia" w:ascii="宋体" w:hAnsi="宋体"/>
          <w:bCs/>
          <w:color w:val="000000"/>
          <w:sz w:val="24"/>
          <w:szCs w:val="21"/>
          <w:highlight w:val="none"/>
        </w:rPr>
        <w:t xml:space="preserve">并上传电子投标文件。</w:t>
      </w:r>
      <w:bookmarkStart w:id="118" w:name="_Toc20823298"/>
      <w:r/>
      <w:bookmarkStart w:id="119" w:name="_Toc513029226"/>
      <w:r/>
      <w:bookmarkStart w:id="120" w:name="_Toc16938542"/>
      <w:r>
        <w:rPr>
          <w:rFonts w:ascii="宋体" w:hAnsi="宋体"/>
          <w:bCs/>
          <w:color w:val="000000"/>
          <w:sz w:val="24"/>
          <w:szCs w:val="21"/>
          <w:highlight w:val="none"/>
        </w:rPr>
      </w:r>
      <w:r/>
    </w:p>
    <w:p>
      <w:pPr>
        <w:pStyle w:val="724"/>
        <w:ind w:firstLine="420"/>
        <w:keepLines/>
        <w:keepNext/>
        <w:spacing w:before="280" w:after="290" w:line="500" w:lineRule="exact"/>
        <w:rPr>
          <w:rFonts w:hint="eastAsia" w:ascii="宋体" w:hAnsi="宋体" w:eastAsia="黑体" w:cs="Arial"/>
          <w:bCs/>
          <w:color w:val="000000"/>
          <w:sz w:val="24"/>
          <w:szCs w:val="28"/>
          <w:highlight w:val="none"/>
        </w:rPr>
        <w:outlineLvl w:val="3"/>
      </w:pPr>
      <w:r>
        <w:rPr>
          <w:rFonts w:ascii="Arial" w:hAnsi="Arial" w:eastAsia="黑体" w:cs="Arial"/>
          <w:bCs/>
          <w:color w:val="000000"/>
          <w:sz w:val="28"/>
          <w:szCs w:val="28"/>
          <w:highlight w:val="none"/>
        </w:rPr>
        <w:t xml:space="preserve">19</w:t>
      </w:r>
      <w:r>
        <w:rPr>
          <w:rFonts w:hint="eastAsia" w:ascii="Arial" w:hAnsi="Arial" w:eastAsia="黑体" w:cs="Arial"/>
          <w:bCs/>
          <w:color w:val="000000"/>
          <w:sz w:val="28"/>
          <w:szCs w:val="28"/>
          <w:highlight w:val="none"/>
        </w:rPr>
        <w:t xml:space="preserve">、投标截止日期</w:t>
      </w:r>
      <w:bookmarkEnd w:id="118"/>
      <w:r/>
      <w:bookmarkEnd w:id="119"/>
      <w:r/>
      <w:bookmarkEnd w:id="120"/>
      <w:r>
        <w:rPr>
          <w:rFonts w:hint="eastAsia" w:ascii="宋体" w:hAnsi="宋体" w:eastAsia="黑体" w:cs="Arial"/>
          <w:bCs/>
          <w:color w:val="000000"/>
          <w:sz w:val="24"/>
          <w:szCs w:val="28"/>
          <w:highlight w:val="none"/>
        </w:rPr>
      </w:r>
      <w:r/>
    </w:p>
    <w:p>
      <w:pPr>
        <w:pStyle w:val="724"/>
        <w:ind w:firstLine="480"/>
        <w:spacing w:line="500" w:lineRule="exact"/>
        <w:rPr>
          <w:rFonts w:hint="eastAsia" w:ascii="宋体" w:hAnsi="宋体"/>
          <w:bCs/>
          <w:iCs/>
          <w:color w:val="000000"/>
          <w:sz w:val="24"/>
          <w:szCs w:val="21"/>
          <w:highlight w:val="none"/>
          <w:u w:val="none"/>
        </w:rPr>
      </w:pPr>
      <w:r>
        <w:rPr>
          <w:rFonts w:ascii="宋体" w:hAnsi="宋体"/>
          <w:iCs/>
          <w:color w:val="000000"/>
          <w:sz w:val="24"/>
          <w:szCs w:val="21"/>
          <w:highlight w:val="none"/>
          <w:u w:val="none"/>
        </w:rPr>
        <w:t xml:space="preserve">19</w:t>
      </w:r>
      <w:r>
        <w:rPr>
          <w:rFonts w:hint="eastAsia" w:ascii="宋体" w:hAnsi="宋体"/>
          <w:iCs/>
          <w:color w:val="000000"/>
          <w:sz w:val="24"/>
          <w:szCs w:val="21"/>
          <w:highlight w:val="none"/>
          <w:u w:val="none"/>
        </w:rPr>
        <w:t xml:space="preserve">.1</w:t>
      </w:r>
      <w:r>
        <w:rPr>
          <w:rFonts w:hint="eastAsia" w:ascii="宋体" w:hAnsi="宋体"/>
          <w:bCs/>
          <w:iCs/>
          <w:color w:val="000000"/>
          <w:sz w:val="24"/>
          <w:szCs w:val="21"/>
          <w:highlight w:val="none"/>
          <w:u w:val="none"/>
        </w:rPr>
        <w:t xml:space="preserve">投标人上传电子投标文件的时间不得迟于招标公告中规定的投标截止时间。</w:t>
      </w:r>
      <w:r>
        <w:rPr>
          <w:rFonts w:hint="eastAsia" w:ascii="宋体" w:hAnsi="宋体"/>
          <w:bCs/>
          <w:iCs/>
          <w:color w:val="000000"/>
          <w:sz w:val="24"/>
          <w:szCs w:val="21"/>
          <w:highlight w:val="none"/>
          <w:u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投标人应充分考虑到网络环境、网络带宽等风险因素，如因投标人自身原因造成的电子投标文件上传不成功的按照本招标文件第二章第27.1.2条规定</w:t>
      </w:r>
      <w:r>
        <w:rPr>
          <w:rFonts w:hint="eastAsia" w:ascii="宋体" w:hAnsi="宋体"/>
          <w:bCs/>
          <w:color w:val="000000"/>
          <w:sz w:val="24"/>
          <w:szCs w:val="21"/>
          <w:highlight w:val="none"/>
          <w:lang w:eastAsia="zh-CN"/>
        </w:rPr>
        <w:t xml:space="preserve">作无效投标</w:t>
      </w:r>
      <w:r>
        <w:rPr>
          <w:rFonts w:hint="eastAsia" w:ascii="宋体" w:hAnsi="宋体"/>
          <w:bCs/>
          <w:color w:val="000000"/>
          <w:sz w:val="24"/>
          <w:szCs w:val="21"/>
          <w:highlight w:val="none"/>
        </w:rPr>
        <w:t xml:space="preserve">处理。</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ascii="宋体" w:hAnsi="宋体"/>
          <w:color w:val="000000"/>
          <w:sz w:val="24"/>
          <w:szCs w:val="21"/>
          <w:highlight w:val="none"/>
        </w:rPr>
        <w:t xml:space="preserve">19</w:t>
      </w:r>
      <w:r>
        <w:rPr>
          <w:rFonts w:hint="eastAsia" w:ascii="宋体" w:hAnsi="宋体"/>
          <w:color w:val="000000"/>
          <w:sz w:val="24"/>
          <w:szCs w:val="21"/>
          <w:highlight w:val="none"/>
        </w:rPr>
        <w:t xml:space="preserve">.2</w:t>
      </w:r>
      <w:r>
        <w:rPr>
          <w:rFonts w:hint="eastAsia" w:ascii="宋体" w:hAnsi="宋体"/>
          <w:bCs/>
          <w:color w:val="000000"/>
          <w:sz w:val="24"/>
          <w:szCs w:val="21"/>
          <w:highlight w:val="none"/>
        </w:rPr>
        <w:t xml:space="preserve">采购</w:t>
      </w:r>
      <w:r>
        <w:rPr>
          <w:rFonts w:hint="eastAsia" w:ascii="宋体" w:hAnsi="宋体"/>
          <w:bCs/>
          <w:color w:val="000000"/>
          <w:sz w:val="24"/>
          <w:szCs w:val="21"/>
          <w:highlight w:val="none"/>
          <w:lang w:val="en-US" w:eastAsia="zh-CN"/>
        </w:rPr>
        <w:t xml:space="preserve">人或采购代理机构</w:t>
      </w:r>
      <w:r>
        <w:rPr>
          <w:rFonts w:hint="eastAsia" w:ascii="宋体" w:hAnsi="宋体"/>
          <w:bCs/>
          <w:color w:val="000000"/>
          <w:sz w:val="24"/>
          <w:szCs w:val="21"/>
          <w:highlight w:val="none"/>
        </w:rPr>
        <w:t xml:space="preserve">可以按照规定，通过修改招标文件酌情延长投标截止日期，在此情况下，投标人的所有权利和义务以及投标人受制的截止日期均应以延长后新的截止日期为准。</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21" w:name="_Toc16938543"/>
      <w:r/>
      <w:bookmarkStart w:id="122" w:name="_Toc20823299"/>
      <w:r/>
      <w:bookmarkStart w:id="123" w:name="_Toc513029227"/>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0</w:t>
      </w:r>
      <w:r>
        <w:rPr>
          <w:rFonts w:hint="eastAsia" w:ascii="Arial" w:hAnsi="Arial" w:eastAsia="黑体" w:cs="Arial"/>
          <w:color w:val="000000"/>
          <w:sz w:val="28"/>
          <w:szCs w:val="28"/>
          <w:highlight w:val="none"/>
        </w:rPr>
        <w:t xml:space="preserve">、投标文件</w:t>
      </w:r>
      <w:bookmarkEnd w:id="121"/>
      <w:r/>
      <w:bookmarkEnd w:id="122"/>
      <w:r/>
      <w:bookmarkEnd w:id="123"/>
      <w:r>
        <w:rPr>
          <w:rFonts w:hint="eastAsia" w:ascii="Arial" w:hAnsi="Arial" w:eastAsia="黑体" w:cs="Arial"/>
          <w:color w:val="000000"/>
          <w:sz w:val="28"/>
          <w:szCs w:val="28"/>
          <w:highlight w:val="none"/>
        </w:rPr>
        <w:t xml:space="preserve">的拒收</w:t>
      </w:r>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20.1采购</w:t>
      </w:r>
      <w:r>
        <w:rPr>
          <w:rFonts w:hint="eastAsia" w:ascii="宋体" w:hAnsi="宋体"/>
          <w:bCs/>
          <w:color w:val="000000"/>
          <w:sz w:val="24"/>
          <w:szCs w:val="21"/>
          <w:highlight w:val="none"/>
          <w:lang w:val="en-US" w:eastAsia="zh-CN"/>
        </w:rPr>
        <w:t xml:space="preserve">人或采购代理机构</w:t>
      </w:r>
      <w:r>
        <w:rPr>
          <w:rFonts w:hint="eastAsia" w:ascii="宋体" w:hAnsi="宋体"/>
          <w:bCs/>
          <w:color w:val="000000"/>
          <w:sz w:val="24"/>
          <w:szCs w:val="21"/>
          <w:highlight w:val="none"/>
        </w:rPr>
        <w:t xml:space="preserve">拒绝接收在其规定的投标截止时间后上传的任何投标文件。</w:t>
      </w:r>
      <w:r>
        <w:rPr>
          <w:rFonts w:hint="eastAsia" w:ascii="宋体" w:hAnsi="宋体"/>
          <w:bCs/>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24" w:name="_Toc20823300"/>
      <w:r/>
      <w:bookmarkStart w:id="125" w:name="_Toc16938544"/>
      <w:r/>
      <w:bookmarkStart w:id="126" w:name="_Toc513029228"/>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1</w:t>
      </w:r>
      <w:r>
        <w:rPr>
          <w:rFonts w:hint="eastAsia" w:ascii="Arial" w:hAnsi="Arial" w:eastAsia="黑体" w:cs="Arial"/>
          <w:color w:val="000000"/>
          <w:sz w:val="28"/>
          <w:szCs w:val="28"/>
          <w:highlight w:val="none"/>
        </w:rPr>
        <w:t xml:space="preserve">、投标文件的撤回和修改</w:t>
      </w:r>
      <w:bookmarkEnd w:id="124"/>
      <w:r/>
      <w:bookmarkEnd w:id="125"/>
      <w:r/>
      <w:bookmarkEnd w:id="126"/>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.1投标文件的撤回</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.1.1电子投标文件的撤回</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投标人可在投标截止时间前，撤回其电子投标文件，具体操作方法见《操作手册》。</w:t>
      </w:r>
      <w:r>
        <w:rPr>
          <w:rFonts w:hint="eastAsia" w:ascii="宋体" w:hAnsi="宋体"/>
          <w:color w:val="000000"/>
          <w:sz w:val="24"/>
          <w:szCs w:val="21"/>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投标人撤回电子投标文件，则认为其不再参与本项目投标活动。</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.2投标文件的修改</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21.2.1投标人可在投标截止时间前，对其电子投标文件进行修改，具体操作方法见《操作手册》。</w:t>
      </w:r>
      <w:r>
        <w:rPr>
          <w:rFonts w:hint="eastAsia" w:ascii="宋体" w:hAnsi="宋体"/>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w:t>
      </w:r>
      <w:r>
        <w:rPr>
          <w:rFonts w:ascii="宋体" w:hAnsi="宋体"/>
          <w:color w:val="000000"/>
          <w:sz w:val="24"/>
          <w:szCs w:val="21"/>
          <w:highlight w:val="none"/>
        </w:rPr>
        <w:t xml:space="preserve">2.2</w:t>
      </w:r>
      <w:r>
        <w:rPr>
          <w:rFonts w:hint="eastAsia" w:ascii="宋体" w:hAnsi="宋体"/>
          <w:bCs/>
          <w:color w:val="000000"/>
          <w:sz w:val="24"/>
          <w:szCs w:val="21"/>
          <w:highlight w:val="none"/>
        </w:rPr>
        <w:t xml:space="preserve">在投标截止时间之后，投标人不得对其电子投标文件作任何修改。</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1</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在投标截止时间至招标文件中规定的投标有效期满之间的这段时间内，投标人不得撤回其投标。</w:t>
      </w:r>
      <w:r>
        <w:rPr>
          <w:rFonts w:hint="eastAsia" w:ascii="宋体" w:hAnsi="宋体"/>
          <w:bCs/>
          <w:color w:val="000000"/>
          <w:sz w:val="24"/>
          <w:szCs w:val="21"/>
          <w:highlight w:val="none"/>
        </w:rPr>
      </w:r>
      <w:r/>
    </w:p>
    <w:p>
      <w:pPr>
        <w:pStyle w:val="724"/>
        <w:ind w:firstLine="482"/>
        <w:keepLines/>
        <w:keepNext/>
        <w:spacing w:before="145" w:after="145" w:line="500" w:lineRule="exact"/>
        <w:rPr>
          <w:rFonts w:hint="eastAsia"/>
          <w:b/>
          <w:bCs/>
          <w:color w:val="000000"/>
          <w:sz w:val="32"/>
          <w:szCs w:val="32"/>
          <w:highlight w:val="none"/>
        </w:rPr>
        <w:outlineLvl w:val="2"/>
      </w:pPr>
      <w:r/>
      <w:bookmarkStart w:id="127" w:name="_Toc16938545"/>
      <w:r/>
      <w:bookmarkStart w:id="128" w:name="_Toc20823301"/>
      <w:r/>
      <w:bookmarkStart w:id="129" w:name="_Toc513029229"/>
      <w:r/>
      <w:bookmarkStart w:id="130" w:name="_Toc120614218"/>
      <w:r>
        <w:rPr>
          <w:rFonts w:hint="eastAsia"/>
          <w:b/>
          <w:bCs/>
          <w:color w:val="000000"/>
          <w:sz w:val="32"/>
          <w:szCs w:val="32"/>
          <w:highlight w:val="none"/>
        </w:rPr>
        <w:t xml:space="preserve">五、开标与评标</w:t>
      </w:r>
      <w:bookmarkEnd w:id="127"/>
      <w:r/>
      <w:bookmarkEnd w:id="128"/>
      <w:r/>
      <w:bookmarkEnd w:id="129"/>
      <w:r/>
      <w:bookmarkEnd w:id="130"/>
      <w:r>
        <w:rPr>
          <w:rFonts w:hint="eastAsia"/>
          <w:b/>
          <w:bCs/>
          <w:color w:val="000000"/>
          <w:sz w:val="32"/>
          <w:szCs w:val="32"/>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1" w:name="_Toc513029230"/>
      <w:r/>
      <w:bookmarkStart w:id="132" w:name="_Toc20823302"/>
      <w:r/>
      <w:bookmarkStart w:id="133" w:name="_Toc16938546"/>
      <w:r>
        <w:rPr>
          <w:rFonts w:hint="eastAsia" w:ascii="Arial" w:hAnsi="Arial" w:eastAsia="黑体" w:cs="Arial"/>
          <w:color w:val="000000"/>
          <w:sz w:val="28"/>
          <w:szCs w:val="28"/>
          <w:highlight w:val="none"/>
        </w:rPr>
        <w:t xml:space="preserve">22、开标</w:t>
      </w:r>
      <w:bookmarkEnd w:id="131"/>
      <w:r/>
      <w:bookmarkEnd w:id="132"/>
      <w:r/>
      <w:bookmarkEnd w:id="133"/>
      <w:r>
        <w:rPr>
          <w:rFonts w:hint="eastAsia" w:ascii="Arial" w:hAnsi="Arial" w:eastAsia="黑体" w:cs="Arial"/>
          <w:color w:val="000000"/>
          <w:sz w:val="28"/>
          <w:szCs w:val="28"/>
          <w:highlight w:val="none"/>
        </w:rPr>
      </w:r>
      <w:r/>
    </w:p>
    <w:p>
      <w:pPr>
        <w:pStyle w:val="724"/>
        <w:ind w:firstLine="360"/>
        <w:spacing w:line="500" w:lineRule="exact"/>
        <w:rPr>
          <w:rFonts w:hint="eastAsia"/>
          <w:color w:val="000000"/>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2</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采购</w:t>
      </w:r>
      <w:r>
        <w:rPr>
          <w:rFonts w:hint="eastAsia" w:ascii="宋体" w:hAnsi="宋体"/>
          <w:bCs/>
          <w:color w:val="000000"/>
          <w:sz w:val="24"/>
          <w:szCs w:val="21"/>
          <w:highlight w:val="none"/>
          <w:lang w:val="en-US" w:eastAsia="zh-CN"/>
        </w:rPr>
        <w:t xml:space="preserve">人或采购代理机构</w:t>
      </w:r>
      <w:r>
        <w:rPr>
          <w:rFonts w:hint="eastAsia" w:ascii="宋体" w:hAnsi="宋体"/>
          <w:bCs/>
          <w:color w:val="000000"/>
          <w:sz w:val="24"/>
          <w:szCs w:val="21"/>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Cs w:val="21"/>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2</w:t>
      </w:r>
      <w:r>
        <w:rPr>
          <w:rFonts w:hint="eastAsia" w:ascii="宋体" w:hAnsi="宋体"/>
          <w:bCs/>
          <w:color w:val="000000"/>
          <w:sz w:val="24"/>
          <w:szCs w:val="24"/>
          <w:highlight w:val="none"/>
        </w:rPr>
        <w:t xml:space="preserve">.2</w:t>
      </w:r>
      <w:r>
        <w:rPr>
          <w:rFonts w:hint="eastAsia" w:ascii="宋体" w:hAnsi="宋体"/>
          <w:color w:val="000000"/>
          <w:sz w:val="24"/>
          <w:szCs w:val="24"/>
          <w:highlight w:val="none"/>
        </w:rPr>
        <w:t xml:space="preserve">开标仪式由</w:t>
      </w:r>
      <w:r>
        <w:rPr>
          <w:rFonts w:hint="eastAsia" w:ascii="宋体" w:hAnsi="宋体"/>
          <w:color w:val="000000"/>
          <w:sz w:val="24"/>
          <w:szCs w:val="24"/>
          <w:highlight w:val="none"/>
          <w:lang w:eastAsia="zh-CN"/>
        </w:rPr>
        <w:t xml:space="preserve">采购代理机构</w:t>
      </w:r>
      <w:r>
        <w:rPr>
          <w:rFonts w:hint="eastAsia" w:ascii="宋体" w:hAnsi="宋体"/>
          <w:color w:val="000000"/>
          <w:sz w:val="24"/>
          <w:szCs w:val="24"/>
          <w:highlight w:val="none"/>
        </w:rPr>
        <w:t xml:space="preserve">组织。苏采云系统将自动对</w:t>
      </w:r>
      <w:r>
        <w:rPr>
          <w:rFonts w:ascii="宋体" w:hAnsi="宋体"/>
          <w:color w:val="000000"/>
          <w:sz w:val="24"/>
          <w:szCs w:val="24"/>
          <w:highlight w:val="none"/>
        </w:rPr>
        <w:t xml:space="preserve">项目进行开标，</w:t>
      </w:r>
      <w:r>
        <w:rPr>
          <w:rFonts w:hint="eastAsia" w:ascii="宋体" w:hAnsi="宋体"/>
          <w:color w:val="000000"/>
          <w:sz w:val="24"/>
          <w:szCs w:val="24"/>
          <w:highlight w:val="none"/>
        </w:rPr>
        <w:t xml:space="preserve">并宣布各投标人名称和投标价格。</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2</w:t>
      </w:r>
      <w:r>
        <w:rPr>
          <w:rFonts w:hint="eastAsia" w:ascii="宋体" w:hAnsi="宋体"/>
          <w:bCs/>
          <w:color w:val="000000"/>
          <w:sz w:val="24"/>
          <w:szCs w:val="21"/>
          <w:highlight w:val="none"/>
        </w:rPr>
        <w:t xml:space="preserve">.3投标人在开标过程中涉及到的投标文件解密、开标结果确认等工作，应按照《操作手册》规定执行。</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.4投标人如果对开标过程和开标记录有</w:t>
      </w:r>
      <w:r>
        <w:rPr>
          <w:rFonts w:hint="eastAsia" w:ascii="宋体" w:hAnsi="宋体"/>
          <w:color w:val="000000"/>
          <w:sz w:val="24"/>
          <w:szCs w:val="24"/>
          <w:highlight w:val="none"/>
          <w:lang w:val="en-US" w:eastAsia="zh-CN"/>
        </w:rPr>
        <w:t xml:space="preserve">异议</w:t>
      </w:r>
      <w:r>
        <w:rPr>
          <w:rFonts w:hint="eastAsia" w:ascii="宋体" w:hAnsi="宋体"/>
          <w:color w:val="000000"/>
          <w:sz w:val="24"/>
          <w:szCs w:val="24"/>
          <w:highlight w:val="none"/>
        </w:rPr>
        <w:t xml:space="preserve">，应当根据《操作手册》规定提出，如苏采云系统中《开标记录表》宣布后5分钟内未提出的，视同认可开标结果。</w:t>
      </w:r>
      <w:r>
        <w:rPr>
          <w:rFonts w:hint="eastAsia" w:ascii="宋体" w:hAnsi="宋体"/>
          <w:color w:val="000000"/>
          <w:sz w:val="24"/>
          <w:szCs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4" w:name="_Toc20823303"/>
      <w:r/>
      <w:bookmarkStart w:id="135" w:name="_Toc16938547"/>
      <w:r/>
      <w:bookmarkStart w:id="136" w:name="_Toc513029231"/>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3</w:t>
      </w:r>
      <w:r>
        <w:rPr>
          <w:rFonts w:hint="eastAsia" w:ascii="Arial" w:hAnsi="Arial" w:eastAsia="黑体" w:cs="Arial"/>
          <w:color w:val="000000"/>
          <w:sz w:val="28"/>
          <w:szCs w:val="28"/>
          <w:highlight w:val="none"/>
        </w:rPr>
        <w:t xml:space="preserve">、评标委员会</w:t>
      </w:r>
      <w:r>
        <w:rPr>
          <w:rFonts w:hint="eastAsia" w:ascii="Arial" w:hAnsi="Arial" w:eastAsia="黑体" w:cs="Arial"/>
          <w:color w:val="000000"/>
          <w:sz w:val="28"/>
          <w:szCs w:val="28"/>
          <w:highlight w:val="none"/>
        </w:rPr>
      </w:r>
      <w:r/>
    </w:p>
    <w:p>
      <w:pPr>
        <w:pStyle w:val="724"/>
        <w:ind w:firstLine="240"/>
        <w:spacing w:line="50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.1开标后，</w:t>
      </w:r>
      <w:r>
        <w:rPr>
          <w:rFonts w:hint="eastAsia" w:ascii="宋体" w:hAnsi="宋体"/>
          <w:bCs/>
          <w:color w:val="000000"/>
          <w:sz w:val="24"/>
          <w:szCs w:val="21"/>
          <w:highlight w:val="none"/>
        </w:rPr>
        <w:t xml:space="preserve">采购</w:t>
      </w:r>
      <w:r>
        <w:rPr>
          <w:rFonts w:hint="eastAsia" w:ascii="宋体" w:hAnsi="宋体"/>
          <w:bCs/>
          <w:color w:val="000000"/>
          <w:sz w:val="24"/>
          <w:szCs w:val="21"/>
          <w:highlight w:val="none"/>
          <w:lang w:val="en-US" w:eastAsia="zh-CN"/>
        </w:rPr>
        <w:t xml:space="preserve">人或采购代理机构</w:t>
      </w:r>
      <w:r>
        <w:rPr>
          <w:rFonts w:hint="eastAsia" w:ascii="宋体" w:hAnsi="宋体"/>
          <w:color w:val="000000"/>
          <w:sz w:val="24"/>
          <w:szCs w:val="24"/>
          <w:highlight w:val="none"/>
        </w:rPr>
        <w:t xml:space="preserve">将立即组织评标委员会（以下简称评委会）进行评标。</w:t>
      </w:r>
      <w:r>
        <w:rPr>
          <w:rFonts w:hint="eastAsia" w:ascii="宋体" w:hAnsi="宋体"/>
          <w:b/>
          <w:color w:val="000000"/>
          <w:sz w:val="24"/>
          <w:szCs w:val="24"/>
          <w:highlight w:val="none"/>
        </w:rPr>
      </w:r>
      <w:r/>
    </w:p>
    <w:p>
      <w:pPr>
        <w:pStyle w:val="724"/>
        <w:ind w:firstLine="24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.2评委会由采购人代表</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如有</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和有关技术、经济等方面的专家组成，且人员构成符合政府采购有关规定。</w:t>
      </w:r>
      <w:r>
        <w:rPr>
          <w:rFonts w:hint="eastAsia" w:ascii="宋体" w:hAnsi="宋体"/>
          <w:color w:val="000000"/>
          <w:sz w:val="24"/>
          <w:szCs w:val="24"/>
          <w:highlight w:val="none"/>
        </w:rPr>
      </w:r>
      <w:r/>
    </w:p>
    <w:p>
      <w:pPr>
        <w:pStyle w:val="724"/>
        <w:ind w:firstLine="24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.3评委会独立工作，负责评审所有投标文件并确定中标</w:t>
      </w:r>
      <w:r>
        <w:rPr>
          <w:rFonts w:hint="eastAsia" w:ascii="宋体" w:hAnsi="宋体"/>
          <w:color w:val="000000"/>
          <w:sz w:val="24"/>
          <w:szCs w:val="24"/>
          <w:highlight w:val="none"/>
          <w:lang w:eastAsia="zh-CN"/>
        </w:rPr>
        <w:t xml:space="preserve">候选人</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4"/>
        <w:ind w:firstLine="420"/>
        <w:keepLines/>
        <w:keepNext/>
        <w:spacing w:line="500" w:lineRule="exact"/>
        <w:rPr>
          <w:rFonts w:hint="eastAsia" w:ascii="黑体" w:hAnsi="Arial" w:eastAsia="黑体" w:cs="Arial"/>
          <w:color w:val="000000"/>
          <w:sz w:val="28"/>
          <w:szCs w:val="28"/>
          <w:highlight w:val="none"/>
        </w:rPr>
        <w:outlineLvl w:val="3"/>
      </w:pPr>
      <w:r>
        <w:rPr>
          <w:rFonts w:hint="eastAsia" w:ascii="黑体" w:hAnsi="Arial" w:eastAsia="黑体" w:cs="Arial"/>
          <w:color w:val="000000"/>
          <w:sz w:val="28"/>
          <w:szCs w:val="28"/>
          <w:highlight w:val="none"/>
        </w:rPr>
        <w:t xml:space="preserve">2</w:t>
      </w:r>
      <w:r>
        <w:rPr>
          <w:rFonts w:ascii="黑体" w:hAnsi="Arial" w:eastAsia="黑体" w:cs="Arial"/>
          <w:color w:val="000000"/>
          <w:sz w:val="28"/>
          <w:szCs w:val="28"/>
          <w:highlight w:val="none"/>
        </w:rPr>
        <w:t xml:space="preserve">4</w:t>
      </w:r>
      <w:r>
        <w:rPr>
          <w:rFonts w:hint="eastAsia" w:ascii="黑体" w:hAnsi="Arial" w:eastAsia="黑体" w:cs="Arial"/>
          <w:color w:val="000000"/>
          <w:sz w:val="28"/>
          <w:szCs w:val="28"/>
          <w:highlight w:val="none"/>
        </w:rPr>
        <w:t xml:space="preserve">．评标过程的保密与公正</w:t>
      </w:r>
      <w:r>
        <w:rPr>
          <w:rFonts w:hint="eastAsia" w:ascii="黑体"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bookmarkEnd w:id="134"/>
      <w:r/>
      <w:bookmarkEnd w:id="135"/>
      <w:r/>
      <w:bookmarkEnd w:id="136"/>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凡是与审查、澄清、评价和比较投标的有关资料以及授标建议等，采购人、评委、采购</w:t>
      </w:r>
      <w:r>
        <w:rPr>
          <w:rFonts w:hint="eastAsia" w:ascii="宋体" w:hAnsi="宋体"/>
          <w:bCs/>
          <w:color w:val="000000"/>
          <w:sz w:val="24"/>
          <w:szCs w:val="21"/>
          <w:highlight w:val="none"/>
          <w:lang w:val="en-US" w:eastAsia="zh-CN"/>
        </w:rPr>
        <w:t xml:space="preserve">代理机构</w:t>
      </w:r>
      <w:r>
        <w:rPr>
          <w:rFonts w:hint="eastAsia" w:ascii="宋体" w:hAnsi="宋体"/>
          <w:bCs/>
          <w:color w:val="000000"/>
          <w:sz w:val="24"/>
          <w:szCs w:val="21"/>
          <w:highlight w:val="none"/>
        </w:rPr>
        <w:t xml:space="preserve">均不得向投标人或与评标无关的其他人员透露。</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4</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在评标过程中，投标人不得以任何行为影响评标过程，否则其投标文件将被作为无效投标文件。</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ascii="宋体" w:hAnsi="宋体"/>
          <w:color w:val="000000"/>
          <w:sz w:val="24"/>
          <w:szCs w:val="24"/>
          <w:highlight w:val="none"/>
        </w:rPr>
        <w:t xml:space="preserve">24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采购</w:t>
      </w:r>
      <w:r>
        <w:rPr>
          <w:rFonts w:hint="eastAsia" w:ascii="宋体" w:hAnsi="宋体"/>
          <w:color w:val="000000"/>
          <w:sz w:val="24"/>
          <w:szCs w:val="24"/>
          <w:highlight w:val="none"/>
          <w:lang w:val="en-US" w:eastAsia="zh-CN"/>
        </w:rPr>
        <w:t xml:space="preserve">人或采购代理机构</w:t>
      </w:r>
      <w:r>
        <w:rPr>
          <w:rFonts w:hint="eastAsia" w:ascii="宋体" w:hAnsi="宋体"/>
          <w:color w:val="000000"/>
          <w:sz w:val="24"/>
          <w:szCs w:val="24"/>
          <w:highlight w:val="none"/>
        </w:rPr>
        <w:t xml:space="preserve">和评标委员会不向未中标的投标人解释未中标原因，也不公布评标过程中的相关细节。</w:t>
      </w:r>
      <w:r>
        <w:rPr>
          <w:rFonts w:hint="eastAsia" w:ascii="宋体" w:hAnsi="宋体"/>
          <w:color w:val="000000"/>
          <w:sz w:val="24"/>
          <w:szCs w:val="24"/>
          <w:highlight w:val="none"/>
        </w:rPr>
      </w:r>
      <w:r/>
    </w:p>
    <w:p>
      <w:pPr>
        <w:pStyle w:val="72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4</w:t>
      </w:r>
      <w:r>
        <w:rPr>
          <w:rFonts w:hint="eastAsia" w:ascii="宋体" w:hAnsi="宋体"/>
          <w:color w:val="000000"/>
          <w:sz w:val="24"/>
          <w:szCs w:val="24"/>
          <w:highlight w:val="none"/>
        </w:rPr>
        <w:t xml:space="preserve">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bookmarkStart w:id="137" w:name="_Toc513029232"/>
      <w:r/>
      <w:bookmarkStart w:id="138" w:name="_Toc16938548"/>
      <w:r/>
      <w:bookmarkStart w:id="139" w:name="_Toc20823304"/>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5</w:t>
      </w:r>
      <w:r>
        <w:rPr>
          <w:rFonts w:hint="eastAsia" w:ascii="Arial" w:hAnsi="Arial" w:eastAsia="黑体" w:cs="Arial"/>
          <w:color w:val="000000"/>
          <w:sz w:val="28"/>
          <w:szCs w:val="28"/>
          <w:highlight w:val="none"/>
        </w:rPr>
        <w:t xml:space="preserve">．投标文件的澄清</w:t>
      </w:r>
      <w:bookmarkEnd w:id="137"/>
      <w:r/>
      <w:bookmarkEnd w:id="138"/>
      <w:r/>
      <w:bookmarkEnd w:id="139"/>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color w:val="000000"/>
          <w:sz w:val="24"/>
          <w:szCs w:val="24"/>
          <w:highlight w:val="none"/>
        </w:rPr>
      </w:pPr>
      <w:r/>
      <w:bookmarkStart w:id="140" w:name="_Toc20823305"/>
      <w:r/>
      <w:bookmarkStart w:id="141" w:name="_Toc513029233"/>
      <w:r/>
      <w:bookmarkStart w:id="142" w:name="_Toc16938549"/>
      <w:r>
        <w:rPr>
          <w:rFonts w:ascii="宋体" w:hAnsi="宋体"/>
          <w:color w:val="000000"/>
          <w:sz w:val="24"/>
          <w:szCs w:val="24"/>
          <w:highlight w:val="none"/>
        </w:rPr>
        <w:t xml:space="preserve">25</w:t>
      </w:r>
      <w:r>
        <w:rPr>
          <w:rFonts w:hint="eastAsia" w:ascii="宋体" w:hAnsi="宋体"/>
          <w:color w:val="000000"/>
          <w:sz w:val="24"/>
          <w:szCs w:val="24"/>
          <w:highlight w:val="none"/>
        </w:rPr>
        <w:t xml:space="preserve">.</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有权要求投标人作出必要的澄清、说明或者补正。投标人的澄清、说明或者补正不得超出投标文件的范围或者改变投标文件的实质性内容。评标</w:t>
      </w:r>
      <w:r>
        <w:rPr>
          <w:rFonts w:ascii="宋体" w:hAnsi="宋体"/>
          <w:color w:val="000000"/>
          <w:sz w:val="24"/>
          <w:szCs w:val="24"/>
          <w:highlight w:val="none"/>
        </w:rPr>
        <w:t xml:space="preserve">委员会并非对每个</w:t>
      </w:r>
      <w:r>
        <w:rPr>
          <w:rFonts w:hint="eastAsia" w:ascii="宋体" w:hAnsi="宋体"/>
          <w:color w:val="000000"/>
          <w:sz w:val="24"/>
          <w:szCs w:val="24"/>
          <w:highlight w:val="none"/>
        </w:rPr>
        <w:t xml:space="preserve">投标人</w:t>
      </w:r>
      <w:r>
        <w:rPr>
          <w:rFonts w:ascii="宋体" w:hAnsi="宋体"/>
          <w:color w:val="000000"/>
          <w:sz w:val="24"/>
          <w:szCs w:val="24"/>
          <w:highlight w:val="none"/>
        </w:rPr>
        <w:t xml:space="preserve">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724"/>
        <w:ind w:firstLine="480"/>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.3接到评委会澄清、说明和补正要求的投标人如未按规定</w:t>
      </w:r>
      <w:r>
        <w:rPr>
          <w:rFonts w:hint="eastAsia" w:ascii="宋体" w:hAnsi="宋体"/>
          <w:color w:val="000000"/>
          <w:sz w:val="24"/>
          <w:szCs w:val="24"/>
          <w:highlight w:val="none"/>
          <w:lang w:eastAsia="zh-CN"/>
        </w:rPr>
        <w:t xml:space="preserve">作出</w:t>
      </w:r>
      <w:r>
        <w:rPr>
          <w:rFonts w:hint="eastAsia" w:ascii="宋体" w:hAnsi="宋体"/>
          <w:color w:val="000000"/>
          <w:sz w:val="24"/>
          <w:szCs w:val="24"/>
          <w:highlight w:val="none"/>
        </w:rPr>
        <w:t xml:space="preserve">澄清、说明和补正，其风险由投标人自行承担。</w:t>
      </w:r>
      <w:r>
        <w:rPr>
          <w:rFonts w:hint="eastAsia" w:ascii="宋体" w:hAnsi="宋体"/>
          <w:color w:val="000000"/>
          <w:sz w:val="24"/>
          <w:szCs w:val="24"/>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6</w:t>
      </w:r>
      <w:r>
        <w:rPr>
          <w:rFonts w:hint="eastAsia" w:ascii="Arial" w:hAnsi="Arial" w:eastAsia="黑体" w:cs="Arial"/>
          <w:color w:val="000000"/>
          <w:sz w:val="28"/>
          <w:szCs w:val="28"/>
          <w:highlight w:val="none"/>
        </w:rPr>
        <w:t xml:space="preserve">、对投标文件的初审</w:t>
      </w:r>
      <w:bookmarkEnd w:id="140"/>
      <w:r/>
      <w:bookmarkEnd w:id="141"/>
      <w:r/>
      <w:bookmarkEnd w:id="142"/>
      <w:r>
        <w:rPr>
          <w:rFonts w:hint="eastAsia" w:ascii="Arial" w:hAnsi="Arial" w:eastAsia="黑体" w:cs="Arial"/>
          <w:color w:val="000000"/>
          <w:sz w:val="28"/>
          <w:szCs w:val="28"/>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.1</w:t>
      </w:r>
      <w:r>
        <w:rPr>
          <w:rFonts w:hint="eastAsia" w:ascii="宋体" w:hAnsi="宋体"/>
          <w:bCs/>
          <w:color w:val="000000"/>
          <w:sz w:val="24"/>
          <w:szCs w:val="21"/>
          <w:highlight w:val="none"/>
        </w:rPr>
        <w:t xml:space="preserve">投标文件初审分为资格审查和符合性审查。</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.1.1资格审查：依据法律法规和招标文件的规定，由采购人对投标文件中的资格证明文件进行审查。资格审查的结论，采购人以书面形式向评委会进行反馈。</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采购人在进行资格审查的同时，将在信用中国网站（www.creditchina.gov.cn）、中国政府采购网（www.ccgp.gov.cn）查询投标人的信用记录，以确定投标人是否具备投标资格，查询结果留存并归档。</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.1.2符合性审查：依据招标文件的规定，由评委会从投标文件的有效性、完整性和对招标文件的响应程度进行审查，以确定是否对招标文件的实质性要求作出响应。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6</w:t>
      </w:r>
      <w:r>
        <w:rPr>
          <w:rFonts w:hint="eastAsia" w:ascii="宋体" w:hAnsi="宋体"/>
          <w:bCs/>
          <w:color w:val="000000"/>
          <w:sz w:val="24"/>
          <w:szCs w:val="21"/>
          <w:highlight w:val="none"/>
        </w:rPr>
        <w:t xml:space="preserve">.1.3未通过资格审查或符合性审查的投标人，将在</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中告知未通过资格审查或符合性审查的原因，评审结束后，将不再告知未通过资格审查或符合性审查的原因。</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.2</w:t>
      </w:r>
      <w:r>
        <w:rPr>
          <w:rFonts w:hint="eastAsia" w:ascii="宋体" w:hAnsi="宋体"/>
          <w:color w:val="000000"/>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highlight w:val="none"/>
        </w:rPr>
        <w:t xml:space="preserve">评委决定投标文件的响应性只根据投标文件本身的内容，而不寻求外部的证据。</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.3</w:t>
      </w:r>
      <w:r>
        <w:rPr>
          <w:rFonts w:hint="eastAsia" w:ascii="宋体" w:hAnsi="宋体"/>
          <w:bCs/>
          <w:color w:val="000000"/>
          <w:sz w:val="24"/>
          <w:szCs w:val="21"/>
          <w:highlight w:val="none"/>
        </w:rPr>
        <w:t xml:space="preserve">如果投标文件实质上没有响应招标文件的要求，评委会将予以拒绝，投标人不得通过修改或撤销不合要求的偏离或保留而使其投标成为实质性响应的投标。</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.4</w:t>
      </w:r>
      <w:r>
        <w:rPr>
          <w:rFonts w:hint="eastAsia" w:ascii="宋体" w:hAnsi="宋体"/>
          <w:bCs/>
          <w:color w:val="000000"/>
          <w:sz w:val="24"/>
          <w:szCs w:val="21"/>
          <w:highlight w:val="none"/>
        </w:rPr>
        <w:t xml:space="preserve">评委会将对确定为实质性响应的投标进行进一步审核，看其是否有计算上或累加上的算术错误，修正错误的原则如下：</w:t>
      </w:r>
      <w:r>
        <w:rPr>
          <w:rFonts w:hint="eastAsia"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（1）投标文件中开标一览表内容与投标文件中相应内容不一致的，以开标一览表为准。</w:t>
      </w:r>
      <w:r>
        <w:rPr>
          <w:rFonts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（2）大写金额和小写金额不一致的，以大写金额为准。</w:t>
      </w:r>
      <w:r>
        <w:rPr>
          <w:rFonts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bCs/>
          <w:color w:val="000000"/>
          <w:sz w:val="24"/>
          <w:szCs w:val="21"/>
          <w:highlight w:val="none"/>
        </w:rPr>
        <w:t xml:space="preserve">（3） 单价金额小数点或者百分比有明显错位的，以开标一览表的总价为准，并修改单价。</w:t>
      </w:r>
      <w:r>
        <w:rPr>
          <w:rFonts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（4）总价金额与按单价汇总金额不一致的，以单价金额计算结果为准。</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同时出现两种以上错误的，按照前款规定的顺序修正。</w:t>
      </w:r>
      <w:r>
        <w:rPr>
          <w:rFonts w:hint="eastAsia" w:ascii="宋体" w:hAnsi="宋体"/>
          <w:bCs/>
          <w:color w:val="000000"/>
          <w:sz w:val="24"/>
          <w:szCs w:val="21"/>
          <w:highlight w:val="none"/>
        </w:rPr>
      </w:r>
      <w:r/>
    </w:p>
    <w:p>
      <w:pPr>
        <w:pStyle w:val="724"/>
        <w:ind w:firstLine="480"/>
        <w:spacing w:line="500" w:lineRule="exact"/>
        <w:rPr>
          <w:rFonts w:ascii="宋体" w:hAnsi="宋体"/>
          <w:bCs/>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.5</w:t>
      </w:r>
      <w:r>
        <w:rPr>
          <w:rFonts w:hint="eastAsia" w:ascii="宋体" w:hAnsi="宋体"/>
          <w:bCs/>
          <w:color w:val="000000"/>
          <w:sz w:val="24"/>
          <w:szCs w:val="21"/>
          <w:highlight w:val="none"/>
        </w:rPr>
        <w:t xml:space="preserve">评委会将按上述修正错误的方法调整投标文件中的投标报价，并</w:t>
      </w:r>
      <w:r>
        <w:rPr>
          <w:rFonts w:ascii="宋体" w:hAnsi="宋体"/>
          <w:bCs/>
          <w:color w:val="000000"/>
          <w:sz w:val="24"/>
          <w:szCs w:val="21"/>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1"/>
          <w:highlight w:val="none"/>
        </w:rPr>
        <w:t xml:space="preserve">告知投标人</w:t>
      </w:r>
      <w:r>
        <w:rPr>
          <w:rFonts w:ascii="宋体" w:hAnsi="宋体"/>
          <w:bCs/>
          <w:color w:val="000000"/>
          <w:sz w:val="24"/>
          <w:szCs w:val="21"/>
          <w:highlight w:val="none"/>
        </w:rPr>
        <w:t xml:space="preserve">，</w:t>
      </w:r>
      <w:r>
        <w:rPr>
          <w:rFonts w:hint="eastAsia" w:ascii="宋体" w:hAnsi="宋体"/>
          <w:bCs/>
          <w:color w:val="000000"/>
          <w:sz w:val="24"/>
          <w:szCs w:val="21"/>
          <w:highlight w:val="none"/>
        </w:rPr>
        <w:t xml:space="preserve">调整后的价格应对投标人具有约束力。如果投标人不接受修正后的价格，则其投标将被拒绝。</w:t>
      </w:r>
      <w:r>
        <w:rPr>
          <w:rFonts w:ascii="宋体" w:hAnsi="宋体"/>
          <w:bCs/>
          <w:color w:val="000000"/>
          <w:sz w:val="24"/>
          <w:szCs w:val="21"/>
          <w:highlight w:val="none"/>
        </w:rPr>
      </w:r>
      <w:r/>
    </w:p>
    <w:p>
      <w:pPr>
        <w:pStyle w:val="724"/>
        <w:ind w:firstLine="480"/>
        <w:spacing w:line="500" w:lineRule="exact"/>
        <w:rPr>
          <w:rFonts w:ascii="宋体" w:hAnsi="宋体"/>
          <w:color w:val="000000"/>
          <w:sz w:val="24"/>
          <w:szCs w:val="21"/>
          <w:highlight w:val="none"/>
        </w:rPr>
      </w:pPr>
      <w:r/>
      <w:bookmarkStart w:id="143" w:name="_Toc16938550"/>
      <w:r/>
      <w:bookmarkStart w:id="144" w:name="_Toc20823306"/>
      <w:r/>
      <w:bookmarkStart w:id="145" w:name="_Toc513029234"/>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.6</w:t>
      </w:r>
      <w:r>
        <w:rPr>
          <w:rFonts w:ascii="宋体" w:hAnsi="宋体"/>
          <w:color w:val="000000"/>
          <w:sz w:val="24"/>
          <w:szCs w:val="21"/>
          <w:highlight w:val="none"/>
        </w:rPr>
        <w:t xml:space="preserve">使用综合评分法的采购项目，提供相同品牌产品且通过资格审查、符合性审查的不同</w:t>
      </w:r>
      <w:r>
        <w:rPr>
          <w:rFonts w:hint="eastAsia" w:ascii="宋体" w:hAnsi="宋体"/>
          <w:color w:val="000000"/>
          <w:sz w:val="24"/>
          <w:szCs w:val="21"/>
          <w:highlight w:val="none"/>
        </w:rPr>
        <w:t xml:space="preserve">投标人</w:t>
      </w:r>
      <w:r>
        <w:rPr>
          <w:rFonts w:ascii="宋体" w:hAnsi="宋体"/>
          <w:color w:val="000000"/>
          <w:sz w:val="24"/>
          <w:szCs w:val="21"/>
          <w:highlight w:val="none"/>
        </w:rPr>
        <w:t xml:space="preserve">参加同一合同项下投标的，按一家</w:t>
      </w:r>
      <w:r>
        <w:rPr>
          <w:rFonts w:hint="eastAsia" w:ascii="宋体" w:hAnsi="宋体"/>
          <w:color w:val="000000"/>
          <w:sz w:val="24"/>
          <w:szCs w:val="21"/>
          <w:highlight w:val="none"/>
        </w:rPr>
        <w:t xml:space="preserve">投标人</w:t>
      </w:r>
      <w:r>
        <w:rPr>
          <w:rFonts w:ascii="宋体" w:hAnsi="宋体"/>
          <w:color w:val="000000"/>
          <w:sz w:val="24"/>
          <w:szCs w:val="21"/>
          <w:highlight w:val="none"/>
        </w:rPr>
        <w:t xml:space="preserve">计算，评审后得分最高的同品牌</w:t>
      </w:r>
      <w:r>
        <w:rPr>
          <w:rFonts w:hint="eastAsia" w:ascii="宋体" w:hAnsi="宋体"/>
          <w:color w:val="000000"/>
          <w:sz w:val="24"/>
          <w:szCs w:val="21"/>
          <w:highlight w:val="none"/>
        </w:rPr>
        <w:t xml:space="preserve">投标人</w:t>
      </w:r>
      <w:r>
        <w:rPr>
          <w:rFonts w:ascii="宋体" w:hAnsi="宋体"/>
          <w:color w:val="000000"/>
          <w:sz w:val="24"/>
          <w:szCs w:val="21"/>
          <w:highlight w:val="none"/>
        </w:rPr>
        <w:t xml:space="preserve">获得中标人推荐资格；评审得分相同的，由评标委员会</w:t>
      </w:r>
      <w:r>
        <w:rPr>
          <w:rFonts w:hint="eastAsia" w:ascii="宋体" w:hAnsi="宋体"/>
          <w:color w:val="000000"/>
          <w:sz w:val="24"/>
          <w:szCs w:val="21"/>
          <w:highlight w:val="none"/>
        </w:rPr>
        <w:t xml:space="preserve">根据招标文件规定的方式（招标文件未规定的采取随机抽取的方式）</w:t>
      </w:r>
      <w:r>
        <w:rPr>
          <w:rFonts w:ascii="宋体" w:hAnsi="宋体"/>
          <w:color w:val="000000"/>
          <w:sz w:val="24"/>
          <w:szCs w:val="21"/>
          <w:highlight w:val="none"/>
        </w:rPr>
        <w:t xml:space="preserve">确定</w:t>
      </w:r>
      <w:r>
        <w:rPr>
          <w:rFonts w:hint="eastAsia" w:ascii="宋体" w:hAnsi="宋体"/>
          <w:color w:val="000000"/>
          <w:sz w:val="24"/>
          <w:szCs w:val="21"/>
          <w:highlight w:val="none"/>
        </w:rPr>
        <w:t xml:space="preserve">一个中标候选人</w:t>
      </w:r>
      <w:r>
        <w:rPr>
          <w:rFonts w:ascii="宋体" w:hAnsi="宋体"/>
          <w:color w:val="000000"/>
          <w:sz w:val="24"/>
          <w:szCs w:val="21"/>
          <w:highlight w:val="none"/>
        </w:rPr>
        <w:t xml:space="preserve">，其他同品牌</w:t>
      </w:r>
      <w:r>
        <w:rPr>
          <w:rFonts w:hint="eastAsia" w:ascii="宋体" w:hAnsi="宋体"/>
          <w:color w:val="000000"/>
          <w:sz w:val="24"/>
          <w:szCs w:val="21"/>
          <w:highlight w:val="none"/>
        </w:rPr>
        <w:t xml:space="preserve">投标人</w:t>
      </w:r>
      <w:r>
        <w:rPr>
          <w:rFonts w:ascii="宋体" w:hAnsi="宋体"/>
          <w:color w:val="000000"/>
          <w:sz w:val="24"/>
          <w:szCs w:val="21"/>
          <w:highlight w:val="none"/>
        </w:rPr>
        <w:t xml:space="preserve">不作为中标候选人。</w:t>
      </w:r>
      <w:r>
        <w:rPr>
          <w:rFonts w:ascii="宋体" w:hAnsi="宋体"/>
          <w:color w:val="000000"/>
          <w:sz w:val="24"/>
          <w:szCs w:val="21"/>
          <w:highlight w:val="none"/>
        </w:rPr>
      </w:r>
      <w:r/>
    </w:p>
    <w:p>
      <w:pPr>
        <w:pStyle w:val="724"/>
        <w:ind w:firstLine="420"/>
        <w:spacing w:line="500" w:lineRule="exact"/>
        <w:rPr>
          <w:rFonts w:hint="eastAsia" w:ascii="宋体" w:hAnsi="宋体"/>
          <w:color w:val="000000"/>
          <w:sz w:val="24"/>
          <w:szCs w:val="21"/>
          <w:highlight w:val="none"/>
        </w:rPr>
      </w:pPr>
      <w:r>
        <w:rPr>
          <w:rFonts w:hint="eastAsia" w:ascii="宋体" w:hAnsi="宋体"/>
          <w:color w:val="000000"/>
          <w:sz w:val="24"/>
          <w:szCs w:val="21"/>
          <w:highlight w:val="none"/>
        </w:rPr>
        <w:t xml:space="preserve">2</w:t>
      </w:r>
      <w:r>
        <w:rPr>
          <w:rFonts w:ascii="宋体" w:hAnsi="宋体"/>
          <w:color w:val="000000"/>
          <w:sz w:val="24"/>
          <w:szCs w:val="21"/>
          <w:highlight w:val="none"/>
        </w:rPr>
        <w:t xml:space="preserve">6</w:t>
      </w:r>
      <w:r>
        <w:rPr>
          <w:rFonts w:hint="eastAsia" w:ascii="宋体" w:hAnsi="宋体"/>
          <w:color w:val="000000"/>
          <w:sz w:val="24"/>
          <w:szCs w:val="21"/>
          <w:highlight w:val="none"/>
        </w:rPr>
        <w:t xml:space="preserve">.7投标人在开、评标全过程中应保持通讯畅通，及时登录</w:t>
      </w:r>
      <w:r>
        <w:rPr>
          <w:rFonts w:hint="eastAsia" w:ascii="宋体" w:hAnsi="宋体"/>
          <w:color w:val="000000"/>
          <w:sz w:val="24"/>
          <w:szCs w:val="24"/>
          <w:highlight w:val="none"/>
        </w:rPr>
        <w:t xml:space="preserve">苏采云系统</w:t>
      </w:r>
      <w:r>
        <w:rPr>
          <w:rFonts w:hint="eastAsia" w:ascii="宋体" w:hAnsi="宋体"/>
          <w:color w:val="000000"/>
          <w:sz w:val="24"/>
          <w:szCs w:val="21"/>
          <w:highlight w:val="none"/>
        </w:rPr>
        <w:t xml:space="preserve">查阅</w:t>
      </w:r>
      <w:r>
        <w:rPr>
          <w:rFonts w:ascii="宋体" w:hAnsi="宋体"/>
          <w:color w:val="000000"/>
          <w:sz w:val="24"/>
          <w:szCs w:val="21"/>
          <w:highlight w:val="none"/>
        </w:rPr>
        <w:t xml:space="preserve">、答复相关</w:t>
      </w:r>
      <w:r>
        <w:rPr>
          <w:rFonts w:hint="eastAsia" w:ascii="宋体" w:hAnsi="宋体"/>
          <w:color w:val="000000"/>
          <w:sz w:val="24"/>
          <w:szCs w:val="21"/>
          <w:highlight w:val="none"/>
        </w:rPr>
        <w:t xml:space="preserve">信息</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并安排专人与采购</w:t>
      </w:r>
      <w:r>
        <w:rPr>
          <w:rFonts w:hint="eastAsia" w:ascii="宋体" w:hAnsi="宋体"/>
          <w:color w:val="000000"/>
          <w:sz w:val="24"/>
          <w:szCs w:val="21"/>
          <w:highlight w:val="none"/>
          <w:lang w:val="en-US" w:eastAsia="zh-CN"/>
        </w:rPr>
        <w:t xml:space="preserve">代理机构</w:t>
      </w:r>
      <w:r>
        <w:rPr>
          <w:rFonts w:hint="eastAsia" w:ascii="宋体" w:hAnsi="宋体"/>
          <w:color w:val="000000"/>
          <w:sz w:val="24"/>
          <w:szCs w:val="21"/>
          <w:highlight w:val="none"/>
        </w:rPr>
        <w:t xml:space="preserve">及评标委员会联系。</w:t>
      </w:r>
      <w:r>
        <w:rPr>
          <w:rFonts w:hint="eastAsia" w:ascii="宋体" w:hAnsi="宋体"/>
          <w:color w:val="000000"/>
          <w:sz w:val="24"/>
          <w:szCs w:val="21"/>
          <w:highlight w:val="none"/>
        </w:rPr>
      </w:r>
      <w:r/>
    </w:p>
    <w:p>
      <w:pPr>
        <w:pStyle w:val="724"/>
        <w:ind w:firstLine="420"/>
        <w:keepLines/>
        <w:keepNext/>
        <w:spacing w:line="500" w:lineRule="exact"/>
        <w:rPr>
          <w:rFonts w:hint="eastAsia" w:ascii="Arial" w:hAnsi="Arial" w:eastAsia="黑体" w:cs="Arial"/>
          <w:color w:val="000000"/>
          <w:sz w:val="28"/>
          <w:szCs w:val="28"/>
          <w:highlight w:val="none"/>
        </w:rPr>
        <w:outlineLvl w:val="3"/>
      </w:pPr>
      <w:r>
        <w:rPr>
          <w:rFonts w:hint="eastAsia" w:ascii="Arial" w:hAnsi="Arial" w:eastAsia="黑体" w:cs="Arial"/>
          <w:color w:val="000000"/>
          <w:sz w:val="28"/>
          <w:szCs w:val="28"/>
          <w:highlight w:val="none"/>
        </w:rPr>
        <w:t xml:space="preserve">2</w:t>
      </w:r>
      <w:r>
        <w:rPr>
          <w:rFonts w:ascii="Arial" w:hAnsi="Arial" w:eastAsia="黑体" w:cs="Arial"/>
          <w:color w:val="000000"/>
          <w:sz w:val="28"/>
          <w:szCs w:val="28"/>
          <w:highlight w:val="none"/>
        </w:rPr>
        <w:t xml:space="preserve">7</w:t>
      </w:r>
      <w:r>
        <w:rPr>
          <w:rFonts w:hint="eastAsia" w:ascii="Arial" w:hAnsi="Arial" w:eastAsia="黑体" w:cs="Arial"/>
          <w:color w:val="000000"/>
          <w:sz w:val="28"/>
          <w:szCs w:val="28"/>
          <w:highlight w:val="none"/>
        </w:rPr>
        <w:t xml:space="preserve">、</w:t>
      </w:r>
      <w:bookmarkEnd w:id="143"/>
      <w:r/>
      <w:bookmarkEnd w:id="144"/>
      <w:r/>
      <w:bookmarkEnd w:id="145"/>
      <w:r>
        <w:rPr>
          <w:rFonts w:hint="eastAsia" w:ascii="Arial" w:hAnsi="Arial" w:eastAsia="黑体" w:cs="Arial"/>
          <w:color w:val="000000"/>
          <w:sz w:val="28"/>
          <w:szCs w:val="28"/>
          <w:highlight w:val="none"/>
        </w:rPr>
        <w:t xml:space="preserve">无效投标条款和废标条款</w:t>
      </w:r>
      <w:r>
        <w:rPr>
          <w:rFonts w:hint="eastAsia" w:ascii="Arial" w:hAnsi="Arial" w:eastAsia="黑体" w:cs="Arial"/>
          <w:color w:val="000000"/>
          <w:sz w:val="28"/>
          <w:szCs w:val="28"/>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bookmarkStart w:id="146" w:name="_Toc16938551"/>
      <w:r/>
      <w:bookmarkStart w:id="147" w:name="_Toc513029235"/>
      <w:r/>
      <w:bookmarkStart w:id="148" w:name="_Toc20823307"/>
      <w:r/>
      <w:bookmarkStart w:id="149" w:name="_Toc120614219"/>
      <w:r>
        <w:rPr>
          <w:rFonts w:ascii="Times New Roman" w:hAnsi="Times New Roman" w:cs="Times New Roman"/>
          <w:color w:val="000000"/>
          <w:sz w:val="24"/>
          <w:szCs w:val="24"/>
          <w:highlight w:val="none"/>
        </w:rPr>
        <w:t xml:space="preserve">27.1 无效投标条款：</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（1）投标人未按照招标文件要求递交（上传）电子投标文件的。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（2）投标人在</w:t>
      </w:r>
      <w:r>
        <w:rPr>
          <w:rFonts w:ascii="Times New Roman" w:hAnsi="Times New Roman" w:eastAsia="宋体" w:cs="Times New Roman"/>
          <w:color w:val="000000"/>
          <w:sz w:val="24"/>
          <w:szCs w:val="24"/>
          <w:highlight w:val="none"/>
          <w:lang w:eastAsia="zh-CN"/>
        </w:rPr>
        <w:t xml:space="preserve">“苏采云”</w:t>
      </w:r>
      <w:r>
        <w:rPr>
          <w:rFonts w:ascii="Times New Roman" w:hAnsi="Times New Roman" w:cs="Times New Roman"/>
          <w:color w:val="000000"/>
          <w:sz w:val="24"/>
          <w:szCs w:val="24"/>
          <w:highlight w:val="none"/>
        </w:rPr>
        <w:t xml:space="preserve">系统规定的时间内未成功解密电子投标文件的。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（3）投标人不具备招标文件中规定的资格要求的。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（4）投标人被信用中国网站</w:t>
      </w:r>
      <w:r>
        <w:rPr>
          <w:rFonts w:ascii="Times New Roman" w:hAnsi="Times New Roman" w:eastAsia="宋体" w:cs="Times New Roman"/>
          <w:color w:val="000000"/>
          <w:sz w:val="24"/>
          <w:szCs w:val="24"/>
          <w:highlight w:val="none"/>
          <w:lang w:eastAsia="zh-CN"/>
        </w:rPr>
        <w:t xml:space="preserve">（www.creditchina.gov.cn）</w:t>
      </w:r>
      <w:r>
        <w:rPr>
          <w:rFonts w:ascii="Times New Roman" w:hAnsi="Times New Roman" w:cs="Times New Roman"/>
          <w:color w:val="000000"/>
          <w:sz w:val="24"/>
          <w:szCs w:val="24"/>
          <w:highlight w:val="none"/>
        </w:rPr>
        <w:t xml:space="preserve">、中国政府采购网</w:t>
      </w:r>
      <w:r>
        <w:rPr>
          <w:rFonts w:ascii="Times New Roman" w:hAnsi="Times New Roman" w:eastAsia="宋体" w:cs="Times New Roman"/>
          <w:color w:val="000000"/>
          <w:sz w:val="24"/>
          <w:szCs w:val="24"/>
          <w:highlight w:val="none"/>
          <w:lang w:eastAsia="zh-CN"/>
        </w:rPr>
        <w:t xml:space="preserve">（www.ccgp.gov.cn）</w:t>
      </w:r>
      <w:r>
        <w:rPr>
          <w:rFonts w:ascii="Times New Roman" w:hAnsi="Times New Roman" w:cs="Times New Roman"/>
          <w:color w:val="000000"/>
          <w:sz w:val="24"/>
          <w:szCs w:val="24"/>
          <w:highlight w:val="none"/>
        </w:rPr>
        <w:t xml:space="preserve">列入失信被执行人、重大税收违法案件当事人名单、政府采购严重违法失信行为记录名单及其他不符合《中华人民共和国政府采购法》第二十二条规定情形的。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（5）投标人提交两个（含两个）以上不同的投标报价的。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（6）投标人的报价超过了采购预算或者最高限价的。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（7）评委会认为投标人的报价明显低于其他通过符合性审查投标人的报价，有可能影响产品质量或者不能诚信履约，将通过</w:t>
      </w:r>
      <w:r>
        <w:rPr>
          <w:rFonts w:ascii="Times New Roman" w:hAnsi="Times New Roman" w:eastAsia="宋体" w:cs="Times New Roman"/>
          <w:color w:val="000000"/>
          <w:sz w:val="24"/>
          <w:szCs w:val="24"/>
          <w:highlight w:val="none"/>
          <w:lang w:eastAsia="zh-CN"/>
        </w:rPr>
        <w:t xml:space="preserve">“苏采云”</w:t>
      </w:r>
      <w:r>
        <w:rPr>
          <w:rFonts w:ascii="Times New Roman" w:hAnsi="Times New Roman" w:cs="Times New Roman"/>
          <w:color w:val="000000"/>
          <w:sz w:val="24"/>
          <w:szCs w:val="24"/>
          <w:highlight w:val="none"/>
        </w:rPr>
        <w:t xml:space="preserve">系统要求其在</w:t>
      </w:r>
      <w:r>
        <w:rPr>
          <w:rFonts w:ascii="Times New Roman" w:hAnsi="Times New Roman" w:eastAsia="宋体" w:cs="Times New Roman"/>
          <w:color w:val="000000"/>
          <w:sz w:val="24"/>
          <w:szCs w:val="24"/>
          <w:highlight w:val="none"/>
          <w:lang w:val="en-US" w:eastAsia="zh-CN"/>
        </w:rPr>
        <w:t xml:space="preserve">30</w:t>
      </w:r>
      <w:r>
        <w:rPr>
          <w:rFonts w:ascii="Times New Roman" w:hAnsi="Times New Roman" w:cs="Times New Roman"/>
          <w:color w:val="000000"/>
          <w:sz w:val="24"/>
          <w:szCs w:val="24"/>
          <w:highlight w:val="none"/>
        </w:rPr>
        <w:t xml:space="preserve">分钟内提供说明，必要时提交相关证明材料，投标人不能</w:t>
      </w:r>
      <w:r>
        <w:rPr>
          <w:rFonts w:ascii="Times New Roman" w:hAnsi="Times New Roman" w:cs="Times New Roman"/>
          <w:color w:val="000000"/>
          <w:sz w:val="24"/>
          <w:szCs w:val="24"/>
          <w:highlight w:val="none"/>
          <w:lang w:val="en-US" w:eastAsia="zh-CN"/>
        </w:rPr>
        <w:t xml:space="preserve">在</w:t>
      </w:r>
      <w:r>
        <w:rPr>
          <w:rFonts w:ascii="Times New Roman" w:hAnsi="Times New Roman" w:eastAsia="宋体" w:cs="Times New Roman"/>
          <w:color w:val="000000"/>
          <w:sz w:val="24"/>
          <w:szCs w:val="24"/>
          <w:highlight w:val="none"/>
          <w:lang w:val="en-US" w:eastAsia="zh-CN"/>
        </w:rPr>
        <w:t xml:space="preserve">30</w:t>
      </w:r>
      <w:r>
        <w:rPr>
          <w:rFonts w:ascii="Times New Roman" w:hAnsi="Times New Roman" w:cs="Times New Roman"/>
          <w:color w:val="000000"/>
          <w:sz w:val="24"/>
          <w:szCs w:val="24"/>
          <w:highlight w:val="none"/>
          <w:lang w:val="en-US" w:eastAsia="zh-CN"/>
        </w:rPr>
        <w:t xml:space="preserve">分钟内</w:t>
      </w:r>
      <w:r>
        <w:rPr>
          <w:rFonts w:ascii="Times New Roman" w:hAnsi="Times New Roman" w:cs="Times New Roman"/>
          <w:color w:val="000000"/>
          <w:sz w:val="24"/>
          <w:szCs w:val="24"/>
          <w:highlight w:val="none"/>
        </w:rPr>
        <w:t xml:space="preserve">证明其报价合理性的。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（8）不符合招标文件规定的实质性要求和条件的。（本招标文件中标★部分为实质性要求和条件）</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（9）本项目采购产品（如有）被财政部、</w:t>
      </w:r>
      <w:r>
        <w:rPr>
          <w:rFonts w:hint="eastAsia" w:cs="Times New Roman"/>
          <w:color w:val="000000"/>
          <w:sz w:val="24"/>
          <w:szCs w:val="24"/>
          <w:highlight w:val="none"/>
          <w:lang w:eastAsia="zh-CN"/>
        </w:rPr>
        <w:t xml:space="preserve">国家发展改革委</w:t>
      </w:r>
      <w:r>
        <w:rPr>
          <w:rFonts w:ascii="Times New Roman" w:hAnsi="Times New Roman" w:cs="Times New Roman"/>
          <w:color w:val="000000"/>
          <w:sz w:val="24"/>
          <w:szCs w:val="24"/>
          <w:highlight w:val="none"/>
        </w:rPr>
        <w:t xml:space="preserve">、生态环境部等列入“节能产品品目清单”“环境标志产品品目清单”强制采购范围，而投标人投标产品不在强制采购范围内或者未按要求提供国家确定的认证机构出具的、处于有效期之内的节能产品认证证书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（10）投标人未通过符合性审查的。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（11）投标文件含有采购人不能接受的附加条件的。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（12）投标文件未按照招标文件要求加盖公章（CA电子公章）的。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（13）其他法律、法规及本招标文件规定的属于无效投标的情形。</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27.2 有下列情形之一的，视为投标人串通投标，投标无效：</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（1）不同投标人的投标文件由同一单位或者个人编制。</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（2）不同投标人委托同一单位或者个人办理投标事宜。</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（3）不同投标人的投标文件载明的项目管理成员或者联系人员为同一人。</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（4）不同投标人的投标文件异常一致或者投标报价呈规律性差异。</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（5）不同投标人的投标文件相互混装。</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27.3 废标条款：</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（1）因</w:t>
      </w:r>
      <w:r>
        <w:rPr>
          <w:rFonts w:ascii="Times New Roman" w:hAnsi="Times New Roman" w:eastAsia="宋体" w:cs="Times New Roman"/>
          <w:color w:val="000000"/>
          <w:sz w:val="24"/>
          <w:szCs w:val="24"/>
          <w:highlight w:val="none"/>
          <w:lang w:eastAsia="zh-CN"/>
        </w:rPr>
        <w:t xml:space="preserve">“苏采云”</w:t>
      </w:r>
      <w:r>
        <w:rPr>
          <w:rFonts w:ascii="Times New Roman" w:hAnsi="Times New Roman" w:cs="Times New Roman"/>
          <w:color w:val="000000"/>
          <w:sz w:val="24"/>
          <w:szCs w:val="24"/>
          <w:highlight w:val="none"/>
        </w:rPr>
        <w:t xml:space="preserve">系统故障原因造成开标不成功的。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（2）评委会认定招标文件存在歧义、重大缺陷导致评标工作无法进行，或者招标文件内容违反国家有关强制性规定的。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（3）符合专业条件的供应商或者对招标文件作实质响应的供应商不足三家的。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（4）出现影响采购公正的违法、违规行为的。</w:t>
      </w:r>
      <w:r>
        <w:rPr>
          <w:rFonts w:ascii="Times New Roman" w:hAnsi="Times New Roman" w:cs="Times New Roman"/>
          <w:color w:val="000000"/>
          <w:sz w:val="24"/>
          <w:szCs w:val="24"/>
          <w:highlight w:val="none"/>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（5）因重大变故，采购任务取消的。</w:t>
      </w:r>
      <w:r>
        <w:rPr>
          <w:rFonts w:ascii="Times New Roman" w:hAnsi="Times New Roman" w:cs="Times New Roman"/>
          <w:color w:val="000000"/>
          <w:sz w:val="24"/>
          <w:szCs w:val="24"/>
          <w:highlight w:val="none"/>
        </w:rPr>
      </w:r>
      <w:r/>
    </w:p>
    <w:p>
      <w:pPr>
        <w:pStyle w:val="724"/>
        <w:ind w:firstLine="482"/>
        <w:jc w:val="left"/>
        <w:pageBreakBefore w:val="0"/>
        <w:spacing w:line="360" w:lineRule="auto"/>
        <w:rPr>
          <w:rFonts w:ascii="Times New Roman" w:hAnsi="Times New Roman" w:eastAsia="宋体" w:cs="Times New Roman"/>
          <w:b/>
          <w:bCs/>
          <w:color w:val="000000"/>
          <w:sz w:val="24"/>
          <w:szCs w:val="24"/>
          <w:highlight w:val="none"/>
          <w:lang w:val="en-US" w:eastAsia="zh-CN"/>
        </w:rPr>
      </w:pPr>
      <w:r>
        <w:rPr>
          <w:rFonts w:ascii="Times New Roman" w:hAnsi="Times New Roman" w:eastAsia="宋体" w:cs="Times New Roman"/>
          <w:b/>
          <w:bCs/>
          <w:color w:val="000000"/>
          <w:sz w:val="24"/>
          <w:szCs w:val="24"/>
          <w:highlight w:val="none"/>
          <w:lang w:val="en-US" w:eastAsia="zh-CN"/>
        </w:rPr>
        <w:t xml:space="preserve">因项目废标，依据相关法律规定重新招标。</w:t>
      </w:r>
      <w:r>
        <w:rPr>
          <w:rFonts w:ascii="Times New Roman" w:hAnsi="Times New Roman" w:eastAsia="宋体" w:cs="Times New Roman"/>
          <w:b/>
          <w:bCs/>
          <w:color w:val="000000"/>
          <w:sz w:val="24"/>
          <w:szCs w:val="24"/>
          <w:highlight w:val="none"/>
          <w:lang w:val="en-US" w:eastAsia="zh-CN"/>
        </w:rPr>
      </w:r>
      <w:r/>
    </w:p>
    <w:p>
      <w:pPr>
        <w:pStyle w:val="724"/>
        <w:ind w:firstLine="480"/>
        <w:jc w:val="left"/>
        <w:pageBreakBefore w:val="0"/>
        <w:spacing w:line="360" w:lineRule="auto"/>
        <w:rPr>
          <w:rFonts w:ascii="Times New Roman" w:hAnsi="Times New Roman" w:cs="Times New Roman"/>
          <w:color w:val="000000"/>
          <w:sz w:val="24"/>
          <w:szCs w:val="24"/>
          <w:highlight w:val="none"/>
        </w:rPr>
      </w:pPr>
      <w:r>
        <w:rPr>
          <w:rFonts w:ascii="Times New Roman" w:hAnsi="Times New Roman" w:cs="Times New Roman"/>
          <w:color w:val="000000"/>
          <w:sz w:val="24"/>
          <w:szCs w:val="24"/>
          <w:highlight w:val="none"/>
        </w:rPr>
        <w:t xml:space="preserve">27.4 出现投标截止时间结束后参加投标的供应商或者在评标期间对招标文件做出实质响应的供应商不足三家情况的，按照政府采购有关规定执行。</w:t>
      </w:r>
      <w:r>
        <w:rPr>
          <w:rFonts w:ascii="Times New Roman" w:hAnsi="Times New Roman" w:cs="Times New Roman"/>
          <w:color w:val="000000"/>
          <w:sz w:val="24"/>
          <w:szCs w:val="24"/>
          <w:highlight w:val="none"/>
        </w:rPr>
      </w:r>
      <w:r/>
    </w:p>
    <w:p>
      <w:pPr>
        <w:pStyle w:val="724"/>
        <w:ind w:firstLine="482"/>
        <w:jc w:val="left"/>
        <w:pageBreakBefore w:val="0"/>
        <w:spacing w:line="360" w:lineRule="auto"/>
        <w:rPr>
          <w:rFonts w:ascii="Times New Roman" w:hAnsi="Times New Roman" w:cs="Times New Roman"/>
          <w:b/>
          <w:bCs/>
          <w:color w:val="000000"/>
          <w:sz w:val="24"/>
          <w:szCs w:val="24"/>
          <w:highlight w:val="none"/>
          <w:lang w:val="en-US" w:eastAsia="zh-CN"/>
        </w:rPr>
      </w:pPr>
      <w:r>
        <w:rPr>
          <w:rFonts w:ascii="Times New Roman" w:hAnsi="Times New Roman" w:eastAsia="Arial" w:cs="Times New Roman"/>
          <w:b/>
          <w:bCs/>
          <w:color w:val="000000"/>
          <w:sz w:val="24"/>
          <w:szCs w:val="24"/>
          <w:highlight w:val="none"/>
          <w:lang w:val="en-US" w:eastAsia="zh-CN"/>
        </w:rPr>
        <w:t xml:space="preserve">特别提醒：</w:t>
      </w:r>
      <w:r>
        <w:rPr>
          <w:rFonts w:ascii="Times New Roman" w:hAnsi="Times New Roman" w:cs="Times New Roman"/>
          <w:b/>
          <w:bCs/>
          <w:color w:val="000000"/>
          <w:sz w:val="24"/>
          <w:szCs w:val="24"/>
          <w:highlight w:val="none"/>
          <w:lang w:val="en-US" w:eastAsia="zh-CN"/>
        </w:rPr>
      </w:r>
      <w:r/>
    </w:p>
    <w:p>
      <w:pPr>
        <w:pStyle w:val="724"/>
        <w:ind w:firstLine="480"/>
        <w:jc w:val="left"/>
        <w:pageBreakBefore w:val="0"/>
        <w:spacing w:line="360" w:lineRule="auto"/>
        <w:rPr>
          <w:rFonts w:ascii="Times New Roman" w:hAnsi="Times New Roman" w:cs="Times New Roman"/>
          <w:color w:val="000000"/>
          <w:sz w:val="24"/>
          <w:szCs w:val="24"/>
          <w:highlight w:val="none"/>
          <w:lang w:val="en-US" w:eastAsia="zh-CN"/>
        </w:rPr>
      </w:pPr>
      <w:r>
        <w:rPr>
          <w:rFonts w:ascii="Times New Roman" w:hAnsi="Times New Roman" w:eastAsia="宋体" w:cs="Times New Roman"/>
          <w:color w:val="000000"/>
          <w:sz w:val="24"/>
          <w:szCs w:val="24"/>
          <w:highlight w:val="none"/>
          <w:lang w:val="en-US" w:eastAsia="zh-CN"/>
        </w:rPr>
        <w:t xml:space="preserve">根据《关于推动解决政府采购异常低价问题的通知》（财库〔2026〕2号）规定，政府采购</w:t>
      </w:r>
      <w:r>
        <w:rPr>
          <w:rFonts w:ascii="Times New Roman" w:hAnsi="Times New Roman" w:eastAsia="Arial" w:cs="Times New Roman"/>
          <w:color w:val="000000"/>
          <w:sz w:val="24"/>
          <w:szCs w:val="24"/>
          <w:highlight w:val="none"/>
          <w:lang w:val="en-US" w:eastAsia="zh-CN"/>
        </w:rPr>
        <w:t xml:space="preserve">评审过程中出现下列情形之一的，</w:t>
      </w:r>
      <w:r>
        <w:rPr>
          <w:rFonts w:ascii="Times New Roman" w:hAnsi="Times New Roman" w:cs="Times New Roman"/>
          <w:color w:val="000000"/>
          <w:sz w:val="24"/>
          <w:szCs w:val="24"/>
          <w:highlight w:val="none"/>
          <w:lang w:val="en-US" w:eastAsia="zh-CN"/>
        </w:rPr>
        <w:t xml:space="preserve">评审委员会</w:t>
      </w:r>
      <w:r>
        <w:rPr>
          <w:rFonts w:ascii="Times New Roman" w:hAnsi="Times New Roman" w:eastAsia="Arial" w:cs="Times New Roman"/>
          <w:color w:val="000000"/>
          <w:sz w:val="24"/>
          <w:szCs w:val="24"/>
          <w:highlight w:val="none"/>
          <w:lang w:val="en-US" w:eastAsia="zh-CN"/>
        </w:rPr>
        <w:t xml:space="preserve">应当启动异常低价投标审查程序:</w:t>
      </w:r>
      <w:r>
        <w:rPr>
          <w:rFonts w:ascii="Times New Roman" w:hAnsi="Times New Roman" w:cs="Times New Roman"/>
          <w:color w:val="000000"/>
          <w:sz w:val="24"/>
          <w:szCs w:val="24"/>
          <w:highlight w:val="none"/>
          <w:lang w:val="en-US" w:eastAsia="zh-CN"/>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1.投标（响应）报价低于全部通过符合性审查供应商投标（响应）报价平均值</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65</w:t>
      </w: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%的，即投标（响应）报价&lt;全部通过符合性审查供应商投标（响应）报价平均值×</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65</w:t>
      </w: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2.投标（响应）报价低于通过符合性审查的次低报价供应商投标（响应）报价</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65</w:t>
      </w: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%的，即投标（响应）报价&lt;通过符合性审查的次低报价供应商投标（响应）报价×</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65</w:t>
      </w: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3.投标（响应）报价低于采购项目最高限价</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65</w:t>
      </w: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%的，即投标（响应）报价&lt;采购项目最高限价×</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65</w:t>
      </w:r>
      <w:r>
        <w:rPr>
          <w:rFonts w:hint="eastAsia"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4</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.评审委员会基于专业判断，认为供应商报价过低，有可能影响产品质量或者不能诚信履约的其他情形。 </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相关法律法规对供应商报价有规定的，从其规定。</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评审委员会启动异常低价投标审查后，属于前述第1项至第</w:t>
      </w:r>
      <w:r>
        <w:rPr>
          <w:rFonts w:hint="eastAsia" w:cs="Times New Roman"/>
          <w:i w:val="0"/>
          <w:iCs w:val="0"/>
          <w:caps w:val="0"/>
          <w:color w:val="000000"/>
          <w:spacing w:val="0"/>
          <w:sz w:val="24"/>
          <w:szCs w:val="24"/>
          <w:highlight w:val="none"/>
          <w:shd w:val="clear" w:color="auto" w:fill="ffffff"/>
          <w:vertAlign w:val="baseline"/>
          <w:lang w:val="en-US" w:eastAsia="zh-CN" w:bidi="ar"/>
        </w:rPr>
        <w:t xml:space="preserve">3</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项情形的，应当要求相关供应商在评审现场合理的时间内对投标价格作出解释，提供项目具体成本测算等与报价合理性相关的书面说明及必要的证明材料，</w:t>
      </w:r>
      <w:r>
        <w:rPr>
          <w:rFonts w:ascii="Times New Roman" w:hAnsi="Times New Roman" w:eastAsia="宋体" w:cs="Times New Roman"/>
          <w:b/>
          <w:bCs/>
          <w:i w:val="0"/>
          <w:iCs w:val="0"/>
          <w:caps w:val="0"/>
          <w:color w:val="000000"/>
          <w:spacing w:val="0"/>
          <w:sz w:val="24"/>
          <w:szCs w:val="24"/>
          <w:highlight w:val="none"/>
          <w:shd w:val="clear" w:color="auto" w:fill="ffffff"/>
          <w:vertAlign w:val="baseline"/>
          <w:lang w:val="en-US" w:eastAsia="zh-CN" w:bidi="ar"/>
        </w:rPr>
        <w:t xml:space="preserve">包括但不限于人工成本</w:t>
      </w:r>
      <w:r>
        <w:rPr>
          <w:rFonts w:hint="eastAsia" w:cs="Times New Roman"/>
          <w:b/>
          <w:bCs/>
          <w:i w:val="0"/>
          <w:iCs w:val="0"/>
          <w:caps w:val="0"/>
          <w:color w:val="000000"/>
          <w:spacing w:val="0"/>
          <w:sz w:val="24"/>
          <w:szCs w:val="24"/>
          <w:highlight w:val="none"/>
          <w:shd w:val="clear" w:color="auto" w:fill="ffffff"/>
          <w:vertAlign w:val="baseline"/>
          <w:lang w:val="en-US" w:eastAsia="zh-CN" w:bidi="ar"/>
        </w:rPr>
        <w:t xml:space="preserve">、设备使用成本</w:t>
      </w:r>
      <w:r>
        <w:rPr>
          <w:rFonts w:ascii="Times New Roman" w:hAnsi="Times New Roman" w:eastAsia="宋体" w:cs="Times New Roman"/>
          <w:b/>
          <w:bCs/>
          <w:i w:val="0"/>
          <w:iCs w:val="0"/>
          <w:caps w:val="0"/>
          <w:color w:val="000000"/>
          <w:spacing w:val="0"/>
          <w:sz w:val="24"/>
          <w:szCs w:val="24"/>
          <w:highlight w:val="none"/>
          <w:shd w:val="clear" w:color="auto" w:fill="ffffff"/>
          <w:vertAlign w:val="baseline"/>
          <w:lang w:val="en-US" w:eastAsia="zh-CN" w:bidi="ar"/>
        </w:rPr>
        <w:t xml:space="preserve">等，给予相关供应商的合理时间为30分钟</w:t>
      </w: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。其中，属于第3项情形，供应商已随投标文件一并提交相关书面说明及必要的证明材料的，在评审现场可不再重复提交。</w:t>
      </w:r>
      <w:r>
        <w:rPr>
          <w:rFonts w:ascii="Times New Roman" w:hAnsi="Times New Roman" w:cs="Times New Roman"/>
          <w:i w:val="0"/>
          <w:iCs w:val="0"/>
          <w:caps w:val="0"/>
          <w:color w:val="000000"/>
          <w:spacing w:val="0"/>
          <w:sz w:val="21"/>
          <w:szCs w:val="21"/>
          <w:highlight w:val="none"/>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rPr>
          <w:rFonts w:ascii="Times New Roman" w:hAnsi="Times New Roman" w:cs="Times New Roman"/>
          <w:i w:val="0"/>
          <w:iCs w:val="0"/>
          <w:caps w:val="0"/>
          <w:color w:val="000000"/>
          <w:spacing w:val="0"/>
          <w:sz w:val="21"/>
          <w:szCs w:val="21"/>
          <w:highlight w:val="none"/>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ascii="Times New Roman" w:hAnsi="Times New Roman" w:cs="Times New Roman"/>
          <w:i w:val="0"/>
          <w:iCs w:val="0"/>
          <w:caps w:val="0"/>
          <w:color w:val="000000"/>
          <w:spacing w:val="0"/>
          <w:sz w:val="21"/>
          <w:szCs w:val="21"/>
          <w:highlight w:val="none"/>
        </w:rPr>
      </w:r>
      <w:r/>
    </w:p>
    <w:p>
      <w:pPr>
        <w:pStyle w:val="724"/>
        <w:ind w:left="0" w:right="0" w:firstLine="640"/>
        <w:jc w:val="both"/>
        <w:keepLines w:val="0"/>
        <w:keepNext w:val="0"/>
        <w:pageBreakBefore w:val="0"/>
        <w:spacing w:before="0" w:beforeAutospacing="0" w:after="0" w:afterAutospacing="0" w:line="360" w:lineRule="auto"/>
        <w:shd w:val="clear" w:color="auto" w:fill="ffffff"/>
        <w:widowControl/>
        <w:rPr>
          <w:rFonts w:ascii="Times New Roman" w:hAnsi="Times New Roman" w:cs="Times New Roman"/>
          <w:i w:val="0"/>
          <w:iCs w:val="0"/>
          <w:caps w:val="0"/>
          <w:color w:val="000000"/>
          <w:spacing w:val="0"/>
          <w:sz w:val="21"/>
          <w:szCs w:val="21"/>
          <w:highlight w:val="none"/>
        </w:rPr>
        <w:pBdr>
          <w:top w:val="none" w:color="000000" w:sz="0" w:space="0"/>
          <w:left w:val="none" w:color="000000" w:sz="0" w:space="0"/>
          <w:bottom w:val="none" w:color="000000" w:sz="0" w:space="0"/>
          <w:right w:val="none" w:color="000000" w:sz="0" w:space="0"/>
        </w:pBdr>
        <w:suppressLineNumbers w:val="0"/>
      </w:pPr>
      <w:r>
        <w:rPr>
          <w:rFonts w:ascii="Times New Roman" w:hAnsi="Times New Roman" w:eastAsia="宋体" w:cs="Times New Roman"/>
          <w:i w:val="0"/>
          <w:iCs w:val="0"/>
          <w:caps w:val="0"/>
          <w:color w:val="000000"/>
          <w:spacing w:val="0"/>
          <w:sz w:val="24"/>
          <w:szCs w:val="24"/>
          <w:highlight w:val="none"/>
          <w:shd w:val="clear" w:color="auto" w:fill="ffffff"/>
          <w:vertAlign w:val="baseline"/>
          <w:lang w:val="en-US" w:eastAsia="zh-CN" w:bidi="ar"/>
        </w:rPr>
        <w:t xml:space="preserve">异常低价投标审查的启动原因、审查意见和审查结果应当在评审报告中记录，并随供应商提供的相关书面说明及证明材料，以及评审委员会有关互联网浏览、查询历史一并归档。</w:t>
      </w:r>
      <w:r>
        <w:rPr>
          <w:rFonts w:ascii="Times New Roman" w:hAnsi="Times New Roman" w:cs="Times New Roman"/>
          <w:i w:val="0"/>
          <w:iCs w:val="0"/>
          <w:caps w:val="0"/>
          <w:color w:val="000000"/>
          <w:spacing w:val="0"/>
          <w:sz w:val="21"/>
          <w:szCs w:val="21"/>
          <w:highlight w:val="none"/>
        </w:rPr>
      </w:r>
      <w:r/>
    </w:p>
    <w:p>
      <w:pPr>
        <w:pStyle w:val="724"/>
        <w:ind w:firstLine="482"/>
        <w:keepLines/>
        <w:keepNext/>
        <w:spacing w:before="145" w:after="145" w:line="500" w:lineRule="exact"/>
        <w:rPr>
          <w:rFonts w:hint="eastAsia"/>
          <w:b/>
          <w:bCs/>
          <w:color w:val="000000"/>
          <w:sz w:val="32"/>
          <w:szCs w:val="32"/>
          <w:highlight w:val="none"/>
        </w:rPr>
        <w:outlineLvl w:val="2"/>
      </w:pPr>
      <w:r>
        <w:rPr>
          <w:rFonts w:hint="eastAsia"/>
          <w:b/>
          <w:bCs/>
          <w:color w:val="000000"/>
          <w:sz w:val="32"/>
          <w:szCs w:val="32"/>
          <w:highlight w:val="none"/>
        </w:rPr>
        <w:t xml:space="preserve">六、</w:t>
      </w:r>
      <w:bookmarkEnd w:id="146"/>
      <w:r/>
      <w:bookmarkEnd w:id="147"/>
      <w:r/>
      <w:bookmarkEnd w:id="148"/>
      <w:r>
        <w:rPr>
          <w:rFonts w:hint="eastAsia"/>
          <w:b/>
          <w:bCs/>
          <w:color w:val="000000"/>
          <w:sz w:val="32"/>
          <w:szCs w:val="32"/>
          <w:highlight w:val="none"/>
        </w:rPr>
        <w:t xml:space="preserve">定标</w:t>
      </w:r>
      <w:bookmarkEnd w:id="149"/>
      <w:r>
        <w:rPr>
          <w:rFonts w:hint="eastAsia"/>
          <w:b/>
          <w:bCs/>
          <w:color w:val="000000"/>
          <w:sz w:val="32"/>
          <w:szCs w:val="32"/>
          <w:highlight w:val="none"/>
        </w:rPr>
      </w:r>
      <w:r/>
    </w:p>
    <w:p>
      <w:pPr>
        <w:pStyle w:val="724"/>
        <w:ind w:firstLine="600"/>
        <w:keepLines/>
        <w:keepNext/>
        <w:spacing w:line="500" w:lineRule="exact"/>
        <w:rPr>
          <w:rFonts w:hint="eastAsia" w:ascii="黑体" w:hAnsi="宋体" w:eastAsia="黑体"/>
          <w:bCs/>
          <w:color w:val="000000"/>
          <w:sz w:val="30"/>
          <w:szCs w:val="30"/>
          <w:highlight w:val="none"/>
        </w:rPr>
        <w:outlineLvl w:val="3"/>
      </w:pPr>
      <w:r/>
      <w:bookmarkStart w:id="150" w:name="_Toc513029238"/>
      <w:r/>
      <w:bookmarkStart w:id="151" w:name="_Toc20823310"/>
      <w:r/>
      <w:bookmarkStart w:id="152" w:name="_Toc16938554"/>
      <w:r>
        <w:rPr>
          <w:rFonts w:hint="eastAsia" w:ascii="黑体" w:hAnsi="宋体" w:eastAsia="黑体"/>
          <w:bCs/>
          <w:color w:val="000000"/>
          <w:sz w:val="30"/>
          <w:szCs w:val="30"/>
          <w:highlight w:val="none"/>
        </w:rPr>
        <w:t xml:space="preserve">2</w:t>
      </w:r>
      <w:r>
        <w:rPr>
          <w:rFonts w:ascii="黑体" w:hAnsi="宋体" w:eastAsia="黑体"/>
          <w:bCs/>
          <w:color w:val="000000"/>
          <w:sz w:val="30"/>
          <w:szCs w:val="30"/>
          <w:highlight w:val="none"/>
        </w:rPr>
        <w:t xml:space="preserve">8</w:t>
      </w:r>
      <w:r>
        <w:rPr>
          <w:rFonts w:hint="eastAsia" w:ascii="黑体" w:hAnsi="宋体" w:eastAsia="黑体"/>
          <w:bCs/>
          <w:color w:val="000000"/>
          <w:sz w:val="30"/>
          <w:szCs w:val="30"/>
          <w:highlight w:val="none"/>
        </w:rPr>
        <w:t xml:space="preserve">、</w:t>
      </w:r>
      <w:bookmarkEnd w:id="150"/>
      <w:r>
        <w:rPr>
          <w:rFonts w:hint="eastAsia" w:ascii="黑体" w:hAnsi="宋体" w:eastAsia="黑体"/>
          <w:bCs/>
          <w:color w:val="000000"/>
          <w:sz w:val="30"/>
          <w:szCs w:val="30"/>
          <w:highlight w:val="none"/>
        </w:rPr>
        <w:t xml:space="preserve">确定</w:t>
      </w:r>
      <w:bookmarkEnd w:id="151"/>
      <w:r/>
      <w:bookmarkEnd w:id="152"/>
      <w:r>
        <w:rPr>
          <w:rFonts w:hint="eastAsia" w:ascii="黑体" w:hAnsi="宋体" w:eastAsia="黑体"/>
          <w:bCs/>
          <w:color w:val="000000"/>
          <w:sz w:val="30"/>
          <w:szCs w:val="30"/>
          <w:highlight w:val="none"/>
        </w:rPr>
        <w:t xml:space="preserve">中标单位</w:t>
      </w:r>
      <w:r>
        <w:rPr>
          <w:rFonts w:hint="eastAsia" w:ascii="黑体" w:hAnsi="宋体" w:eastAsia="黑体"/>
          <w:bCs/>
          <w:color w:val="000000"/>
          <w:sz w:val="30"/>
          <w:szCs w:val="30"/>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.1中标候选人的选取原则和数量见招标文件第五章规定。</w:t>
      </w:r>
      <w:r>
        <w:rPr>
          <w:rFonts w:hint="eastAsia" w:ascii="宋体" w:hAnsi="宋体"/>
          <w:bCs/>
          <w:color w:val="000000"/>
          <w:sz w:val="24"/>
          <w:szCs w:val="21"/>
          <w:highlight w:val="none"/>
        </w:rPr>
      </w:r>
      <w:r/>
    </w:p>
    <w:p>
      <w:pPr>
        <w:pStyle w:val="724"/>
        <w:ind w:firstLine="480"/>
        <w:spacing w:line="500" w:lineRule="exact"/>
        <w:rPr>
          <w:rFonts w:hint="eastAsia" w:ascii="宋体" w:hAnsi="宋体"/>
          <w:bCs/>
          <w:color w:val="000000"/>
          <w:sz w:val="24"/>
          <w:szCs w:val="21"/>
          <w:highlight w:val="none"/>
        </w:rPr>
      </w:pPr>
      <w:r>
        <w:rPr>
          <w:rFonts w:hint="eastAsia" w:ascii="宋体" w:hAnsi="宋体"/>
          <w:bCs/>
          <w:color w:val="000000"/>
          <w:sz w:val="24"/>
          <w:szCs w:val="21"/>
          <w:highlight w:val="none"/>
        </w:rPr>
        <w:t xml:space="preserve">2</w:t>
      </w:r>
      <w:r>
        <w:rPr>
          <w:rFonts w:ascii="宋体" w:hAnsi="宋体"/>
          <w:bCs/>
          <w:color w:val="000000"/>
          <w:sz w:val="24"/>
          <w:szCs w:val="21"/>
          <w:highlight w:val="none"/>
        </w:rPr>
        <w:t xml:space="preserve">8</w:t>
      </w:r>
      <w:r>
        <w:rPr>
          <w:rFonts w:hint="eastAsia" w:ascii="宋体" w:hAnsi="宋体"/>
          <w:bCs/>
          <w:color w:val="000000"/>
          <w:sz w:val="24"/>
          <w:szCs w:val="21"/>
          <w:highlight w:val="none"/>
        </w:rPr>
        <w:t xml:space="preserve">.2采购人应根据评委会推荐的中标候选人确定中标人。</w:t>
      </w:r>
      <w:r>
        <w:rPr>
          <w:rFonts w:hint="eastAsia" w:ascii="宋体" w:hAnsi="宋体"/>
          <w:bCs/>
          <w:color w:val="000000"/>
          <w:sz w:val="24"/>
          <w:szCs w:val="21"/>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w:t>
      </w:r>
      <w:r>
        <w:rPr>
          <w:rFonts w:ascii="宋体" w:hAnsi="宋体"/>
          <w:bCs/>
          <w:color w:val="000000"/>
          <w:sz w:val="24"/>
          <w:szCs w:val="24"/>
          <w:highlight w:val="none"/>
        </w:rPr>
        <w:t xml:space="preserve">8</w:t>
      </w:r>
      <w:r>
        <w:rPr>
          <w:rFonts w:hint="eastAsia" w:ascii="宋体" w:hAnsi="宋体"/>
          <w:bCs/>
          <w:color w:val="000000"/>
          <w:sz w:val="24"/>
          <w:szCs w:val="24"/>
          <w:highlight w:val="none"/>
        </w:rPr>
        <w:t xml:space="preserve">.3</w:t>
      </w:r>
      <w:r>
        <w:rPr>
          <w:rFonts w:hint="eastAsia" w:ascii="宋体" w:hAnsi="宋体"/>
          <w:bCs/>
          <w:color w:val="000000"/>
          <w:sz w:val="24"/>
          <w:szCs w:val="24"/>
          <w:highlight w:val="none"/>
          <w:lang w:val="en-US" w:eastAsia="zh-CN"/>
        </w:rPr>
        <w:t xml:space="preserve">采购人</w:t>
      </w:r>
      <w:r>
        <w:rPr>
          <w:rFonts w:hint="eastAsia" w:ascii="宋体" w:hAnsi="宋体"/>
          <w:color w:val="000000"/>
          <w:sz w:val="24"/>
          <w:szCs w:val="24"/>
          <w:highlight w:val="none"/>
        </w:rPr>
        <w:t xml:space="preserve">将在“江苏政府采购网”发布中标公告，公告期限为1个工作日。</w:t>
      </w:r>
      <w:r>
        <w:rPr>
          <w:rFonts w:hint="eastAsia" w:ascii="宋体" w:hAnsi="宋体"/>
          <w:color w:val="000000"/>
          <w:sz w:val="24"/>
          <w:szCs w:val="24"/>
          <w:highlight w:val="none"/>
        </w:rPr>
      </w:r>
      <w:r/>
    </w:p>
    <w:p>
      <w:pPr>
        <w:pStyle w:val="724"/>
        <w:ind w:firstLine="480"/>
        <w:spacing w:line="50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8</w:t>
      </w:r>
      <w:r>
        <w:rPr>
          <w:rFonts w:hint="eastAsia" w:ascii="宋体" w:hAnsi="宋体"/>
          <w:color w:val="000000"/>
          <w:sz w:val="24"/>
          <w:szCs w:val="24"/>
          <w:highlight w:val="none"/>
        </w:rPr>
        <w:t xml:space="preserve">.4若有充分证据证明，中标人出现下列情况之一的，一经查实，将被取消中标资格：</w:t>
      </w:r>
      <w:r>
        <w:rPr>
          <w:rFonts w:hint="eastAsia" w:ascii="宋体" w:hAnsi="宋体"/>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bookmarkStart w:id="153" w:name="_Toc200451960"/>
      <w:r>
        <w:rPr>
          <w:rFonts w:hint="eastAsia" w:ascii="Calibri" w:hAnsi="Calibri"/>
          <w:color w:val="000000"/>
          <w:sz w:val="24"/>
          <w:szCs w:val="24"/>
          <w:highlight w:val="none"/>
        </w:rPr>
        <w:t xml:space="preserve">（1）提供虚假材料谋取中标、中标的。</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（2）采取不正当手段诋毁、排挤其他供应商的。</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（3）与采购人、其他供应商或者采购</w:t>
      </w:r>
      <w:r>
        <w:rPr>
          <w:rFonts w:hint="eastAsia" w:ascii="Calibri" w:hAnsi="Calibri"/>
          <w:color w:val="000000"/>
          <w:sz w:val="24"/>
          <w:szCs w:val="24"/>
          <w:highlight w:val="none"/>
          <w:lang w:val="en-US" w:eastAsia="zh-CN"/>
        </w:rPr>
        <w:t xml:space="preserve">代理机构</w:t>
      </w:r>
      <w:r>
        <w:rPr>
          <w:rFonts w:hint="eastAsia" w:ascii="Calibri" w:hAnsi="Calibri"/>
          <w:color w:val="000000"/>
          <w:sz w:val="24"/>
          <w:szCs w:val="24"/>
          <w:highlight w:val="none"/>
        </w:rPr>
        <w:t xml:space="preserve">恶意串通的。</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（4）向采购人、采购</w:t>
      </w:r>
      <w:r>
        <w:rPr>
          <w:rFonts w:hint="eastAsia" w:ascii="Calibri" w:hAnsi="Calibri"/>
          <w:color w:val="000000"/>
          <w:sz w:val="24"/>
          <w:szCs w:val="24"/>
          <w:highlight w:val="none"/>
          <w:lang w:val="en-US" w:eastAsia="zh-CN"/>
        </w:rPr>
        <w:t xml:space="preserve">代理机构</w:t>
      </w:r>
      <w:r>
        <w:rPr>
          <w:rFonts w:hint="eastAsia" w:ascii="Calibri" w:hAnsi="Calibri"/>
          <w:color w:val="000000"/>
          <w:sz w:val="24"/>
          <w:szCs w:val="24"/>
          <w:highlight w:val="none"/>
        </w:rPr>
        <w:t xml:space="preserve">行贿或者提供其他不正当利益的。</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（5）在招标采购过程中与采购人进行协商谈判的。</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（6）属于本招标文件规定的无效情形，但在评标过程中又未被评委会发现的。</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bookmarkEnd w:id="153"/>
      <w:r/>
      <w:bookmarkStart w:id="154" w:name="_Toc16938558"/>
      <w:r/>
      <w:bookmarkStart w:id="155" w:name="_Toc513029242"/>
      <w:r/>
      <w:bookmarkStart w:id="156" w:name="_Toc120614221"/>
      <w:r/>
      <w:bookmarkStart w:id="157" w:name="_Toc20823314"/>
      <w:r/>
      <w:bookmarkStart w:id="158" w:name="_Toc479757207"/>
      <w:r>
        <w:rPr>
          <w:rFonts w:hint="eastAsia" w:ascii="Calibri" w:hAnsi="Calibri"/>
          <w:b/>
          <w:bCs/>
          <w:color w:val="000000"/>
          <w:sz w:val="28"/>
          <w:szCs w:val="28"/>
          <w:highlight w:val="none"/>
        </w:rPr>
        <w:t xml:space="preserve">29、中标通知书</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29.1中标结果确定后，采购</w:t>
      </w:r>
      <w:r>
        <w:rPr>
          <w:rFonts w:hint="eastAsia" w:ascii="Calibri" w:hAnsi="Calibri"/>
          <w:color w:val="000000"/>
          <w:sz w:val="24"/>
          <w:szCs w:val="24"/>
          <w:highlight w:val="none"/>
          <w:lang w:val="en-US" w:eastAsia="zh-CN"/>
        </w:rPr>
        <w:t xml:space="preserve">人或采购代理机构</w:t>
      </w:r>
      <w:r>
        <w:rPr>
          <w:rFonts w:hint="eastAsia" w:ascii="Calibri" w:hAnsi="Calibri"/>
          <w:color w:val="000000"/>
          <w:sz w:val="24"/>
          <w:szCs w:val="24"/>
          <w:highlight w:val="none"/>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29.2中标通知书将作为政府采购合同的一个组成部分。对采购人和中标人均具有法律效力。中标通知书发出后，采购人改变中标结果的，或者中标人放弃中标项目的，应当依法承担法律责任。</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29.3中标人应在中标后七个工作日内，向采购</w:t>
      </w:r>
      <w:r>
        <w:rPr>
          <w:rFonts w:hint="eastAsia" w:ascii="Calibri" w:hAnsi="Calibri"/>
          <w:color w:val="000000"/>
          <w:sz w:val="24"/>
          <w:szCs w:val="24"/>
          <w:highlight w:val="none"/>
          <w:lang w:val="en-US" w:eastAsia="zh-CN"/>
        </w:rPr>
        <w:t xml:space="preserve">代理机构</w:t>
      </w:r>
      <w:r>
        <w:rPr>
          <w:rFonts w:hint="eastAsia" w:ascii="Calibri" w:hAnsi="Calibri"/>
          <w:color w:val="000000"/>
          <w:sz w:val="24"/>
          <w:szCs w:val="24"/>
          <w:highlight w:val="none"/>
        </w:rPr>
        <w:t xml:space="preserve">提供一份与电子投标文件一致的纸质打印胶装投标文件（带页码），封面、骑缝需加盖公章。</w:t>
      </w:r>
      <w:r>
        <w:rPr>
          <w:rFonts w:ascii="Calibri" w:hAnsi="Calibri"/>
          <w:color w:val="000000"/>
          <w:sz w:val="24"/>
          <w:szCs w:val="24"/>
          <w:highlight w:val="none"/>
        </w:rPr>
      </w:r>
      <w:r/>
    </w:p>
    <w:p>
      <w:pPr>
        <w:pStyle w:val="724"/>
        <w:keepLines/>
        <w:keepNext/>
        <w:spacing w:line="360" w:lineRule="auto"/>
        <w:rPr>
          <w:rFonts w:ascii="黑体" w:hAnsi="黑体" w:eastAsia="黑体"/>
          <w:bCs/>
          <w:color w:val="000000"/>
          <w:sz w:val="32"/>
          <w:szCs w:val="32"/>
          <w:highlight w:val="none"/>
        </w:rPr>
        <w:outlineLvl w:val="1"/>
      </w:pPr>
      <w:r>
        <w:rPr>
          <w:rFonts w:hint="eastAsia" w:ascii="黑体" w:hAnsi="黑体" w:eastAsia="黑体"/>
          <w:bCs/>
          <w:color w:val="000000"/>
          <w:sz w:val="32"/>
          <w:szCs w:val="32"/>
          <w:highlight w:val="none"/>
        </w:rPr>
        <w:t xml:space="preserve">七、授予合同</w:t>
      </w:r>
      <w:r>
        <w:rPr>
          <w:rFonts w:ascii="黑体" w:hAnsi="黑体" w:eastAsia="黑体"/>
          <w:bCs/>
          <w:color w:val="000000"/>
          <w:sz w:val="32"/>
          <w:szCs w:val="32"/>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30、履约保证金</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30.1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30.2中标人违约的，采购人将按照合同约定扣除其全部或部分履约保证金。如中标人违约给采购人造成的损失超过履约保证金的，应当依法赔偿超过部分的损失。</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30.3履约保证金自合同生效之日起至合同约定的中标人主要义务履行完毕止，采购人应当按合同约定及时退还履约保证金。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30.4逾期退还履约保证金的采购人承担违约责任，按照中国人民银行同期贷款基准利率向中标人支付超期资金占用费。</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30.5本项目履约保证金要求详见招标文件第四章采购需求。</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31、签订合同</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31.1中标人应当在中标通知书发出之日起三十日内，按照招标文件和中标人投标文件的规定，与采购人签订政府采购合同。</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31.2招标文件、中标人的投标文件及招标过程中有关澄清、承诺等文件均应作为合同附件。</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31.3签订合同后，中标人不得将合同标的转包。未经采购人同意，中标人也不得采用分包的形式履行合同，否则采购人有权终止合同。转包或分包造成采购人损失的，中标人应承担相应赔偿责任。</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32、合同标的的追加</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32.1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33、政府采购履约资金扶持政策</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33.1中标人可凭政府采购合同办理融资贷款，详情请见江苏政府采购网“政采贷”专栏。</w:t>
      </w:r>
      <w:r>
        <w:rPr>
          <w:rFonts w:ascii="Calibri" w:hAnsi="Calibri"/>
          <w:color w:val="000000"/>
          <w:sz w:val="24"/>
          <w:szCs w:val="24"/>
          <w:highlight w:val="none"/>
        </w:rPr>
      </w:r>
      <w:r/>
    </w:p>
    <w:p>
      <w:pPr>
        <w:pStyle w:val="724"/>
        <w:keepLines/>
        <w:keepNext/>
        <w:spacing w:line="360" w:lineRule="auto"/>
        <w:rPr>
          <w:rFonts w:ascii="黑体" w:hAnsi="黑体" w:eastAsia="黑体"/>
          <w:bCs/>
          <w:color w:val="000000"/>
          <w:sz w:val="32"/>
          <w:szCs w:val="32"/>
          <w:highlight w:val="none"/>
        </w:rPr>
        <w:outlineLvl w:val="1"/>
      </w:pPr>
      <w:r>
        <w:rPr>
          <w:rFonts w:hint="eastAsia" w:ascii="黑体" w:hAnsi="黑体" w:eastAsia="黑体"/>
          <w:bCs/>
          <w:color w:val="000000"/>
          <w:sz w:val="32"/>
          <w:szCs w:val="32"/>
          <w:highlight w:val="none"/>
        </w:rPr>
        <w:t xml:space="preserve">八、询问与质疑</w:t>
      </w:r>
      <w:r>
        <w:rPr>
          <w:rFonts w:ascii="黑体" w:hAnsi="黑体" w:eastAsia="黑体"/>
          <w:bCs/>
          <w:color w:val="000000"/>
          <w:sz w:val="32"/>
          <w:szCs w:val="32"/>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34、询问</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34.1供应商对政府采购活动事项有疑问的，可以提出询问，采购人或者</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应当在3个工作日内对投标人依法提出的询问作出答复，但答复的内容不得涉及商业秘密。供应商提出的询问超出采购人对</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委托授权范围的，</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应当告知其向采购人提出。</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35、质疑提出</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35.1提出质疑的供应商应当是参与所质疑项目采购活动的供应商。</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35.2供应商认为采购文件、采购过程、采购结果使自己的权益受到损害的，可以在知道或者应知其权益受到损害之日（获取采购文件之日、中标公告发布之日）起七个工作日内以书面形式向采购人、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提出质疑。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供应商应当在法定质疑期内一次性提出针对同一采购程序环节的质疑，供应商如在法定期限内对同一采购程序环节提出多次质疑的，采购人、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将只对供应商第一次质疑作出答复。</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未按照采购公告要求获取采购文件的供应商，视为未参与该项目采购活动，不具备对该采购文件提出质疑的法定权利。</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35.3提出质疑时，必须坚持“实事求是”的原则，不能臆测。属于须由法定部门调查、侦查或先行作出相关认定的事项，质疑供应商应当依法申请具有法定职权的部门查清、认定，并将相关结果提供给采购人、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不具有法定调查、认定权限。</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35.4质疑函的接收方式为供应商书面原件提交。联系部门、联系电话和通讯地址详见招标文件第一章。质疑实行实名制，不得进行虚假、恶意质疑。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35.5质疑函应当使用范本，详见招标文件第六章。供应商提出质疑应当提交质疑函和必要的证明材料，应当包括下列内容：</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（1）供应商的姓名或者名称、地址、邮编、联系人及联系电话；</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（2）质疑项目的名称、编号；</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（3）具体、明确的质疑事项和与质疑事项相关的请求；</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（4）事实依据；</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（5）必要的法律依据；</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（6）提出质疑的日期；</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（7）必要的证明材料；</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（8）营业执照复印件及授权委托书原件、法定代表人（单位负责人）身份证复印件、委托代理人身份证复印件。</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供应商为自然人的，应当由本人签字；供应商为法人或者其他组织的，应当由法定代表人、主要负责人，或者其委托代理人签字或者盖章，并加盖单位公章。</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4"/>
          <w:szCs w:val="24"/>
          <w:highlight w:val="none"/>
        </w:rPr>
        <w:outlineLvl w:val="2"/>
      </w:pPr>
      <w:r>
        <w:rPr>
          <w:rFonts w:hint="eastAsia" w:ascii="Calibri" w:hAnsi="Calibri"/>
          <w:b/>
          <w:bCs/>
          <w:color w:val="000000"/>
          <w:sz w:val="28"/>
          <w:szCs w:val="28"/>
          <w:highlight w:val="none"/>
        </w:rPr>
        <w:t xml:space="preserve">36、质疑函的受理和答复</w:t>
      </w:r>
      <w:r>
        <w:rPr>
          <w:rFonts w:ascii="Calibri" w:hAnsi="Calibri"/>
          <w:b/>
          <w:bCs/>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36.1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不负责搜集必要的证明材料等工作。</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36.2对符合法定要求的质疑，采购人、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接收并登记《质疑函登记表》。在处理过程中，发现需要质疑供应商进一步补充必要的证明材料的，质疑供应商应在法定的时间内提供，质疑答复时间相应顺延。质疑供应商不能按时提供必要的证明材料的，视同放弃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36.3对不符合质疑要求的，采购人、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有权要求其补充必要的证明材料，质疑供应商未在法定时间内补充必要的证明材料的，视同放弃质疑。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36.4以下情形的质疑依法不予受理：</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（1）内容不符合《政府采购质疑和投诉办法》第十二条规定的质疑。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（2）超出政府采购法定期限的质疑。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（3）以传真、电子邮件等方式递交的非原件形式的质疑。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（4）未参与采购活动或在采购活动中自身权益未受到损害的供应商提出的质疑。</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（5）供应商组成联合体，联合体中任何一方或多方未按要求签字（盖章）、加盖公章的质疑。</w:t>
      </w:r>
      <w:r>
        <w:rPr>
          <w:rFonts w:ascii="Calibri" w:hAnsi="Calibri"/>
          <w:color w:val="000000"/>
          <w:sz w:val="24"/>
          <w:szCs w:val="24"/>
          <w:highlight w:val="none"/>
        </w:rPr>
      </w:r>
      <w:r/>
    </w:p>
    <w:p>
      <w:pPr>
        <w:pStyle w:val="724"/>
        <w:ind w:firstLine="480"/>
        <w:jc w:val="left"/>
        <w:spacing w:line="440" w:lineRule="exact"/>
        <w:rPr>
          <w:rFonts w:hint="eastAsia" w:ascii="Calibri" w:hAnsi="Calibri"/>
          <w:color w:val="000000"/>
          <w:sz w:val="24"/>
          <w:szCs w:val="24"/>
          <w:highlight w:val="none"/>
        </w:rPr>
      </w:pPr>
      <w:r>
        <w:rPr>
          <w:rFonts w:hint="eastAsia" w:ascii="Calibri" w:hAnsi="Calibri"/>
          <w:color w:val="000000"/>
          <w:sz w:val="24"/>
          <w:szCs w:val="24"/>
          <w:highlight w:val="none"/>
        </w:rPr>
        <w:t xml:space="preserve">36.5采购人、</w:t>
      </w:r>
      <w:r>
        <w:rPr>
          <w:rFonts w:hint="eastAsia" w:ascii="Calibri" w:hAnsi="Calibri"/>
          <w:color w:val="000000"/>
          <w:sz w:val="24"/>
          <w:szCs w:val="24"/>
          <w:highlight w:val="none"/>
          <w:lang w:eastAsia="zh-CN"/>
        </w:rPr>
        <w:t xml:space="preserve">采购代理机构</w:t>
      </w:r>
      <w:r>
        <w:rPr>
          <w:rFonts w:hint="eastAsia" w:ascii="Calibri" w:hAnsi="Calibri"/>
          <w:color w:val="000000"/>
          <w:sz w:val="24"/>
          <w:szCs w:val="24"/>
          <w:highlight w:val="none"/>
        </w:rPr>
        <w:t xml:space="preserve">依法受理的质疑，将按照政府采购有关规定，在法定期限内作出答复。</w:t>
      </w:r>
      <w:r>
        <w:rPr>
          <w:rFonts w:hint="eastAsia" w:ascii="Calibri" w:hAnsi="Calibri"/>
          <w:color w:val="000000"/>
          <w:sz w:val="24"/>
          <w:szCs w:val="24"/>
          <w:highlight w:val="none"/>
        </w:rPr>
      </w:r>
      <w:r/>
    </w:p>
    <w:p>
      <w:pPr>
        <w:pStyle w:val="724"/>
        <w:ind w:firstLine="480"/>
        <w:jc w:val="left"/>
        <w:spacing w:line="440" w:lineRule="exact"/>
        <w:rPr>
          <w:rFonts w:ascii="Calibri" w:hAnsi="Calibri"/>
          <w:color w:val="000000"/>
          <w:sz w:val="24"/>
          <w:szCs w:val="24"/>
          <w:highlight w:val="none"/>
        </w:rPr>
      </w:pPr>
      <w:r>
        <w:rPr>
          <w:rFonts w:hint="eastAsia" w:ascii="Calibri" w:hAnsi="Calibri"/>
          <w:color w:val="000000"/>
          <w:sz w:val="24"/>
          <w:szCs w:val="24"/>
          <w:highlight w:val="none"/>
        </w:rPr>
        <w:t xml:space="preserve">36.6 </w:t>
      </w:r>
      <w:r>
        <w:rPr>
          <w:rFonts w:hint="eastAsia" w:ascii="宋体" w:hAnsi="宋体" w:cs="宋体"/>
          <w:color w:val="000000"/>
          <w:sz w:val="24"/>
          <w:szCs w:val="24"/>
          <w:highlight w:val="none"/>
        </w:rPr>
        <w:t xml:space="preserve">因质疑供应商所留联系方式无效，或者无故不接收，导致质疑答复结果无法送达的，视为质疑供应商主动放弃知晓质疑答复结果的权利。</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37、质疑处理</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37.1质疑供应商未按照法定程序进行质疑投诉的，视为一般失信行为。</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37.2质疑供应商不配合或者采取不正当手段干扰政府采购质疑、投诉处理工作的，视为一般失信行为。</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37.3质疑供应商投诉受理期间，就同一事项多头举报，干扰财政部门投诉处理的，视为一般失信行为。</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37.4质疑供应商在全国范围12个月内三次以上质疑查无实据的，视为一般失信行为。</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37.5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37.6质疑供应商在全国范围12个月内三次以上投诉查无实据的，视为严重失信行为。</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37.7未尽事宜，依照有关法律、法规执行。</w:t>
      </w:r>
      <w:r>
        <w:rPr>
          <w:rFonts w:ascii="Calibri" w:hAnsi="Calibri"/>
          <w:color w:val="000000"/>
          <w:sz w:val="24"/>
          <w:szCs w:val="24"/>
          <w:highlight w:val="none"/>
        </w:rPr>
      </w:r>
      <w:r/>
    </w:p>
    <w:p>
      <w:pPr>
        <w:pStyle w:val="724"/>
        <w:keepLines/>
        <w:keepNext/>
        <w:spacing w:before="145" w:after="145" w:line="500" w:lineRule="exact"/>
        <w:rPr>
          <w:rFonts w:hint="eastAsia"/>
          <w:b/>
          <w:bCs/>
          <w:color w:val="000000"/>
          <w:sz w:val="32"/>
          <w:szCs w:val="32"/>
          <w:highlight w:val="none"/>
        </w:rPr>
        <w:outlineLvl w:val="2"/>
      </w:pPr>
      <w:r>
        <w:rPr>
          <w:rFonts w:hint="eastAsia"/>
          <w:b/>
          <w:bCs/>
          <w:color w:val="000000"/>
          <w:sz w:val="32"/>
          <w:szCs w:val="32"/>
          <w:highlight w:val="none"/>
        </w:rPr>
        <w:t xml:space="preserve">九、政府采购政策功能</w:t>
      </w:r>
      <w:r>
        <w:rPr>
          <w:rFonts w:hint="eastAsia"/>
          <w:b/>
          <w:bCs/>
          <w:color w:val="000000"/>
          <w:sz w:val="32"/>
          <w:szCs w:val="32"/>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38、促进中小企业发展</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38.1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w:t>
      </w:r>
      <w:r>
        <w:rPr>
          <w:rFonts w:ascii="Calibri" w:hAnsi="Calibri"/>
          <w:color w:val="000000"/>
          <w:sz w:val="24"/>
          <w:szCs w:val="24"/>
          <w:highlight w:val="none"/>
        </w:rPr>
      </w:r>
      <w:r/>
    </w:p>
    <w:p>
      <w:pPr>
        <w:pStyle w:val="724"/>
        <w:ind w:firstLine="562"/>
        <w:jc w:val="left"/>
        <w:keepLines/>
        <w:keepNext/>
        <w:spacing w:line="360" w:lineRule="auto"/>
        <w:rPr>
          <w:rFonts w:ascii="Calibri" w:hAnsi="Calibri"/>
          <w:b/>
          <w:bCs/>
          <w:color w:val="000000"/>
          <w:sz w:val="28"/>
          <w:szCs w:val="28"/>
          <w:highlight w:val="none"/>
        </w:rPr>
        <w:outlineLvl w:val="2"/>
      </w:pPr>
      <w:r>
        <w:rPr>
          <w:rFonts w:hint="eastAsia" w:ascii="Calibri" w:hAnsi="Calibri"/>
          <w:b/>
          <w:bCs/>
          <w:color w:val="000000"/>
          <w:sz w:val="28"/>
          <w:szCs w:val="28"/>
          <w:highlight w:val="none"/>
        </w:rPr>
        <w:t xml:space="preserve">39、支持绿色发展</w:t>
      </w:r>
      <w:r>
        <w:rPr>
          <w:rFonts w:ascii="Calibri" w:hAnsi="Calibri"/>
          <w:b/>
          <w:bCs/>
          <w:color w:val="000000"/>
          <w:sz w:val="28"/>
          <w:szCs w:val="28"/>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39.1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rFonts w:ascii="Calibri" w:hAnsi="Calibri"/>
          <w:color w:val="000000"/>
          <w:sz w:val="24"/>
          <w:szCs w:val="24"/>
          <w:highlight w:val="none"/>
        </w:rPr>
      </w:r>
      <w:r/>
    </w:p>
    <w:p>
      <w:pPr>
        <w:pStyle w:val="724"/>
        <w:ind w:firstLine="480"/>
        <w:jc w:val="left"/>
        <w:spacing w:line="500" w:lineRule="exact"/>
        <w:rPr>
          <w:rFonts w:ascii="Calibri" w:hAnsi="Calibri"/>
          <w:color w:val="000000"/>
          <w:sz w:val="24"/>
          <w:szCs w:val="24"/>
          <w:highlight w:val="none"/>
        </w:rPr>
      </w:pPr>
      <w:r>
        <w:rPr>
          <w:rFonts w:hint="eastAsia" w:ascii="Calibri" w:hAnsi="Calibri"/>
          <w:color w:val="000000"/>
          <w:sz w:val="24"/>
          <w:szCs w:val="24"/>
          <w:highlight w:val="none"/>
        </w:rPr>
        <w:t xml:space="preserve">39.2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rFonts w:ascii="Calibri" w:hAnsi="Calibri"/>
          <w:color w:val="000000"/>
          <w:sz w:val="24"/>
          <w:szCs w:val="24"/>
          <w:highlight w:val="none"/>
        </w:rPr>
      </w:r>
      <w:r/>
    </w:p>
    <w:p>
      <w:pPr>
        <w:pStyle w:val="724"/>
        <w:ind w:firstLine="562"/>
        <w:jc w:val="left"/>
        <w:keepLines/>
        <w:keepNext/>
        <w:spacing w:line="360" w:lineRule="auto"/>
        <w:rPr>
          <w:rFonts w:ascii="Calibri" w:hAnsi="Calibri" w:eastAsia="Arial"/>
          <w:b/>
          <w:bCs/>
          <w:color w:val="000000"/>
          <w:sz w:val="28"/>
          <w:szCs w:val="28"/>
          <w:highlight w:val="none"/>
        </w:rPr>
        <w:outlineLvl w:val="2"/>
      </w:pPr>
      <w:r>
        <w:rPr>
          <w:rFonts w:hint="eastAsia" w:ascii="Calibri" w:hAnsi="Calibri"/>
          <w:b/>
          <w:bCs/>
          <w:color w:val="000000"/>
          <w:sz w:val="28"/>
          <w:szCs w:val="28"/>
          <w:highlight w:val="none"/>
          <w:lang w:val="en-US" w:eastAsia="zh-CN"/>
        </w:rPr>
        <w:t xml:space="preserve">40、</w:t>
      </w:r>
      <w:r>
        <w:rPr>
          <w:rFonts w:hint="eastAsia" w:ascii="Calibri" w:hAnsi="Calibri" w:eastAsia="Arial"/>
          <w:b/>
          <w:bCs/>
          <w:color w:val="000000"/>
          <w:sz w:val="28"/>
          <w:szCs w:val="28"/>
          <w:highlight w:val="none"/>
        </w:rPr>
        <w:t xml:space="preserve">解释权</w:t>
      </w:r>
      <w:r>
        <w:rPr>
          <w:rFonts w:ascii="Calibri" w:hAnsi="Calibri" w:eastAsia="Arial"/>
          <w:b/>
          <w:bCs/>
          <w:color w:val="000000"/>
          <w:sz w:val="28"/>
          <w:szCs w:val="28"/>
          <w:highlight w:val="none"/>
        </w:rPr>
      </w:r>
      <w:r/>
    </w:p>
    <w:p>
      <w:pPr>
        <w:pStyle w:val="724"/>
        <w:ind w:firstLine="480"/>
        <w:jc w:val="left"/>
        <w:spacing w:line="500" w:lineRule="exact"/>
        <w:rPr>
          <w:rFonts w:ascii="Calibri" w:hAnsi="Calibri" w:eastAsia="Arial"/>
          <w:color w:val="000000"/>
          <w:sz w:val="24"/>
          <w:szCs w:val="24"/>
          <w:highlight w:val="none"/>
        </w:rPr>
      </w:pPr>
      <w:r>
        <w:rPr>
          <w:rFonts w:hint="eastAsia" w:ascii="Calibri" w:hAnsi="Calibri" w:eastAsia="Arial"/>
          <w:color w:val="000000"/>
          <w:sz w:val="24"/>
          <w:szCs w:val="24"/>
          <w:highlight w:val="none"/>
        </w:rPr>
        <w:t xml:space="preserve">本</w:t>
      </w:r>
      <w:r>
        <w:rPr>
          <w:rFonts w:hint="eastAsia" w:ascii="Calibri" w:hAnsi="Calibri"/>
          <w:color w:val="000000"/>
          <w:sz w:val="24"/>
          <w:szCs w:val="24"/>
          <w:highlight w:val="none"/>
        </w:rPr>
        <w:t xml:space="preserve">招标</w:t>
      </w:r>
      <w:r>
        <w:rPr>
          <w:rFonts w:hint="eastAsia" w:ascii="Calibri" w:hAnsi="Calibri" w:eastAsia="Arial"/>
          <w:color w:val="000000"/>
          <w:sz w:val="24"/>
          <w:szCs w:val="24"/>
          <w:highlight w:val="none"/>
        </w:rPr>
        <w:t xml:space="preserve">文件是参照《中华人民共和国政府采购法》、《中华人民共和国政府采购法实施条例》、《</w:t>
      </w:r>
      <w:r>
        <w:rPr>
          <w:rFonts w:hint="eastAsia" w:ascii="宋体" w:hAnsi="宋体" w:cs="宋体"/>
          <w:color w:val="000000"/>
          <w:sz w:val="24"/>
          <w:szCs w:val="24"/>
          <w:highlight w:val="none"/>
          <w:shd w:val="clear" w:color="auto" w:fill="ffffff"/>
        </w:rPr>
        <w:t xml:space="preserve">政府采购货物和服务招标投标管理办法</w:t>
      </w:r>
      <w:r>
        <w:rPr>
          <w:rFonts w:hint="eastAsia" w:ascii="Calibri" w:hAnsi="Calibri" w:eastAsia="Arial"/>
          <w:color w:val="000000"/>
          <w:sz w:val="24"/>
          <w:szCs w:val="24"/>
          <w:highlight w:val="none"/>
        </w:rPr>
        <w:t xml:space="preserve">》及相关法律法规编制，解释权属采购人。</w:t>
      </w:r>
      <w:r>
        <w:rPr>
          <w:rFonts w:ascii="Calibri" w:hAnsi="Calibri" w:eastAsia="Arial"/>
          <w:color w:val="000000"/>
          <w:sz w:val="24"/>
          <w:szCs w:val="24"/>
          <w:highlight w:val="none"/>
        </w:rPr>
      </w:r>
      <w:r/>
    </w:p>
    <w:p>
      <w:pPr>
        <w:pStyle w:val="724"/>
        <w:ind w:firstLine="480"/>
        <w:jc w:val="left"/>
        <w:spacing w:line="500" w:lineRule="exact"/>
        <w:rPr>
          <w:rFonts w:hint="eastAsia" w:ascii="Calibri" w:hAnsi="Calibri" w:eastAsia="Arial"/>
          <w:color w:val="000000"/>
          <w:sz w:val="24"/>
          <w:szCs w:val="24"/>
          <w:highlight w:val="none"/>
        </w:rPr>
      </w:pPr>
      <w:r>
        <w:rPr>
          <w:rFonts w:hint="eastAsia" w:ascii="Calibri" w:hAnsi="Calibri" w:eastAsia="Arial"/>
          <w:color w:val="000000"/>
          <w:sz w:val="24"/>
          <w:szCs w:val="24"/>
          <w:highlight w:val="none"/>
        </w:rPr>
        <w:t xml:space="preserve">构成本</w:t>
      </w:r>
      <w:r>
        <w:rPr>
          <w:rFonts w:hint="eastAsia" w:ascii="Calibri" w:hAnsi="Calibri"/>
          <w:color w:val="000000"/>
          <w:sz w:val="24"/>
          <w:szCs w:val="24"/>
          <w:highlight w:val="none"/>
        </w:rPr>
        <w:t xml:space="preserve">招标文件</w:t>
      </w:r>
      <w:r>
        <w:rPr>
          <w:rFonts w:hint="eastAsia" w:ascii="Calibri" w:hAnsi="Calibri" w:eastAsia="Arial"/>
          <w:color w:val="000000"/>
          <w:sz w:val="24"/>
          <w:szCs w:val="24"/>
          <w:highlight w:val="none"/>
        </w:rPr>
        <w:t xml:space="preserve">的各个组成文件应互为解释，互为说明；如有不明确或不一致，构成合同文件组成内容的，以合同文件约定内容为准，且以专用合同条款约定的合同文件优先顺序解释；除</w:t>
      </w:r>
      <w:r>
        <w:rPr>
          <w:rFonts w:hint="eastAsia" w:ascii="Calibri" w:hAnsi="Calibri"/>
          <w:color w:val="000000"/>
          <w:sz w:val="24"/>
          <w:szCs w:val="24"/>
          <w:highlight w:val="none"/>
        </w:rPr>
        <w:t xml:space="preserve">招标文件</w:t>
      </w:r>
      <w:r>
        <w:rPr>
          <w:rFonts w:hint="eastAsia" w:ascii="Calibri" w:hAnsi="Calibri" w:eastAsia="Arial"/>
          <w:color w:val="000000"/>
          <w:sz w:val="24"/>
          <w:szCs w:val="24"/>
          <w:highlight w:val="none"/>
        </w:rPr>
        <w:t xml:space="preserve">中有特别规定外，仅适用于政府采购阶段的规定，按</w:t>
      </w:r>
      <w:r>
        <w:rPr>
          <w:rFonts w:hint="eastAsia" w:ascii="Calibri" w:hAnsi="Calibri"/>
          <w:color w:val="000000"/>
          <w:sz w:val="24"/>
          <w:szCs w:val="24"/>
          <w:highlight w:val="none"/>
        </w:rPr>
        <w:t xml:space="preserve">招标</w:t>
      </w:r>
      <w:r>
        <w:rPr>
          <w:rFonts w:hint="eastAsia" w:ascii="Calibri" w:hAnsi="Calibri" w:eastAsia="Arial"/>
          <w:color w:val="000000"/>
          <w:sz w:val="24"/>
          <w:szCs w:val="24"/>
          <w:highlight w:val="none"/>
        </w:rPr>
        <w:t xml:space="preserve">公告（投标邀请书）、</w:t>
      </w:r>
      <w:r>
        <w:rPr>
          <w:rFonts w:hint="eastAsia" w:ascii="Calibri" w:hAnsi="Calibri"/>
          <w:color w:val="000000"/>
          <w:sz w:val="24"/>
          <w:szCs w:val="24"/>
          <w:highlight w:val="none"/>
        </w:rPr>
        <w:t xml:space="preserve">投标人</w:t>
      </w:r>
      <w:r>
        <w:rPr>
          <w:rFonts w:hint="eastAsia" w:ascii="Calibri" w:hAnsi="Calibri" w:eastAsia="Arial"/>
          <w:color w:val="000000"/>
          <w:sz w:val="24"/>
          <w:szCs w:val="24"/>
          <w:highlight w:val="none"/>
        </w:rPr>
        <w:t xml:space="preserve">须知、评标办法、</w:t>
      </w:r>
      <w:r>
        <w:rPr>
          <w:rFonts w:hint="eastAsia" w:ascii="Calibri" w:hAnsi="Calibri"/>
          <w:color w:val="000000"/>
          <w:sz w:val="24"/>
          <w:szCs w:val="24"/>
          <w:highlight w:val="none"/>
        </w:rPr>
        <w:t xml:space="preserve">投标</w:t>
      </w:r>
      <w:r>
        <w:rPr>
          <w:rFonts w:hint="eastAsia" w:ascii="Calibri" w:hAnsi="Calibri" w:eastAsia="Arial"/>
          <w:color w:val="000000"/>
          <w:sz w:val="24"/>
          <w:szCs w:val="24"/>
          <w:highlight w:val="none"/>
        </w:rPr>
        <w:t xml:space="preserve">文件格式的先后顺序解释；同一组成文件中就同一事项的规定或约定不一致的，以编排顺序在后者为准；同一组成文件不同版本之间有不一致的，以形成时间在后者为准。按本款前述规定仍不能形成结论的，由采购人负责解释。</w:t>
      </w:r>
      <w:r>
        <w:rPr>
          <w:rFonts w:hint="eastAsia" w:ascii="Calibri" w:hAnsi="Calibri" w:eastAsia="Arial"/>
          <w:color w:val="000000"/>
          <w:sz w:val="24"/>
          <w:szCs w:val="24"/>
          <w:highlight w:val="none"/>
        </w:rPr>
      </w:r>
      <w:r/>
    </w:p>
    <w:p>
      <w:pPr>
        <w:pStyle w:val="724"/>
        <w:jc w:val="center"/>
        <w:keepNext/>
        <w:spacing w:line="500" w:lineRule="exac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第三章合同</w:t>
      </w:r>
      <w:bookmarkEnd w:id="154"/>
      <w:r/>
      <w:bookmarkEnd w:id="155"/>
      <w:r/>
      <w:bookmarkEnd w:id="156"/>
      <w:r/>
      <w:bookmarkEnd w:id="157"/>
      <w:r/>
      <w:bookmarkEnd w:id="158"/>
      <w:r>
        <w:rPr>
          <w:rFonts w:hint="eastAsia" w:ascii="黑体" w:eastAsia="黑体"/>
          <w:bCs/>
          <w:color w:val="000000"/>
          <w:sz w:val="44"/>
          <w:szCs w:val="28"/>
          <w:highlight w:val="none"/>
        </w:rPr>
        <w:t xml:space="preserve">文本</w:t>
      </w:r>
      <w:r>
        <w:rPr>
          <w:rFonts w:hint="eastAsia" w:ascii="黑体" w:eastAsia="黑体"/>
          <w:bCs/>
          <w:color w:val="000000"/>
          <w:sz w:val="44"/>
          <w:szCs w:val="28"/>
          <w:highlight w:val="none"/>
        </w:rPr>
      </w:r>
      <w:r/>
    </w:p>
    <w:p>
      <w:pPr>
        <w:pStyle w:val="724"/>
        <w:jc w:val="center"/>
        <w:rPr>
          <w:rFonts w:ascii="黑体" w:hAnsi="华文中宋" w:eastAsia="黑体"/>
          <w:color w:val="000000"/>
          <w:sz w:val="28"/>
          <w:szCs w:val="28"/>
          <w:highlight w:val="none"/>
        </w:rPr>
      </w:pPr>
      <w:r/>
      <w:bookmarkStart w:id="159" w:name="_Hlt16619350"/>
      <w:r/>
      <w:bookmarkStart w:id="160" w:name="_Toc16938590"/>
      <w:r/>
      <w:bookmarkStart w:id="161" w:name="_Toc20823346"/>
      <w:r/>
      <w:bookmarkStart w:id="162" w:name="_Toc120614244"/>
      <w:r/>
      <w:bookmarkStart w:id="163" w:name="_Toc479757211"/>
      <w:r/>
      <w:bookmarkStart w:id="164" w:name="_Toc462564139"/>
      <w:r>
        <w:rPr>
          <w:rFonts w:ascii="黑体" w:hAnsi="华文中宋" w:eastAsia="黑体"/>
          <w:color w:val="000000"/>
          <w:sz w:val="28"/>
          <w:szCs w:val="28"/>
          <w:highlight w:val="none"/>
        </w:rPr>
      </w:r>
      <w:r/>
    </w:p>
    <w:p>
      <w:pPr>
        <w:pStyle w:val="724"/>
        <w:jc w:val="center"/>
        <w:keepLines w:val="0"/>
        <w:keepNext w:val="0"/>
        <w:pageBreakBefore w:val="0"/>
        <w:spacing w:line="520" w:lineRule="exact"/>
        <w:widowControl w:val="off"/>
        <w:rPr>
          <w:rFonts w:hint="eastAsia" w:ascii="思源宋体" w:hAnsi="思源宋体" w:eastAsia="思源宋体" w:cs="思源宋体"/>
          <w:color w:val="000000"/>
          <w:sz w:val="21"/>
          <w:szCs w:val="21"/>
          <w:highlight w:val="none"/>
          <w:lang w:val="en-US" w:eastAsia="zh-CN" w:bidi="ar"/>
        </w:rPr>
      </w:pPr>
      <w:r>
        <w:rPr>
          <w:rFonts w:hint="eastAsia" w:ascii="Calibri" w:hAnsi="Calibri"/>
          <w:color w:val="000000"/>
          <w:sz w:val="24"/>
          <w:szCs w:val="24"/>
          <w:highlight w:val="none"/>
          <w:lang w:eastAsia="zh-CN"/>
        </w:rPr>
        <w:t xml:space="preserve">杨集镇城镇公共卫生服务采购项目（专门面向中小企业）</w:t>
      </w:r>
      <w:r>
        <w:rPr>
          <w:rFonts w:hint="eastAsia" w:ascii="Calibri" w:hAnsi="Calibri"/>
          <w:color w:val="000000"/>
          <w:sz w:val="24"/>
          <w:szCs w:val="24"/>
          <w:highlight w:val="none"/>
          <w:lang w:val="en-US" w:eastAsia="zh-CN"/>
        </w:rPr>
        <w:t xml:space="preserve">采购合同</w:t>
      </w:r>
      <w:r>
        <w:rPr>
          <w:rFonts w:hint="eastAsia" w:ascii="思源宋体" w:hAnsi="思源宋体" w:eastAsia="思源宋体" w:cs="思源宋体"/>
          <w:color w:val="000000"/>
          <w:sz w:val="21"/>
          <w:szCs w:val="21"/>
          <w:highlight w:val="none"/>
          <w:lang w:val="en-US" w:eastAsia="zh-CN" w:bidi="ar"/>
        </w:rPr>
      </w:r>
      <w:r/>
    </w:p>
    <w:p>
      <w:pPr>
        <w:pStyle w:val="724"/>
        <w:rPr>
          <w:rFonts w:hint="eastAsia"/>
          <w:color w:val="000000"/>
          <w:sz w:val="21"/>
          <w:szCs w:val="21"/>
          <w:highlight w:val="none"/>
        </w:rPr>
      </w:pPr>
      <w:r>
        <w:rPr>
          <w:rFonts w:hint="eastAsia"/>
          <w:color w:val="000000"/>
          <w:sz w:val="21"/>
          <w:szCs w:val="21"/>
          <w:highlight w:val="none"/>
        </w:rPr>
      </w:r>
      <w:r/>
    </w:p>
    <w:p>
      <w:pPr>
        <w:pStyle w:val="724"/>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甲方：灌云县杨集镇人民政府</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地址：灌云县杨集镇镇东村迎宾路1号</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乙方：</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2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地址：</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为提升杨集镇环境整治工作质量，规范辖区公共卫生服务市场化运作，根据《中华人民共和国民法典》《江苏省城市市容和环境卫生管理条例》《政府采购需求管理办法》等法律法规，甲乙双方就</w:t>
      </w:r>
      <w:r>
        <w:rPr>
          <w:rFonts w:hint="eastAsia" w:ascii="宋体" w:hAnsi="宋体" w:cs="宋体"/>
          <w:color w:val="000000"/>
          <w:sz w:val="24"/>
          <w:szCs w:val="24"/>
          <w:highlight w:val="none"/>
          <w:u w:val="single"/>
          <w:lang w:val="en-US" w:eastAsia="zh-CN" w:bidi="ar"/>
        </w:rPr>
        <w:t xml:space="preserve">杨集镇城镇公共卫生服务采购项目（专门面向中小企业）</w:t>
      </w:r>
      <w:r>
        <w:rPr>
          <w:rFonts w:hint="eastAsia" w:ascii="宋体" w:hAnsi="宋体" w:eastAsia="宋体" w:cs="宋体"/>
          <w:color w:val="000000"/>
          <w:sz w:val="24"/>
          <w:szCs w:val="24"/>
          <w:highlight w:val="none"/>
          <w:lang w:val="en-US" w:eastAsia="zh-CN" w:bidi="ar"/>
        </w:rPr>
        <w:t xml:space="preserve">事宜协商一致，签订本协议，共同遵守。</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一、</w:t>
      </w:r>
      <w:r>
        <w:rPr>
          <w:rFonts w:hint="eastAsia" w:ascii="宋体" w:hAnsi="宋体" w:cs="宋体"/>
          <w:color w:val="000000"/>
          <w:sz w:val="24"/>
          <w:szCs w:val="24"/>
          <w:highlight w:val="none"/>
          <w:lang w:val="en-US" w:eastAsia="zh-CN" w:bidi="ar"/>
        </w:rPr>
        <w:t xml:space="preserve">服务</w:t>
      </w:r>
      <w:r>
        <w:rPr>
          <w:rFonts w:hint="eastAsia" w:ascii="宋体" w:hAnsi="宋体" w:eastAsia="宋体" w:cs="宋体"/>
          <w:color w:val="000000"/>
          <w:sz w:val="24"/>
          <w:szCs w:val="24"/>
          <w:highlight w:val="none"/>
          <w:lang w:val="en-US" w:eastAsia="zh-CN" w:bidi="ar"/>
        </w:rPr>
        <w:t xml:space="preserve">范围</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color w:val="000000"/>
          <w:sz w:val="24"/>
          <w:szCs w:val="24"/>
          <w:highlight w:val="none"/>
          <w:lang w:val="en-US" w:eastAsia="zh-CN"/>
        </w:rPr>
        <w:t xml:space="preserve">杨集镇利华村、镇东村、城东村、三星社区、元兴村全域、主要交通干道路线沿线、利华村高速口至杨集卫生院西侧辉煌酒楼路段</w:t>
      </w:r>
      <w:r>
        <w:rPr>
          <w:rFonts w:hint="eastAsia" w:ascii="宋体" w:hAnsi="宋体" w:eastAsia="宋体" w:cs="宋体"/>
          <w:color w:val="000000"/>
          <w:sz w:val="24"/>
          <w:szCs w:val="24"/>
          <w:highlight w:val="none"/>
          <w:lang w:val="en-US" w:eastAsia="zh-CN" w:bidi="ar"/>
        </w:rPr>
        <w:t xml:space="preserve">（含道路两侧5米范围内）</w:t>
      </w:r>
      <w:r>
        <w:rPr>
          <w:rFonts w:hint="eastAsia" w:ascii="宋体" w:hAnsi="宋体"/>
          <w:color w:val="000000"/>
          <w:sz w:val="24"/>
          <w:szCs w:val="24"/>
          <w:highlight w:val="none"/>
          <w:lang w:val="en-US" w:eastAsia="zh-CN"/>
        </w:rPr>
        <w:t xml:space="preserve">沿线的清扫、生活垃圾清理清运等；镇区22座公共厕所的日常卫生清理打扫；杨集、沂北2个垃圾中转站的日常卫生清理打扫及运营车辆维修；清运车辆的日常维护、常规修理等。</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二、</w:t>
      </w:r>
      <w:r>
        <w:rPr>
          <w:rFonts w:hint="eastAsia" w:ascii="宋体" w:hAnsi="宋体" w:cs="宋体"/>
          <w:color w:val="000000"/>
          <w:sz w:val="24"/>
          <w:szCs w:val="24"/>
          <w:highlight w:val="none"/>
          <w:lang w:val="en-US" w:eastAsia="zh-CN" w:bidi="ar"/>
        </w:rPr>
        <w:t xml:space="preserve">服务</w:t>
      </w:r>
      <w:r>
        <w:rPr>
          <w:rFonts w:hint="eastAsia" w:ascii="宋体" w:hAnsi="宋体" w:eastAsia="宋体" w:cs="宋体"/>
          <w:color w:val="000000"/>
          <w:sz w:val="24"/>
          <w:szCs w:val="24"/>
          <w:highlight w:val="none"/>
          <w:lang w:val="en-US" w:eastAsia="zh-CN" w:bidi="ar"/>
        </w:rPr>
        <w:t xml:space="preserve">事项</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1、合同范围村及主要街道清扫、生活垃圾清理清运；</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2、交通干道沿线垃圾清理、清运；</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3、镇区22座公共厕所的日常卫生</w:t>
      </w:r>
      <w:r>
        <w:rPr>
          <w:rFonts w:hint="eastAsia" w:ascii="宋体" w:hAnsi="宋体" w:cs="宋体"/>
          <w:color w:val="000000"/>
          <w:sz w:val="24"/>
          <w:szCs w:val="24"/>
          <w:highlight w:val="none"/>
          <w:lang w:val="en-US" w:eastAsia="zh-CN" w:bidi="ar"/>
        </w:rPr>
        <w:t xml:space="preserve">清理清扫服务</w:t>
      </w:r>
      <w:r>
        <w:rPr>
          <w:rFonts w:hint="eastAsia" w:ascii="宋体" w:hAnsi="宋体" w:eastAsia="宋体" w:cs="宋体"/>
          <w:color w:val="000000"/>
          <w:sz w:val="24"/>
          <w:szCs w:val="24"/>
          <w:highlight w:val="none"/>
          <w:lang w:val="en-US" w:eastAsia="zh-CN" w:bidi="ar"/>
        </w:rPr>
        <w:t xml:space="preserve">（含地面清扫、便器清洁、消毒除臭、垃圾清运，每日不少于1次）；</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4、杨集、沂北2个垃圾中转站的</w:t>
      </w:r>
      <w:r>
        <w:rPr>
          <w:rFonts w:hint="eastAsia" w:ascii="宋体" w:hAnsi="宋体" w:cs="宋体"/>
          <w:color w:val="000000"/>
          <w:sz w:val="24"/>
          <w:szCs w:val="24"/>
          <w:highlight w:val="none"/>
          <w:lang w:val="en-US" w:eastAsia="zh-CN" w:bidi="ar"/>
        </w:rPr>
        <w:t xml:space="preserve">叉车由乙方自行配备，并负责该</w:t>
      </w:r>
      <w:r>
        <w:rPr>
          <w:rFonts w:hint="eastAsia" w:ascii="宋体" w:hAnsi="宋体" w:eastAsia="宋体" w:cs="宋体"/>
          <w:color w:val="000000"/>
          <w:sz w:val="24"/>
          <w:szCs w:val="24"/>
          <w:highlight w:val="none"/>
          <w:lang w:val="en-US" w:eastAsia="zh-CN" w:bidi="ar"/>
        </w:rPr>
        <w:t xml:space="preserve">2个垃圾中转站的日常卫生</w:t>
      </w:r>
      <w:r>
        <w:rPr>
          <w:rFonts w:hint="eastAsia" w:ascii="宋体" w:hAnsi="宋体" w:cs="宋体"/>
          <w:color w:val="000000"/>
          <w:sz w:val="24"/>
          <w:szCs w:val="24"/>
          <w:highlight w:val="none"/>
          <w:lang w:val="en-US" w:eastAsia="zh-CN" w:bidi="ar"/>
        </w:rPr>
        <w:t xml:space="preserve">清理清扫服务</w:t>
      </w:r>
      <w:r>
        <w:rPr>
          <w:rFonts w:hint="eastAsia" w:ascii="宋体" w:hAnsi="宋体" w:eastAsia="宋体" w:cs="宋体"/>
          <w:color w:val="000000"/>
          <w:sz w:val="24"/>
          <w:szCs w:val="24"/>
          <w:highlight w:val="none"/>
          <w:lang w:val="en-US" w:eastAsia="zh-CN" w:bidi="ar"/>
        </w:rPr>
        <w:t xml:space="preserve">及运营车辆维修；</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5、乙方</w:t>
      </w:r>
      <w:r>
        <w:rPr>
          <w:rFonts w:hint="eastAsia" w:ascii="宋体" w:hAnsi="宋体" w:cs="宋体"/>
          <w:color w:val="000000"/>
          <w:sz w:val="24"/>
          <w:szCs w:val="24"/>
          <w:highlight w:val="none"/>
          <w:lang w:val="en-US" w:eastAsia="zh-CN" w:bidi="ar"/>
        </w:rPr>
        <w:t xml:space="preserve">须自行</w:t>
      </w:r>
      <w:r>
        <w:rPr>
          <w:rFonts w:hint="eastAsia" w:ascii="宋体" w:hAnsi="宋体" w:eastAsia="宋体" w:cs="宋体"/>
          <w:color w:val="000000"/>
          <w:sz w:val="24"/>
          <w:szCs w:val="24"/>
          <w:highlight w:val="none"/>
          <w:lang w:val="en-US" w:eastAsia="zh-CN" w:bidi="ar"/>
        </w:rPr>
        <w:t xml:space="preserve">配备清运车辆</w:t>
      </w:r>
      <w:r>
        <w:rPr>
          <w:rFonts w:hint="eastAsia" w:ascii="宋体" w:hAnsi="宋体" w:cs="宋体"/>
          <w:color w:val="000000"/>
          <w:sz w:val="24"/>
          <w:szCs w:val="24"/>
          <w:highlight w:val="none"/>
          <w:lang w:val="en-US" w:eastAsia="zh-CN" w:bidi="ar"/>
        </w:rPr>
        <w:t xml:space="preserve">并负责其</w:t>
      </w:r>
      <w:r>
        <w:rPr>
          <w:rFonts w:hint="eastAsia" w:ascii="宋体" w:hAnsi="宋体" w:eastAsia="宋体" w:cs="宋体"/>
          <w:color w:val="000000"/>
          <w:sz w:val="24"/>
          <w:szCs w:val="24"/>
          <w:highlight w:val="none"/>
          <w:lang w:val="en-US" w:eastAsia="zh-CN" w:bidi="ar"/>
        </w:rPr>
        <w:t xml:space="preserve">日常维护</w:t>
      </w:r>
      <w:r>
        <w:rPr>
          <w:rFonts w:hint="eastAsia" w:ascii="宋体" w:hAnsi="宋体" w:cs="宋体"/>
          <w:color w:val="000000"/>
          <w:sz w:val="24"/>
          <w:szCs w:val="24"/>
          <w:highlight w:val="none"/>
          <w:lang w:val="en-US" w:eastAsia="zh-CN" w:bidi="ar"/>
        </w:rPr>
        <w:t xml:space="preserve">和</w:t>
      </w:r>
      <w:r>
        <w:rPr>
          <w:rFonts w:hint="eastAsia" w:ascii="宋体" w:hAnsi="宋体" w:eastAsia="宋体" w:cs="宋体"/>
          <w:color w:val="000000"/>
          <w:sz w:val="24"/>
          <w:szCs w:val="24"/>
          <w:highlight w:val="none"/>
          <w:lang w:val="en-US" w:eastAsia="zh-CN" w:bidi="ar"/>
        </w:rPr>
        <w:t xml:space="preserve">常规修理。</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三、承包费用及付款方式</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1、甲方每年向乙方支付承包费人民币</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 ）（不含税），此金额为固定包干价，包含人工、耗材、常规维修、保险等全部费用；​</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2、乙方应在本协议签订生效后3个工作日内进场开展</w:t>
      </w:r>
      <w:r>
        <w:rPr>
          <w:rFonts w:hint="eastAsia" w:ascii="宋体" w:hAnsi="宋体" w:cs="宋体"/>
          <w:color w:val="000000"/>
          <w:sz w:val="24"/>
          <w:szCs w:val="24"/>
          <w:highlight w:val="none"/>
          <w:lang w:val="en-US" w:eastAsia="zh-CN" w:bidi="ar"/>
        </w:rPr>
        <w:t xml:space="preserve">清理清扫等服务</w:t>
      </w:r>
      <w:r>
        <w:rPr>
          <w:rFonts w:hint="eastAsia" w:ascii="宋体" w:hAnsi="宋体" w:eastAsia="宋体" w:cs="宋体"/>
          <w:color w:val="000000"/>
          <w:sz w:val="24"/>
          <w:szCs w:val="24"/>
          <w:highlight w:val="none"/>
          <w:lang w:val="en-US" w:eastAsia="zh-CN" w:bidi="ar"/>
        </w:rPr>
        <w:t xml:space="preserve">工作；​</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3、付款方式：甲方按月支付，付款周期为协议履约期内实际月数。</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注：月考核平均分值达90分及以上的，全额给付</w:t>
      </w:r>
      <w:r>
        <w:rPr>
          <w:rFonts w:hint="eastAsia" w:ascii="宋体" w:hAnsi="宋体" w:cs="宋体"/>
          <w:color w:val="000000"/>
          <w:sz w:val="24"/>
          <w:szCs w:val="24"/>
          <w:highlight w:val="none"/>
          <w:lang w:val="en-US" w:eastAsia="zh-CN" w:bidi="ar"/>
        </w:rPr>
        <w:t xml:space="preserve">月度款</w:t>
      </w:r>
      <w:r>
        <w:rPr>
          <w:rFonts w:hint="eastAsia" w:ascii="宋体" w:hAnsi="宋体" w:eastAsia="宋体" w:cs="宋体"/>
          <w:color w:val="000000"/>
          <w:sz w:val="24"/>
          <w:szCs w:val="24"/>
          <w:highlight w:val="none"/>
          <w:lang w:val="en-US" w:eastAsia="zh-CN" w:bidi="ar"/>
        </w:rPr>
        <w:t xml:space="preserve">；月考核平均分值在85-90分之间的，给付</w:t>
      </w:r>
      <w:r>
        <w:rPr>
          <w:rFonts w:hint="eastAsia" w:ascii="宋体" w:hAnsi="宋体" w:cs="宋体"/>
          <w:color w:val="000000"/>
          <w:sz w:val="24"/>
          <w:szCs w:val="24"/>
          <w:highlight w:val="none"/>
          <w:lang w:val="en-US" w:eastAsia="zh-CN" w:bidi="ar"/>
        </w:rPr>
        <w:t xml:space="preserve">月度款</w:t>
      </w:r>
      <w:r>
        <w:rPr>
          <w:rFonts w:hint="eastAsia" w:ascii="宋体" w:hAnsi="宋体" w:eastAsia="宋体" w:cs="宋体"/>
          <w:color w:val="000000"/>
          <w:sz w:val="24"/>
          <w:szCs w:val="24"/>
          <w:highlight w:val="none"/>
          <w:lang w:val="en-US" w:eastAsia="zh-CN" w:bidi="ar"/>
        </w:rPr>
        <w:t xml:space="preserve">的90%；月考核平均分值在80-85分之间的，给付</w:t>
      </w:r>
      <w:r>
        <w:rPr>
          <w:rFonts w:hint="eastAsia" w:ascii="宋体" w:hAnsi="宋体" w:cs="宋体"/>
          <w:color w:val="000000"/>
          <w:sz w:val="24"/>
          <w:szCs w:val="24"/>
          <w:highlight w:val="none"/>
          <w:lang w:val="en-US" w:eastAsia="zh-CN" w:bidi="ar"/>
        </w:rPr>
        <w:t xml:space="preserve">月度款</w:t>
      </w:r>
      <w:r>
        <w:rPr>
          <w:rFonts w:hint="eastAsia" w:ascii="宋体" w:hAnsi="宋体" w:eastAsia="宋体" w:cs="宋体"/>
          <w:color w:val="000000"/>
          <w:sz w:val="24"/>
          <w:szCs w:val="24"/>
          <w:highlight w:val="none"/>
          <w:lang w:val="en-US" w:eastAsia="zh-CN" w:bidi="ar"/>
        </w:rPr>
        <w:t xml:space="preserve">的80%；月考核平均分值在75-80分之间的，给付</w:t>
      </w:r>
      <w:r>
        <w:rPr>
          <w:rFonts w:hint="eastAsia" w:ascii="宋体" w:hAnsi="宋体" w:cs="宋体"/>
          <w:color w:val="000000"/>
          <w:sz w:val="24"/>
          <w:szCs w:val="24"/>
          <w:highlight w:val="none"/>
          <w:lang w:val="en-US" w:eastAsia="zh-CN" w:bidi="ar"/>
        </w:rPr>
        <w:t xml:space="preserve">月度款</w:t>
      </w:r>
      <w:r>
        <w:rPr>
          <w:rFonts w:hint="eastAsia" w:ascii="宋体" w:hAnsi="宋体" w:eastAsia="宋体" w:cs="宋体"/>
          <w:color w:val="000000"/>
          <w:sz w:val="24"/>
          <w:szCs w:val="24"/>
          <w:highlight w:val="none"/>
          <w:lang w:val="en-US" w:eastAsia="zh-CN" w:bidi="ar"/>
        </w:rPr>
        <w:t xml:space="preserve">的70%；月考核平均分值在70-75分之间的，给付</w:t>
      </w:r>
      <w:r>
        <w:rPr>
          <w:rFonts w:hint="eastAsia" w:ascii="宋体" w:hAnsi="宋体" w:cs="宋体"/>
          <w:color w:val="000000"/>
          <w:sz w:val="24"/>
          <w:szCs w:val="24"/>
          <w:highlight w:val="none"/>
          <w:lang w:val="en-US" w:eastAsia="zh-CN" w:bidi="ar"/>
        </w:rPr>
        <w:t xml:space="preserve">月度款</w:t>
      </w:r>
      <w:r>
        <w:rPr>
          <w:rFonts w:hint="eastAsia" w:ascii="宋体" w:hAnsi="宋体" w:eastAsia="宋体" w:cs="宋体"/>
          <w:color w:val="000000"/>
          <w:sz w:val="24"/>
          <w:szCs w:val="24"/>
          <w:highlight w:val="none"/>
          <w:lang w:val="en-US" w:eastAsia="zh-CN" w:bidi="ar"/>
        </w:rPr>
        <w:t xml:space="preserve">的50%；月考核平均分值在70分以下的，全额取消</w:t>
      </w:r>
      <w:r>
        <w:rPr>
          <w:rFonts w:hint="eastAsia" w:ascii="宋体" w:hAnsi="宋体" w:cs="宋体"/>
          <w:color w:val="000000"/>
          <w:sz w:val="24"/>
          <w:szCs w:val="24"/>
          <w:highlight w:val="none"/>
          <w:lang w:val="en-US" w:eastAsia="zh-CN" w:bidi="ar"/>
        </w:rPr>
        <w:t xml:space="preserve">月度款</w:t>
      </w:r>
      <w:r>
        <w:rPr>
          <w:rFonts w:hint="eastAsia" w:ascii="宋体" w:hAnsi="宋体" w:eastAsia="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4、乙方应在每月5日前向甲方提供合法有效发票，甲方收到发票后10个工作日内完成付款（遇节假日顺延）。​</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四、合同时间</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本协议履约期限：</w:t>
      </w:r>
      <w:r>
        <w:rPr>
          <w:rFonts w:hint="eastAsia" w:ascii="宋体" w:hAnsi="宋体" w:cs="宋体"/>
          <w:color w:val="000000"/>
          <w:sz w:val="24"/>
          <w:szCs w:val="24"/>
          <w:highlight w:val="none"/>
          <w:lang w:val="en-US" w:eastAsia="zh-CN" w:bidi="ar"/>
        </w:rPr>
        <w:t xml:space="preserve">两年。</w:t>
      </w:r>
      <w:r>
        <w:rPr>
          <w:rFonts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自</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日起，至</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年</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月</w:t>
      </w:r>
      <w:r>
        <w:rPr>
          <w:rFonts w:hint="eastAsia" w:ascii="宋体" w:hAnsi="宋体" w:eastAsia="宋体" w:cs="宋体"/>
          <w:color w:val="000000"/>
          <w:sz w:val="24"/>
          <w:szCs w:val="24"/>
          <w:highlight w:val="none"/>
          <w:u w:val="single"/>
          <w:lang w:val="en-US" w:eastAsia="zh-CN" w:bidi="ar"/>
        </w:rPr>
        <w:t xml:space="preserve">  </w:t>
      </w:r>
      <w:r>
        <w:rPr>
          <w:rFonts w:hint="eastAsia" w:ascii="宋体" w:hAnsi="宋体" w:eastAsia="宋体" w:cs="宋体"/>
          <w:color w:val="000000"/>
          <w:sz w:val="24"/>
          <w:szCs w:val="24"/>
          <w:highlight w:val="none"/>
          <w:lang w:val="en-US" w:eastAsia="zh-CN" w:bidi="ar"/>
        </w:rPr>
        <w:t xml:space="preserve">日止（最终结算按实际服务天数折算）。</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五、甲方的权利、义务</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1、甲方有权组织对乙方作业质量、文明安全作业情况进行定期（每月1次）、不定期检查考核；甲方有权查阅承包项目相关文件资料、进入现场检查，但不得干扰乙方正常作业；​</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2、若乙方发生下列情形之一，每次扣除总承包款的5%；发生2次及以上的，甲方有权解除合同，乙方承担全部损失：​</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（1）作业质量连续2次考核不合格且未按期整改；​</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（2）发生重大安全事故（造成1人及以上重伤或死亡）或重大环境污染事故；​</w:t>
      </w:r>
      <w:r>
        <w:rPr>
          <w:rFonts w:hint="eastAsia" w:ascii="宋体" w:hAnsi="宋体" w:cs="宋体"/>
          <w:color w:val="000000"/>
          <w:sz w:val="24"/>
          <w:szCs w:val="24"/>
          <w:highlight w:val="none"/>
          <w:lang w:val="en-US" w:eastAsia="zh-CN" w:bidi="ar"/>
        </w:rPr>
        <w:t xml:space="preserve">  </w:t>
      </w:r>
      <w:r>
        <w:rPr>
          <w:rFonts w:hint="eastAsia" w:ascii="宋体" w:hAnsi="宋体" w:eastAsia="宋体" w:cs="宋体"/>
          <w:color w:val="000000"/>
          <w:sz w:val="24"/>
          <w:szCs w:val="24"/>
          <w:highlight w:val="none"/>
          <w:lang w:val="en-US" w:eastAsia="zh-CN" w:bidi="ar"/>
        </w:rPr>
        <w:t xml:space="preserve">（3）擅自停业、歇业超过24小时，影响社会公共利益；</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3、甲方应协助乙方协调承包期间的地方性矛盾（如村民阻挠作业等），接到乙方书面申请后7个工作日内给予答复或处理；​​</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六、乙方的权利、义务​</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1、严格执行“组保洁、村收集、公司转运”机制，确保生活垃圾日产日清，做到无积存、无外露；​</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2、乙方有权调换不称职</w:t>
      </w:r>
      <w:r>
        <w:rPr>
          <w:rFonts w:hint="eastAsia" w:ascii="宋体" w:hAnsi="宋体" w:cs="宋体"/>
          <w:color w:val="000000"/>
          <w:sz w:val="24"/>
          <w:szCs w:val="24"/>
          <w:highlight w:val="none"/>
          <w:lang w:val="en-US" w:eastAsia="zh-CN" w:bidi="ar"/>
        </w:rPr>
        <w:t xml:space="preserve">服务</w:t>
      </w:r>
      <w:r>
        <w:rPr>
          <w:rFonts w:hint="eastAsia" w:ascii="宋体" w:hAnsi="宋体" w:eastAsia="宋体" w:cs="宋体"/>
          <w:color w:val="000000"/>
          <w:sz w:val="24"/>
          <w:szCs w:val="24"/>
          <w:highlight w:val="none"/>
          <w:lang w:val="en-US" w:eastAsia="zh-CN" w:bidi="ar"/>
        </w:rPr>
        <w:t xml:space="preserve">人员（含甲方保留人员），但应提前3日书面告知甲方；乙方与所有</w:t>
      </w:r>
      <w:r>
        <w:rPr>
          <w:rFonts w:hint="eastAsia" w:ascii="宋体" w:hAnsi="宋体" w:cs="宋体"/>
          <w:color w:val="000000"/>
          <w:sz w:val="24"/>
          <w:szCs w:val="24"/>
          <w:highlight w:val="none"/>
          <w:lang w:val="en-US" w:eastAsia="zh-CN" w:bidi="ar"/>
        </w:rPr>
        <w:t xml:space="preserve">服务</w:t>
      </w:r>
      <w:r>
        <w:rPr>
          <w:rFonts w:hint="eastAsia" w:ascii="宋体" w:hAnsi="宋体" w:eastAsia="宋体" w:cs="宋体"/>
          <w:color w:val="000000"/>
          <w:sz w:val="24"/>
          <w:szCs w:val="24"/>
          <w:highlight w:val="none"/>
          <w:lang w:val="en-US" w:eastAsia="zh-CN" w:bidi="ar"/>
        </w:rPr>
        <w:t xml:space="preserve">人员签订劳动合同，依法缴纳养老保险、医疗保险、失业保险、工伤保险和生育保险（依据《中华人民共和国劳动合同法》），劳动纠纷及相关费用由乙方承担；​</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3、乙方应服从甲方监督检查，发生重大事故（如安全事故、设备故障）或重大事项（如群体投诉），应在2小时内书面报告甲方；​</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w:t>
      </w:r>
      <w:r>
        <w:rPr>
          <w:rFonts w:hint="eastAsia" w:ascii="宋体" w:hAnsi="宋体" w:cs="宋体"/>
          <w:color w:val="000000"/>
          <w:sz w:val="24"/>
          <w:szCs w:val="24"/>
          <w:highlight w:val="none"/>
          <w:lang w:val="en-US" w:eastAsia="zh-CN" w:bidi="ar"/>
        </w:rPr>
        <w:t xml:space="preserve">服务</w:t>
      </w:r>
      <w:r>
        <w:rPr>
          <w:rFonts w:hint="eastAsia" w:ascii="宋体" w:hAnsi="宋体" w:eastAsia="宋体" w:cs="宋体"/>
          <w:color w:val="000000"/>
          <w:sz w:val="24"/>
          <w:szCs w:val="24"/>
          <w:highlight w:val="none"/>
          <w:lang w:val="en-US" w:eastAsia="zh-CN" w:bidi="ar"/>
        </w:rPr>
        <w:t xml:space="preserve">人员因工作原因发生的安全责任事故，由乙方承担全部赔偿责任；乙方应对上岗人员进行岗前培训及定期安全培训（每月不少于1次），甲方有权核查培训记录；​</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5、乙方应配合甲方及各级环卫管理部门的检查评比，对相关部门提出的整改意见，应在2日内反馈整改方案，5日内完成整改；逾期未整改的，按500元/天扣除承包费，但累计扣除金额不超过当月承包费的30%；​</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七、其他说明​</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1、承包期内遇重大活动或突击性检查任务，甲方应提前3 日书面通知乙方；超出本协议约定工作范围的，甲方应另行支付合理费用（按实际投入人工、耗材核算）；​</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2、甲方成立3人以上考评小组，每月对乙方作业质量进行量化考评，考评结果作为付款依据；</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3、乙方隐瞒重大质量或安全事故的，甲方有权临时接管承包项目，终止协议，乙方承担承包总额30%的违约金，未支付费用不再支付；​</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4、因乙方自身原因无法继续提供服务的，应提前30日书面通知甲方，赔偿甲方直接经济损失，并按已提供服务期限结算费用；​</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5、乙方不得将本协议转包或肢解分包给第三方，否则甲方有权解除协议，乙方支付违约金¥100,000.00，并赔偿损失；​</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6、任何一方违约，除承担上述约定责任外，需另行支付违约金¥100,000.00；违约金不足以弥补损失的，违约方应补足差额。</w:t>
      </w:r>
      <w:r>
        <w:rPr>
          <w:rFonts w:hint="eastAsia" w:ascii="宋体" w:hAnsi="宋体" w:eastAsia="宋体" w:cs="宋体"/>
          <w:color w:val="000000"/>
          <w:sz w:val="24"/>
          <w:szCs w:val="24"/>
          <w:highlight w:val="none"/>
          <w:lang w:val="en-US" w:eastAsia="zh-CN" w:bidi="ar"/>
        </w:rPr>
      </w:r>
      <w:r/>
    </w:p>
    <w:p>
      <w:pPr>
        <w:pStyle w:val="724"/>
        <w:numPr>
          <w:ilvl w:val="0"/>
          <w:numId w:val="0"/>
        </w:numPr>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八、附则</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1、协议签订后5个工作日内，双方办理设备、场地等接管验收手续，签订接管清单；​</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2、本协议未尽事宜，双方签订补充协议，补充协议与本协议具有同等法律效力；​</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3、因不可抗力（如地震、台风、疫情等）导致协议无法履行的，双方互不承担违约责任，应及时协商处理；乙方因不可抗力无法工作的，应在24小时内通知甲方，并提供相关证明；​</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4、本协议系双方自愿签订，双方签字或盖章后生效，协议一式三份，甲乙双方各执一份，备案一份；​</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5、争议解决方式：协商不成的，提交灌云县人民法院诉讼解决。</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甲方: 灌云县杨集镇人民政府</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委托代理人：</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乙方: </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法定代表人：</w:t>
      </w:r>
      <w:r>
        <w:rPr>
          <w:rFonts w:hint="eastAsia" w:ascii="宋体" w:hAnsi="宋体" w:eastAsia="宋体" w:cs="宋体"/>
          <w:color w:val="000000"/>
          <w:sz w:val="24"/>
          <w:szCs w:val="24"/>
          <w:highlight w:val="none"/>
          <w:lang w:val="en-US" w:eastAsia="zh-CN" w:bidi="ar"/>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委托代理人：</w:t>
      </w:r>
      <w:r>
        <w:rPr>
          <w:rFonts w:hint="eastAsia" w:ascii="宋体" w:hAnsi="宋体" w:eastAsia="宋体" w:cs="宋体"/>
          <w:color w:val="000000"/>
          <w:sz w:val="24"/>
          <w:szCs w:val="24"/>
          <w:highlight w:val="none"/>
          <w:lang w:val="en-US" w:eastAsia="zh-CN" w:bidi="ar"/>
        </w:rPr>
      </w:r>
      <w:r/>
    </w:p>
    <w:p>
      <w:pPr>
        <w:pStyle w:val="724"/>
        <w:jc w:val="center"/>
        <w:spacing w:before="120" w:after="120" w:line="500" w:lineRule="exact"/>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t xml:space="preserve">签订日期：   年   月   日</w:t>
      </w:r>
      <w:r>
        <w:rPr>
          <w:rFonts w:hint="eastAsia" w:ascii="宋体" w:hAnsi="宋体" w:eastAsia="宋体" w:cs="宋体"/>
          <w:color w:val="000000"/>
          <w:sz w:val="24"/>
          <w:szCs w:val="24"/>
          <w:highlight w:val="none"/>
          <w:lang w:val="en-US" w:eastAsia="zh-CN" w:bidi="ar"/>
        </w:rPr>
      </w:r>
      <w:r/>
    </w:p>
    <w:p>
      <w:pPr>
        <w:pStyle w:val="724"/>
        <w:rPr>
          <w:rFonts w:hint="eastAsia" w:ascii="宋体" w:hAnsi="宋体" w:eastAsia="宋体" w:cs="宋体"/>
          <w:color w:val="000000"/>
          <w:sz w:val="24"/>
          <w:szCs w:val="24"/>
          <w:highlight w:val="none"/>
          <w:lang w:val="en-US" w:eastAsia="zh-CN" w:bidi="ar"/>
        </w:rPr>
      </w:pPr>
      <w:r>
        <w:rPr>
          <w:rFonts w:hint="eastAsia" w:ascii="宋体" w:hAnsi="宋体" w:eastAsia="宋体" w:cs="宋体"/>
          <w:color w:val="000000"/>
          <w:sz w:val="24"/>
          <w:szCs w:val="24"/>
          <w:highlight w:val="none"/>
          <w:lang w:val="en-US" w:eastAsia="zh-CN" w:bidi="ar"/>
        </w:rPr>
        <w:br w:type="page" w:clear="all"/>
      </w:r>
      <w:r>
        <w:rPr>
          <w:rFonts w:hint="eastAsia" w:ascii="宋体" w:hAnsi="宋体" w:eastAsia="宋体" w:cs="宋体"/>
          <w:color w:val="000000"/>
          <w:sz w:val="24"/>
          <w:szCs w:val="24"/>
          <w:highlight w:val="none"/>
          <w:lang w:val="en-US" w:eastAsia="zh-CN" w:bidi="ar"/>
        </w:rPr>
      </w:r>
      <w:r/>
    </w:p>
    <w:p>
      <w:pPr>
        <w:pStyle w:val="724"/>
        <w:jc w:val="center"/>
        <w:spacing w:before="120" w:after="120" w:line="500" w:lineRule="exact"/>
        <w:rPr>
          <w:rFonts w:hint="eastAsia" w:ascii="宋体" w:hAnsi="宋体" w:cs="Courier New"/>
          <w:color w:val="000000"/>
          <w:sz w:val="24"/>
          <w:szCs w:val="24"/>
          <w:highlight w:val="none"/>
        </w:rPr>
      </w:pPr>
      <w:r>
        <w:rPr>
          <w:rFonts w:hint="eastAsia" w:ascii="黑体" w:hAnsi="Courier New" w:eastAsia="黑体" w:cs="Courier New"/>
          <w:bCs/>
          <w:color w:val="000000"/>
          <w:sz w:val="44"/>
          <w:szCs w:val="21"/>
          <w:highlight w:val="none"/>
        </w:rPr>
        <w:t xml:space="preserve">第</w:t>
      </w:r>
      <w:bookmarkEnd w:id="159"/>
      <w:r>
        <w:rPr>
          <w:rFonts w:hint="eastAsia" w:ascii="黑体" w:hAnsi="Courier New" w:eastAsia="黑体" w:cs="Courier New"/>
          <w:bCs/>
          <w:color w:val="000000"/>
          <w:sz w:val="44"/>
          <w:szCs w:val="21"/>
          <w:highlight w:val="none"/>
        </w:rPr>
        <w:t xml:space="preserve">四章采购需求</w:t>
      </w:r>
      <w:bookmarkEnd w:id="160"/>
      <w:r/>
      <w:bookmarkEnd w:id="161"/>
      <w:r/>
      <w:bookmarkEnd w:id="162"/>
      <w:r>
        <w:rPr>
          <w:rFonts w:hint="eastAsia" w:ascii="宋体" w:hAnsi="宋体" w:cs="Courier New"/>
          <w:color w:val="000000"/>
          <w:sz w:val="24"/>
          <w:szCs w:val="24"/>
          <w:highlight w:val="none"/>
        </w:rPr>
      </w:r>
      <w:r/>
    </w:p>
    <w:p>
      <w:pPr>
        <w:pStyle w:val="724"/>
        <w:ind w:firstLine="482"/>
        <w:spacing w:before="120" w:after="120" w:line="500" w:lineRule="exact"/>
        <w:rPr>
          <w:rFonts w:hint="eastAsia" w:ascii="宋体" w:hAnsi="宋体" w:cs="Courier New"/>
          <w:b/>
          <w:bCs/>
          <w:color w:val="000000"/>
          <w:sz w:val="24"/>
          <w:szCs w:val="24"/>
          <w:highlight w:val="none"/>
        </w:rPr>
      </w:pPr>
      <w:r/>
      <w:bookmarkStart w:id="165" w:name="_Toc49090575"/>
      <w:r/>
      <w:bookmarkStart w:id="166" w:name="_Toc26554093"/>
      <w:r>
        <w:rPr>
          <w:rFonts w:hint="eastAsia" w:ascii="宋体" w:hAnsi="宋体" w:cs="Courier New"/>
          <w:b/>
          <w:bCs/>
          <w:color w:val="000000"/>
          <w:sz w:val="24"/>
          <w:szCs w:val="24"/>
          <w:highlight w:val="none"/>
        </w:rPr>
        <w:t xml:space="preserve">项目属性</w:t>
      </w:r>
      <w:r>
        <w:rPr>
          <w:rFonts w:hint="eastAsia" w:ascii="宋体" w:hAnsi="宋体" w:cs="Courier New"/>
          <w:b/>
          <w:bCs/>
          <w:color w:val="000000"/>
          <w:sz w:val="24"/>
          <w:szCs w:val="24"/>
          <w:highlight w:val="none"/>
          <w:lang w:eastAsia="zh-CN"/>
        </w:rPr>
        <w:t xml:space="preserve">：</w:t>
      </w:r>
      <w:r>
        <w:rPr>
          <w:rFonts w:hint="eastAsia" w:ascii="宋体" w:hAnsi="宋体" w:cs="Courier New"/>
          <w:b/>
          <w:bCs/>
          <w:color w:val="000000"/>
          <w:sz w:val="24"/>
          <w:szCs w:val="24"/>
          <w:highlight w:val="none"/>
          <w:u w:val="single"/>
          <w:lang w:val="en-US" w:eastAsia="zh-CN"/>
        </w:rPr>
        <w:t xml:space="preserve">服务</w:t>
      </w:r>
      <w:r>
        <w:rPr>
          <w:rFonts w:hint="eastAsia" w:ascii="宋体" w:hAnsi="宋体" w:cs="Courier New"/>
          <w:b/>
          <w:bCs/>
          <w:color w:val="000000"/>
          <w:sz w:val="24"/>
          <w:szCs w:val="24"/>
          <w:highlight w:val="none"/>
          <w:u w:val="single"/>
        </w:rPr>
        <w:t xml:space="preserve">类</w:t>
      </w:r>
      <w:r>
        <w:rPr>
          <w:rFonts w:hint="eastAsia" w:ascii="宋体" w:hAnsi="宋体" w:cs="Courier New"/>
          <w:b/>
          <w:bCs/>
          <w:color w:val="000000"/>
          <w:sz w:val="24"/>
          <w:szCs w:val="24"/>
          <w:highlight w:val="none"/>
        </w:rPr>
        <w:t xml:space="preserve">。采购标的对应的中小企业划分标准所属行业为</w:t>
      </w:r>
      <w:r>
        <w:rPr>
          <w:rFonts w:hint="eastAsia" w:ascii="宋体" w:hAnsi="宋体" w:cs="Courier New"/>
          <w:b/>
          <w:bCs/>
          <w:color w:val="000000"/>
          <w:sz w:val="24"/>
          <w:szCs w:val="24"/>
          <w:highlight w:val="none"/>
          <w:u w:val="single"/>
          <w:lang w:val="en-US" w:eastAsia="zh-CN"/>
        </w:rPr>
        <w:t xml:space="preserve">其他未列明行</w:t>
      </w:r>
      <w:r>
        <w:rPr>
          <w:rFonts w:ascii="宋体" w:hAnsi="宋体" w:cs="Courier New"/>
          <w:b/>
          <w:bCs/>
          <w:color w:val="000000"/>
          <w:sz w:val="24"/>
          <w:szCs w:val="24"/>
          <w:highlight w:val="none"/>
          <w:u w:val="single"/>
        </w:rPr>
        <w:t xml:space="preserve">业</w:t>
      </w:r>
      <w:r>
        <w:rPr>
          <w:rFonts w:hint="eastAsia" w:ascii="宋体" w:hAnsi="宋体" w:cs="Courier New"/>
          <w:b/>
          <w:bCs/>
          <w:color w:val="000000"/>
          <w:sz w:val="24"/>
          <w:szCs w:val="24"/>
          <w:highlight w:val="none"/>
        </w:rPr>
        <w:t xml:space="preserve">。</w:t>
      </w:r>
      <w:r>
        <w:rPr>
          <w:rFonts w:hint="eastAsia" w:ascii="宋体" w:hAnsi="宋体" w:cs="Courier New"/>
          <w:b/>
          <w:bCs/>
          <w:color w:val="000000"/>
          <w:sz w:val="24"/>
          <w:szCs w:val="24"/>
          <w:highlight w:val="none"/>
        </w:rPr>
      </w:r>
      <w:r/>
    </w:p>
    <w:p>
      <w:pPr>
        <w:pStyle w:val="724"/>
        <w:ind w:firstLine="480"/>
        <w:jc w:val="left"/>
        <w:keepLines w:val="0"/>
        <w:keepNext w:val="0"/>
        <w:pageBreakBefore w:val="0"/>
        <w:spacing w:line="520" w:lineRule="exact"/>
        <w:widowControl w:val="off"/>
        <w:rPr>
          <w:rFonts w:hint="eastAsia" w:ascii="Calibri" w:hAnsi="Calibri" w:eastAsia="宋体" w:cs="Times New Roman"/>
          <w:color w:val="000000"/>
          <w:sz w:val="24"/>
          <w:szCs w:val="24"/>
          <w:highlight w:val="none"/>
          <w:u w:val="none"/>
          <w:lang w:eastAsia="zh-CN"/>
        </w:rPr>
      </w:pPr>
      <w:r>
        <w:rPr>
          <w:rFonts w:hint="eastAsia" w:ascii="Calibri" w:hAnsi="Calibri" w:eastAsia="宋体" w:cs="Times New Roman"/>
          <w:color w:val="000000"/>
          <w:sz w:val="24"/>
          <w:szCs w:val="24"/>
          <w:highlight w:val="none"/>
          <w:u w:val="none"/>
          <w:lang w:eastAsia="zh-CN"/>
        </w:rPr>
        <w:t xml:space="preserve">1、根据《政府采购需求管理办法》等有关规定，采购人确定采购需求。</w:t>
      </w:r>
      <w:r>
        <w:rPr>
          <w:rFonts w:hint="eastAsia" w:ascii="Calibri" w:hAnsi="Calibri" w:eastAsia="宋体" w:cs="Times New Roman"/>
          <w:color w:val="000000"/>
          <w:sz w:val="24"/>
          <w:szCs w:val="24"/>
          <w:highlight w:val="none"/>
          <w:u w:val="none"/>
          <w:lang w:eastAsia="zh-CN"/>
        </w:rPr>
      </w:r>
      <w:r/>
    </w:p>
    <w:p>
      <w:pPr>
        <w:pStyle w:val="724"/>
        <w:ind w:firstLine="480"/>
        <w:jc w:val="left"/>
        <w:keepLines w:val="0"/>
        <w:keepNext w:val="0"/>
        <w:pageBreakBefore w:val="0"/>
        <w:spacing w:line="520" w:lineRule="exact"/>
        <w:widowControl w:val="off"/>
        <w:rPr>
          <w:rFonts w:hint="eastAsia" w:ascii="Calibri" w:hAnsi="Calibri" w:eastAsia="宋体" w:cs="Times New Roman"/>
          <w:color w:val="000000"/>
          <w:sz w:val="24"/>
          <w:szCs w:val="24"/>
          <w:highlight w:val="none"/>
          <w:u w:val="none"/>
          <w:lang w:eastAsia="zh-CN"/>
        </w:rPr>
      </w:pPr>
      <w:r>
        <w:rPr>
          <w:rFonts w:hint="eastAsia" w:ascii="Calibri" w:hAnsi="Calibri" w:eastAsia="宋体" w:cs="Times New Roman"/>
          <w:color w:val="000000"/>
          <w:sz w:val="24"/>
          <w:szCs w:val="24"/>
          <w:highlight w:val="none"/>
          <w:u w:val="none"/>
          <w:lang w:eastAsia="zh-CN"/>
        </w:rPr>
        <w:t xml:space="preserve">2、本招标文件中标注★的款项为实质性响应要求和条件，供应商须逐条明确作出满足实质性要求和条件的响应，否则将按无效投标处理。</w:t>
      </w:r>
      <w:r>
        <w:rPr>
          <w:rFonts w:hint="eastAsia" w:ascii="Calibri" w:hAnsi="Calibri" w:eastAsia="宋体" w:cs="Times New Roman"/>
          <w:color w:val="000000"/>
          <w:sz w:val="24"/>
          <w:szCs w:val="24"/>
          <w:highlight w:val="none"/>
          <w:u w:val="none"/>
          <w:lang w:eastAsia="zh-CN"/>
        </w:rPr>
      </w:r>
      <w:r/>
    </w:p>
    <w:p>
      <w:pPr>
        <w:pStyle w:val="724"/>
        <w:keepLines w:val="0"/>
        <w:keepNext w:val="0"/>
        <w:pageBreakBefore w:val="0"/>
        <w:spacing w:line="52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一、项目概况</w:t>
      </w:r>
      <w:r>
        <w:rPr>
          <w:rFonts w:ascii="宋体" w:hAnsi="宋体" w:eastAsia="宋体" w:cs="Times New Roman"/>
          <w:b/>
          <w:color w:val="000000"/>
          <w:sz w:val="24"/>
          <w:szCs w:val="24"/>
          <w:highlight w:val="none"/>
        </w:rPr>
      </w:r>
      <w:r/>
    </w:p>
    <w:p>
      <w:pPr>
        <w:pStyle w:val="724"/>
        <w:ind w:firstLine="480"/>
        <w:keepLines w:val="0"/>
        <w:keepNext w:val="0"/>
        <w:pageBreakBefore w:val="0"/>
        <w:spacing w:line="520" w:lineRule="exact"/>
        <w:widowControl w:val="off"/>
        <w:rPr>
          <w:color w:val="000000"/>
          <w:sz w:val="24"/>
          <w:szCs w:val="24"/>
          <w:highlight w:val="none"/>
        </w:rPr>
      </w:pPr>
      <w:r>
        <w:rPr>
          <w:rFonts w:hint="eastAsia"/>
          <w:color w:val="000000"/>
          <w:sz w:val="24"/>
          <w:szCs w:val="24"/>
          <w:highlight w:val="none"/>
        </w:rPr>
        <w:t xml:space="preserve">为了</w:t>
      </w:r>
      <w:r>
        <w:rPr>
          <w:color w:val="000000"/>
          <w:sz w:val="24"/>
          <w:szCs w:val="24"/>
          <w:highlight w:val="none"/>
        </w:rPr>
        <w:t xml:space="preserve">提升</w:t>
      </w:r>
      <w:r>
        <w:rPr>
          <w:rFonts w:hint="eastAsia"/>
          <w:color w:val="000000"/>
          <w:sz w:val="24"/>
          <w:szCs w:val="24"/>
          <w:highlight w:val="none"/>
        </w:rPr>
        <w:t xml:space="preserve">杨集</w:t>
      </w:r>
      <w:r>
        <w:rPr>
          <w:color w:val="000000"/>
          <w:sz w:val="24"/>
          <w:szCs w:val="24"/>
          <w:highlight w:val="none"/>
        </w:rPr>
        <w:t xml:space="preserve">镇环境整治工作，特对全镇卫生</w:t>
      </w:r>
      <w:r>
        <w:rPr>
          <w:rFonts w:hint="eastAsia"/>
          <w:color w:val="000000"/>
          <w:sz w:val="24"/>
          <w:szCs w:val="24"/>
          <w:highlight w:val="none"/>
          <w:lang w:val="en-US" w:eastAsia="zh-CN"/>
        </w:rPr>
        <w:t xml:space="preserve">清理清扫等服务</w:t>
      </w:r>
      <w:r>
        <w:rPr>
          <w:color w:val="000000"/>
          <w:sz w:val="24"/>
          <w:szCs w:val="24"/>
          <w:highlight w:val="none"/>
        </w:rPr>
        <w:t xml:space="preserve">工作进行市场化运作、环境整治清扫保洁，及垃圾处理标准的要求，根据</w:t>
      </w:r>
      <w:r>
        <w:rPr>
          <w:rFonts w:hint="eastAsia"/>
          <w:color w:val="000000"/>
          <w:sz w:val="24"/>
          <w:szCs w:val="24"/>
          <w:highlight w:val="none"/>
        </w:rPr>
        <w:t xml:space="preserve">《</w:t>
      </w:r>
      <w:r>
        <w:rPr>
          <w:color w:val="000000"/>
          <w:sz w:val="24"/>
          <w:szCs w:val="24"/>
          <w:highlight w:val="none"/>
        </w:rPr>
        <w:t xml:space="preserve">中华人民共和国</w:t>
      </w:r>
      <w:r>
        <w:rPr>
          <w:rFonts w:hint="eastAsia"/>
          <w:color w:val="000000"/>
          <w:sz w:val="24"/>
          <w:szCs w:val="24"/>
          <w:highlight w:val="none"/>
        </w:rPr>
        <w:t xml:space="preserve">民法典</w:t>
      </w:r>
      <w:r>
        <w:rPr>
          <w:color w:val="000000"/>
          <w:sz w:val="24"/>
          <w:szCs w:val="24"/>
          <w:highlight w:val="none"/>
        </w:rPr>
        <w:t xml:space="preserve">》</w:t>
      </w:r>
      <w:r>
        <w:rPr>
          <w:rFonts w:hint="eastAsia"/>
          <w:color w:val="000000"/>
          <w:sz w:val="24"/>
          <w:szCs w:val="24"/>
          <w:highlight w:val="none"/>
        </w:rPr>
        <w:t xml:space="preserve">、</w:t>
      </w:r>
      <w:r>
        <w:rPr>
          <w:color w:val="000000"/>
          <w:sz w:val="24"/>
          <w:szCs w:val="24"/>
          <w:highlight w:val="none"/>
        </w:rPr>
        <w:t xml:space="preserve">《</w:t>
      </w:r>
      <w:r>
        <w:rPr>
          <w:rFonts w:hint="eastAsia"/>
          <w:color w:val="000000"/>
          <w:sz w:val="24"/>
          <w:szCs w:val="24"/>
          <w:highlight w:val="none"/>
          <w:lang w:eastAsia="zh-CN"/>
        </w:rPr>
        <w:t xml:space="preserve">江苏省城市市容和环境卫生管理条例</w:t>
      </w:r>
      <w:r>
        <w:rPr>
          <w:color w:val="000000"/>
          <w:sz w:val="24"/>
          <w:szCs w:val="24"/>
          <w:highlight w:val="none"/>
        </w:rPr>
        <w:t xml:space="preserve">》</w:t>
      </w:r>
      <w:r>
        <w:rPr>
          <w:rFonts w:hint="eastAsia"/>
          <w:color w:val="000000"/>
          <w:sz w:val="24"/>
          <w:szCs w:val="24"/>
          <w:highlight w:val="none"/>
        </w:rPr>
        <w:t xml:space="preserve">等法律的规定，现对采购人辖区的</w:t>
      </w:r>
      <w:r>
        <w:rPr>
          <w:rFonts w:hint="eastAsia"/>
          <w:color w:val="000000"/>
          <w:sz w:val="24"/>
          <w:szCs w:val="24"/>
          <w:highlight w:val="none"/>
          <w:lang w:eastAsia="zh-CN"/>
        </w:rPr>
        <w:t xml:space="preserve">杨集镇城镇公共卫生服务采购项目（专门面向中小企业）</w:t>
      </w:r>
      <w:r>
        <w:rPr>
          <w:color w:val="000000"/>
          <w:sz w:val="24"/>
          <w:szCs w:val="24"/>
          <w:highlight w:val="none"/>
        </w:rPr>
        <w:t xml:space="preserve">等事项工作</w:t>
      </w:r>
      <w:r>
        <w:rPr>
          <w:rFonts w:hint="eastAsia"/>
          <w:color w:val="000000"/>
          <w:sz w:val="24"/>
          <w:szCs w:val="24"/>
          <w:highlight w:val="none"/>
        </w:rPr>
        <w:t xml:space="preserve">进行采购。</w:t>
      </w:r>
      <w:r>
        <w:rPr>
          <w:color w:val="000000"/>
          <w:sz w:val="24"/>
          <w:szCs w:val="24"/>
          <w:highlight w:val="none"/>
        </w:rPr>
      </w:r>
      <w:r/>
    </w:p>
    <w:p>
      <w:pPr>
        <w:pStyle w:val="724"/>
        <w:keepLines w:val="0"/>
        <w:keepNext w:val="0"/>
        <w:pageBreakBefore w:val="0"/>
        <w:spacing w:line="520" w:lineRule="exact"/>
        <w:widowControl w:val="off"/>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二、服务范围</w:t>
      </w:r>
      <w:r>
        <w:rPr>
          <w:rFonts w:ascii="宋体" w:hAnsi="宋体" w:eastAsia="宋体" w:cs="Times New Roman"/>
          <w:b/>
          <w:color w:val="000000"/>
          <w:sz w:val="24"/>
          <w:szCs w:val="24"/>
          <w:highlight w:val="none"/>
        </w:rPr>
      </w:r>
      <w:r/>
    </w:p>
    <w:p>
      <w:pPr>
        <w:pStyle w:val="724"/>
        <w:ind w:firstLine="480"/>
        <w:keepLines w:val="0"/>
        <w:keepNext w:val="0"/>
        <w:pageBreakBefore w:val="0"/>
        <w:spacing w:line="580" w:lineRule="exact"/>
        <w:widowControl w:val="off"/>
        <w:rPr>
          <w:rFonts w:hint="eastAsia" w:ascii="宋体" w:hAnsi="宋体" w:eastAsia="宋体" w:cs="宋体"/>
          <w:color w:val="000000"/>
          <w:sz w:val="24"/>
          <w:szCs w:val="24"/>
          <w:highlight w:val="none"/>
          <w:lang w:val="en-US" w:eastAsia="zh-CN" w:bidi="ar"/>
        </w:rPr>
      </w:pPr>
      <w:r>
        <w:rPr>
          <w:rFonts w:hint="eastAsia" w:ascii="宋体" w:hAnsi="宋体"/>
          <w:color w:val="000000"/>
          <w:sz w:val="24"/>
          <w:szCs w:val="24"/>
          <w:highlight w:val="none"/>
          <w:lang w:val="en-US" w:eastAsia="zh-CN"/>
        </w:rPr>
        <w:t xml:space="preserve">杨集镇利华村、镇东村、城东村、三星社区、元兴村全域、主要交通干道路线沿线、利华村高速口至杨集卫生院西侧辉煌酒楼路段</w:t>
      </w:r>
      <w:r>
        <w:rPr>
          <w:rFonts w:hint="eastAsia" w:ascii="宋体" w:hAnsi="宋体" w:eastAsia="宋体" w:cs="宋体"/>
          <w:color w:val="000000"/>
          <w:sz w:val="24"/>
          <w:szCs w:val="24"/>
          <w:highlight w:val="none"/>
          <w:lang w:val="en-US" w:eastAsia="zh-CN" w:bidi="ar"/>
        </w:rPr>
        <w:t xml:space="preserve">（含道路两侧5米范围内）</w:t>
      </w:r>
      <w:r>
        <w:rPr>
          <w:rFonts w:hint="eastAsia" w:ascii="宋体" w:hAnsi="宋体"/>
          <w:color w:val="000000"/>
          <w:sz w:val="24"/>
          <w:szCs w:val="24"/>
          <w:highlight w:val="none"/>
          <w:lang w:val="en-US" w:eastAsia="zh-CN"/>
        </w:rPr>
        <w:t xml:space="preserve">沿线的清扫、生活垃圾清理清运等；镇区22座公共厕所的日常卫生清理打扫；杨集、沂北2个垃圾中转站的日常卫生清理打扫及运营车辆维修；清运车辆的日常维护、常规修理等。</w:t>
      </w:r>
      <w:r>
        <w:rPr>
          <w:rFonts w:hint="eastAsia" w:ascii="宋体" w:hAnsi="宋体" w:eastAsia="宋体" w:cs="宋体"/>
          <w:color w:val="000000"/>
          <w:sz w:val="24"/>
          <w:szCs w:val="24"/>
          <w:highlight w:val="none"/>
          <w:lang w:val="en-US" w:eastAsia="zh-CN" w:bidi="ar"/>
        </w:rPr>
      </w:r>
      <w:r/>
    </w:p>
    <w:p>
      <w:pPr>
        <w:pStyle w:val="724"/>
        <w:spacing w:line="360" w:lineRule="auto"/>
        <w:rPr>
          <w:rFonts w:ascii="宋体" w:hAnsi="宋体" w:eastAsia="宋体" w:cs="Times New Roman"/>
          <w:b/>
          <w:color w:val="000000"/>
          <w:sz w:val="24"/>
          <w:szCs w:val="24"/>
          <w:highlight w:val="none"/>
        </w:rPr>
      </w:pPr>
      <w:r>
        <w:rPr>
          <w:rFonts w:hint="eastAsia" w:ascii="宋体" w:hAnsi="宋体" w:eastAsia="宋体" w:cs="Times New Roman"/>
          <w:b/>
          <w:color w:val="000000"/>
          <w:sz w:val="24"/>
          <w:szCs w:val="24"/>
          <w:highlight w:val="none"/>
        </w:rPr>
        <w:t xml:space="preserve">三、服务要求</w:t>
      </w:r>
      <w:r>
        <w:rPr>
          <w:rFonts w:ascii="宋体" w:hAnsi="宋体" w:eastAsia="宋体" w:cs="Times New Roman"/>
          <w:b/>
          <w:color w:val="000000"/>
          <w:sz w:val="24"/>
          <w:szCs w:val="24"/>
          <w:highlight w:val="none"/>
        </w:rPr>
      </w:r>
      <w:r/>
    </w:p>
    <w:p>
      <w:pPr>
        <w:pStyle w:val="724"/>
        <w:ind w:firstLine="480"/>
        <w:jc w:val="left"/>
        <w:spacing w:line="560" w:lineRule="exact"/>
        <w:rPr>
          <w:color w:val="000000"/>
          <w:sz w:val="24"/>
          <w:szCs w:val="24"/>
          <w:highlight w:val="none"/>
        </w:rPr>
      </w:pPr>
      <w:r>
        <w:rPr>
          <w:rFonts w:hint="eastAsia" w:ascii="宋体" w:hAnsi="宋体" w:eastAsia="宋体" w:cs="Times New Roman"/>
          <w:color w:val="000000"/>
          <w:sz w:val="24"/>
          <w:szCs w:val="24"/>
          <w:highlight w:val="none"/>
        </w:rPr>
        <w:t xml:space="preserve">（一）服务要求</w:t>
      </w:r>
      <w:r>
        <w:rPr>
          <w:color w:val="000000"/>
          <w:sz w:val="24"/>
          <w:szCs w:val="24"/>
          <w:highlight w:val="none"/>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服务范围内</w:t>
      </w:r>
      <w:r>
        <w:rPr>
          <w:rFonts w:hint="eastAsia"/>
          <w:color w:val="000000"/>
          <w:sz w:val="24"/>
          <w:szCs w:val="24"/>
          <w:highlight w:val="none"/>
        </w:rPr>
        <w:t xml:space="preserve">道路每日清扫并常态</w:t>
      </w:r>
      <w:r>
        <w:rPr>
          <w:rFonts w:hint="eastAsia"/>
          <w:color w:val="000000"/>
          <w:sz w:val="24"/>
          <w:szCs w:val="24"/>
          <w:highlight w:val="none"/>
          <w:lang w:val="en-US" w:eastAsia="zh-CN"/>
        </w:rPr>
        <w:t xml:space="preserve">清理、清扫、清运</w:t>
      </w:r>
      <w:r>
        <w:rPr>
          <w:rFonts w:hint="eastAsia"/>
          <w:color w:val="000000"/>
          <w:sz w:val="24"/>
          <w:szCs w:val="24"/>
          <w:highlight w:val="none"/>
        </w:rPr>
        <w:t xml:space="preserve">，道路及可视范围内无暴露垃圾，道路两侧无堆放物、无建筑垃圾和废弃杂物、无土石积水、无动物粪便</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2、</w:t>
      </w:r>
      <w:r>
        <w:rPr>
          <w:rFonts w:hint="eastAsia"/>
          <w:color w:val="000000"/>
          <w:sz w:val="24"/>
          <w:szCs w:val="24"/>
          <w:highlight w:val="none"/>
          <w:lang w:val="en-US" w:eastAsia="zh-CN"/>
        </w:rPr>
        <w:t xml:space="preserve">服务范围内</w:t>
      </w:r>
      <w:r>
        <w:rPr>
          <w:rFonts w:hint="eastAsia"/>
          <w:color w:val="000000"/>
          <w:sz w:val="24"/>
          <w:szCs w:val="24"/>
          <w:highlight w:val="none"/>
        </w:rPr>
        <w:t xml:space="preserve">无生活垃圾及白色飘浮物。每周至少进行一次全域集中清理，确保生活垃圾清理到位，河道沟渠干净无漂浮物</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3、</w:t>
      </w:r>
      <w:r>
        <w:rPr>
          <w:rFonts w:hint="eastAsia"/>
          <w:color w:val="000000"/>
          <w:sz w:val="24"/>
          <w:szCs w:val="24"/>
          <w:highlight w:val="none"/>
          <w:lang w:val="en-US" w:eastAsia="zh-CN"/>
        </w:rPr>
        <w:t xml:space="preserve">服务范围内</w:t>
      </w:r>
      <w:r>
        <w:rPr>
          <w:rFonts w:hint="eastAsia"/>
          <w:color w:val="000000"/>
          <w:sz w:val="24"/>
          <w:szCs w:val="24"/>
          <w:highlight w:val="none"/>
        </w:rPr>
        <w:t xml:space="preserve">垃圾箱（桶）和垃圾收集站(点)每天清洗一次，保持垃圾箱（桶）外观整洁、无污垢，垃圾收集站(点)周围无散落、存留垃圾及污水，箱、桶内的垃圾日产日清，无积压、溢满，禁止</w:t>
      </w:r>
      <w:r>
        <w:rPr>
          <w:rFonts w:hint="eastAsia"/>
          <w:color w:val="000000"/>
          <w:sz w:val="24"/>
          <w:szCs w:val="24"/>
          <w:highlight w:val="none"/>
          <w:lang w:val="en-US" w:eastAsia="zh-CN"/>
        </w:rPr>
        <w:t xml:space="preserve">服务</w:t>
      </w:r>
      <w:r>
        <w:rPr>
          <w:rFonts w:hint="eastAsia"/>
          <w:color w:val="000000"/>
          <w:sz w:val="24"/>
          <w:szCs w:val="24"/>
          <w:highlight w:val="none"/>
        </w:rPr>
        <w:t xml:space="preserve">人员在垃圾桶、垃圾收集站(点)内翻捡废品</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4</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镇区22座公共厕所的日常卫生保洁（含地面清扫、便器清洁、消毒除臭、垃圾清运，每日不少于1次）</w:t>
      </w:r>
      <w:r>
        <w:rPr>
          <w:rFonts w:hint="eastAsia"/>
          <w:color w:val="000000"/>
          <w:sz w:val="24"/>
          <w:szCs w:val="24"/>
          <w:highlight w:val="none"/>
        </w:rPr>
        <w:t xml:space="preserve">，确保厕坑及地面环境卫生、整洁，墙面干净无乱涂乱画，门窗无尘土、蜘蛛网等，厕所周边环境整洁，无乱堆乱放</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5、</w:t>
      </w:r>
      <w:r>
        <w:rPr>
          <w:rFonts w:hint="eastAsia"/>
          <w:color w:val="000000"/>
          <w:sz w:val="24"/>
          <w:szCs w:val="24"/>
          <w:highlight w:val="none"/>
          <w:lang w:val="en-US" w:eastAsia="zh-CN"/>
        </w:rPr>
        <w:t xml:space="preserve">服务范围内</w:t>
      </w:r>
      <w:r>
        <w:rPr>
          <w:rFonts w:hint="eastAsia"/>
          <w:color w:val="000000"/>
          <w:sz w:val="24"/>
          <w:szCs w:val="24"/>
          <w:highlight w:val="none"/>
        </w:rPr>
        <w:t xml:space="preserve">责任区域内墙面、电线杆、桥墩等公共场所无乱张贴、乱涂写、小广告等</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6、确保各村在县人居环境考核中取得优异成绩。</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（二）生活垃圾收运标准</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1、垃圾定点、定时收集，做到日产日清，无积存裸露，确保无满溢现象；</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2、按照操作规程装卸，文明作业，严禁垃圾清运车辆途中撒漏；</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3、保证辖区内主干道无卫生死角，无积存垃圾；</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4、垃圾运输车辆应使用专用运输车辆，车容整洁，车况良好，车牌号码完整，车门喷新清晰的单位名称；运输作业结束，应将车辆清洁干净；</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5、垃圾收集容器位置适宜，放整齐，方便居民投放。收集作业完成后，及时清理场地，车走地净、并将垃圾桶复位放整齐，不得有地面零散垃圾，收集点及周围2-3m内应整洁，无散落、存留垃圾和污水；</w:t>
      </w:r>
      <w:r>
        <w:rPr>
          <w:color w:val="000000"/>
          <w:sz w:val="24"/>
          <w:szCs w:val="24"/>
          <w:highlight w:val="none"/>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6、垃圾收集采取密闭方式，收集过程应无遗漏、无撒漏、无渗滤液滴漏</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7、垃圾收集运输车运送垃圾的过程应密闭，实行“垃圾不落地”作业，避免造成二次污染。</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（三）垃圾中转站维护标准</w:t>
      </w:r>
      <w:r>
        <w:rPr>
          <w:color w:val="000000"/>
          <w:sz w:val="24"/>
          <w:szCs w:val="24"/>
          <w:highlight w:val="none"/>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杨集、沂北2个</w:t>
      </w:r>
      <w:r>
        <w:rPr>
          <w:rFonts w:hint="eastAsia"/>
          <w:color w:val="000000"/>
          <w:sz w:val="24"/>
          <w:szCs w:val="24"/>
          <w:highlight w:val="none"/>
        </w:rPr>
        <w:t xml:space="preserve">垃圾中转站必须确保垃圾日产日清，严禁出现满溢现象。严禁非生活性垃圾及危险废物掺杂进入垃圾站</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2、中转站开放时间保持转运站内整洁无恶臭，做到及时清理地面，确保地面干净无垃圾、无污水；同时及时清洁墙面和天花板，达到无积灰、污迹、蛛网、无乱涂乱画，确保墙面光洁；做好污水排放沟槽清理工作，确保畅通无臭气；定时喷洒除臭药水，减少转运站内臭味</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3、</w:t>
      </w:r>
      <w:r>
        <w:rPr>
          <w:rFonts w:hint="eastAsia"/>
          <w:color w:val="000000"/>
          <w:sz w:val="24"/>
          <w:szCs w:val="24"/>
          <w:highlight w:val="none"/>
          <w:lang w:val="en-US" w:eastAsia="zh-CN"/>
        </w:rPr>
        <w:t xml:space="preserve">服务人员</w:t>
      </w:r>
      <w:r>
        <w:rPr>
          <w:rFonts w:hint="eastAsia"/>
          <w:color w:val="000000"/>
          <w:sz w:val="24"/>
          <w:szCs w:val="24"/>
          <w:highlight w:val="none"/>
        </w:rPr>
        <w:t xml:space="preserve">及其他进站倾倒垃圾人员，必须服从管理人员现场指挥，有序进站倾倒垃圾，严禁混乱</w:t>
      </w:r>
      <w:r>
        <w:rPr>
          <w:rFonts w:hint="eastAsia"/>
          <w:color w:val="000000"/>
          <w:sz w:val="24"/>
          <w:szCs w:val="24"/>
          <w:highlight w:val="none"/>
          <w:lang w:eastAsia="zh-CN"/>
        </w:rPr>
        <w:t xml:space="preserve">倾倒</w:t>
      </w:r>
      <w:r>
        <w:rPr>
          <w:rFonts w:hint="eastAsia"/>
          <w:color w:val="000000"/>
          <w:sz w:val="24"/>
          <w:szCs w:val="24"/>
          <w:highlight w:val="none"/>
        </w:rPr>
        <w:t xml:space="preserve">。站内严禁捡拾废品，站内及站外禁止堆放废品等杂物</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4、站名牌的内容应当包括：站名称、管理责任单位、管理责任人、开放时间、24小时监督服务电话</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5、严禁私自改变管理房、工具间等站内设施的使用功能，管理房、工具间和设备操作台等处要保持整洁，工具按规定位置放，不得随意乱堆乱放</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6、按照压缩设备操作规程规范操作，严禁违章操作；绝对禁止非管理人员擅自操作或私自调试液压设备</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7、严格把握压缩箱体容积，严禁出现恶意少压或过多压缩垃圾的现象；</w:t>
      </w:r>
      <w:r>
        <w:rPr>
          <w:color w:val="000000"/>
          <w:sz w:val="24"/>
          <w:szCs w:val="24"/>
          <w:highlight w:val="none"/>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8、认真做好垃圾清运日报表，要求记录完整、清晰、准确</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9、垃圾中转站维护范围为垃圾中转站院墙内所有区域。</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（四）</w:t>
      </w:r>
      <w:r>
        <w:rPr>
          <w:rFonts w:hint="eastAsia"/>
          <w:color w:val="000000"/>
          <w:sz w:val="24"/>
          <w:szCs w:val="24"/>
          <w:highlight w:val="none"/>
          <w:lang w:val="en-US" w:eastAsia="zh-CN"/>
        </w:rPr>
        <w:t xml:space="preserve">服务</w:t>
      </w:r>
      <w:r>
        <w:rPr>
          <w:rFonts w:hint="eastAsia"/>
          <w:color w:val="000000"/>
          <w:sz w:val="24"/>
          <w:szCs w:val="24"/>
          <w:highlight w:val="none"/>
        </w:rPr>
        <w:t xml:space="preserve">人员及车辆驾驶员服务要求</w:t>
      </w:r>
      <w:r>
        <w:rPr>
          <w:color w:val="000000"/>
          <w:sz w:val="24"/>
          <w:szCs w:val="24"/>
          <w:highlight w:val="none"/>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1、</w:t>
      </w:r>
      <w:r>
        <w:rPr>
          <w:rFonts w:hint="eastAsia"/>
          <w:color w:val="000000"/>
          <w:sz w:val="24"/>
          <w:szCs w:val="24"/>
          <w:highlight w:val="none"/>
          <w:lang w:val="en-US" w:eastAsia="zh-CN"/>
        </w:rPr>
        <w:t xml:space="preserve">服务</w:t>
      </w:r>
      <w:r>
        <w:rPr>
          <w:rFonts w:hint="eastAsia"/>
          <w:color w:val="000000"/>
          <w:sz w:val="24"/>
          <w:szCs w:val="24"/>
          <w:highlight w:val="none"/>
        </w:rPr>
        <w:t xml:space="preserve">人员须文明作业、统一着装，作业时必须穿反光安全服装</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2、车辆驾驶员应持证上岗，作业时要文明驾驶和文明作业，遵守交通规则</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服务</w:t>
      </w:r>
      <w:r>
        <w:rPr>
          <w:rFonts w:hint="eastAsia"/>
          <w:color w:val="000000"/>
          <w:sz w:val="24"/>
          <w:szCs w:val="24"/>
          <w:highlight w:val="none"/>
        </w:rPr>
        <w:t xml:space="preserve">人员须保持扫把、铁铲等工具清洁，作业后及时清洗，如有损坏必须及时更换。</w:t>
      </w:r>
      <w:r>
        <w:rPr>
          <w:color w:val="000000"/>
          <w:sz w:val="24"/>
          <w:szCs w:val="24"/>
          <w:highlight w:val="none"/>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（五）</w:t>
      </w:r>
      <w:r>
        <w:rPr>
          <w:rFonts w:hint="eastAsia"/>
          <w:color w:val="000000"/>
          <w:sz w:val="24"/>
          <w:szCs w:val="24"/>
          <w:highlight w:val="none"/>
          <w:lang w:val="en-US" w:eastAsia="zh-CN"/>
        </w:rPr>
        <w:t xml:space="preserve">清扫清运</w:t>
      </w:r>
      <w:r>
        <w:rPr>
          <w:rFonts w:hint="eastAsia"/>
          <w:color w:val="000000"/>
          <w:sz w:val="24"/>
          <w:szCs w:val="24"/>
          <w:highlight w:val="none"/>
        </w:rPr>
        <w:t xml:space="preserve">车辆服务要求</w:t>
      </w:r>
      <w:r>
        <w:rPr>
          <w:color w:val="000000"/>
          <w:sz w:val="24"/>
          <w:szCs w:val="24"/>
          <w:highlight w:val="none"/>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1、所用车辆应使用正规专用车辆，车容整洁，车况良好，车牌号码完整，车门喷新清晰的单位名称</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2、车辆应按规定定时保养，发生故障及时维修，做好车辆排班工作，不得影响保洁服务的开展</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rFonts w:hint="eastAsia" w:eastAsia="宋体"/>
          <w:color w:val="000000"/>
          <w:sz w:val="24"/>
          <w:szCs w:val="24"/>
          <w:highlight w:val="none"/>
          <w:lang w:eastAsia="zh-CN"/>
        </w:rPr>
      </w:pPr>
      <w:r>
        <w:rPr>
          <w:rFonts w:hint="eastAsia"/>
          <w:color w:val="000000"/>
          <w:sz w:val="24"/>
          <w:szCs w:val="24"/>
          <w:highlight w:val="none"/>
        </w:rPr>
        <w:t xml:space="preserve">3、车辆作业结束后，应将车辆清洁干净，在指定地点停放</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jc w:val="left"/>
        <w:spacing w:line="560" w:lineRule="exact"/>
        <w:rPr>
          <w:color w:val="000000"/>
          <w:sz w:val="24"/>
          <w:szCs w:val="24"/>
          <w:highlight w:val="none"/>
        </w:rPr>
      </w:pPr>
      <w:r>
        <w:rPr>
          <w:rFonts w:hint="eastAsia"/>
          <w:color w:val="000000"/>
          <w:sz w:val="24"/>
          <w:szCs w:val="24"/>
          <w:highlight w:val="none"/>
        </w:rPr>
        <w:t xml:space="preserve">（六）其他要求</w:t>
      </w:r>
      <w:r>
        <w:rPr>
          <w:color w:val="000000"/>
          <w:sz w:val="24"/>
          <w:szCs w:val="24"/>
          <w:highlight w:val="none"/>
        </w:rPr>
      </w:r>
      <w:r/>
    </w:p>
    <w:p>
      <w:pPr>
        <w:pStyle w:val="724"/>
        <w:ind w:firstLine="480"/>
        <w:jc w:val="left"/>
        <w:keepLines w:val="0"/>
        <w:keepNext w:val="0"/>
        <w:pageBreakBefore w:val="0"/>
        <w:spacing w:line="480" w:lineRule="exact"/>
        <w:widowControl w:val="off"/>
        <w:rPr>
          <w:color w:val="000000"/>
          <w:sz w:val="24"/>
          <w:szCs w:val="24"/>
          <w:highlight w:val="none"/>
        </w:rPr>
      </w:pPr>
      <w:r>
        <w:rPr>
          <w:rFonts w:hint="eastAsia"/>
          <w:color w:val="000000"/>
          <w:sz w:val="24"/>
          <w:szCs w:val="24"/>
          <w:highlight w:val="none"/>
        </w:rPr>
        <w:t xml:space="preserve">如遇重大活动及自然灾害时，必须无条件服从甲方统一安排。因突发情况（如台风、大气污染、雨雪、冰雹、霜或冰冻等天气或气候因素，或车辆、居民、行人等人为因素，或是</w:t>
      </w:r>
      <w:r>
        <w:rPr>
          <w:rFonts w:hint="eastAsia"/>
          <w:color w:val="000000"/>
          <w:sz w:val="24"/>
          <w:szCs w:val="24"/>
          <w:highlight w:val="none"/>
          <w:lang w:eastAsia="zh-CN"/>
        </w:rPr>
        <w:t xml:space="preserve">其他</w:t>
      </w:r>
      <w:r>
        <w:rPr>
          <w:rFonts w:hint="eastAsia"/>
          <w:color w:val="000000"/>
          <w:sz w:val="24"/>
          <w:szCs w:val="24"/>
          <w:highlight w:val="none"/>
        </w:rPr>
        <w:t xml:space="preserve">因素，以及复合因素或不明原因的情况）导致的道路污染必须及时清除，不论这些因素是可预测或不可预测的，均已包含在投标报价中，不再调整。</w:t>
      </w:r>
      <w:r>
        <w:rPr>
          <w:color w:val="000000"/>
          <w:sz w:val="24"/>
          <w:szCs w:val="24"/>
          <w:highlight w:val="none"/>
        </w:rPr>
      </w:r>
      <w:r/>
    </w:p>
    <w:p>
      <w:pPr>
        <w:pStyle w:val="724"/>
        <w:keepLines w:val="0"/>
        <w:keepNext w:val="0"/>
        <w:pageBreakBefore w:val="0"/>
        <w:spacing w:line="480" w:lineRule="exact"/>
        <w:widowControl w:val="off"/>
        <w:rPr>
          <w:rFonts w:hint="eastAsia" w:ascii="宋体" w:hAnsi="宋体" w:eastAsia="宋体" w:cs="Times New Roman"/>
          <w:b/>
          <w:bCs/>
          <w:color w:val="000000"/>
          <w:sz w:val="24"/>
          <w:szCs w:val="24"/>
          <w:highlight w:val="none"/>
          <w:lang w:val="en-US" w:eastAsia="zh-CN"/>
        </w:rPr>
      </w:pPr>
      <w:r>
        <w:rPr>
          <w:rFonts w:hint="eastAsia" w:ascii="宋体" w:hAnsi="宋体" w:eastAsia="宋体" w:cs="Times New Roman"/>
          <w:b/>
          <w:bCs/>
          <w:color w:val="000000"/>
          <w:sz w:val="24"/>
          <w:szCs w:val="24"/>
          <w:highlight w:val="none"/>
        </w:rPr>
        <w:t xml:space="preserve">四、服务</w:t>
      </w:r>
      <w:r>
        <w:rPr>
          <w:rFonts w:hint="eastAsia" w:ascii="宋体" w:hAnsi="宋体" w:cs="Times New Roman"/>
          <w:b/>
          <w:bCs/>
          <w:color w:val="000000"/>
          <w:sz w:val="24"/>
          <w:szCs w:val="24"/>
          <w:highlight w:val="none"/>
          <w:lang w:val="en-US" w:eastAsia="zh-CN"/>
        </w:rPr>
        <w:t xml:space="preserve">期</w:t>
      </w:r>
      <w:r>
        <w:rPr>
          <w:rFonts w:hint="eastAsia" w:ascii="宋体" w:hAnsi="宋体" w:eastAsia="宋体" w:cs="Times New Roman"/>
          <w:b/>
          <w:bCs/>
          <w:color w:val="000000"/>
          <w:sz w:val="24"/>
          <w:szCs w:val="24"/>
          <w:highlight w:val="none"/>
          <w:lang w:val="en-US" w:eastAsia="zh-CN"/>
        </w:rPr>
      </w:r>
      <w:r/>
    </w:p>
    <w:p>
      <w:pPr>
        <w:pStyle w:val="724"/>
        <w:ind w:firstLine="480"/>
        <w:jc w:val="left"/>
        <w:keepLines w:val="0"/>
        <w:keepNext w:val="0"/>
        <w:pageBreakBefore w:val="0"/>
        <w:spacing w:line="480" w:lineRule="exact"/>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两</w:t>
      </w:r>
      <w:r>
        <w:rPr>
          <w:rFonts w:hint="eastAsia"/>
          <w:color w:val="000000"/>
          <w:sz w:val="24"/>
          <w:szCs w:val="24"/>
          <w:highlight w:val="none"/>
        </w:rPr>
        <w:t xml:space="preserve">年</w:t>
      </w:r>
      <w:r>
        <w:rPr>
          <w:rFonts w:hint="eastAsia"/>
          <w:color w:val="000000"/>
          <w:sz w:val="24"/>
          <w:szCs w:val="24"/>
          <w:highlight w:val="none"/>
          <w:lang w:eastAsia="zh-CN"/>
        </w:rPr>
        <w:t xml:space="preserve">，</w:t>
      </w:r>
      <w:r>
        <w:rPr>
          <w:rFonts w:hint="eastAsia"/>
          <w:color w:val="000000"/>
          <w:sz w:val="24"/>
          <w:szCs w:val="24"/>
          <w:highlight w:val="none"/>
        </w:rPr>
        <w:t xml:space="preserve">具体提供的服务开始时间以甲方的书面通知时间为准</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keepLines w:val="0"/>
        <w:keepNext w:val="0"/>
        <w:pageBreakBefore w:val="0"/>
        <w:spacing w:line="480" w:lineRule="exact"/>
        <w:widowControl w:val="off"/>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五、验收要求：</w:t>
      </w:r>
      <w:r>
        <w:rPr>
          <w:rFonts w:ascii="宋体" w:hAnsi="宋体" w:eastAsia="宋体" w:cs="Times New Roman"/>
          <w:b/>
          <w:bCs/>
          <w:color w:val="000000"/>
          <w:sz w:val="24"/>
          <w:szCs w:val="24"/>
          <w:highlight w:val="none"/>
        </w:rPr>
      </w:r>
      <w:r/>
    </w:p>
    <w:p>
      <w:pPr>
        <w:pStyle w:val="724"/>
        <w:keepLines w:val="0"/>
        <w:keepNext w:val="0"/>
        <w:pageBreakBefore w:val="0"/>
        <w:spacing w:line="480" w:lineRule="exact"/>
        <w:widowControl w:val="off"/>
        <w:rPr>
          <w:rFonts w:hint="eastAsia" w:ascii="Arial" w:hAnsi="Arial" w:eastAsia="Arial"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rPr>
        <w:t xml:space="preserve"> </w:t>
      </w:r>
      <w:r>
        <w:rPr>
          <w:rFonts w:hint="eastAsia" w:ascii="Arial" w:hAnsi="Arial" w:eastAsia="Arial" w:cs="Times New Roman"/>
          <w:color w:val="000000"/>
          <w:sz w:val="24"/>
          <w:szCs w:val="24"/>
          <w:highlight w:val="none"/>
          <w:lang w:val="en-US" w:eastAsia="zh-CN" w:bidi="ar-SA"/>
        </w:rPr>
        <w:t xml:space="preserve">   合格(考核分数在70分及以上)；</w:t>
      </w:r>
      <w:r>
        <w:rPr>
          <w:rFonts w:hint="eastAsia" w:ascii="Arial" w:hAnsi="Arial" w:eastAsia="Arial" w:cs="Times New Roman"/>
          <w:color w:val="000000"/>
          <w:sz w:val="24"/>
          <w:szCs w:val="24"/>
          <w:highlight w:val="none"/>
          <w:lang w:val="en-US" w:eastAsia="zh-CN" w:bidi="ar-SA"/>
        </w:rPr>
      </w:r>
      <w:r/>
    </w:p>
    <w:p>
      <w:pPr>
        <w:pStyle w:val="724"/>
        <w:keepLines w:val="0"/>
        <w:keepNext w:val="0"/>
        <w:pageBreakBefore w:val="0"/>
        <w:spacing w:line="480" w:lineRule="exact"/>
        <w:widowControl w:val="off"/>
        <w:rPr>
          <w:rFonts w:hint="eastAsia" w:ascii="Arial" w:hAnsi="Arial" w:eastAsia="Arial" w:cs="Times New Roman"/>
          <w:color w:val="000000"/>
          <w:sz w:val="24"/>
          <w:szCs w:val="24"/>
          <w:highlight w:val="none"/>
          <w:lang w:val="en-US" w:eastAsia="zh-CN" w:bidi="ar-SA"/>
        </w:rPr>
      </w:pPr>
      <w:r>
        <w:rPr>
          <w:rFonts w:hint="eastAsia" w:ascii="Arial" w:hAnsi="Arial" w:eastAsia="Arial" w:cs="Times New Roman"/>
          <w:color w:val="000000"/>
          <w:sz w:val="24"/>
          <w:szCs w:val="24"/>
          <w:highlight w:val="none"/>
          <w:lang w:val="en-US" w:eastAsia="zh-CN" w:bidi="ar-SA"/>
        </w:rPr>
        <w:t xml:space="preserve">    经甲方考评，考评不合格将扣除绩效部分，若考评不合格，甲方有权无条件终止合同。</w:t>
      </w:r>
      <w:r>
        <w:rPr>
          <w:rFonts w:hint="eastAsia" w:ascii="Arial" w:hAnsi="Arial" w:eastAsia="Arial" w:cs="Times New Roman"/>
          <w:color w:val="000000"/>
          <w:sz w:val="24"/>
          <w:szCs w:val="24"/>
          <w:highlight w:val="none"/>
          <w:lang w:val="en-US" w:eastAsia="zh-CN" w:bidi="ar-SA"/>
        </w:rPr>
      </w:r>
      <w:r/>
    </w:p>
    <w:p>
      <w:pPr>
        <w:pStyle w:val="724"/>
        <w:ind w:left="358" w:hanging="410"/>
        <w:keepLines w:val="0"/>
        <w:keepNext w:val="0"/>
        <w:pageBreakBefore w:val="0"/>
        <w:spacing w:line="480" w:lineRule="exact"/>
        <w:widowControl w:val="off"/>
        <w:rPr>
          <w:rFonts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六、其他要求：</w:t>
      </w:r>
      <w:r>
        <w:rPr>
          <w:rFonts w:ascii="宋体" w:hAnsi="宋体" w:eastAsia="宋体" w:cs="Times New Roman"/>
          <w:b/>
          <w:bCs/>
          <w:color w:val="000000"/>
          <w:sz w:val="24"/>
          <w:szCs w:val="24"/>
          <w:highlight w:val="none"/>
        </w:rPr>
      </w:r>
      <w:r/>
    </w:p>
    <w:p>
      <w:pPr>
        <w:pStyle w:val="1022"/>
        <w:keepLines w:val="0"/>
        <w:keepNext w:val="0"/>
        <w:pageBreakBefore w:val="0"/>
        <w:spacing w:line="480" w:lineRule="exact"/>
        <w:widowControl w:val="off"/>
        <w:rPr>
          <w:rFonts w:ascii="Arial" w:hAnsi="Arial" w:eastAsia="Arial" w:cs="Times New Roman"/>
          <w:color w:val="000000"/>
          <w:sz w:val="24"/>
          <w:szCs w:val="24"/>
          <w:highlight w:val="none"/>
        </w:rPr>
      </w:pPr>
      <w:r>
        <w:rPr>
          <w:rFonts w:hint="eastAsia" w:ascii="Arial" w:hAnsi="Arial" w:eastAsia="Arial" w:cs="Times New Roman"/>
          <w:color w:val="000000"/>
          <w:sz w:val="24"/>
          <w:szCs w:val="24"/>
          <w:highlight w:val="none"/>
        </w:rPr>
        <w:t xml:space="preserve">1、</w:t>
      </w:r>
      <w:r>
        <w:rPr>
          <w:rFonts w:hint="eastAsia" w:ascii="Arial" w:hAnsi="Arial" w:cs="Times New Roman"/>
          <w:color w:val="000000"/>
          <w:sz w:val="24"/>
          <w:szCs w:val="24"/>
          <w:highlight w:val="none"/>
          <w:lang w:val="en-US" w:eastAsia="zh-CN"/>
        </w:rPr>
        <w:t xml:space="preserve">乙</w:t>
      </w:r>
      <w:r>
        <w:rPr>
          <w:rFonts w:hint="eastAsia" w:ascii="Arial" w:hAnsi="Arial" w:eastAsia="Arial" w:cs="Times New Roman"/>
          <w:color w:val="000000"/>
          <w:sz w:val="24"/>
          <w:szCs w:val="24"/>
          <w:highlight w:val="none"/>
        </w:rPr>
        <w:t xml:space="preserve">方</w:t>
      </w:r>
      <w:r>
        <w:rPr>
          <w:rFonts w:hint="eastAsia" w:ascii="Arial" w:hAnsi="Arial" w:cs="Times New Roman"/>
          <w:color w:val="000000"/>
          <w:sz w:val="24"/>
          <w:szCs w:val="24"/>
          <w:highlight w:val="none"/>
          <w:lang w:val="en-US" w:eastAsia="zh-CN"/>
        </w:rPr>
        <w:t xml:space="preserve">自行配备服务区域内的</w:t>
      </w:r>
      <w:r>
        <w:rPr>
          <w:rFonts w:hint="eastAsia" w:ascii="Arial" w:hAnsi="Arial" w:eastAsia="Arial" w:cs="Times New Roman"/>
          <w:color w:val="000000"/>
          <w:sz w:val="24"/>
          <w:szCs w:val="24"/>
          <w:highlight w:val="none"/>
        </w:rPr>
        <w:t xml:space="preserve">垃圾桶</w:t>
      </w:r>
      <w:r>
        <w:rPr>
          <w:rFonts w:hint="eastAsia" w:ascii="Arial" w:hAnsi="Arial" w:cs="Times New Roman"/>
          <w:color w:val="000000"/>
          <w:sz w:val="24"/>
          <w:szCs w:val="24"/>
          <w:highlight w:val="none"/>
          <w:lang w:eastAsia="zh-CN"/>
        </w:rPr>
        <w:t xml:space="preserve">，</w:t>
      </w:r>
      <w:r>
        <w:rPr>
          <w:rFonts w:hint="eastAsia" w:ascii="Arial" w:hAnsi="Arial" w:cs="Times New Roman"/>
          <w:color w:val="000000"/>
          <w:sz w:val="24"/>
          <w:szCs w:val="24"/>
          <w:highlight w:val="none"/>
          <w:lang w:val="en-US" w:eastAsia="zh-CN"/>
        </w:rPr>
        <w:t xml:space="preserve">甲方提供</w:t>
      </w:r>
      <w:r>
        <w:rPr>
          <w:rFonts w:hint="eastAsia" w:ascii="Arial" w:hAnsi="Arial" w:eastAsia="Arial" w:cs="Times New Roman"/>
          <w:color w:val="000000"/>
          <w:sz w:val="24"/>
          <w:szCs w:val="24"/>
          <w:highlight w:val="none"/>
        </w:rPr>
        <w:t xml:space="preserve">垃圾中转压缩设备2台/套，全部</w:t>
      </w:r>
      <w:r>
        <w:rPr>
          <w:rFonts w:hint="eastAsia" w:ascii="Arial" w:hAnsi="Arial" w:cs="Times New Roman"/>
          <w:color w:val="000000"/>
          <w:sz w:val="24"/>
          <w:szCs w:val="24"/>
          <w:highlight w:val="none"/>
          <w:lang w:eastAsia="zh-CN"/>
        </w:rPr>
        <w:t xml:space="preserve">交予</w:t>
      </w:r>
      <w:r>
        <w:rPr>
          <w:rFonts w:hint="eastAsia" w:ascii="Arial" w:hAnsi="Arial" w:eastAsia="Arial" w:cs="Times New Roman"/>
          <w:color w:val="000000"/>
          <w:sz w:val="24"/>
          <w:szCs w:val="24"/>
          <w:highlight w:val="none"/>
        </w:rPr>
        <w:t xml:space="preserve">乙方使用，乙方负责以上设备使用所产生的所有费用，包括但不限于人员工资、保养、保险、维护、更换、事故责任等费用。</w:t>
      </w:r>
      <w:r>
        <w:rPr>
          <w:rFonts w:ascii="Arial" w:hAnsi="Arial" w:eastAsia="Arial" w:cs="Times New Roman"/>
          <w:color w:val="000000"/>
          <w:sz w:val="24"/>
          <w:szCs w:val="24"/>
          <w:highlight w:val="none"/>
        </w:rPr>
      </w:r>
      <w:r/>
    </w:p>
    <w:p>
      <w:pPr>
        <w:pStyle w:val="724"/>
        <w:ind w:firstLine="480"/>
        <w:jc w:val="left"/>
        <w:keepLines w:val="0"/>
        <w:keepNext w:val="0"/>
        <w:pageBreakBefore w:val="0"/>
        <w:spacing w:line="480" w:lineRule="exact"/>
        <w:widowControl w:val="off"/>
        <w:rPr>
          <w:color w:val="000000"/>
          <w:sz w:val="24"/>
          <w:szCs w:val="24"/>
          <w:highlight w:val="none"/>
        </w:rPr>
      </w:pPr>
      <w:r>
        <w:rPr>
          <w:rFonts w:hint="eastAsia"/>
          <w:color w:val="000000"/>
          <w:sz w:val="24"/>
          <w:szCs w:val="24"/>
          <w:highlight w:val="none"/>
        </w:rPr>
        <w:t xml:space="preserve">2、甲方将垃圾中转站</w:t>
      </w:r>
      <w:r>
        <w:rPr>
          <w:rFonts w:hint="eastAsia" w:ascii="Arial" w:hAnsi="Arial" w:eastAsia="Arial" w:cs="Times New Roman"/>
          <w:color w:val="000000"/>
          <w:sz w:val="24"/>
          <w:szCs w:val="24"/>
          <w:highlight w:val="none"/>
        </w:rPr>
        <w:t xml:space="preserve">压缩设备</w:t>
      </w:r>
      <w:r>
        <w:rPr>
          <w:rFonts w:hint="eastAsia"/>
          <w:color w:val="000000"/>
          <w:sz w:val="24"/>
          <w:szCs w:val="24"/>
          <w:highlight w:val="none"/>
        </w:rPr>
        <w:t xml:space="preserve">交于乙方管理使用，期间产生的设备保养、维护、更换费用由甲方支付，因乙方管理不善引起的相关费用由乙方支付（含事故责任等费用）。乙方需对</w:t>
      </w:r>
      <w:r>
        <w:rPr>
          <w:color w:val="000000"/>
          <w:sz w:val="24"/>
          <w:szCs w:val="24"/>
          <w:highlight w:val="none"/>
        </w:rPr>
        <w:t xml:space="preserve">甲方已聘用的原有人员</w:t>
      </w:r>
      <w:r>
        <w:rPr>
          <w:rFonts w:hint="eastAsia"/>
          <w:color w:val="000000"/>
          <w:sz w:val="24"/>
          <w:szCs w:val="24"/>
          <w:highlight w:val="none"/>
        </w:rPr>
        <w:t xml:space="preserve">全部</w:t>
      </w:r>
      <w:r>
        <w:rPr>
          <w:color w:val="000000"/>
          <w:sz w:val="24"/>
          <w:szCs w:val="24"/>
          <w:highlight w:val="none"/>
        </w:rPr>
        <w:t xml:space="preserve">转为由乙方聘用，</w:t>
      </w:r>
      <w:r>
        <w:rPr>
          <w:rFonts w:hint="eastAsia"/>
          <w:color w:val="000000"/>
          <w:sz w:val="24"/>
          <w:szCs w:val="24"/>
          <w:highlight w:val="none"/>
        </w:rPr>
        <w:t xml:space="preserve">同等条件下</w:t>
      </w:r>
      <w:r>
        <w:rPr>
          <w:color w:val="000000"/>
          <w:sz w:val="24"/>
          <w:szCs w:val="24"/>
          <w:highlight w:val="none"/>
        </w:rPr>
        <w:t xml:space="preserve">优先使用本镇低收入户</w:t>
      </w:r>
      <w:r>
        <w:rPr>
          <w:rFonts w:hint="eastAsia"/>
          <w:color w:val="000000"/>
          <w:sz w:val="24"/>
          <w:szCs w:val="24"/>
          <w:highlight w:val="none"/>
        </w:rPr>
        <w:t xml:space="preserve">及退役军人</w:t>
      </w:r>
      <w:r>
        <w:rPr>
          <w:color w:val="000000"/>
          <w:sz w:val="24"/>
          <w:szCs w:val="24"/>
          <w:highlight w:val="none"/>
        </w:rPr>
        <w:t xml:space="preserve">，乙方对聘用人员签订劳动合同并购买工伤保险</w:t>
      </w:r>
      <w:r>
        <w:rPr>
          <w:rFonts w:hint="eastAsia"/>
          <w:color w:val="000000"/>
          <w:sz w:val="24"/>
          <w:szCs w:val="24"/>
          <w:highlight w:val="none"/>
        </w:rPr>
        <w:t xml:space="preserve">。</w:t>
      </w:r>
      <w:r>
        <w:rPr>
          <w:color w:val="000000"/>
          <w:sz w:val="24"/>
          <w:szCs w:val="24"/>
          <w:highlight w:val="none"/>
        </w:rPr>
        <w:t xml:space="preserve">原有</w:t>
      </w:r>
      <w:r>
        <w:rPr>
          <w:rFonts w:hint="eastAsia"/>
          <w:color w:val="000000"/>
          <w:sz w:val="24"/>
          <w:szCs w:val="24"/>
          <w:highlight w:val="none"/>
        </w:rPr>
        <w:t xml:space="preserve">聘用人员工资由甲方安排直接打卡支付。</w:t>
      </w:r>
      <w:r>
        <w:rPr>
          <w:color w:val="000000"/>
          <w:sz w:val="24"/>
          <w:szCs w:val="24"/>
          <w:highlight w:val="none"/>
        </w:rPr>
        <w:t xml:space="preserve">乙方有权调换在工作中不称职人员，发生的劳动纠纷由乙方负责并承担相关费用。乙方调换甲方保留的</w:t>
      </w:r>
      <w:r>
        <w:rPr>
          <w:rFonts w:hint="eastAsia"/>
          <w:color w:val="000000"/>
          <w:sz w:val="24"/>
          <w:szCs w:val="24"/>
          <w:highlight w:val="none"/>
          <w:lang w:val="en-US" w:eastAsia="zh-CN"/>
        </w:rPr>
        <w:t xml:space="preserve">卫生服务</w:t>
      </w:r>
      <w:r>
        <w:rPr>
          <w:color w:val="000000"/>
          <w:sz w:val="24"/>
          <w:szCs w:val="24"/>
          <w:highlight w:val="none"/>
        </w:rPr>
        <w:t xml:space="preserve">人员</w:t>
      </w:r>
      <w:r>
        <w:rPr>
          <w:rFonts w:hint="eastAsia"/>
          <w:color w:val="000000"/>
          <w:sz w:val="24"/>
          <w:szCs w:val="24"/>
          <w:highlight w:val="none"/>
        </w:rPr>
        <w:t xml:space="preserve">、垃圾中转站管理人员，须按照相关管理办法执行，并经过甲方同意；</w:t>
      </w:r>
      <w:r>
        <w:rPr>
          <w:color w:val="000000"/>
          <w:sz w:val="24"/>
          <w:szCs w:val="24"/>
          <w:highlight w:val="none"/>
        </w:rPr>
      </w:r>
      <w:r/>
    </w:p>
    <w:p>
      <w:pPr>
        <w:pStyle w:val="724"/>
        <w:ind w:firstLine="480"/>
        <w:keepLines w:val="0"/>
        <w:keepNext w:val="0"/>
        <w:pageBreakBefore w:val="0"/>
        <w:spacing w:line="480" w:lineRule="exact"/>
        <w:widowControl w:val="off"/>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eastAsia="zh-CN"/>
        </w:rPr>
        <w:t xml:space="preserve">、</w:t>
      </w:r>
      <w:r>
        <w:rPr>
          <w:rFonts w:hint="eastAsia"/>
          <w:color w:val="000000"/>
          <w:sz w:val="24"/>
          <w:szCs w:val="24"/>
          <w:highlight w:val="none"/>
        </w:rPr>
        <w:t xml:space="preserve">为了保证本合同的正常履行，乙方向甲方支付中标价10%的履约保证金，若乙方出现违约行为，则视其轻重扣除相应履约保证金。</w:t>
      </w:r>
      <w:r>
        <w:rPr>
          <w:color w:val="000000"/>
          <w:sz w:val="24"/>
          <w:szCs w:val="24"/>
          <w:highlight w:val="none"/>
        </w:rPr>
      </w:r>
      <w:r>
        <w:rPr>
          <w:color w:val="000000"/>
          <w:sz w:val="24"/>
          <w:szCs w:val="24"/>
          <w:highlight w:val="none"/>
        </w:rPr>
      </w:r>
    </w:p>
    <w:p>
      <w:pPr>
        <w:ind w:firstLine="480"/>
        <w:keepLines w:val="0"/>
        <w:keepNext w:val="0"/>
        <w:pageBreakBefore w:val="0"/>
        <w:spacing w:line="480" w:lineRule="exact"/>
        <w:widowControl w:val="off"/>
        <w:rPr>
          <w:color w:val="000000"/>
          <w:sz w:val="24"/>
          <w:szCs w:val="24"/>
          <w:highlight w:val="none"/>
        </w:rPr>
      </w:pPr>
      <w:r>
        <w:rPr>
          <w:color w:val="000000"/>
          <w:sz w:val="24"/>
          <w:szCs w:val="24"/>
          <w:highlight w:val="none"/>
        </w:rPr>
      </w:r>
      <w:r>
        <w:rPr>
          <w:rFonts w:hint="eastAsia"/>
          <w:color w:val="000000"/>
          <w:sz w:val="24"/>
          <w:szCs w:val="24"/>
          <w:highlight w:val="none"/>
          <w:lang w:val="en-US" w:eastAsia="zh-CN"/>
        </w:rPr>
        <w:t xml:space="preserve">4</w:t>
      </w:r>
      <w:r>
        <w:rPr>
          <w:rFonts w:hint="eastAsia"/>
          <w:color w:val="000000"/>
          <w:sz w:val="24"/>
          <w:szCs w:val="24"/>
          <w:highlight w:val="none"/>
        </w:rPr>
        <w:t xml:space="preserve">、因乙方原因导致本合同被解除的，乙方除承担相关责任外，没收合同履约保证金。</w:t>
      </w:r>
      <w:r>
        <w:rPr>
          <w:color w:val="000000"/>
          <w:sz w:val="24"/>
          <w:szCs w:val="24"/>
          <w:highlight w:val="none"/>
        </w:rPr>
      </w:r>
      <w:r/>
    </w:p>
    <w:p>
      <w:pPr>
        <w:pStyle w:val="724"/>
        <w:ind w:firstLine="480"/>
        <w:keepLines w:val="0"/>
        <w:keepNext w:val="0"/>
        <w:pageBreakBefore w:val="0"/>
        <w:spacing w:line="480" w:lineRule="exact"/>
        <w:widowControl w:val="off"/>
        <w:rPr>
          <w:rFonts w:hint="eastAsia" w:eastAsia="宋体"/>
          <w:color w:val="000000"/>
          <w:sz w:val="24"/>
          <w:szCs w:val="24"/>
          <w:highlight w:val="none"/>
          <w:lang w:eastAsia="zh-CN"/>
        </w:rPr>
      </w:pPr>
      <w:r>
        <w:rPr>
          <w:rFonts w:hint="eastAsia"/>
          <w:color w:val="000000"/>
          <w:sz w:val="24"/>
          <w:szCs w:val="24"/>
          <w:highlight w:val="none"/>
          <w:lang w:val="en-US" w:eastAsia="zh-CN"/>
        </w:rPr>
        <w:t xml:space="preserve">5</w:t>
      </w:r>
      <w:r>
        <w:rPr>
          <w:rFonts w:hint="eastAsia"/>
          <w:color w:val="000000"/>
          <w:sz w:val="24"/>
          <w:szCs w:val="24"/>
          <w:highlight w:val="none"/>
        </w:rPr>
        <w:t xml:space="preserve">、乙方损坏甲方设施、设备且不按规定赔偿，甲方有权从履约保证金中支取相关赔偿费用</w:t>
      </w:r>
      <w:r>
        <w:rPr>
          <w:rFonts w:hint="eastAsia"/>
          <w:color w:val="000000"/>
          <w:sz w:val="24"/>
          <w:szCs w:val="24"/>
          <w:highlight w:val="none"/>
          <w:lang w:eastAsia="zh-CN"/>
        </w:rPr>
        <w:t xml:space="preserve">。</w:t>
      </w:r>
      <w:r>
        <w:rPr>
          <w:rFonts w:hint="eastAsia" w:eastAsia="宋体"/>
          <w:color w:val="000000"/>
          <w:sz w:val="24"/>
          <w:szCs w:val="24"/>
          <w:highlight w:val="none"/>
          <w:lang w:eastAsia="zh-CN"/>
        </w:rPr>
      </w:r>
      <w:r/>
    </w:p>
    <w:p>
      <w:pPr>
        <w:pStyle w:val="724"/>
        <w:ind w:firstLine="480"/>
        <w:keepLines w:val="0"/>
        <w:keepNext w:val="0"/>
        <w:pageBreakBefore w:val="0"/>
        <w:spacing w:line="480" w:lineRule="exact"/>
        <w:widowControl w:val="off"/>
        <w:rPr>
          <w:rFonts w:hint="eastAsia"/>
          <w:color w:val="000000"/>
          <w:sz w:val="24"/>
          <w:szCs w:val="24"/>
          <w:highlight w:val="none"/>
        </w:rPr>
      </w:pPr>
      <w:r>
        <w:rPr>
          <w:rFonts w:hint="eastAsia"/>
          <w:color w:val="000000"/>
          <w:sz w:val="24"/>
          <w:szCs w:val="24"/>
          <w:highlight w:val="none"/>
          <w:lang w:val="en-US" w:eastAsia="zh-CN"/>
        </w:rPr>
        <w:t xml:space="preserve">6</w:t>
      </w:r>
      <w:r>
        <w:rPr>
          <w:rFonts w:hint="eastAsia"/>
          <w:color w:val="000000"/>
          <w:sz w:val="24"/>
          <w:szCs w:val="24"/>
          <w:highlight w:val="none"/>
        </w:rPr>
        <w:t xml:space="preserve">、乙方不得将承包的合同转包或肢解分包给他人，否则，甲方有权没收履约保证金，并取消合同，乙方赔偿甲方由此产生的经济损失。</w:t>
      </w:r>
      <w:r>
        <w:rPr>
          <w:rFonts w:hint="eastAsia"/>
          <w:color w:val="000000"/>
          <w:sz w:val="24"/>
          <w:szCs w:val="24"/>
          <w:highlight w:val="none"/>
        </w:rPr>
      </w:r>
      <w:r/>
    </w:p>
    <w:p>
      <w:pPr>
        <w:pStyle w:val="736"/>
        <w:rPr>
          <w:rFonts w:hint="eastAsia" w:eastAsia="宋体"/>
          <w:lang w:val="en-US" w:eastAsia="zh-CN"/>
        </w:rPr>
      </w:pPr>
      <w:r>
        <w:rPr>
          <w:rFonts w:hint="eastAsia"/>
          <w:color w:val="000000"/>
          <w:sz w:val="24"/>
          <w:szCs w:val="24"/>
          <w:highlight w:val="none"/>
          <w:lang w:val="en-US" w:eastAsia="zh-CN"/>
        </w:rPr>
        <w:t xml:space="preserve">7、为</w:t>
      </w:r>
      <w:r>
        <w:rPr>
          <w:rFonts w:hint="eastAsia" w:ascii="宋体" w:hAnsi="宋体" w:eastAsia="宋体" w:cs="仿宋"/>
          <w:color w:val="000000"/>
          <w:sz w:val="24"/>
          <w:szCs w:val="24"/>
          <w:highlight w:val="none"/>
          <w:lang w:val="en-US" w:eastAsia="zh-CN" w:bidi="ar-SA"/>
        </w:rPr>
        <w:t xml:space="preserve">本项目配备服务人员数量</w:t>
      </w:r>
      <w:r>
        <w:rPr>
          <w:rFonts w:hint="eastAsia" w:cs="仿宋"/>
          <w:color w:val="000000"/>
          <w:sz w:val="24"/>
          <w:szCs w:val="24"/>
          <w:highlight w:val="none"/>
          <w:lang w:val="en-US" w:eastAsia="zh-CN" w:bidi="ar-SA"/>
        </w:rPr>
        <w:t xml:space="preserve">不少于</w:t>
      </w:r>
      <w:r>
        <w:rPr>
          <w:rFonts w:hint="eastAsia" w:ascii="宋体" w:hAnsi="宋体" w:eastAsia="宋体" w:cs="仿宋"/>
          <w:color w:val="000000"/>
          <w:sz w:val="24"/>
          <w:szCs w:val="24"/>
          <w:highlight w:val="none"/>
          <w:lang w:val="en-US" w:eastAsia="zh-CN" w:bidi="ar-SA"/>
        </w:rPr>
        <w:t xml:space="preserve">35人</w:t>
      </w:r>
      <w:r>
        <w:rPr>
          <w:rFonts w:hint="eastAsia" w:cs="仿宋"/>
          <w:color w:val="000000"/>
          <w:sz w:val="24"/>
          <w:szCs w:val="24"/>
          <w:highlight w:val="none"/>
          <w:lang w:val="en-US" w:eastAsia="zh-CN" w:bidi="ar-SA"/>
        </w:rPr>
        <w:t xml:space="preserve">。</w:t>
      </w:r>
      <w:r>
        <w:rPr>
          <w:rFonts w:hint="eastAsia" w:eastAsia="宋体"/>
          <w:lang w:val="en-US" w:eastAsia="zh-CN"/>
        </w:rPr>
      </w:r>
      <w:r/>
    </w:p>
    <w:p>
      <w:pPr>
        <w:pStyle w:val="724"/>
        <w:rPr>
          <w:rFonts w:ascii="Arial" w:hAnsi="Arial" w:cs="Times New Roman"/>
          <w:color w:val="000000"/>
          <w:sz w:val="24"/>
          <w:szCs w:val="24"/>
          <w:highlight w:val="none"/>
        </w:rPr>
      </w:pPr>
      <w:r>
        <w:rPr>
          <w:rFonts w:hint="eastAsia" w:ascii="仿宋" w:hAnsi="仿宋" w:eastAsia="仿宋" w:cs="仿宋"/>
          <w:b/>
          <w:color w:val="000000"/>
          <w:sz w:val="24"/>
          <w:szCs w:val="24"/>
          <w:highlight w:val="none"/>
        </w:rPr>
        <w:t xml:space="preserve">附件一：</w:t>
      </w:r>
      <w:r>
        <w:rPr>
          <w:rFonts w:ascii="Arial" w:hAnsi="Arial" w:cs="Times New Roman"/>
          <w:color w:val="000000"/>
          <w:sz w:val="24"/>
          <w:szCs w:val="24"/>
          <w:highlight w:val="none"/>
        </w:rPr>
        <w:t xml:space="preserve"> </w:t>
      </w:r>
      <w:r>
        <w:rPr>
          <w:rFonts w:ascii="Arial" w:hAnsi="Arial" w:cs="Times New Roman"/>
          <w:color w:val="000000"/>
          <w:sz w:val="24"/>
          <w:szCs w:val="24"/>
          <w:highlight w:val="none"/>
        </w:rPr>
      </w:r>
      <w:r/>
    </w:p>
    <w:p>
      <w:pPr>
        <w:pStyle w:val="724"/>
        <w:jc w:val="center"/>
        <w:rPr>
          <w:rFonts w:ascii="Arial" w:hAnsi="Arial" w:cs="Times New Roman"/>
          <w:color w:val="000000"/>
          <w:sz w:val="24"/>
          <w:szCs w:val="24"/>
          <w:highlight w:val="none"/>
        </w:rPr>
      </w:pPr>
      <w:r>
        <w:rPr>
          <w:rFonts w:ascii="Arial" w:hAnsi="Arial" w:cs="Times New Roman"/>
          <w:color w:val="000000"/>
          <w:sz w:val="24"/>
          <w:szCs w:val="24"/>
          <w:highlight w:val="none"/>
        </w:rPr>
      </w:r>
      <w:r/>
    </w:p>
    <w:p>
      <w:pPr>
        <w:pStyle w:val="724"/>
        <w:jc w:val="center"/>
        <w:rPr>
          <w:rFonts w:ascii="Arial" w:hAnsi="Arial" w:cs="Times New Roman"/>
          <w:color w:val="000000"/>
          <w:sz w:val="24"/>
          <w:szCs w:val="24"/>
          <w:highlight w:val="none"/>
        </w:rPr>
      </w:pPr>
      <w:r>
        <w:rPr>
          <w:rFonts w:ascii="Arial" w:hAnsi="Arial" w:cs="Times New Roman"/>
          <w:color w:val="000000"/>
          <w:sz w:val="24"/>
          <w:szCs w:val="24"/>
          <w:highlight w:val="none"/>
        </w:rPr>
      </w:r>
      <w:r/>
    </w:p>
    <w:p>
      <w:pPr>
        <w:pStyle w:val="724"/>
        <w:jc w:val="center"/>
        <w:rPr>
          <w:rFonts w:ascii="Arial" w:hAnsi="Arial" w:cs="Times New Roman"/>
          <w:color w:val="000000"/>
          <w:sz w:val="24"/>
          <w:szCs w:val="24"/>
          <w:highlight w:val="none"/>
        </w:rPr>
      </w:pPr>
      <w:r>
        <w:rPr>
          <w:rFonts w:hint="eastAsia" w:ascii="Arial" w:hAnsi="Arial" w:cs="Times New Roman"/>
          <w:color w:val="000000"/>
          <w:sz w:val="24"/>
          <w:szCs w:val="24"/>
          <w:highlight w:val="none"/>
        </w:rPr>
        <w:t xml:space="preserve">行政村（社区）卫生</w:t>
      </w:r>
      <w:r>
        <w:rPr>
          <w:rFonts w:hint="eastAsia" w:ascii="Arial" w:hAnsi="Arial" w:cs="Times New Roman"/>
          <w:color w:val="000000"/>
          <w:sz w:val="24"/>
          <w:szCs w:val="24"/>
          <w:highlight w:val="none"/>
          <w:lang w:val="en-US" w:eastAsia="zh-CN"/>
        </w:rPr>
        <w:t xml:space="preserve">清扫服务</w:t>
      </w:r>
      <w:r>
        <w:rPr>
          <w:rFonts w:hint="eastAsia" w:ascii="Arial" w:hAnsi="Arial" w:cs="Times New Roman"/>
          <w:color w:val="000000"/>
          <w:sz w:val="24"/>
          <w:szCs w:val="24"/>
          <w:highlight w:val="none"/>
        </w:rPr>
        <w:t xml:space="preserve">、垃圾清运督</w:t>
      </w:r>
      <w:r>
        <w:rPr>
          <w:rFonts w:hint="eastAsia" w:ascii="Arial" w:hAnsi="Arial" w:cs="Times New Roman"/>
          <w:color w:val="000000"/>
          <w:sz w:val="24"/>
          <w:szCs w:val="24"/>
          <w:highlight w:val="none"/>
          <w:lang w:eastAsia="zh-CN"/>
        </w:rPr>
        <w:t xml:space="preserve">查</w:t>
      </w:r>
      <w:r>
        <w:rPr>
          <w:rFonts w:hint="eastAsia" w:ascii="Arial" w:hAnsi="Arial" w:cs="Times New Roman"/>
          <w:color w:val="000000"/>
          <w:sz w:val="24"/>
          <w:szCs w:val="24"/>
          <w:highlight w:val="none"/>
        </w:rPr>
        <w:t xml:space="preserve">考核管理办法（满分100分）</w:t>
      </w:r>
      <w:r>
        <w:rPr>
          <w:rFonts w:ascii="Arial" w:hAnsi="Arial" w:cs="Times New Roman"/>
          <w:color w:val="000000"/>
          <w:sz w:val="24"/>
          <w:szCs w:val="24"/>
          <w:highlight w:val="none"/>
        </w:rPr>
      </w:r>
      <w:r/>
    </w:p>
    <w:tbl>
      <w:tblPr>
        <w:tblStyle w:val="1029"/>
        <w:tblW w:w="941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4"/>
        <w:gridCol w:w="1718"/>
        <w:gridCol w:w="4862"/>
        <w:gridCol w:w="926"/>
        <w:gridCol w:w="809"/>
        <w:gridCol w:w="14"/>
      </w:tblGrid>
      <w:tr>
        <w:trPr>
          <w:gridAfter w:val="1"/>
          <w:trHeight w:val="645"/>
        </w:trPr>
        <w:tc>
          <w:tcPr>
            <w:tcW w:w="1084"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考核事项</w:t>
            </w:r>
            <w:r>
              <w:rPr>
                <w:rFonts w:ascii="Arial" w:hAnsi="Arial" w:cs="仿宋"/>
                <w:color w:val="000000"/>
                <w:sz w:val="24"/>
                <w:szCs w:val="24"/>
                <w:highlight w:val="none"/>
              </w:rPr>
            </w:r>
            <w:r/>
          </w:p>
        </w:tc>
        <w:tc>
          <w:tcPr>
            <w:tcW w:w="1718"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考核内容</w:t>
            </w:r>
            <w:r>
              <w:rPr>
                <w:rFonts w:ascii="Arial" w:hAnsi="Arial" w:cs="仿宋"/>
                <w:color w:val="000000"/>
                <w:sz w:val="24"/>
                <w:szCs w:val="24"/>
                <w:highlight w:val="none"/>
              </w:rPr>
            </w:r>
            <w:r/>
          </w:p>
        </w:tc>
        <w:tc>
          <w:tcPr>
            <w:tcW w:w="4862"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扣分标准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总分</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得分</w:t>
            </w:r>
            <w:r>
              <w:rPr>
                <w:rFonts w:ascii="Arial" w:hAnsi="Arial" w:cs="仿宋"/>
                <w:color w:val="000000"/>
                <w:sz w:val="24"/>
                <w:szCs w:val="24"/>
                <w:highlight w:val="none"/>
              </w:rPr>
            </w:r>
            <w:r/>
          </w:p>
        </w:tc>
      </w:tr>
      <w:tr>
        <w:trPr>
          <w:gridAfter w:val="1"/>
          <w:trHeight w:val="1121"/>
        </w:trPr>
        <w:tc>
          <w:tcPr>
            <w:tcW w:w="1084" w:type="dxa"/>
            <w:vAlign w:val="center"/>
            <w:vMerge w:val="restart"/>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日</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常</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卫</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生</w:t>
            </w:r>
            <w:r>
              <w:rPr>
                <w:rFonts w:ascii="Arial" w:hAnsi="Arial" w:cs="仿宋"/>
                <w:color w:val="000000"/>
                <w:sz w:val="24"/>
                <w:szCs w:val="24"/>
                <w:highlight w:val="none"/>
              </w:rPr>
            </w:r>
            <w:r/>
          </w:p>
          <w:p>
            <w:pPr>
              <w:pStyle w:val="724"/>
              <w:jc w:val="center"/>
              <w:spacing w:line="440" w:lineRule="exact"/>
              <w:rPr>
                <w:rFonts w:hint="eastAsia" w:ascii="Arial" w:hAnsi="Arial" w:cs="仿宋"/>
                <w:color w:val="000000"/>
                <w:sz w:val="24"/>
                <w:szCs w:val="24"/>
                <w:highlight w:val="none"/>
                <w:lang w:val="en-US" w:eastAsia="zh-CN"/>
              </w:rPr>
            </w:pPr>
            <w:r>
              <w:rPr>
                <w:rFonts w:hint="eastAsia" w:ascii="Arial" w:hAnsi="Arial" w:cs="仿宋"/>
                <w:color w:val="000000"/>
                <w:sz w:val="24"/>
                <w:szCs w:val="24"/>
                <w:highlight w:val="none"/>
                <w:lang w:val="en-US" w:eastAsia="zh-CN"/>
              </w:rPr>
              <w:t xml:space="preserve">服</w:t>
            </w:r>
            <w:r>
              <w:rPr>
                <w:rFonts w:hint="eastAsia" w:ascii="Arial" w:hAnsi="Arial" w:cs="仿宋"/>
                <w:color w:val="000000"/>
                <w:sz w:val="24"/>
                <w:szCs w:val="24"/>
                <w:highlight w:val="none"/>
                <w:lang w:val="en-US" w:eastAsia="zh-CN"/>
              </w:rPr>
            </w:r>
            <w:r/>
          </w:p>
          <w:p>
            <w:pPr>
              <w:pStyle w:val="724"/>
              <w:jc w:val="center"/>
              <w:spacing w:line="440" w:lineRule="exact"/>
              <w:rPr>
                <w:rFonts w:hint="eastAsia" w:ascii="Arial" w:hAnsi="Arial" w:eastAsia="宋体" w:cs="仿宋"/>
                <w:color w:val="000000"/>
                <w:sz w:val="24"/>
                <w:szCs w:val="24"/>
                <w:highlight w:val="none"/>
                <w:lang w:eastAsia="zh-CN"/>
              </w:rPr>
            </w:pPr>
            <w:r>
              <w:rPr>
                <w:rFonts w:hint="eastAsia" w:ascii="Arial" w:hAnsi="Arial" w:cs="仿宋"/>
                <w:color w:val="000000"/>
                <w:sz w:val="24"/>
                <w:szCs w:val="24"/>
                <w:highlight w:val="none"/>
                <w:lang w:val="en-US" w:eastAsia="zh-CN"/>
              </w:rPr>
              <w:t xml:space="preserve">务</w:t>
            </w:r>
            <w:r>
              <w:rPr>
                <w:rFonts w:hint="eastAsia" w:ascii="Arial" w:hAnsi="Arial" w:eastAsia="宋体" w:cs="仿宋"/>
                <w:color w:val="000000"/>
                <w:sz w:val="24"/>
                <w:szCs w:val="24"/>
                <w:highlight w:val="none"/>
                <w:lang w:eastAsia="zh-CN"/>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及</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垃</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圾</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清</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运</w:t>
            </w:r>
            <w:r>
              <w:rPr>
                <w:rFonts w:ascii="Arial" w:hAnsi="Arial" w:cs="仿宋"/>
                <w:color w:val="000000"/>
                <w:sz w:val="24"/>
                <w:szCs w:val="24"/>
                <w:highlight w:val="none"/>
              </w:rPr>
            </w:r>
            <w:r/>
          </w:p>
        </w:tc>
        <w:tc>
          <w:tcPr>
            <w:tcW w:w="1718"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按时清扫</w:t>
            </w:r>
            <w:r>
              <w:rPr>
                <w:rFonts w:hint="eastAsia" w:ascii="Arial" w:hAnsi="Arial" w:cs="仿宋"/>
                <w:color w:val="000000"/>
                <w:sz w:val="24"/>
                <w:szCs w:val="24"/>
                <w:highlight w:val="none"/>
              </w:rPr>
              <w:t xml:space="preserve">路面</w:t>
            </w:r>
            <w:r>
              <w:rPr>
                <w:rFonts w:ascii="Arial" w:hAnsi="Arial" w:cs="仿宋"/>
                <w:color w:val="000000"/>
                <w:sz w:val="24"/>
                <w:szCs w:val="24"/>
                <w:highlight w:val="none"/>
              </w:rPr>
            </w:r>
            <w:r/>
          </w:p>
        </w:tc>
        <w:tc>
          <w:tcPr>
            <w:tcW w:w="4862"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按要求每日清扫并常态</w:t>
            </w:r>
            <w:r>
              <w:rPr>
                <w:rFonts w:hint="eastAsia" w:ascii="Arial" w:hAnsi="Arial" w:cs="仿宋"/>
                <w:color w:val="000000"/>
                <w:sz w:val="24"/>
                <w:szCs w:val="24"/>
                <w:highlight w:val="none"/>
                <w:lang w:val="en-US" w:eastAsia="zh-CN"/>
              </w:rPr>
              <w:t xml:space="preserve">清理清扫清运</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没有按时清扫的</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每次扣</w:t>
            </w:r>
            <w:r>
              <w:rPr>
                <w:rFonts w:hint="eastAsia" w:ascii="Arial" w:hAnsi="Arial" w:cs="仿宋"/>
                <w:color w:val="000000"/>
                <w:sz w:val="24"/>
                <w:szCs w:val="24"/>
                <w:highlight w:val="none"/>
              </w:rPr>
              <w:t xml:space="preserve">1分。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10</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gridAfter w:val="1"/>
          <w:trHeight w:val="2921"/>
        </w:trPr>
        <w:tc>
          <w:tcPr>
            <w:tcW w:w="1084" w:type="dxa"/>
            <w:vAlign w:val="center"/>
            <w:vMerge w:val="continue"/>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c>
          <w:tcPr>
            <w:tcW w:w="1718" w:type="dxa"/>
            <w:vAlign w:val="center"/>
            <w:textDirection w:val="lrTb"/>
            <w:noWrap w:val="false"/>
          </w:tcPr>
          <w:p>
            <w:pPr>
              <w:pStyle w:val="724"/>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无垃圾、堆积物，无人畜粪便，无小广告，河道沟渠无漂浮物</w:t>
            </w:r>
            <w:r>
              <w:rPr>
                <w:rFonts w:ascii="Arial" w:hAnsi="Arial" w:cs="仿宋"/>
                <w:color w:val="000000"/>
                <w:sz w:val="24"/>
                <w:szCs w:val="24"/>
                <w:highlight w:val="none"/>
              </w:rPr>
            </w:r>
            <w:r/>
          </w:p>
        </w:tc>
        <w:tc>
          <w:tcPr>
            <w:tcW w:w="4862" w:type="dxa"/>
            <w:vAlign w:val="center"/>
            <w:textDirection w:val="lrTb"/>
            <w:noWrap w:val="false"/>
          </w:tcPr>
          <w:p>
            <w:pPr>
              <w:pStyle w:val="724"/>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道路及两侧每有一处直径达1米的五堆扣1分，每5处直径达10厘米纸屑、垃圾扣1分，每5处人畜粪便扣1分，每5处小广告、乱涂乱画扣1分；河道沟渠每10处零散漂浮物扣1分，有直径达1米集聚漂浮物的1处扣2分，有直径超过1米集聚漂浮物的1处扣3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20</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gridAfter w:val="1"/>
          <w:trHeight w:val="2135"/>
        </w:trPr>
        <w:tc>
          <w:tcPr>
            <w:tcW w:w="1084" w:type="dxa"/>
            <w:vAlign w:val="center"/>
            <w:vMerge w:val="continue"/>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c>
          <w:tcPr>
            <w:tcW w:w="1718" w:type="dxa"/>
            <w:vAlign w:val="center"/>
            <w:textDirection w:val="lrTb"/>
            <w:noWrap w:val="false"/>
          </w:tcPr>
          <w:p>
            <w:pPr>
              <w:pStyle w:val="724"/>
              <w:spacing w:line="400" w:lineRule="exact"/>
              <w:rPr>
                <w:rFonts w:ascii="Arial" w:hAnsi="Arial" w:cs="仿宋"/>
                <w:color w:val="000000"/>
                <w:sz w:val="24"/>
                <w:szCs w:val="24"/>
                <w:highlight w:val="none"/>
              </w:rPr>
            </w:pPr>
            <w:r>
              <w:rPr>
                <w:rFonts w:ascii="Arial" w:hAnsi="Arial" w:cs="仿宋"/>
                <w:color w:val="000000"/>
                <w:sz w:val="24"/>
                <w:szCs w:val="24"/>
                <w:highlight w:val="none"/>
              </w:rPr>
              <w:t xml:space="preserve">垃圾</w:t>
            </w:r>
            <w:r>
              <w:rPr>
                <w:rFonts w:hint="eastAsia" w:ascii="Arial" w:hAnsi="Arial" w:cs="仿宋"/>
                <w:color w:val="000000"/>
                <w:sz w:val="24"/>
                <w:szCs w:val="24"/>
                <w:highlight w:val="none"/>
              </w:rPr>
              <w:t xml:space="preserve">箱（</w:t>
            </w:r>
            <w:r>
              <w:rPr>
                <w:rFonts w:ascii="Arial" w:hAnsi="Arial" w:cs="仿宋"/>
                <w:color w:val="000000"/>
                <w:sz w:val="24"/>
                <w:szCs w:val="24"/>
                <w:highlight w:val="none"/>
              </w:rPr>
              <w:t xml:space="preserve">桶</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及垃圾收集站(点)外观整洁</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无积压溢满</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无破损丢失</w:t>
            </w:r>
            <w:r>
              <w:rPr>
                <w:rFonts w:ascii="Arial" w:hAnsi="Arial" w:cs="仿宋"/>
                <w:color w:val="000000"/>
                <w:sz w:val="24"/>
                <w:szCs w:val="24"/>
                <w:highlight w:val="none"/>
              </w:rPr>
            </w:r>
            <w:r/>
          </w:p>
        </w:tc>
        <w:tc>
          <w:tcPr>
            <w:tcW w:w="4862" w:type="dxa"/>
            <w:vAlign w:val="center"/>
            <w:textDirection w:val="lrTb"/>
            <w:noWrap w:val="false"/>
          </w:tcPr>
          <w:p>
            <w:pPr>
              <w:pStyle w:val="724"/>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垃圾箱（桶）有明显陈旧污垢一个扣1分，有积压溢满的一个扣1分，有焚烧痕迹的1个扣1分，有破损丢失的一个扣1分；</w:t>
            </w:r>
            <w:r>
              <w:rPr>
                <w:rFonts w:ascii="Arial" w:hAnsi="Arial" w:cs="仿宋"/>
                <w:color w:val="000000"/>
                <w:sz w:val="24"/>
                <w:szCs w:val="24"/>
                <w:highlight w:val="none"/>
              </w:rPr>
              <w:t xml:space="preserve">垃圾收集站(点)周围有垃圾散落</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污水的</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每发现一处扣</w:t>
            </w:r>
            <w:r>
              <w:rPr>
                <w:rFonts w:hint="eastAsia" w:ascii="Arial" w:hAnsi="Arial" w:cs="仿宋"/>
                <w:color w:val="000000"/>
                <w:sz w:val="24"/>
                <w:szCs w:val="24"/>
                <w:highlight w:val="none"/>
              </w:rPr>
              <w:t xml:space="preserve">1分。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15</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gridAfter w:val="1"/>
          <w:trHeight w:val="838"/>
        </w:trPr>
        <w:tc>
          <w:tcPr>
            <w:tcW w:w="1084" w:type="dxa"/>
            <w:vAlign w:val="center"/>
            <w:vMerge w:val="continue"/>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c>
          <w:tcPr>
            <w:tcW w:w="1718" w:type="dxa"/>
            <w:vAlign w:val="center"/>
            <w:textDirection w:val="lrTb"/>
            <w:noWrap w:val="false"/>
          </w:tcPr>
          <w:p>
            <w:pPr>
              <w:pStyle w:val="724"/>
              <w:spacing w:line="400" w:lineRule="exact"/>
              <w:rPr>
                <w:rFonts w:ascii="Arial" w:hAnsi="Arial" w:cs="仿宋"/>
                <w:color w:val="000000"/>
                <w:sz w:val="24"/>
                <w:szCs w:val="24"/>
                <w:highlight w:val="none"/>
              </w:rPr>
            </w:pPr>
            <w:r>
              <w:rPr>
                <w:rFonts w:ascii="Arial" w:hAnsi="Arial" w:cs="仿宋"/>
                <w:color w:val="000000"/>
                <w:sz w:val="24"/>
                <w:szCs w:val="24"/>
                <w:highlight w:val="none"/>
              </w:rPr>
              <w:t xml:space="preserve">垃圾及时清运到指定地点</w:t>
            </w:r>
            <w:r>
              <w:rPr>
                <w:rFonts w:ascii="Arial" w:hAnsi="Arial" w:cs="仿宋"/>
                <w:color w:val="000000"/>
                <w:sz w:val="24"/>
                <w:szCs w:val="24"/>
                <w:highlight w:val="none"/>
              </w:rPr>
            </w:r>
            <w:r/>
          </w:p>
        </w:tc>
        <w:tc>
          <w:tcPr>
            <w:tcW w:w="4862"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有爆满现象</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未运到指定地点的</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一次扣</w:t>
            </w:r>
            <w:r>
              <w:rPr>
                <w:rFonts w:hint="eastAsia" w:ascii="Arial" w:hAnsi="Arial" w:cs="仿宋"/>
                <w:color w:val="000000"/>
                <w:sz w:val="24"/>
                <w:szCs w:val="24"/>
                <w:highlight w:val="none"/>
              </w:rPr>
              <w:t xml:space="preserve">2分。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20</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gridAfter w:val="1"/>
          <w:trHeight w:val="838"/>
        </w:trPr>
        <w:tc>
          <w:tcPr>
            <w:tcW w:w="1084" w:type="dxa"/>
            <w:vAlign w:val="center"/>
            <w:vMerge w:val="continue"/>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c>
          <w:tcPr>
            <w:tcW w:w="1718"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无焚烧垃圾现象</w:t>
            </w:r>
            <w:r>
              <w:rPr>
                <w:rFonts w:ascii="Arial" w:hAnsi="Arial" w:cs="仿宋"/>
                <w:color w:val="000000"/>
                <w:sz w:val="24"/>
                <w:szCs w:val="24"/>
                <w:highlight w:val="none"/>
              </w:rPr>
            </w:r>
            <w:r/>
          </w:p>
        </w:tc>
        <w:tc>
          <w:tcPr>
            <w:tcW w:w="4862" w:type="dxa"/>
            <w:vAlign w:val="center"/>
            <w:textDirection w:val="lrTb"/>
            <w:noWrap w:val="false"/>
          </w:tcPr>
          <w:p>
            <w:pPr>
              <w:pStyle w:val="724"/>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垃圾处理不当，有</w:t>
            </w:r>
            <w:r>
              <w:rPr>
                <w:rFonts w:ascii="Arial" w:hAnsi="Arial" w:cs="仿宋"/>
                <w:color w:val="000000"/>
                <w:sz w:val="24"/>
                <w:szCs w:val="24"/>
                <w:highlight w:val="none"/>
              </w:rPr>
              <w:t xml:space="preserve">焚烧垃圾</w:t>
            </w:r>
            <w:r>
              <w:rPr>
                <w:rFonts w:hint="eastAsia" w:ascii="Arial" w:hAnsi="Arial" w:cs="仿宋"/>
                <w:color w:val="000000"/>
                <w:sz w:val="24"/>
                <w:szCs w:val="24"/>
                <w:highlight w:val="none"/>
              </w:rPr>
              <w:t xml:space="preserve">、填埋垃圾等现象</w:t>
            </w:r>
            <w:r>
              <w:rPr>
                <w:rFonts w:ascii="Arial" w:hAnsi="Arial" w:cs="仿宋"/>
                <w:color w:val="000000"/>
                <w:sz w:val="24"/>
                <w:szCs w:val="24"/>
                <w:highlight w:val="none"/>
              </w:rPr>
              <w:t xml:space="preserve">的</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一次扣</w:t>
            </w:r>
            <w:r>
              <w:rPr>
                <w:rFonts w:hint="eastAsia" w:ascii="Arial" w:hAnsi="Arial" w:cs="仿宋"/>
                <w:color w:val="000000"/>
                <w:sz w:val="24"/>
                <w:szCs w:val="24"/>
                <w:highlight w:val="none"/>
              </w:rPr>
              <w:t xml:space="preserve">2分。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10</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gridAfter w:val="1"/>
          <w:trHeight w:val="2204"/>
        </w:trPr>
        <w:tc>
          <w:tcPr>
            <w:tcW w:w="1084"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上</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级</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考</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核</w:t>
            </w:r>
            <w:r>
              <w:rPr>
                <w:rFonts w:ascii="Arial" w:hAnsi="Arial" w:cs="仿宋"/>
                <w:color w:val="000000"/>
                <w:sz w:val="24"/>
                <w:szCs w:val="24"/>
                <w:highlight w:val="none"/>
              </w:rPr>
            </w:r>
            <w:r/>
          </w:p>
        </w:tc>
        <w:tc>
          <w:tcPr>
            <w:tcW w:w="1718"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县</w:t>
            </w:r>
            <w:r>
              <w:rPr>
                <w:rFonts w:hint="eastAsia" w:ascii="Arial" w:hAnsi="Arial" w:cs="仿宋"/>
                <w:color w:val="000000"/>
                <w:sz w:val="24"/>
                <w:szCs w:val="24"/>
                <w:highlight w:val="none"/>
              </w:rPr>
              <w:t xml:space="preserve">级及以上层级</w:t>
            </w:r>
            <w:r>
              <w:rPr>
                <w:rFonts w:ascii="Arial" w:hAnsi="Arial" w:cs="仿宋"/>
                <w:color w:val="000000"/>
                <w:sz w:val="24"/>
                <w:szCs w:val="24"/>
                <w:highlight w:val="none"/>
              </w:rPr>
              <w:t xml:space="preserve">人居环境考核</w:t>
            </w:r>
            <w:r>
              <w:rPr>
                <w:rFonts w:hint="eastAsia" w:ascii="Arial" w:hAnsi="Arial" w:cs="仿宋"/>
                <w:color w:val="000000"/>
                <w:sz w:val="24"/>
                <w:szCs w:val="24"/>
                <w:highlight w:val="none"/>
              </w:rPr>
              <w:t xml:space="preserve">、一体化考核</w:t>
            </w:r>
            <w:r>
              <w:rPr>
                <w:rFonts w:ascii="Arial" w:hAnsi="Arial" w:cs="仿宋"/>
                <w:color w:val="000000"/>
                <w:sz w:val="24"/>
                <w:szCs w:val="24"/>
                <w:highlight w:val="none"/>
              </w:rPr>
            </w:r>
            <w:r/>
          </w:p>
        </w:tc>
        <w:tc>
          <w:tcPr>
            <w:tcW w:w="4862" w:type="dxa"/>
            <w:vAlign w:val="center"/>
            <w:textDirection w:val="lrTb"/>
            <w:noWrap w:val="false"/>
          </w:tcPr>
          <w:p>
            <w:pPr>
              <w:pStyle w:val="724"/>
              <w:spacing w:line="400" w:lineRule="exact"/>
              <w:rPr>
                <w:rFonts w:ascii="Arial" w:hAnsi="Arial" w:cs="仿宋"/>
                <w:color w:val="000000"/>
                <w:sz w:val="24"/>
                <w:szCs w:val="24"/>
                <w:highlight w:val="none"/>
              </w:rPr>
            </w:pPr>
            <w:r>
              <w:rPr>
                <w:rFonts w:ascii="Arial" w:hAnsi="Arial" w:cs="仿宋"/>
                <w:color w:val="000000"/>
                <w:sz w:val="24"/>
                <w:szCs w:val="24"/>
                <w:highlight w:val="none"/>
              </w:rPr>
              <w:t xml:space="preserve">各村</w:t>
            </w:r>
            <w:r>
              <w:rPr>
                <w:rFonts w:hint="eastAsia" w:ascii="Arial" w:hAnsi="Arial" w:cs="仿宋"/>
                <w:color w:val="000000"/>
                <w:sz w:val="24"/>
                <w:szCs w:val="24"/>
                <w:highlight w:val="none"/>
              </w:rPr>
              <w:t xml:space="preserve">（社区）</w:t>
            </w:r>
            <w:r>
              <w:rPr>
                <w:rFonts w:ascii="Arial" w:hAnsi="Arial" w:cs="仿宋"/>
                <w:color w:val="000000"/>
                <w:sz w:val="24"/>
                <w:szCs w:val="24"/>
                <w:highlight w:val="none"/>
              </w:rPr>
              <w:t xml:space="preserve">在县人居环境考核中得分低于保洁服务要求中规定分数的</w:t>
            </w:r>
            <w:r>
              <w:rPr>
                <w:rFonts w:hint="eastAsia" w:ascii="Arial" w:hAnsi="Arial" w:cs="仿宋"/>
                <w:color w:val="000000"/>
                <w:sz w:val="24"/>
                <w:szCs w:val="24"/>
                <w:highlight w:val="none"/>
              </w:rPr>
              <w:t xml:space="preserve">，</w:t>
            </w:r>
            <w:r>
              <w:rPr>
                <w:rFonts w:ascii="Arial" w:hAnsi="Arial" w:cs="仿宋"/>
                <w:color w:val="000000"/>
                <w:sz w:val="24"/>
                <w:szCs w:val="24"/>
                <w:highlight w:val="none"/>
              </w:rPr>
              <w:t xml:space="preserve">每有一村低于保洁服务要求中规定分数的扣</w:t>
            </w:r>
            <w:r>
              <w:rPr>
                <w:rFonts w:hint="eastAsia" w:ascii="Arial" w:hAnsi="Arial" w:cs="仿宋"/>
                <w:color w:val="000000"/>
                <w:sz w:val="24"/>
                <w:szCs w:val="24"/>
                <w:highlight w:val="none"/>
              </w:rPr>
              <w:t xml:space="preserve">2分。被国家、省、市、县人居环境督察组督查时通报存在问题的，一村一次分别扣15分、12分、10分、5分。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15</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gridAfter w:val="1"/>
          <w:trHeight w:val="1130"/>
        </w:trPr>
        <w:tc>
          <w:tcPr>
            <w:tcW w:w="1084"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协调</w:t>
            </w:r>
            <w:r>
              <w:rPr>
                <w:rFonts w:ascii="Arial" w:hAnsi="Arial" w:cs="仿宋"/>
                <w:color w:val="000000"/>
                <w:sz w:val="24"/>
                <w:szCs w:val="24"/>
                <w:highlight w:val="none"/>
              </w:rPr>
            </w:r>
            <w:r/>
          </w:p>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配合</w:t>
            </w:r>
            <w:r>
              <w:rPr>
                <w:rFonts w:ascii="Arial" w:hAnsi="Arial" w:cs="仿宋"/>
                <w:color w:val="000000"/>
                <w:sz w:val="24"/>
                <w:szCs w:val="24"/>
                <w:highlight w:val="none"/>
              </w:rPr>
            </w:r>
            <w:r/>
          </w:p>
        </w:tc>
        <w:tc>
          <w:tcPr>
            <w:tcW w:w="1718"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重大活动及自然灾害调度</w:t>
            </w:r>
            <w:r>
              <w:rPr>
                <w:rFonts w:ascii="Arial" w:hAnsi="Arial" w:cs="仿宋"/>
                <w:color w:val="000000"/>
                <w:sz w:val="24"/>
                <w:szCs w:val="24"/>
                <w:highlight w:val="none"/>
              </w:rPr>
            </w:r>
            <w:r/>
          </w:p>
        </w:tc>
        <w:tc>
          <w:tcPr>
            <w:tcW w:w="4862" w:type="dxa"/>
            <w:vAlign w:val="center"/>
            <w:textDirection w:val="lrTb"/>
            <w:noWrap w:val="false"/>
          </w:tcPr>
          <w:p>
            <w:pPr>
              <w:pStyle w:val="724"/>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重大活动及自然灾害不服从调度每次扣</w:t>
            </w:r>
            <w:r>
              <w:rPr>
                <w:rFonts w:hint="eastAsia" w:ascii="Arial" w:hAnsi="Arial" w:cs="仿宋"/>
                <w:color w:val="000000"/>
                <w:sz w:val="24"/>
                <w:szCs w:val="24"/>
                <w:highlight w:val="none"/>
              </w:rPr>
              <w:t xml:space="preserve">10分。</w:t>
            </w:r>
            <w:r>
              <w:rPr>
                <w:rFonts w:ascii="Arial" w:hAnsi="Arial" w:cs="仿宋"/>
                <w:color w:val="000000"/>
                <w:sz w:val="24"/>
                <w:szCs w:val="24"/>
                <w:highlight w:val="none"/>
              </w:rPr>
            </w:r>
            <w:r/>
          </w:p>
        </w:tc>
        <w:tc>
          <w:tcPr>
            <w:tcW w:w="926"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hint="eastAsia" w:ascii="Arial" w:hAnsi="Arial" w:cs="仿宋"/>
                <w:color w:val="000000"/>
                <w:sz w:val="24"/>
                <w:szCs w:val="24"/>
                <w:highlight w:val="none"/>
              </w:rPr>
              <w:t xml:space="preserve">10</w:t>
            </w:r>
            <w:r>
              <w:rPr>
                <w:rFonts w:ascii="Arial" w:hAnsi="Arial" w:cs="仿宋"/>
                <w:color w:val="000000"/>
                <w:sz w:val="24"/>
                <w:szCs w:val="24"/>
                <w:highlight w:val="none"/>
              </w:rPr>
            </w:r>
            <w:r/>
          </w:p>
        </w:tc>
        <w:tc>
          <w:tcPr>
            <w:tcW w:w="809"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r>
            <w:r/>
          </w:p>
        </w:tc>
      </w:tr>
      <w:tr>
        <w:trPr>
          <w:trHeight w:val="3534"/>
        </w:trPr>
        <w:tc>
          <w:tcPr>
            <w:tcW w:w="1084" w:type="dxa"/>
            <w:vAlign w:val="center"/>
            <w:textDirection w:val="lrTb"/>
            <w:noWrap w:val="false"/>
          </w:tcPr>
          <w:p>
            <w:pPr>
              <w:pStyle w:val="724"/>
              <w:jc w:val="center"/>
              <w:spacing w:line="440" w:lineRule="exact"/>
              <w:rPr>
                <w:rFonts w:ascii="Arial" w:hAnsi="Arial" w:cs="仿宋"/>
                <w:color w:val="000000"/>
                <w:sz w:val="24"/>
                <w:szCs w:val="24"/>
                <w:highlight w:val="none"/>
              </w:rPr>
            </w:pPr>
            <w:r>
              <w:rPr>
                <w:rFonts w:ascii="Arial" w:hAnsi="Arial" w:cs="仿宋"/>
                <w:color w:val="000000"/>
                <w:sz w:val="24"/>
                <w:szCs w:val="24"/>
                <w:highlight w:val="none"/>
              </w:rPr>
              <w:t xml:space="preserve">备注</w:t>
            </w:r>
            <w:r>
              <w:rPr>
                <w:rFonts w:ascii="Arial" w:hAnsi="Arial" w:cs="仿宋"/>
                <w:color w:val="000000"/>
                <w:sz w:val="24"/>
                <w:szCs w:val="24"/>
                <w:highlight w:val="none"/>
              </w:rPr>
            </w:r>
            <w:r/>
          </w:p>
        </w:tc>
        <w:tc>
          <w:tcPr>
            <w:gridSpan w:val="5"/>
            <w:tcW w:w="8329" w:type="dxa"/>
            <w:vAlign w:val="center"/>
            <w:textDirection w:val="lrTb"/>
            <w:noWrap w:val="false"/>
          </w:tcPr>
          <w:p>
            <w:pPr>
              <w:pStyle w:val="724"/>
              <w:ind w:firstLine="480"/>
              <w:spacing w:line="440" w:lineRule="exact"/>
              <w:rPr>
                <w:color w:val="000000"/>
                <w:sz w:val="24"/>
                <w:szCs w:val="24"/>
                <w:highlight w:val="none"/>
              </w:rPr>
            </w:pPr>
            <w:r>
              <w:rPr>
                <w:rFonts w:hint="eastAsia"/>
                <w:color w:val="000000"/>
                <w:sz w:val="24"/>
                <w:szCs w:val="24"/>
                <w:highlight w:val="none"/>
              </w:rPr>
              <w:t xml:space="preserve">1、按月考核，具体考核人员、考核形式以甲方组织为准，乙方不得干预。</w:t>
            </w:r>
            <w:r>
              <w:rPr>
                <w:color w:val="000000"/>
                <w:sz w:val="24"/>
                <w:szCs w:val="24"/>
                <w:highlight w:val="none"/>
              </w:rPr>
            </w:r>
            <w:r/>
          </w:p>
          <w:p>
            <w:pPr>
              <w:pStyle w:val="724"/>
              <w:ind w:firstLine="480"/>
              <w:spacing w:line="440" w:lineRule="exact"/>
              <w:rPr>
                <w:rFonts w:hint="eastAsia"/>
                <w:color w:val="000000"/>
                <w:sz w:val="24"/>
                <w:szCs w:val="24"/>
                <w:highlight w:val="none"/>
              </w:rPr>
            </w:pPr>
            <w:r>
              <w:rPr>
                <w:rFonts w:hint="eastAsia"/>
                <w:color w:val="000000"/>
                <w:sz w:val="24"/>
                <w:szCs w:val="24"/>
                <w:highlight w:val="none"/>
              </w:rPr>
              <w:t xml:space="preserve">2、本月内无焚烧垃圾现象的，加2分；本月内做好重大活动保洁任务、无纰漏的，每有1次加2分。</w:t>
            </w:r>
            <w:r>
              <w:rPr>
                <w:rFonts w:hint="eastAsia"/>
                <w:color w:val="000000"/>
                <w:sz w:val="24"/>
                <w:szCs w:val="24"/>
                <w:highlight w:val="none"/>
              </w:rPr>
            </w:r>
            <w:r/>
          </w:p>
          <w:p>
            <w:pPr>
              <w:pStyle w:val="724"/>
              <w:ind w:firstLine="480"/>
              <w:spacing w:line="440" w:lineRule="exact"/>
              <w:rPr>
                <w:color w:val="000000"/>
                <w:sz w:val="24"/>
                <w:szCs w:val="24"/>
                <w:highlight w:val="none"/>
              </w:rPr>
            </w:pPr>
            <w:r>
              <w:rPr>
                <w:rFonts w:hint="eastAsia"/>
                <w:color w:val="000000"/>
                <w:sz w:val="24"/>
                <w:szCs w:val="24"/>
                <w:highlight w:val="none"/>
              </w:rPr>
              <w:t xml:space="preserve">3、</w:t>
            </w:r>
            <w:r>
              <w:rPr>
                <w:rFonts w:hint="eastAsia"/>
                <w:color w:val="000000"/>
                <w:sz w:val="24"/>
                <w:szCs w:val="24"/>
                <w:highlight w:val="none"/>
                <w:lang w:val="en-US" w:eastAsia="zh-CN"/>
              </w:rPr>
              <w:t xml:space="preserve">注：月考核平均分值达90分及以上的，全额给付月度款；月考核平均分值在85-90分之间的，给付月度款的90%；月考核平均分值在80-85分之间的，给付月度款的80%；月考核平均分值在75-80分之间的，给付月度款的70%；月考核平均分值在70-75分之间的，给付月度款的50%；月考核平均分值在70分以下的，全额取消月度款。</w:t>
            </w:r>
            <w:r>
              <w:rPr>
                <w:color w:val="000000"/>
                <w:sz w:val="24"/>
                <w:szCs w:val="24"/>
                <w:highlight w:val="none"/>
              </w:rPr>
            </w:r>
            <w:r/>
          </w:p>
        </w:tc>
      </w:tr>
    </w:tbl>
    <w:p>
      <w:pPr>
        <w:pStyle w:val="724"/>
        <w:spacing w:line="560" w:lineRule="exact"/>
        <w:rPr>
          <w:rFonts w:ascii="宋体" w:hAnsi="宋体" w:eastAsia="宋体" w:cs="仿宋"/>
          <w:b/>
          <w:color w:val="000000"/>
          <w:sz w:val="30"/>
          <w:szCs w:val="30"/>
          <w:highlight w:val="none"/>
        </w:rPr>
      </w:pPr>
      <w:r>
        <w:rPr>
          <w:rFonts w:ascii="宋体" w:hAnsi="宋体" w:eastAsia="宋体" w:cs="仿宋"/>
          <w:b/>
          <w:color w:val="000000"/>
          <w:sz w:val="30"/>
          <w:szCs w:val="30"/>
          <w:highlight w:val="none"/>
        </w:rPr>
      </w:r>
      <w:r/>
    </w:p>
    <w:p>
      <w:pPr>
        <w:pStyle w:val="724"/>
        <w:ind w:firstLine="480"/>
        <w:spacing w:line="560" w:lineRule="exact"/>
        <w:rPr>
          <w:rFonts w:hint="eastAsia" w:ascii="宋体" w:hAnsi="宋体"/>
          <w:color w:val="000000"/>
          <w:sz w:val="24"/>
          <w:szCs w:val="21"/>
          <w:highlight w:val="none"/>
        </w:rPr>
      </w:pPr>
      <w:r>
        <w:rPr>
          <w:rFonts w:hint="eastAsia" w:ascii="宋体" w:hAnsi="宋体"/>
          <w:color w:val="000000"/>
          <w:sz w:val="24"/>
          <w:szCs w:val="21"/>
          <w:highlight w:val="none"/>
        </w:rPr>
      </w:r>
      <w:r/>
    </w:p>
    <w:p>
      <w:pPr>
        <w:pStyle w:val="724"/>
        <w:ind w:firstLine="602"/>
        <w:rPr>
          <w:rFonts w:hint="eastAsia"/>
          <w:b/>
          <w:i/>
          <w:color w:val="000000"/>
          <w:sz w:val="30"/>
          <w:szCs w:val="32"/>
          <w:highlight w:val="none"/>
          <w:u w:val="single"/>
        </w:rPr>
      </w:pPr>
      <w:r>
        <w:rPr>
          <w:rFonts w:hint="eastAsia"/>
          <w:b/>
          <w:i/>
          <w:color w:val="000000"/>
          <w:sz w:val="30"/>
          <w:szCs w:val="32"/>
          <w:highlight w:val="none"/>
          <w:u w:val="single"/>
        </w:rPr>
      </w:r>
      <w:r/>
    </w:p>
    <w:p>
      <w:pPr>
        <w:pStyle w:val="724"/>
        <w:jc w:val="center"/>
        <w:keepNext/>
        <w:rPr>
          <w:rFonts w:hint="eastAsia" w:ascii="黑体" w:eastAsia="黑体"/>
          <w:bCs/>
          <w:color w:val="000000"/>
          <w:szCs w:val="21"/>
          <w:highlight w:val="none"/>
        </w:rPr>
        <w:outlineLvl w:val="0"/>
      </w:pPr>
      <w:r/>
      <w:bookmarkStart w:id="167" w:name="_Toc120614281"/>
      <w:r>
        <w:rPr>
          <w:rFonts w:hint="eastAsia" w:ascii="黑体" w:eastAsia="黑体"/>
          <w:bCs/>
          <w:color w:val="000000"/>
          <w:szCs w:val="21"/>
          <w:highlight w:val="none"/>
        </w:rPr>
      </w:r>
      <w:r/>
    </w:p>
    <w:p>
      <w:pPr>
        <w:pStyle w:val="724"/>
        <w:jc w:val="center"/>
        <w:keepNext/>
        <w:rPr>
          <w:rFonts w:hint="eastAsia"/>
          <w:color w:val="000000"/>
          <w:highlight w:val="none"/>
        </w:rPr>
        <w:outlineLvl w:val="0"/>
      </w:pPr>
      <w:r>
        <w:rPr>
          <w:rFonts w:hint="eastAsia" w:ascii="黑体" w:eastAsia="黑体"/>
          <w:bCs/>
          <w:color w:val="000000"/>
          <w:sz w:val="44"/>
          <w:szCs w:val="28"/>
          <w:highlight w:val="none"/>
        </w:rPr>
        <w:br w:type="page" w:clear="all"/>
      </w:r>
      <w:r>
        <w:rPr>
          <w:rFonts w:hint="eastAsia" w:ascii="黑体" w:eastAsia="黑体"/>
          <w:bCs/>
          <w:color w:val="000000"/>
          <w:sz w:val="44"/>
          <w:szCs w:val="28"/>
          <w:highlight w:val="none"/>
        </w:rPr>
        <w:t xml:space="preserve">第五章</w:t>
      </w:r>
      <w:r>
        <w:rPr>
          <w:rFonts w:hint="eastAsia" w:ascii="黑体" w:eastAsia="黑体"/>
          <w:b/>
          <w:bCs/>
          <w:color w:val="000000"/>
          <w:sz w:val="44"/>
          <w:szCs w:val="28"/>
          <w:highlight w:val="none"/>
        </w:rPr>
        <w:t xml:space="preserve">评标方法与评标标准</w:t>
      </w:r>
      <w:r>
        <w:rPr>
          <w:rFonts w:hint="eastAsia"/>
          <w:color w:val="000000"/>
          <w:highlight w:val="none"/>
        </w:rPr>
      </w:r>
      <w:r/>
    </w:p>
    <w:p>
      <w:pPr>
        <w:pStyle w:val="946"/>
        <w:ind w:left="408" w:hanging="408"/>
        <w:spacing w:line="500" w:lineRule="exact"/>
        <w:tabs>
          <w:tab w:val="left" w:pos="2472"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一、评标委员会构成：本采购项目评标委员会的评委由评审专家（采购人代表，如有）组成。</w:t>
      </w:r>
      <w:r>
        <w:rPr>
          <w:rFonts w:hint="eastAsia" w:hAnsi="宋体" w:cs="宋体"/>
          <w:color w:val="000000"/>
          <w:sz w:val="24"/>
          <w:szCs w:val="24"/>
          <w:highlight w:val="none"/>
        </w:rPr>
      </w:r>
      <w:r/>
    </w:p>
    <w:p>
      <w:pPr>
        <w:pStyle w:val="946"/>
        <w:ind w:left="408" w:hanging="408"/>
        <w:spacing w:line="500" w:lineRule="exact"/>
        <w:tabs>
          <w:tab w:val="left" w:pos="2472" w:leader="none"/>
        </w:tabs>
        <w:rPr>
          <w:rFonts w:hint="eastAsia" w:hAnsi="宋体" w:cs="宋体"/>
          <w:color w:val="000000"/>
          <w:sz w:val="24"/>
          <w:szCs w:val="24"/>
          <w:highlight w:val="none"/>
        </w:rPr>
      </w:pPr>
      <w:r>
        <w:rPr>
          <w:rFonts w:hint="eastAsia" w:hAnsi="宋体" w:cs="宋体"/>
          <w:color w:val="000000"/>
          <w:sz w:val="24"/>
          <w:szCs w:val="24"/>
          <w:highlight w:val="none"/>
        </w:rPr>
        <w:t xml:space="preserve">二、评标原则：评标委员会必须公平、公正、客观，不带任何倾向性和启发性；不得向外界透露任何与评标有关的内容；任何单位和个人不得干扰、影响评标的正常进行；评标委员会及有关工作人员不得私下与投标人接触。</w:t>
      </w:r>
      <w:r>
        <w:rPr>
          <w:rFonts w:hint="eastAsia" w:hAnsi="宋体" w:cs="宋体"/>
          <w:color w:val="000000"/>
          <w:sz w:val="24"/>
          <w:szCs w:val="24"/>
          <w:highlight w:val="none"/>
        </w:rPr>
      </w:r>
      <w:r/>
    </w:p>
    <w:p>
      <w:pPr>
        <w:pStyle w:val="724"/>
        <w:jc w:val="left"/>
        <w:spacing w:line="5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三、评标办法：</w:t>
      </w:r>
      <w:r>
        <w:rPr>
          <w:rFonts w:hint="eastAsia" w:ascii="宋体" w:hAnsi="宋体" w:cs="宋体"/>
          <w:color w:val="000000"/>
          <w:sz w:val="24"/>
          <w:szCs w:val="24"/>
          <w:highlight w:val="none"/>
        </w:rPr>
      </w:r>
      <w:r/>
    </w:p>
    <w:p>
      <w:pPr>
        <w:pStyle w:val="970"/>
        <w:ind w:left="1" w:firstLine="628"/>
        <w:spacing w:line="48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eastAsia="宋体" w:cs="宋体"/>
          <w:color w:val="000000"/>
          <w:szCs w:val="24"/>
          <w:highlight w:val="none"/>
          <w:lang w:eastAsia="zh-CN"/>
        </w:rPr>
      </w:pPr>
      <w:r>
        <w:rPr>
          <w:rFonts w:hint="eastAsia" w:cs="宋体"/>
          <w:color w:val="000000"/>
          <w:szCs w:val="24"/>
          <w:highlight w:val="none"/>
        </w:rPr>
        <w:t xml:space="preserve">采用综合评分法的，评标结果按评审得分由高到低顺序排列。得分相同的，按投标报价由低到高顺序排列，得分和投标报价均相同的并列，投标文件满足招标文件全部实质性要求，且按照评审因素的量化指标评审得分最高的投标人为中标候选人</w:t>
      </w:r>
      <w:r>
        <w:rPr>
          <w:rFonts w:hint="eastAsia" w:cs="宋体"/>
          <w:color w:val="000000"/>
          <w:szCs w:val="24"/>
          <w:highlight w:val="none"/>
          <w:lang w:eastAsia="zh-CN"/>
        </w:rPr>
        <w:t xml:space="preserve">。</w:t>
      </w:r>
      <w:r>
        <w:rPr>
          <w:rFonts w:hint="eastAsia" w:eastAsia="宋体" w:cs="宋体"/>
          <w:color w:val="000000"/>
          <w:szCs w:val="24"/>
          <w:highlight w:val="none"/>
          <w:lang w:eastAsia="zh-CN"/>
        </w:rPr>
      </w:r>
      <w:r/>
    </w:p>
    <w:p>
      <w:pPr>
        <w:pStyle w:val="970"/>
        <w:ind w:left="1" w:firstLine="628"/>
        <w:spacing w:line="480" w:lineRule="exact"/>
        <w:tabs>
          <w:tab w:val="left" w:pos="0" w:leader="none"/>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cs="宋体"/>
          <w:color w:val="000000"/>
          <w:szCs w:val="24"/>
          <w:highlight w:val="none"/>
        </w:rPr>
      </w:pPr>
      <w:r>
        <w:rPr>
          <w:rFonts w:hint="eastAsia" w:cs="宋体"/>
          <w:color w:val="000000"/>
          <w:szCs w:val="24"/>
          <w:highlight w:val="none"/>
        </w:rPr>
      </w:r>
      <w:r/>
    </w:p>
    <w:tbl>
      <w:tblPr>
        <w:tblW w:w="10038" w:type="dxa"/>
        <w:jc w:val="center"/>
        <w:tblInd w:w="-3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30" w:type="dxa"/>
          <w:top w:w="0" w:type="dxa"/>
          <w:right w:w="30" w:type="dxa"/>
          <w:bottom w:w="0" w:type="dxa"/>
        </w:tblCellMar>
        <w:tblLook w:val="04A0" w:firstRow="1" w:lastRow="0" w:firstColumn="1" w:lastColumn="0" w:noHBand="0" w:noVBand="1"/>
      </w:tblPr>
      <w:tblGrid>
        <w:gridCol w:w="1508"/>
        <w:gridCol w:w="7651"/>
        <w:gridCol w:w="879"/>
      </w:tblGrid>
      <w:tr>
        <w:trPr>
          <w:trHeight w:val="494"/>
        </w:trPr>
        <w:tc>
          <w:tcPr>
            <w:gridSpan w:val="3"/>
            <w:tcW w:w="10038" w:type="dxa"/>
            <w:vAlign w:val="center"/>
            <w:textDirection w:val="lrTb"/>
            <w:noWrap w:val="false"/>
          </w:tcPr>
          <w:p>
            <w:pPr>
              <w:pStyle w:val="724"/>
              <w:ind w:left="1" w:right="-4" w:firstLine="422"/>
              <w:jc w:val="center"/>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Times New Roman"/>
                <w:b/>
                <w:color w:val="000000"/>
                <w:sz w:val="24"/>
                <w:szCs w:val="24"/>
                <w:highlight w:val="none"/>
              </w:rPr>
            </w:pPr>
            <w:r>
              <w:rPr>
                <w:rFonts w:hint="eastAsia" w:ascii="宋体" w:hAnsi="宋体" w:eastAsia="宋体" w:cs="仿宋"/>
                <w:b/>
                <w:color w:val="000000"/>
                <w:sz w:val="24"/>
                <w:szCs w:val="24"/>
                <w:highlight w:val="none"/>
              </w:rPr>
              <w:t xml:space="preserve">价格部分（</w:t>
            </w:r>
            <w:r>
              <w:rPr>
                <w:rFonts w:hint="eastAsia" w:ascii="宋体" w:hAnsi="宋体" w:cs="Times New Roman"/>
                <w:b/>
                <w:color w:val="000000"/>
                <w:sz w:val="24"/>
                <w:szCs w:val="24"/>
                <w:highlight w:val="none"/>
                <w:lang w:val="en-US" w:eastAsia="zh-CN"/>
              </w:rPr>
              <w:t xml:space="preserve">10</w:t>
            </w:r>
            <w:r>
              <w:rPr>
                <w:rFonts w:hint="eastAsia" w:ascii="宋体" w:hAnsi="宋体" w:eastAsia="宋体" w:cs="仿宋"/>
                <w:b/>
                <w:color w:val="000000"/>
                <w:sz w:val="24"/>
                <w:szCs w:val="24"/>
                <w:highlight w:val="none"/>
              </w:rPr>
              <w:t xml:space="preserve">分）</w:t>
            </w:r>
            <w:r>
              <w:rPr>
                <w:rFonts w:ascii="宋体" w:hAnsi="宋体" w:eastAsia="宋体" w:cs="Times New Roman"/>
                <w:b/>
                <w:color w:val="000000"/>
                <w:sz w:val="24"/>
                <w:szCs w:val="24"/>
                <w:highlight w:val="none"/>
              </w:rPr>
            </w:r>
            <w:r/>
          </w:p>
        </w:tc>
      </w:tr>
      <w:tr>
        <w:trPr>
          <w:trHeight w:val="454"/>
        </w:trPr>
        <w:tc>
          <w:tcPr>
            <w:tcW w:w="1508" w:type="dxa"/>
            <w:vAlign w:val="center"/>
            <w:textDirection w:val="lrTb"/>
            <w:noWrap w:val="false"/>
          </w:tcPr>
          <w:p>
            <w:pPr>
              <w:pStyle w:val="724"/>
              <w:ind w:right="-4" w:firstLine="228"/>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评审因素</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firstLine="420"/>
              <w:jc w:val="center"/>
              <w:spacing w:line="44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评审标准</w:t>
            </w:r>
            <w:r>
              <w:rPr>
                <w:rFonts w:ascii="宋体" w:hAnsi="宋体" w:eastAsia="宋体" w:cs="仿宋"/>
                <w:color w:val="000000"/>
                <w:sz w:val="24"/>
                <w:szCs w:val="24"/>
                <w:highlight w:val="none"/>
              </w:rPr>
            </w:r>
            <w:r/>
          </w:p>
        </w:tc>
        <w:tc>
          <w:tcPr>
            <w:tcW w:w="879" w:type="dxa"/>
            <w:vAlign w:val="center"/>
            <w:textDirection w:val="lrTb"/>
            <w:noWrap w:val="false"/>
          </w:tcPr>
          <w:p>
            <w:pPr>
              <w:pStyle w:val="724"/>
              <w:jc w:val="center"/>
              <w:spacing w:line="440" w:lineRule="exact"/>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得分</w:t>
            </w:r>
            <w:r>
              <w:rPr>
                <w:rFonts w:ascii="宋体" w:hAnsi="宋体" w:eastAsia="宋体" w:cs="仿宋"/>
                <w:color w:val="000000"/>
                <w:sz w:val="24"/>
                <w:szCs w:val="24"/>
                <w:highlight w:val="none"/>
              </w:rPr>
            </w:r>
            <w:r/>
          </w:p>
        </w:tc>
      </w:tr>
      <w:tr>
        <w:trPr>
          <w:trHeight w:val="1269"/>
        </w:trPr>
        <w:tc>
          <w:tcPr>
            <w:tcW w:w="1508" w:type="dxa"/>
            <w:vAlign w:val="center"/>
            <w:textDirection w:val="lrTb"/>
            <w:noWrap w:val="false"/>
          </w:tcPr>
          <w:p>
            <w:pPr>
              <w:pStyle w:val="724"/>
              <w:ind w:left="1" w:right="-4" w:hanging="1"/>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价格部分</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right="-4" w:firstLine="420"/>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采用低价优先法计算，满足采购文件要求且投标价格最低的投标报价为评标基准价，其价格分为满分，其他投标人的价格分统一按照下列公式计算：</w:t>
            </w:r>
            <w:r>
              <w:rPr>
                <w:rFonts w:ascii="宋体" w:hAnsi="宋体" w:eastAsia="宋体" w:cs="仿宋"/>
                <w:color w:val="000000"/>
                <w:sz w:val="24"/>
                <w:szCs w:val="24"/>
                <w:highlight w:val="none"/>
              </w:rPr>
            </w:r>
            <w:r/>
          </w:p>
          <w:p>
            <w:pPr>
              <w:pStyle w:val="724"/>
              <w:ind w:right="-4" w:firstLine="420"/>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投标报价得分=（评标基准价/投标报价）×</w:t>
            </w:r>
            <w:r>
              <w:rPr>
                <w:rFonts w:hint="eastAsia" w:ascii="宋体" w:hAnsi="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0</w:t>
            </w:r>
            <w:r>
              <w:rPr>
                <w:rFonts w:ascii="宋体" w:hAnsi="宋体" w:eastAsia="宋体" w:cs="仿宋"/>
                <w:color w:val="000000"/>
                <w:sz w:val="24"/>
                <w:szCs w:val="24"/>
                <w:highlight w:val="none"/>
              </w:rPr>
            </w:r>
            <w:r/>
          </w:p>
        </w:tc>
        <w:tc>
          <w:tcPr>
            <w:tcW w:w="879" w:type="dxa"/>
            <w:vAlign w:val="center"/>
            <w:textDirection w:val="lrTb"/>
            <w:noWrap w:val="false"/>
          </w:tcPr>
          <w:p>
            <w:pPr>
              <w:pStyle w:val="724"/>
              <w:jc w:val="center"/>
              <w:spacing w:line="440" w:lineRule="exact"/>
              <w:rPr>
                <w:rFonts w:ascii="宋体" w:hAnsi="宋体" w:eastAsia="宋体" w:cs="仿宋"/>
                <w:color w:val="000000"/>
                <w:sz w:val="24"/>
                <w:szCs w:val="24"/>
                <w:highlight w:val="none"/>
              </w:rPr>
            </w:pPr>
            <w:r>
              <w:rPr>
                <w:rFonts w:hint="eastAsia" w:ascii="宋体" w:hAnsi="宋体" w:cs="仿宋"/>
                <w:color w:val="000000"/>
                <w:sz w:val="24"/>
                <w:szCs w:val="24"/>
                <w:highlight w:val="none"/>
                <w:lang w:val="en-US" w:eastAsia="zh-CN"/>
              </w:rPr>
              <w:t xml:space="preserve">1</w:t>
            </w:r>
            <w:r>
              <w:rPr>
                <w:rFonts w:hint="eastAsia" w:ascii="宋体" w:hAnsi="宋体" w:eastAsia="宋体" w:cs="仿宋"/>
                <w:color w:val="000000"/>
                <w:sz w:val="24"/>
                <w:szCs w:val="24"/>
                <w:highlight w:val="none"/>
              </w:rPr>
              <w:t xml:space="preserve">0分</w:t>
            </w:r>
            <w:r>
              <w:rPr>
                <w:rFonts w:ascii="宋体" w:hAnsi="宋体" w:eastAsia="宋体" w:cs="仿宋"/>
                <w:color w:val="000000"/>
                <w:sz w:val="24"/>
                <w:szCs w:val="24"/>
                <w:highlight w:val="none"/>
              </w:rPr>
            </w:r>
            <w:r/>
          </w:p>
        </w:tc>
      </w:tr>
      <w:tr>
        <w:trPr>
          <w:trHeight w:val="510"/>
        </w:trPr>
        <w:tc>
          <w:tcPr>
            <w:gridSpan w:val="3"/>
            <w:tcW w:w="10038" w:type="dxa"/>
            <w:vAlign w:val="center"/>
            <w:textDirection w:val="lrTb"/>
            <w:noWrap w:val="false"/>
          </w:tcPr>
          <w:p>
            <w:pPr>
              <w:pStyle w:val="724"/>
              <w:ind w:left="1" w:right="-4" w:firstLine="422"/>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b/>
                <w:color w:val="000000"/>
                <w:sz w:val="24"/>
                <w:szCs w:val="24"/>
                <w:highlight w:val="none"/>
              </w:rPr>
              <w:t xml:space="preserve">商务部分（</w:t>
            </w:r>
            <w:r>
              <w:rPr>
                <w:rFonts w:hint="eastAsia" w:ascii="宋体" w:hAnsi="宋体" w:cs="仿宋"/>
                <w:b/>
                <w:color w:val="000000"/>
                <w:sz w:val="24"/>
                <w:szCs w:val="24"/>
                <w:highlight w:val="none"/>
                <w:lang w:val="en-US" w:eastAsia="zh-CN"/>
              </w:rPr>
              <w:t xml:space="preserve">40</w:t>
            </w:r>
            <w:r>
              <w:rPr>
                <w:rFonts w:hint="eastAsia" w:ascii="宋体" w:hAnsi="宋体" w:eastAsia="宋体" w:cs="仿宋"/>
                <w:b/>
                <w:color w:val="000000"/>
                <w:sz w:val="24"/>
                <w:szCs w:val="24"/>
                <w:highlight w:val="none"/>
              </w:rPr>
              <w:t xml:space="preserve">分）</w:t>
            </w:r>
            <w:r>
              <w:rPr>
                <w:rFonts w:ascii="宋体" w:hAnsi="宋体" w:eastAsia="宋体" w:cs="仿宋"/>
                <w:color w:val="000000"/>
                <w:sz w:val="24"/>
                <w:szCs w:val="24"/>
                <w:highlight w:val="none"/>
              </w:rPr>
            </w:r>
            <w:r/>
          </w:p>
        </w:tc>
      </w:tr>
      <w:tr>
        <w:trPr>
          <w:trHeight w:val="558"/>
        </w:trPr>
        <w:tc>
          <w:tcPr>
            <w:tcW w:w="1508" w:type="dxa"/>
            <w:vAlign w:val="center"/>
            <w:textDirection w:val="lrTb"/>
            <w:noWrap w:val="false"/>
          </w:tcPr>
          <w:p>
            <w:pPr>
              <w:pStyle w:val="724"/>
              <w:ind w:left="1" w:right="-4" w:firstLine="27"/>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评审因素</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right="-4" w:firstLine="420"/>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评审标准</w:t>
            </w:r>
            <w:r>
              <w:rPr>
                <w:rFonts w:ascii="宋体" w:hAnsi="宋体" w:eastAsia="宋体" w:cs="仿宋"/>
                <w:color w:val="000000"/>
                <w:sz w:val="24"/>
                <w:szCs w:val="24"/>
                <w:highlight w:val="none"/>
              </w:rPr>
            </w:r>
            <w:r/>
          </w:p>
        </w:tc>
        <w:tc>
          <w:tcPr>
            <w:tcW w:w="879" w:type="dxa"/>
            <w:vAlign w:val="center"/>
            <w:textDirection w:val="lrTb"/>
            <w:noWrap w:val="false"/>
          </w:tcPr>
          <w:p>
            <w:pPr>
              <w:pStyle w:val="724"/>
              <w:ind w:left="1"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分值</w:t>
            </w:r>
            <w:r>
              <w:rPr>
                <w:rFonts w:ascii="宋体" w:hAnsi="宋体" w:eastAsia="宋体" w:cs="仿宋"/>
                <w:color w:val="000000"/>
                <w:sz w:val="24"/>
                <w:szCs w:val="24"/>
                <w:highlight w:val="none"/>
              </w:rPr>
            </w:r>
            <w:r/>
          </w:p>
        </w:tc>
      </w:tr>
      <w:tr>
        <w:trPr>
          <w:trHeight w:val="668"/>
        </w:trPr>
        <w:tc>
          <w:tcPr>
            <w:tcW w:w="1508" w:type="dxa"/>
            <w:vAlign w:val="center"/>
            <w:textDirection w:val="lrTb"/>
            <w:noWrap w:val="false"/>
          </w:tcPr>
          <w:p>
            <w:pPr>
              <w:pStyle w:val="724"/>
              <w:ind w:right="-4" w:firstLine="360"/>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人员配备</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firstLine="200"/>
              <w:keepLines w:val="0"/>
              <w:keepNext w:val="0"/>
              <w:pageBreakBefore w:val="0"/>
              <w:spacing w:line="560" w:lineRule="exact"/>
              <w:widowControl/>
              <w:rPr>
                <w:rFonts w:hint="eastAsia"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1、项目负责人具有类似经验，提供全职任职的得3分，此项满分3分（提供任职承诺及劳动合同）；</w:t>
            </w:r>
            <w:r>
              <w:rPr>
                <w:rFonts w:hint="eastAsia" w:ascii="宋体" w:hAnsi="宋体" w:eastAsia="宋体" w:cs="仿宋"/>
                <w:color w:val="000000"/>
                <w:sz w:val="24"/>
                <w:szCs w:val="24"/>
                <w:highlight w:val="none"/>
                <w:lang w:val="en-US" w:eastAsia="zh-CN" w:bidi="ar-SA"/>
              </w:rPr>
            </w:r>
            <w:r/>
          </w:p>
          <w:p>
            <w:pPr>
              <w:pStyle w:val="724"/>
              <w:ind w:firstLine="200"/>
              <w:keepLines w:val="0"/>
              <w:keepNext w:val="0"/>
              <w:pageBreakBefore w:val="0"/>
              <w:spacing w:line="560" w:lineRule="exact"/>
              <w:widowControl/>
              <w:rPr>
                <w:rFonts w:hint="eastAsia"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2、配备公厕管理专管员、垃圾清运专管员各1名，每人得3分，此项满分6分（提供任职承诺及劳动合同）；</w:t>
            </w:r>
            <w:r>
              <w:rPr>
                <w:rFonts w:hint="eastAsia" w:ascii="宋体" w:hAnsi="宋体" w:eastAsia="宋体" w:cs="仿宋"/>
                <w:color w:val="000000"/>
                <w:sz w:val="24"/>
                <w:szCs w:val="24"/>
                <w:highlight w:val="none"/>
                <w:lang w:val="en-US" w:eastAsia="zh-CN" w:bidi="ar-SA"/>
              </w:rPr>
            </w:r>
            <w:r/>
          </w:p>
          <w:p>
            <w:pPr>
              <w:pStyle w:val="724"/>
              <w:ind w:left="1" w:right="-4" w:firstLine="240"/>
              <w:keepLines w:val="0"/>
              <w:keepNext w:val="0"/>
              <w:pageBreakBefore w:val="0"/>
              <w:spacing w:line="5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仿宋"/>
                <w:color w:val="000000"/>
                <w:sz w:val="24"/>
                <w:szCs w:val="24"/>
                <w:highlight w:val="none"/>
                <w:lang w:val="en-US" w:eastAsia="zh-CN"/>
              </w:rPr>
            </w:pPr>
            <w:r>
              <w:rPr>
                <w:rFonts w:hint="eastAsia" w:cs="仿宋"/>
                <w:color w:val="000000"/>
                <w:sz w:val="24"/>
                <w:szCs w:val="24"/>
                <w:highlight w:val="none"/>
                <w:lang w:val="en-US" w:eastAsia="zh-CN"/>
              </w:rPr>
              <w:t xml:space="preserve">3、</w:t>
            </w:r>
            <w:r>
              <w:rPr>
                <w:rFonts w:hint="eastAsia" w:ascii="宋体" w:hAnsi="宋体" w:eastAsia="宋体" w:cs="仿宋"/>
                <w:color w:val="000000"/>
                <w:sz w:val="24"/>
                <w:szCs w:val="24"/>
                <w:highlight w:val="none"/>
                <w:lang w:val="en-US" w:eastAsia="zh-CN" w:bidi="ar-SA"/>
              </w:rPr>
              <w:t xml:space="preserve">本项目配备服务人员数量（提供人员名单）3分：≥35人得1分；≥40人得2分；≥45人得3分；&lt;35人得0分；上述人员需具有类似经验，提供类似经验的证明材料（例如合同、工资发放等证明）（提供人员名单表，同一人不重复计分）；</w:t>
            </w:r>
            <w:r>
              <w:rPr>
                <w:rFonts w:hint="eastAsia" w:ascii="宋体" w:hAnsi="宋体" w:cs="仿宋"/>
                <w:color w:val="000000"/>
                <w:sz w:val="24"/>
                <w:szCs w:val="24"/>
                <w:highlight w:val="none"/>
                <w:lang w:val="en-US" w:eastAsia="zh-CN"/>
              </w:rPr>
            </w:r>
            <w:r/>
          </w:p>
          <w:p>
            <w:pPr>
              <w:pStyle w:val="724"/>
              <w:ind w:left="1" w:right="-4" w:firstLine="240"/>
              <w:keepLines w:val="0"/>
              <w:keepNext w:val="0"/>
              <w:pageBreakBefore w:val="0"/>
              <w:spacing w:line="5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color w:val="000000"/>
                <w:highlight w:val="none"/>
                <w:lang w:val="en-US" w:eastAsia="zh-CN"/>
              </w:rPr>
            </w:pPr>
            <w:r>
              <w:rPr>
                <w:rFonts w:hint="eastAsia" w:ascii="宋体" w:hAnsi="宋体" w:cs="仿宋"/>
                <w:color w:val="000000"/>
                <w:sz w:val="24"/>
                <w:szCs w:val="24"/>
                <w:highlight w:val="none"/>
                <w:lang w:val="en-US" w:eastAsia="zh-CN"/>
              </w:rPr>
              <w:t xml:space="preserve">4、</w:t>
            </w:r>
            <w:r>
              <w:rPr>
                <w:rFonts w:hint="eastAsia" w:ascii="宋体" w:hAnsi="宋体" w:eastAsia="宋体" w:cs="仿宋"/>
                <w:color w:val="000000"/>
                <w:sz w:val="24"/>
                <w:szCs w:val="24"/>
                <w:highlight w:val="none"/>
              </w:rPr>
              <w:t xml:space="preserve">提供优先聘用</w:t>
            </w:r>
            <w:r>
              <w:rPr>
                <w:rFonts w:hint="eastAsia" w:ascii="宋体" w:hAnsi="宋体" w:cs="仿宋"/>
                <w:color w:val="000000"/>
                <w:sz w:val="24"/>
                <w:szCs w:val="24"/>
                <w:highlight w:val="none"/>
                <w:lang w:val="en-US" w:eastAsia="zh-CN"/>
              </w:rPr>
              <w:t xml:space="preserve">所在地</w:t>
            </w:r>
            <w:r>
              <w:rPr>
                <w:rFonts w:hint="eastAsia" w:ascii="宋体" w:hAnsi="宋体" w:eastAsia="宋体" w:cs="仿宋"/>
                <w:color w:val="000000"/>
                <w:sz w:val="24"/>
                <w:szCs w:val="24"/>
                <w:highlight w:val="none"/>
              </w:rPr>
              <w:t xml:space="preserve">本镇村低收入贫困人员及退役军人的承诺</w:t>
            </w:r>
            <w:r>
              <w:rPr>
                <w:rFonts w:hint="eastAsia" w:ascii="宋体" w:hAnsi="宋体" w:cs="仿宋"/>
                <w:color w:val="000000"/>
                <w:sz w:val="24"/>
                <w:szCs w:val="24"/>
                <w:highlight w:val="none"/>
                <w:lang w:val="en-US" w:eastAsia="zh-CN"/>
              </w:rPr>
              <w:t xml:space="preserve">得3分</w:t>
            </w:r>
            <w:r>
              <w:rPr>
                <w:rFonts w:hint="eastAsia" w:ascii="宋体" w:hAnsi="宋体" w:eastAsia="宋体" w:cs="仿宋"/>
                <w:color w:val="000000"/>
                <w:sz w:val="24"/>
                <w:szCs w:val="24"/>
                <w:highlight w:val="none"/>
              </w:rPr>
              <w:t xml:space="preserve">（未提供承诺的此项不得分）</w:t>
            </w:r>
            <w:r>
              <w:rPr>
                <w:rFonts w:hint="eastAsia" w:ascii="宋体" w:hAnsi="宋体" w:cs="仿宋"/>
                <w:color w:val="000000"/>
                <w:sz w:val="24"/>
                <w:szCs w:val="24"/>
                <w:highlight w:val="none"/>
                <w:lang w:eastAsia="zh-CN"/>
              </w:rPr>
              <w:t xml:space="preserve">。</w:t>
            </w:r>
            <w:r>
              <w:rPr>
                <w:color w:val="000000"/>
                <w:highlight w:val="none"/>
                <w:lang w:val="en-US" w:eastAsia="zh-CN"/>
              </w:rPr>
            </w:r>
            <w:r/>
          </w:p>
        </w:tc>
        <w:tc>
          <w:tcPr>
            <w:tcW w:w="879" w:type="dxa"/>
            <w:vAlign w:val="center"/>
            <w:textDirection w:val="lrTb"/>
            <w:noWrap w:val="false"/>
          </w:tcPr>
          <w:p>
            <w:pPr>
              <w:pStyle w:val="724"/>
              <w:ind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lang w:eastAsia="zh-CN"/>
              </w:rPr>
            </w:r>
            <w:r/>
          </w:p>
        </w:tc>
      </w:tr>
      <w:tr>
        <w:trPr>
          <w:trHeight w:val="1444"/>
        </w:trPr>
        <w:tc>
          <w:tcPr>
            <w:tcW w:w="1508" w:type="dxa"/>
            <w:vAlign w:val="center"/>
            <w:textDirection w:val="lrTb"/>
            <w:noWrap w:val="false"/>
          </w:tcPr>
          <w:p>
            <w:pPr>
              <w:pStyle w:val="724"/>
              <w:ind w:right="-4" w:firstLine="360"/>
              <w:jc w:val="left"/>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设备投入</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left="1" w:right="-4" w:firstLine="420"/>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cs="仿宋"/>
                <w:color w:val="000000"/>
                <w:sz w:val="24"/>
                <w:szCs w:val="24"/>
                <w:highlight w:val="none"/>
                <w:lang w:eastAsia="zh-CN"/>
              </w:rPr>
            </w:pPr>
            <w:r>
              <w:rPr>
                <w:rFonts w:hint="eastAsia" w:ascii="宋体" w:hAnsi="宋体" w:eastAsia="宋体" w:cs="仿宋"/>
                <w:color w:val="000000"/>
                <w:sz w:val="24"/>
                <w:szCs w:val="24"/>
                <w:highlight w:val="none"/>
              </w:rPr>
              <w:t xml:space="preserve">根据投标人为该项目配备的</w:t>
            </w:r>
            <w:r>
              <w:rPr>
                <w:rFonts w:hint="eastAsia" w:ascii="宋体" w:hAnsi="宋体" w:cs="仿宋"/>
                <w:color w:val="000000"/>
                <w:sz w:val="24"/>
                <w:szCs w:val="24"/>
                <w:highlight w:val="none"/>
                <w:lang w:val="en-US" w:eastAsia="zh-CN"/>
              </w:rPr>
              <w:t xml:space="preserve">清扫设施</w:t>
            </w:r>
            <w:r>
              <w:rPr>
                <w:rFonts w:hint="eastAsia" w:ascii="宋体" w:hAnsi="宋体" w:eastAsia="宋体" w:cs="仿宋"/>
                <w:color w:val="000000"/>
                <w:sz w:val="24"/>
                <w:szCs w:val="24"/>
                <w:highlight w:val="none"/>
              </w:rPr>
              <w:t xml:space="preserve">设备、机械</w:t>
            </w:r>
            <w:r>
              <w:rPr>
                <w:rFonts w:hint="eastAsia" w:ascii="宋体" w:hAnsi="宋体" w:cs="仿宋"/>
                <w:color w:val="000000"/>
                <w:sz w:val="24"/>
                <w:szCs w:val="24"/>
                <w:highlight w:val="none"/>
                <w:lang w:val="en-US" w:eastAsia="zh-CN"/>
              </w:rPr>
              <w:t xml:space="preserve">数量、种类</w:t>
            </w:r>
            <w:r>
              <w:rPr>
                <w:rFonts w:hint="eastAsia" w:ascii="宋体" w:hAnsi="宋体" w:eastAsia="宋体" w:cs="仿宋"/>
                <w:color w:val="000000"/>
                <w:sz w:val="24"/>
                <w:szCs w:val="24"/>
                <w:highlight w:val="none"/>
              </w:rPr>
              <w:t xml:space="preserve">等进行综合评分（自有的提供投标人的相关票据及相关机械设备照片，租赁的提供租赁合同及相关机械设备照片）</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lang w:eastAsia="zh-CN"/>
              </w:rPr>
            </w:r>
            <w:r/>
          </w:p>
          <w:p>
            <w:pPr>
              <w:pStyle w:val="724"/>
              <w:ind w:firstLine="468"/>
              <w:spacing w:line="360" w:lineRule="auto"/>
              <w:rPr>
                <w:rFonts w:ascii="宋体" w:hAnsi="宋体" w:eastAsia="宋体" w:cs="仿宋"/>
                <w:color w:val="000000"/>
                <w:sz w:val="24"/>
                <w:szCs w:val="24"/>
                <w:highlight w:val="none"/>
                <w:lang w:val="en-US" w:eastAsia="zh-CN" w:bidi="ar-SA"/>
              </w:rPr>
            </w:pPr>
            <w:r>
              <w:rPr>
                <w:rFonts w:hint="eastAsia" w:ascii="宋体" w:hAnsi="宋体" w:eastAsia="宋体" w:cs="仿宋"/>
                <w:color w:val="000000"/>
                <w:sz w:val="24"/>
                <w:szCs w:val="24"/>
                <w:highlight w:val="none"/>
                <w:lang w:val="en-US" w:eastAsia="zh-CN" w:bidi="ar-SA"/>
              </w:rPr>
              <w:t xml:space="preserve">配备设备（如洗扫车或洒水车、铲车、吸粪车、三轮环卫车、垃圾转运车）的，每提供一种类型的得3分，此项最高得15分。</w:t>
            </w:r>
            <w:r>
              <w:rPr>
                <w:rFonts w:ascii="宋体" w:hAnsi="宋体" w:eastAsia="宋体" w:cs="仿宋"/>
                <w:color w:val="000000"/>
                <w:sz w:val="24"/>
                <w:szCs w:val="24"/>
                <w:highlight w:val="none"/>
                <w:lang w:val="en-US" w:eastAsia="zh-CN" w:bidi="ar-SA"/>
              </w:rPr>
            </w:r>
            <w:r/>
          </w:p>
        </w:tc>
        <w:tc>
          <w:tcPr>
            <w:tcW w:w="879" w:type="dxa"/>
            <w:vAlign w:val="center"/>
            <w:textDirection w:val="lrTb"/>
            <w:noWrap w:val="false"/>
          </w:tcPr>
          <w:p>
            <w:pPr>
              <w:pStyle w:val="724"/>
              <w:ind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hint="eastAsia" w:ascii="宋体" w:hAnsi="宋体" w:eastAsia="宋体" w:cs="仿宋"/>
                <w:color w:val="000000"/>
                <w:sz w:val="24"/>
                <w:szCs w:val="24"/>
                <w:highlight w:val="none"/>
                <w:lang w:eastAsia="zh-CN"/>
              </w:rPr>
            </w:pPr>
            <w:r>
              <w:rPr>
                <w:rFonts w:hint="eastAsia" w:ascii="宋体" w:hAnsi="宋体" w:eastAsia="宋体" w:cs="仿宋"/>
                <w:color w:val="000000"/>
                <w:sz w:val="24"/>
                <w:szCs w:val="24"/>
                <w:highlight w:val="none"/>
              </w:rPr>
              <w:t xml:space="preserve">1</w:t>
            </w:r>
            <w:r>
              <w:rPr>
                <w:rFonts w:hint="eastAsia" w:ascii="宋体" w:hAnsi="宋体" w:cs="仿宋"/>
                <w:color w:val="000000"/>
                <w:sz w:val="24"/>
                <w:szCs w:val="24"/>
                <w:highlight w:val="none"/>
                <w:lang w:val="en-US" w:eastAsia="zh-CN"/>
              </w:rPr>
              <w:t xml:space="preserve">5</w:t>
            </w:r>
            <w:r>
              <w:rPr>
                <w:rFonts w:hint="eastAsia" w:ascii="宋体" w:hAnsi="宋体" w:eastAsia="宋体" w:cs="仿宋"/>
                <w:color w:val="000000"/>
                <w:sz w:val="24"/>
                <w:szCs w:val="24"/>
                <w:highlight w:val="none"/>
                <w:lang w:eastAsia="zh-CN"/>
              </w:rPr>
            </w:r>
            <w:r/>
          </w:p>
        </w:tc>
      </w:tr>
      <w:tr>
        <w:trPr>
          <w:trHeight w:val="1009"/>
        </w:trPr>
        <w:tc>
          <w:tcPr>
            <w:tcW w:w="1508" w:type="dxa"/>
            <w:vAlign w:val="center"/>
            <w:textDirection w:val="lrTb"/>
            <w:noWrap w:val="false"/>
          </w:tcPr>
          <w:p>
            <w:pPr>
              <w:pStyle w:val="724"/>
              <w:ind w:left="1" w:right="-4" w:firstLine="27"/>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类似业绩</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right="-4" w:firstLine="480"/>
              <w:jc w:val="left"/>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自20</w:t>
            </w:r>
            <w:r>
              <w:rPr>
                <w:rFonts w:hint="eastAsia" w:ascii="宋体" w:hAnsi="宋体" w:cs="仿宋"/>
                <w:color w:val="000000"/>
                <w:sz w:val="24"/>
                <w:szCs w:val="24"/>
                <w:highlight w:val="none"/>
                <w:lang w:val="en-US" w:eastAsia="zh-CN"/>
              </w:rPr>
              <w:t xml:space="preserve">23</w:t>
            </w:r>
            <w:r>
              <w:rPr>
                <w:rFonts w:hint="eastAsia" w:ascii="宋体" w:hAnsi="宋体" w:eastAsia="宋体" w:cs="仿宋"/>
                <w:color w:val="000000"/>
                <w:sz w:val="24"/>
                <w:szCs w:val="24"/>
                <w:highlight w:val="none"/>
              </w:rPr>
              <w:t xml:space="preserve">年1月至今，投标人承接过类似服务业绩，每有一个得5分，此项最高得10分。（提供服务合同）</w:t>
            </w:r>
            <w:r>
              <w:rPr>
                <w:rFonts w:ascii="宋体" w:hAnsi="宋体" w:eastAsia="宋体" w:cs="仿宋"/>
                <w:color w:val="000000"/>
                <w:sz w:val="24"/>
                <w:szCs w:val="24"/>
                <w:highlight w:val="none"/>
              </w:rPr>
            </w:r>
            <w:r/>
          </w:p>
        </w:tc>
        <w:tc>
          <w:tcPr>
            <w:tcW w:w="879" w:type="dxa"/>
            <w:vAlign w:val="center"/>
            <w:textDirection w:val="lrTb"/>
            <w:noWrap w:val="false"/>
          </w:tcPr>
          <w:p>
            <w:pPr>
              <w:pStyle w:val="724"/>
              <w:ind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10</w:t>
            </w:r>
            <w:r>
              <w:rPr>
                <w:rFonts w:ascii="宋体" w:hAnsi="宋体" w:eastAsia="宋体" w:cs="仿宋"/>
                <w:color w:val="000000"/>
                <w:sz w:val="24"/>
                <w:szCs w:val="24"/>
                <w:highlight w:val="none"/>
              </w:rPr>
            </w:r>
            <w:r/>
          </w:p>
        </w:tc>
      </w:tr>
      <w:tr>
        <w:trPr>
          <w:trHeight w:val="575"/>
        </w:trPr>
        <w:tc>
          <w:tcPr>
            <w:gridSpan w:val="3"/>
            <w:tcW w:w="10038" w:type="dxa"/>
            <w:vAlign w:val="top"/>
            <w:textDirection w:val="lrTb"/>
            <w:noWrap w:val="false"/>
          </w:tcPr>
          <w:p>
            <w:pPr>
              <w:pStyle w:val="724"/>
              <w:ind w:right="-4" w:firstLine="422"/>
              <w:jc w:val="cente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b/>
                <w:color w:val="000000"/>
                <w:sz w:val="24"/>
                <w:szCs w:val="24"/>
                <w:highlight w:val="none"/>
              </w:rPr>
            </w:pPr>
            <w:r>
              <w:rPr>
                <w:rFonts w:hint="eastAsia" w:ascii="宋体" w:hAnsi="宋体" w:eastAsia="宋体" w:cs="仿宋"/>
                <w:b/>
                <w:color w:val="000000"/>
                <w:sz w:val="24"/>
                <w:szCs w:val="24"/>
                <w:highlight w:val="none"/>
              </w:rPr>
              <w:t xml:space="preserve">技术部分（</w:t>
            </w:r>
            <w:r>
              <w:rPr>
                <w:rFonts w:hint="eastAsia" w:ascii="宋体" w:hAnsi="宋体" w:cs="仿宋"/>
                <w:b/>
                <w:color w:val="000000"/>
                <w:sz w:val="24"/>
                <w:szCs w:val="24"/>
                <w:highlight w:val="none"/>
                <w:lang w:val="en-US" w:eastAsia="zh-CN"/>
              </w:rPr>
              <w:t xml:space="preserve">5</w:t>
            </w:r>
            <w:r>
              <w:rPr>
                <w:rFonts w:hint="eastAsia" w:ascii="宋体" w:hAnsi="宋体" w:eastAsia="宋体" w:cs="仿宋"/>
                <w:b/>
                <w:color w:val="000000"/>
                <w:sz w:val="24"/>
                <w:szCs w:val="24"/>
                <w:highlight w:val="none"/>
              </w:rPr>
              <w:t xml:space="preserve">0分）</w:t>
            </w:r>
            <w:r>
              <w:rPr>
                <w:rFonts w:ascii="宋体" w:hAnsi="宋体" w:eastAsia="宋体" w:cs="仿宋"/>
                <w:b/>
                <w:color w:val="000000"/>
                <w:sz w:val="24"/>
                <w:szCs w:val="24"/>
                <w:highlight w:val="none"/>
              </w:rPr>
            </w:r>
            <w:r/>
          </w:p>
        </w:tc>
      </w:tr>
      <w:tr>
        <w:trPr>
          <w:trHeight w:val="554"/>
        </w:trPr>
        <w:tc>
          <w:tcPr>
            <w:tcW w:w="1508" w:type="dxa"/>
            <w:vAlign w:val="center"/>
            <w:textDirection w:val="lrTb"/>
            <w:noWrap w:val="false"/>
          </w:tcPr>
          <w:p>
            <w:pPr>
              <w:pStyle w:val="724"/>
              <w:ind w:left="1" w:right="-4" w:hanging="1"/>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评审因素</w:t>
            </w:r>
            <w:r>
              <w:rPr>
                <w:rFonts w:ascii="宋体" w:hAnsi="宋体" w:eastAsia="宋体" w:cs="仿宋"/>
                <w:color w:val="000000"/>
                <w:sz w:val="24"/>
                <w:szCs w:val="24"/>
                <w:highlight w:val="none"/>
              </w:rPr>
            </w:r>
            <w:r/>
          </w:p>
        </w:tc>
        <w:tc>
          <w:tcPr>
            <w:tcW w:w="7651" w:type="dxa"/>
            <w:vAlign w:val="center"/>
            <w:textDirection w:val="lrTb"/>
            <w:noWrap w:val="false"/>
          </w:tcPr>
          <w:p>
            <w:pPr>
              <w:pStyle w:val="724"/>
              <w:ind w:right="-4" w:firstLine="420"/>
              <w:jc w:val="center"/>
              <w:spacing w:line="40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评审标准</w:t>
            </w:r>
            <w:r>
              <w:rPr>
                <w:rFonts w:ascii="宋体" w:hAnsi="宋体" w:eastAsia="宋体" w:cs="仿宋"/>
                <w:color w:val="000000"/>
                <w:sz w:val="24"/>
                <w:szCs w:val="24"/>
                <w:highlight w:val="none"/>
              </w:rPr>
            </w:r>
            <w:r/>
          </w:p>
        </w:tc>
        <w:tc>
          <w:tcPr>
            <w:tcW w:w="879" w:type="dxa"/>
            <w:vAlign w:val="center"/>
            <w:textDirection w:val="lrTb"/>
            <w:noWrap w:val="false"/>
          </w:tcPr>
          <w:p>
            <w:pPr>
              <w:pStyle w:val="724"/>
              <w:ind w:left="1" w:right="-4"/>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分值</w:t>
            </w:r>
            <w:r>
              <w:rPr>
                <w:rFonts w:ascii="宋体" w:hAnsi="宋体" w:eastAsia="宋体" w:cs="仿宋"/>
                <w:color w:val="000000"/>
                <w:sz w:val="24"/>
                <w:szCs w:val="24"/>
                <w:highlight w:val="none"/>
              </w:rPr>
            </w:r>
            <w:r/>
          </w:p>
        </w:tc>
      </w:tr>
      <w:tr>
        <w:trPr>
          <w:trHeight w:val="824"/>
        </w:trPr>
        <w:tc>
          <w:tcPr>
            <w:tcW w:w="1508" w:type="dxa"/>
            <w:vAlign w:val="center"/>
            <w:textDirection w:val="lrTb"/>
            <w:noWrap w:val="false"/>
          </w:tcPr>
          <w:p>
            <w:pPr>
              <w:pStyle w:val="724"/>
              <w:ind w:left="1" w:right="-4" w:firstLine="240"/>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hint="eastAsia" w:ascii="宋体" w:hAnsi="宋体"/>
                <w:color w:val="000000"/>
                <w:sz w:val="24"/>
                <w:szCs w:val="24"/>
                <w:highlight w:val="none"/>
              </w:rPr>
              <w:t xml:space="preserve">服务方案</w:t>
            </w:r>
            <w:r>
              <w:rPr>
                <w:rFonts w:ascii="宋体" w:hAnsi="宋体"/>
                <w:color w:val="000000"/>
                <w:sz w:val="24"/>
                <w:szCs w:val="24"/>
                <w:highlight w:val="none"/>
              </w:rPr>
            </w:r>
            <w:r/>
          </w:p>
          <w:p>
            <w:pPr>
              <w:pStyle w:val="724"/>
              <w:ind w:left="1" w:right="-4" w:firstLine="240"/>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ascii="宋体" w:hAnsi="宋体"/>
                <w:color w:val="000000"/>
                <w:sz w:val="24"/>
                <w:szCs w:val="24"/>
                <w:highlight w:val="none"/>
              </w:rPr>
            </w:r>
            <w:r/>
          </w:p>
        </w:tc>
        <w:tc>
          <w:tcPr>
            <w:tcW w:w="7651" w:type="dxa"/>
            <w:vAlign w:val="center"/>
            <w:textDirection w:val="lrTb"/>
            <w:noWrap w:val="false"/>
          </w:tcPr>
          <w:p>
            <w:pPr>
              <w:pStyle w:val="724"/>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须结合本项目采购内容、环卫作业现场条件及服务交付目标，编制贴合本项目实际的整体服务作业流程方案。方案内容包含但不限于：1.清扫作业；2.保洁作业；3.巡回检查；4.垃圾收集；5.分类归集；6.装车转运；7.场地复位；8.日常管控。</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rPr>
            </w:pPr>
            <w:r>
              <w:rPr>
                <w:rFonts w:hint="eastAsia" w:ascii="宋体" w:hAnsi="宋体"/>
                <w:b/>
                <w:bCs/>
                <w:color w:val="000000"/>
                <w:sz w:val="24"/>
                <w:szCs w:val="24"/>
                <w:highlight w:val="none"/>
              </w:rPr>
              <w:t xml:space="preserve">评分规则（满分5分）</w:t>
            </w:r>
            <w:r>
              <w:rPr>
                <w:rFonts w:hint="eastAsia" w:ascii="宋体" w:hAnsi="宋体"/>
                <w:color w:val="000000"/>
                <w:sz w:val="24"/>
                <w:szCs w:val="24"/>
                <w:highlight w:val="none"/>
              </w:rPr>
              <w:t xml:space="preserve">：方案完整包含以上8项核心内容，作业节点、步骤、规范描述详实具体、贴合项目实际、无缺陷得5分。每缺失1项核心内容扣</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分；方案内容存在缺陷或错误的，每发现1处扣0.5分，扣完本项分值为止；未提供本项方案的，本项得0分。</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rPr>
            </w:pPr>
            <w:r>
              <w:rPr>
                <w:rFonts w:hint="eastAsia" w:ascii="宋体" w:hAnsi="宋体"/>
                <w:b/>
                <w:bCs/>
                <w:color w:val="000000"/>
                <w:sz w:val="24"/>
                <w:szCs w:val="24"/>
                <w:highlight w:val="none"/>
              </w:rPr>
              <w:t xml:space="preserve">注</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宋体"/>
                <w:color w:val="000000"/>
                <w:sz w:val="24"/>
                <w:szCs w:val="24"/>
                <w:highlight w:val="none"/>
              </w:rPr>
            </w:r>
            <w:r/>
          </w:p>
          <w:p>
            <w:pPr>
              <w:pStyle w:val="724"/>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2</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须结合本项目采购内容、环卫作业现场条件及服务交付目标，编制贴合本项目实际的整套管理制度。方案内容包含但不限于：1.人员奖惩管理制度；2.绩效考核管理制度；3.日常自查机制（含自查表格机制）；4.台账档案管理制度；5.岗前培训制度；6.阶段性常态化培训管理制度。</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rPr>
            </w:pPr>
            <w:r>
              <w:rPr>
                <w:rFonts w:hint="eastAsia" w:ascii="宋体" w:hAnsi="宋体"/>
                <w:b/>
                <w:bCs/>
                <w:color w:val="000000"/>
                <w:sz w:val="24"/>
                <w:szCs w:val="24"/>
                <w:highlight w:val="none"/>
              </w:rPr>
              <w:t xml:space="preserve">评分规则（满分3分）</w:t>
            </w:r>
            <w:r>
              <w:rPr>
                <w:rFonts w:hint="eastAsia" w:ascii="宋体" w:hAnsi="宋体"/>
                <w:color w:val="000000"/>
                <w:sz w:val="24"/>
                <w:szCs w:val="24"/>
                <w:highlight w:val="none"/>
              </w:rPr>
              <w:t xml:space="preserve">：方案完整包含以上6项核心制度，制度条款条理清晰、权责明确、流程完整、贴合本项目服务实际、具备可操作性与常态化执行标准、无缺陷得3分。每缺失1项核心制度扣0.5分；方案内容存在缺陷或错误的，每发现1处扣0.3分，扣完本项分值为止</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未提供本项方案的，本项得0分。</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lang w:val="en-US" w:eastAsia="zh-CN"/>
              </w:rPr>
            </w:pPr>
            <w:r>
              <w:rPr>
                <w:rFonts w:hint="eastAsia" w:ascii="宋体" w:hAnsi="宋体"/>
                <w:b/>
                <w:bCs/>
                <w:color w:val="000000"/>
                <w:sz w:val="24"/>
                <w:szCs w:val="24"/>
                <w:highlight w:val="none"/>
              </w:rPr>
              <w:t xml:space="preserve">注</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宋体"/>
                <w:color w:val="000000"/>
                <w:sz w:val="24"/>
                <w:szCs w:val="24"/>
                <w:highlight w:val="none"/>
                <w:lang w:val="en-US" w:eastAsia="zh-CN"/>
              </w:rPr>
            </w:r>
            <w:r/>
          </w:p>
          <w:p>
            <w:pPr>
              <w:pStyle w:val="724"/>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3</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须结合本项目采购内容、环卫作业现场条件及服务交付目标，编制贴合本项目实际的文明作业保障措施方案。方案内容包含但不限于：1.文明施工、规范作业；2.仪容仪表、行为规范；3.现场秩序管控；4.降噪防尘管控；5.群众沟通处置；6.文明服务管控。</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rPr>
            </w:pPr>
            <w:r>
              <w:rPr>
                <w:rFonts w:hint="eastAsia" w:ascii="宋体" w:hAnsi="宋体"/>
                <w:b/>
                <w:bCs/>
                <w:color w:val="000000"/>
                <w:sz w:val="24"/>
                <w:szCs w:val="24"/>
                <w:highlight w:val="none"/>
              </w:rPr>
              <w:t xml:space="preserve">评分规则（满分5分）</w:t>
            </w:r>
            <w:r>
              <w:rPr>
                <w:rFonts w:hint="eastAsia" w:ascii="宋体" w:hAnsi="宋体"/>
                <w:color w:val="000000"/>
                <w:sz w:val="24"/>
                <w:szCs w:val="24"/>
                <w:highlight w:val="none"/>
              </w:rPr>
              <w:t xml:space="preserve">：方案完整包含以上6项核心内容，各项保障措施具体细化、贴合本项目清扫清运作业场景、机制健全、可直接落地执行、无缺陷得5分。每缺失1项核心内容扣</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分；方案内容存在缺陷或错误的，每发现1处扣0.5分，扣完本项分值为止；未提供本项方案的，本项得0分。</w:t>
            </w:r>
            <w:r>
              <w:rPr>
                <w:rFonts w:hint="eastAsia" w:ascii="宋体" w:hAnsi="宋体"/>
                <w:color w:val="000000"/>
                <w:sz w:val="24"/>
                <w:szCs w:val="24"/>
                <w:highlight w:val="none"/>
              </w:rPr>
            </w:r>
            <w:r/>
          </w:p>
          <w:p>
            <w:pPr>
              <w:pStyle w:val="724"/>
              <w:ind w:firstLine="482"/>
              <w:jc w:val="left"/>
              <w:spacing w:line="400" w:lineRule="exact"/>
              <w:widowControl/>
              <w:rPr>
                <w:color w:val="000000"/>
                <w:sz w:val="24"/>
                <w:szCs w:val="24"/>
                <w:highlight w:val="none"/>
              </w:rPr>
            </w:pPr>
            <w:r>
              <w:rPr>
                <w:rFonts w:hint="eastAsia" w:ascii="宋体" w:hAnsi="宋体"/>
                <w:b/>
                <w:bCs/>
                <w:color w:val="000000"/>
                <w:sz w:val="24"/>
                <w:szCs w:val="24"/>
                <w:highlight w:val="none"/>
              </w:rPr>
              <w:t xml:space="preserve">注</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color w:val="000000"/>
                <w:sz w:val="24"/>
                <w:szCs w:val="24"/>
                <w:highlight w:val="none"/>
              </w:rPr>
            </w:r>
            <w:r/>
          </w:p>
          <w:p>
            <w:pPr>
              <w:pStyle w:val="724"/>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4</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须结合本项目采购内容、环卫作业现场条件及服务交付目标，编制贴合本项目实际的清扫、清运整体实施细则。方案内容包含但不限于：1.人员岗位管理；2.常态化培训管理；3.日常监督督查；4.现场作业实施；5.考核奖惩；6.问题整改闭环。</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rPr>
            </w:pPr>
            <w:r>
              <w:rPr>
                <w:rFonts w:hint="eastAsia" w:ascii="宋体" w:hAnsi="宋体"/>
                <w:b/>
                <w:bCs/>
                <w:color w:val="000000"/>
                <w:sz w:val="24"/>
                <w:szCs w:val="24"/>
                <w:highlight w:val="none"/>
              </w:rPr>
              <w:t xml:space="preserve">评分规则（满分5分）</w:t>
            </w:r>
            <w:r>
              <w:rPr>
                <w:rFonts w:hint="eastAsia" w:ascii="宋体" w:hAnsi="宋体"/>
                <w:color w:val="000000"/>
                <w:sz w:val="24"/>
                <w:szCs w:val="24"/>
                <w:highlight w:val="none"/>
              </w:rPr>
              <w:t xml:space="preserve">：方案完整包含以上6项核心内容，全面覆盖清扫、清运全部服务内容，岗位职责、考勤管控、分级培训、巡查督查等内容详实具体、贴合项目实际，流程清晰、可指导项目常态化运营、无缺陷得5分。每缺失1项核心内容扣</w:t>
            </w:r>
            <w:r>
              <w:rPr>
                <w:rFonts w:hint="eastAsia" w:ascii="宋体" w:hAnsi="宋体"/>
                <w:color w:val="000000"/>
                <w:sz w:val="24"/>
                <w:szCs w:val="24"/>
                <w:highlight w:val="none"/>
                <w:lang w:val="en-US" w:eastAsia="zh-CN"/>
              </w:rPr>
              <w:t xml:space="preserve">1</w:t>
            </w:r>
            <w:r>
              <w:rPr>
                <w:rFonts w:hint="eastAsia" w:ascii="宋体" w:hAnsi="宋体"/>
                <w:color w:val="000000"/>
                <w:sz w:val="24"/>
                <w:szCs w:val="24"/>
                <w:highlight w:val="none"/>
              </w:rPr>
              <w:t xml:space="preserve">分；方案内容存在缺陷或错误的，每发现1处扣0.5分，扣完本项分值为止；未提供本项方案的，本项得0分。</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lang w:eastAsia="zh-CN"/>
              </w:rPr>
            </w:pPr>
            <w:r>
              <w:rPr>
                <w:rFonts w:hint="eastAsia" w:ascii="宋体" w:hAnsi="宋体"/>
                <w:b/>
                <w:bCs/>
                <w:color w:val="000000"/>
                <w:sz w:val="24"/>
                <w:szCs w:val="24"/>
                <w:highlight w:val="none"/>
              </w:rPr>
              <w:t xml:space="preserve">注</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宋体"/>
                <w:color w:val="000000"/>
                <w:sz w:val="24"/>
                <w:szCs w:val="24"/>
                <w:highlight w:val="none"/>
                <w:lang w:eastAsia="zh-CN"/>
              </w:rPr>
            </w:r>
            <w:r/>
          </w:p>
          <w:p>
            <w:pPr>
              <w:pStyle w:val="724"/>
              <w:jc w:val="left"/>
              <w:spacing w:line="400" w:lineRule="exact"/>
              <w:widowControl/>
              <w:rPr>
                <w:rFonts w:hint="eastAsia" w:ascii="宋体" w:hAnsi="宋体"/>
                <w:color w:val="000000"/>
                <w:sz w:val="24"/>
                <w:szCs w:val="24"/>
                <w:highlight w:val="none"/>
              </w:rPr>
            </w:pP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供应商须结合本项目采购内容、环卫作业现场条件及服务交付目标，编制贴合本项目实际的整体合理化管理方案。方案内容包含但不限于：1.清扫清运日常运营管理；2.人员管控措施；3.现场管理措施；4.提质增效措施；5.常态化运维措施。</w:t>
            </w:r>
            <w:r>
              <w:rPr>
                <w:rFonts w:hint="eastAsia" w:ascii="宋体" w:hAnsi="宋体"/>
                <w:color w:val="000000"/>
                <w:sz w:val="24"/>
                <w:szCs w:val="24"/>
                <w:highlight w:val="none"/>
              </w:rPr>
            </w:r>
            <w:r/>
          </w:p>
          <w:p>
            <w:pPr>
              <w:pStyle w:val="724"/>
              <w:ind w:firstLine="482"/>
              <w:jc w:val="left"/>
              <w:spacing w:line="400" w:lineRule="exact"/>
              <w:widowControl/>
              <w:rPr>
                <w:rFonts w:hint="eastAsia" w:ascii="宋体" w:hAnsi="宋体"/>
                <w:color w:val="000000"/>
                <w:sz w:val="24"/>
                <w:szCs w:val="24"/>
                <w:highlight w:val="none"/>
              </w:rPr>
            </w:pPr>
            <w:r>
              <w:rPr>
                <w:rFonts w:hint="eastAsia" w:ascii="宋体" w:hAnsi="宋体"/>
                <w:b/>
                <w:bCs/>
                <w:color w:val="000000"/>
                <w:sz w:val="24"/>
                <w:szCs w:val="24"/>
                <w:highlight w:val="none"/>
              </w:rPr>
              <w:t xml:space="preserve">评分规则（满分2分）</w:t>
            </w:r>
            <w:r>
              <w:rPr>
                <w:rFonts w:hint="eastAsia" w:ascii="宋体" w:hAnsi="宋体"/>
                <w:color w:val="000000"/>
                <w:sz w:val="24"/>
                <w:szCs w:val="24"/>
                <w:highlight w:val="none"/>
              </w:rPr>
              <w:t xml:space="preserve">：方案完整包含以上5项核心内容，管理体系完整、思路清晰，管理措施科学合理、贴合项目实际，能够有效提升项目服务质量、可操作性强、无缺陷得2分。每缺失1项核心内容扣0.4分；方案内容存在缺陷或错误的，每发现1处扣0.2分，扣完本项分值为止；未提供本项方案的，本项得0分。</w:t>
            </w:r>
            <w:r>
              <w:rPr>
                <w:rFonts w:hint="eastAsia" w:ascii="宋体" w:hAnsi="宋体"/>
                <w:color w:val="000000"/>
                <w:sz w:val="24"/>
                <w:szCs w:val="24"/>
                <w:highlight w:val="none"/>
              </w:rPr>
            </w:r>
            <w:r/>
          </w:p>
          <w:p>
            <w:pPr>
              <w:pStyle w:val="724"/>
              <w:ind w:firstLine="482"/>
              <w:jc w:val="left"/>
              <w:spacing w:line="400" w:lineRule="exact"/>
              <w:widowControl/>
              <w:rPr>
                <w:rFonts w:ascii="宋体" w:hAnsi="宋体"/>
                <w:color w:val="000000"/>
                <w:sz w:val="24"/>
                <w:szCs w:val="24"/>
                <w:highlight w:val="none"/>
              </w:rPr>
            </w:pPr>
            <w:r>
              <w:rPr>
                <w:rFonts w:hint="eastAsia" w:ascii="宋体" w:hAnsi="宋体"/>
                <w:b/>
                <w:bCs/>
                <w:color w:val="000000"/>
                <w:sz w:val="24"/>
                <w:szCs w:val="24"/>
                <w:highlight w:val="none"/>
              </w:rPr>
              <w:t xml:space="preserve">注</w:t>
            </w:r>
            <w:r>
              <w:rPr>
                <w:rFonts w:hint="eastAsia" w:ascii="宋体" w:hAnsi="宋体"/>
                <w:color w:val="000000"/>
                <w:sz w:val="24"/>
                <w:szCs w:val="24"/>
                <w:highlight w:val="none"/>
              </w:rPr>
              <w:t xml:space="preserve">：</w:t>
            </w:r>
            <w:r>
              <w:rPr>
                <w:rFonts w:hint="eastAsia" w:ascii="宋体" w:hAnsi="宋体"/>
                <w:color w:val="000000"/>
                <w:sz w:val="24"/>
                <w:szCs w:val="24"/>
                <w:highlight w:val="none"/>
                <w:lang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ascii="宋体" w:hAnsi="宋体"/>
                <w:color w:val="000000"/>
                <w:sz w:val="24"/>
                <w:szCs w:val="24"/>
                <w:highlight w:val="none"/>
              </w:rPr>
            </w:r>
            <w:r/>
          </w:p>
        </w:tc>
        <w:tc>
          <w:tcPr>
            <w:tcW w:w="879" w:type="dxa"/>
            <w:vAlign w:val="center"/>
            <w:textDirection w:val="lrTb"/>
            <w:noWrap w:val="false"/>
          </w:tcPr>
          <w:p>
            <w:pPr>
              <w:pStyle w:val="724"/>
              <w:ind w:left="1"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20</w:t>
            </w:r>
            <w:r>
              <w:rPr>
                <w:rFonts w:ascii="宋体" w:hAnsi="宋体" w:eastAsia="宋体" w:cs="仿宋"/>
                <w:color w:val="000000"/>
                <w:sz w:val="24"/>
                <w:szCs w:val="24"/>
                <w:highlight w:val="none"/>
                <w:lang w:val="en-US" w:eastAsia="zh-CN"/>
              </w:rPr>
            </w:r>
            <w:r/>
          </w:p>
        </w:tc>
      </w:tr>
      <w:tr>
        <w:trPr>
          <w:trHeight w:val="460"/>
        </w:trPr>
        <w:tc>
          <w:tcPr>
            <w:tcW w:w="1508" w:type="dxa"/>
            <w:vAlign w:val="center"/>
            <w:textDirection w:val="lrTb"/>
            <w:noWrap w:val="false"/>
          </w:tcPr>
          <w:p>
            <w:pPr>
              <w:pStyle w:val="724"/>
              <w:ind w:left="1" w:right="-4" w:firstLine="240"/>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hint="eastAsia" w:ascii="宋体" w:hAnsi="宋体"/>
                <w:color w:val="000000"/>
                <w:sz w:val="24"/>
                <w:szCs w:val="24"/>
                <w:highlight w:val="none"/>
              </w:rPr>
              <w:t xml:space="preserve">日常管理标准及措施</w:t>
            </w:r>
            <w:r>
              <w:rPr>
                <w:rFonts w:ascii="宋体" w:hAnsi="宋体"/>
                <w:color w:val="000000"/>
                <w:sz w:val="24"/>
                <w:szCs w:val="24"/>
                <w:highlight w:val="none"/>
              </w:rPr>
            </w:r>
            <w:r/>
          </w:p>
        </w:tc>
        <w:tc>
          <w:tcPr>
            <w:tcW w:w="7651" w:type="dxa"/>
            <w:vAlign w:val="center"/>
            <w:textDirection w:val="lrTb"/>
            <w:noWrap w:val="false"/>
          </w:tcPr>
          <w:p>
            <w:pPr>
              <w:pStyle w:val="724"/>
              <w:ind w:right="63"/>
              <w:spacing w:before="73" w:line="321" w:lineRule="auto"/>
              <w:rPr>
                <w:rFonts w:hint="eastAsia" w:ascii="宋体" w:hAnsi="Times New Roman"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（1）</w:t>
            </w:r>
            <w:r>
              <w:rPr>
                <w:rFonts w:hint="eastAsia" w:ascii="宋体" w:hAnsi="Times New Roman" w:cs="宋体"/>
                <w:color w:val="000000"/>
                <w:sz w:val="24"/>
                <w:szCs w:val="24"/>
                <w:highlight w:val="none"/>
                <w:lang w:val="en-US" w:eastAsia="zh-CN"/>
              </w:rPr>
              <w:t xml:space="preserve">供应商须结合本项目采购内容、环卫作业现场条件及服务交付目标，编制贴合本项目实际的卫生清扫、清理、清运管理项目总体概述。方案内容包含但不限于：1.项目服务范围；2.作业特点与服务重点；3.项目现场现状分析；4.服务理念；5.管理目标；6.整体工作思路。</w:t>
            </w:r>
            <w:r>
              <w:rPr>
                <w:rFonts w:hint="eastAsia" w:ascii="宋体" w:hAnsi="Times New Roman" w:cs="宋体"/>
                <w:color w:val="000000"/>
                <w:sz w:val="24"/>
                <w:szCs w:val="24"/>
                <w:highlight w:val="none"/>
                <w:lang w:val="en-US" w:eastAsia="zh-CN"/>
              </w:rPr>
            </w:r>
            <w:r/>
          </w:p>
          <w:p>
            <w:pPr>
              <w:pStyle w:val="724"/>
              <w:ind w:right="63" w:firstLine="482"/>
              <w:spacing w:before="73" w:line="321" w:lineRule="auto"/>
              <w:rPr>
                <w:rFonts w:hint="eastAsia" w:ascii="宋体" w:hAnsi="Times New Roman" w:cs="宋体"/>
                <w:color w:val="000000"/>
                <w:sz w:val="24"/>
                <w:szCs w:val="24"/>
                <w:highlight w:val="none"/>
                <w:lang w:val="en-US" w:eastAsia="zh-CN"/>
              </w:rPr>
            </w:pPr>
            <w:r>
              <w:rPr>
                <w:rFonts w:hint="eastAsia" w:ascii="宋体" w:hAnsi="Times New Roman" w:cs="宋体"/>
                <w:b/>
                <w:bCs/>
                <w:color w:val="000000"/>
                <w:sz w:val="24"/>
                <w:szCs w:val="24"/>
                <w:highlight w:val="none"/>
                <w:lang w:val="en-US" w:eastAsia="zh-CN"/>
              </w:rPr>
              <w:t xml:space="preserve">评分规则（满分3分）</w:t>
            </w:r>
            <w:r>
              <w:rPr>
                <w:rFonts w:hint="eastAsia" w:ascii="宋体" w:hAnsi="Times New Roman" w:cs="宋体"/>
                <w:color w:val="000000"/>
                <w:sz w:val="24"/>
                <w:szCs w:val="24"/>
                <w:highlight w:val="none"/>
                <w:lang w:val="en-US" w:eastAsia="zh-CN"/>
              </w:rPr>
              <w:t xml:space="preserve">：方案完整包含以上6项核心内容，对项目认知准确到位，概述表述完整清晰，服务理念、管理目标、工作思路贴合项目运维实际、无缺陷得3分。每缺失1项核心内容扣0.5分；方案内容存在缺陷或错误的，每发现1处扣0.3分，扣完本项分值为止；未提供本项方案的，本项得0分。</w:t>
            </w:r>
            <w:r>
              <w:rPr>
                <w:rFonts w:hint="eastAsia" w:ascii="宋体" w:hAnsi="Times New Roman" w:cs="宋体"/>
                <w:color w:val="000000"/>
                <w:sz w:val="24"/>
                <w:szCs w:val="24"/>
                <w:highlight w:val="none"/>
                <w:lang w:val="en-US" w:eastAsia="zh-CN"/>
              </w:rPr>
            </w:r>
            <w:r/>
          </w:p>
          <w:p>
            <w:pPr>
              <w:pStyle w:val="724"/>
              <w:ind w:right="63" w:firstLine="480"/>
              <w:spacing w:before="73" w:line="321" w:lineRule="auto"/>
              <w:rPr>
                <w:rFonts w:ascii="宋体" w:hAnsi="Times New Roman" w:cs="宋体"/>
                <w:color w:val="000000"/>
                <w:sz w:val="24"/>
                <w:szCs w:val="24"/>
                <w:highlight w:val="none"/>
                <w:lang w:val="en-US" w:eastAsia="zh-CN"/>
              </w:rPr>
            </w:pPr>
            <w:r>
              <w:rPr>
                <w:rFonts w:hint="eastAsia" w:ascii="宋体" w:hAnsi="Times New Roman" w:cs="宋体"/>
                <w:color w:val="000000"/>
                <w:sz w:val="24"/>
                <w:szCs w:val="24"/>
                <w:highlight w:val="none"/>
                <w:lang w:val="en-US" w:eastAsia="zh-CN"/>
              </w:rPr>
              <w:t xml:space="preserve">注：</w:t>
            </w:r>
            <w:r>
              <w:rPr>
                <w:rFonts w:hint="eastAsia" w:ascii="宋体" w:cs="宋体"/>
                <w:color w:val="000000"/>
                <w:sz w:val="24"/>
                <w:szCs w:val="24"/>
                <w:highlight w:val="none"/>
                <w:lang w:val="en-US"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ascii="宋体" w:hAnsi="Times New Roman" w:cs="宋体"/>
                <w:color w:val="000000"/>
                <w:sz w:val="24"/>
                <w:szCs w:val="24"/>
                <w:highlight w:val="none"/>
                <w:lang w:val="en-US" w:eastAsia="zh-CN"/>
              </w:rPr>
            </w:r>
            <w:r/>
          </w:p>
          <w:p>
            <w:pPr>
              <w:pStyle w:val="724"/>
              <w:ind w:right="63"/>
              <w:spacing w:before="73" w:line="321" w:lineRule="auto"/>
              <w:rPr>
                <w:rFonts w:hint="eastAsia" w:ascii="宋体" w:hAnsi="Times New Roman"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（2）</w:t>
            </w:r>
            <w:r>
              <w:rPr>
                <w:rFonts w:hint="eastAsia" w:ascii="宋体" w:hAnsi="Times New Roman" w:cs="宋体"/>
                <w:color w:val="000000"/>
                <w:sz w:val="24"/>
                <w:szCs w:val="24"/>
                <w:highlight w:val="none"/>
                <w:lang w:val="en-US" w:eastAsia="zh-CN"/>
              </w:rPr>
              <w:t xml:space="preserve">供应商须结合本项目采购内容、环卫作业现场条件及服务交付目标，编制贴合本项目实际的安全相关方案。方案内容包含但不限于：1.项目安全制度；2.安全处置预案；3.全员安全培训计划。</w:t>
            </w:r>
            <w:r>
              <w:rPr>
                <w:rFonts w:hint="eastAsia" w:ascii="宋体" w:hAnsi="Times New Roman" w:cs="宋体"/>
                <w:color w:val="000000"/>
                <w:sz w:val="24"/>
                <w:szCs w:val="24"/>
                <w:highlight w:val="none"/>
                <w:lang w:val="en-US" w:eastAsia="zh-CN"/>
              </w:rPr>
            </w:r>
            <w:r/>
          </w:p>
          <w:p>
            <w:pPr>
              <w:pStyle w:val="724"/>
              <w:ind w:right="63" w:firstLine="482"/>
              <w:spacing w:before="73" w:line="321" w:lineRule="auto"/>
              <w:rPr>
                <w:rFonts w:hint="eastAsia" w:ascii="宋体" w:hAnsi="Times New Roman" w:cs="宋体"/>
                <w:color w:val="000000"/>
                <w:sz w:val="24"/>
                <w:szCs w:val="24"/>
                <w:highlight w:val="none"/>
                <w:lang w:val="en-US" w:eastAsia="zh-CN"/>
              </w:rPr>
            </w:pPr>
            <w:r>
              <w:rPr>
                <w:rFonts w:hint="eastAsia" w:ascii="宋体" w:hAnsi="Times New Roman" w:cs="宋体"/>
                <w:b/>
                <w:bCs/>
                <w:color w:val="000000"/>
                <w:sz w:val="24"/>
                <w:szCs w:val="24"/>
                <w:highlight w:val="none"/>
                <w:lang w:val="en-US" w:eastAsia="zh-CN"/>
              </w:rPr>
              <w:t xml:space="preserve">评分规则（满分2分）</w:t>
            </w:r>
            <w:r>
              <w:rPr>
                <w:rFonts w:hint="eastAsia" w:ascii="宋体" w:hAnsi="Times New Roman" w:cs="宋体"/>
                <w:color w:val="000000"/>
                <w:sz w:val="24"/>
                <w:szCs w:val="24"/>
                <w:highlight w:val="none"/>
                <w:lang w:val="en-US" w:eastAsia="zh-CN"/>
              </w:rPr>
              <w:t xml:space="preserve">：方案完整包含以上3项核心内容，编制内容完整，预案及培训计划可操作性强、无缺陷得2分。每缺失1项核心内容扣0.7分；方案内容存在缺陷或错误的，每发现1处扣0.3分，扣完本项分值为止；未提供本项方案的，本项得0分。</w:t>
            </w:r>
            <w:r>
              <w:rPr>
                <w:rFonts w:hint="eastAsia" w:ascii="宋体" w:hAnsi="Times New Roman" w:cs="宋体"/>
                <w:color w:val="000000"/>
                <w:sz w:val="24"/>
                <w:szCs w:val="24"/>
                <w:highlight w:val="none"/>
                <w:lang w:val="en-US" w:eastAsia="zh-CN"/>
              </w:rPr>
            </w:r>
            <w:r/>
          </w:p>
          <w:p>
            <w:pPr>
              <w:pStyle w:val="724"/>
              <w:ind w:right="63" w:firstLine="482"/>
              <w:spacing w:before="73" w:line="321" w:lineRule="auto"/>
              <w:rPr>
                <w:rFonts w:hint="eastAsia" w:ascii="宋体" w:hAnsi="Times New Roman" w:cs="宋体"/>
                <w:color w:val="000000"/>
                <w:sz w:val="24"/>
                <w:szCs w:val="24"/>
                <w:highlight w:val="none"/>
                <w:lang w:val="en-US" w:eastAsia="zh-CN"/>
              </w:rPr>
            </w:pPr>
            <w:r>
              <w:rPr>
                <w:rFonts w:hint="eastAsia" w:ascii="宋体" w:hAnsi="Times New Roman" w:cs="宋体"/>
                <w:b/>
                <w:bCs/>
                <w:color w:val="000000"/>
                <w:sz w:val="24"/>
                <w:szCs w:val="24"/>
                <w:highlight w:val="none"/>
                <w:lang w:val="en-US" w:eastAsia="zh-CN"/>
              </w:rPr>
              <w:t xml:space="preserve">注</w:t>
            </w:r>
            <w:r>
              <w:rPr>
                <w:rFonts w:hint="eastAsia" w:ascii="宋体" w:hAnsi="Times New Roman" w:cs="宋体"/>
                <w:color w:val="000000"/>
                <w:sz w:val="24"/>
                <w:szCs w:val="24"/>
                <w:highlight w:val="none"/>
                <w:lang w:val="en-US" w:eastAsia="zh-CN"/>
              </w:rPr>
              <w:t xml:space="preserve">：</w:t>
            </w:r>
            <w:r>
              <w:rPr>
                <w:rFonts w:hint="eastAsia" w:ascii="宋体" w:cs="宋体"/>
                <w:color w:val="000000"/>
                <w:sz w:val="24"/>
                <w:szCs w:val="24"/>
                <w:highlight w:val="none"/>
                <w:lang w:val="en-US"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Times New Roman" w:cs="宋体"/>
                <w:color w:val="000000"/>
                <w:sz w:val="24"/>
                <w:szCs w:val="24"/>
                <w:highlight w:val="none"/>
                <w:lang w:val="en-US" w:eastAsia="zh-CN"/>
              </w:rPr>
            </w:r>
            <w:r/>
          </w:p>
          <w:p>
            <w:pPr>
              <w:pStyle w:val="724"/>
              <w:ind w:right="63"/>
              <w:spacing w:before="73" w:line="321" w:lineRule="auto"/>
              <w:rPr>
                <w:rFonts w:hint="eastAsia" w:ascii="宋体" w:hAnsi="Times New Roman" w:cs="宋体"/>
                <w:color w:val="000000"/>
                <w:sz w:val="24"/>
                <w:szCs w:val="24"/>
                <w:highlight w:val="none"/>
                <w:lang w:val="en-US" w:eastAsia="zh-CN"/>
              </w:rPr>
            </w:pPr>
            <w:r>
              <w:rPr>
                <w:rFonts w:hint="eastAsia" w:ascii="宋体" w:cs="宋体"/>
                <w:color w:val="000000"/>
                <w:sz w:val="24"/>
                <w:szCs w:val="24"/>
                <w:highlight w:val="none"/>
                <w:lang w:val="en-US" w:eastAsia="zh-CN"/>
              </w:rPr>
              <w:t xml:space="preserve">（3）</w:t>
            </w:r>
            <w:r>
              <w:rPr>
                <w:rFonts w:hint="eastAsia" w:ascii="宋体" w:hAnsi="Times New Roman" w:cs="宋体"/>
                <w:color w:val="000000"/>
                <w:sz w:val="24"/>
                <w:szCs w:val="24"/>
                <w:highlight w:val="none"/>
                <w:lang w:val="en-US" w:eastAsia="zh-CN"/>
              </w:rPr>
              <w:t xml:space="preserve">供应商须结合本项目采购内容、环卫作业现场条件及服务交付目标，编制贴合本项目实际的安全设施配备、安全检查及记录相关方案。方案内容包含但不限于：1.安全设施配备；2.安全检查工作要求；3.安全检查记录管理要求。</w:t>
            </w:r>
            <w:r>
              <w:rPr>
                <w:rFonts w:hint="eastAsia" w:ascii="宋体" w:hAnsi="Times New Roman" w:cs="宋体"/>
                <w:color w:val="000000"/>
                <w:sz w:val="24"/>
                <w:szCs w:val="24"/>
                <w:highlight w:val="none"/>
                <w:lang w:val="en-US" w:eastAsia="zh-CN"/>
              </w:rPr>
            </w:r>
            <w:r/>
          </w:p>
          <w:p>
            <w:pPr>
              <w:pStyle w:val="724"/>
              <w:ind w:right="63" w:firstLine="482"/>
              <w:spacing w:before="73" w:line="321" w:lineRule="auto"/>
              <w:rPr>
                <w:rFonts w:hint="eastAsia" w:ascii="宋体" w:hAnsi="Times New Roman" w:cs="宋体"/>
                <w:color w:val="000000"/>
                <w:sz w:val="24"/>
                <w:szCs w:val="24"/>
                <w:highlight w:val="none"/>
                <w:lang w:val="en-US" w:eastAsia="zh-CN"/>
              </w:rPr>
            </w:pPr>
            <w:r>
              <w:rPr>
                <w:rFonts w:hint="eastAsia" w:ascii="宋体" w:hAnsi="Times New Roman" w:cs="宋体"/>
                <w:b/>
                <w:bCs/>
                <w:color w:val="000000"/>
                <w:sz w:val="24"/>
                <w:szCs w:val="24"/>
                <w:highlight w:val="none"/>
                <w:lang w:val="en-US" w:eastAsia="zh-CN"/>
              </w:rPr>
              <w:t xml:space="preserve">评分规则（满分2分）</w:t>
            </w:r>
            <w:r>
              <w:rPr>
                <w:rFonts w:hint="eastAsia" w:ascii="宋体" w:hAnsi="Times New Roman" w:cs="宋体"/>
                <w:color w:val="000000"/>
                <w:sz w:val="24"/>
                <w:szCs w:val="24"/>
                <w:highlight w:val="none"/>
                <w:lang w:val="en-US" w:eastAsia="zh-CN"/>
              </w:rPr>
              <w:t xml:space="preserve">：方案完整包含以上3项核心内容，安全设施配备内容完整，安全检查及记录要求明确详细、无缺陷得2分。每缺失1项核心内容扣0.7分；方案内容存在缺陷或错误的，每发现1处扣0.3分，扣完本项分值为止；未提供本项方案的，本项得0分。</w:t>
            </w:r>
            <w:r>
              <w:rPr>
                <w:rFonts w:hint="eastAsia" w:ascii="宋体" w:hAnsi="Times New Roman" w:cs="宋体"/>
                <w:color w:val="000000"/>
                <w:sz w:val="24"/>
                <w:szCs w:val="24"/>
                <w:highlight w:val="none"/>
                <w:lang w:val="en-US" w:eastAsia="zh-CN"/>
              </w:rPr>
            </w:r>
            <w:r/>
          </w:p>
          <w:p>
            <w:pPr>
              <w:pStyle w:val="724"/>
              <w:ind w:right="63" w:firstLine="482"/>
              <w:spacing w:before="73" w:line="321" w:lineRule="auto"/>
              <w:rPr>
                <w:color w:val="000000"/>
                <w:highlight w:val="none"/>
              </w:rPr>
            </w:pPr>
            <w:r>
              <w:rPr>
                <w:rFonts w:hint="eastAsia" w:ascii="宋体" w:hAnsi="Times New Roman" w:cs="宋体"/>
                <w:b/>
                <w:bCs/>
                <w:color w:val="000000"/>
                <w:sz w:val="24"/>
                <w:szCs w:val="24"/>
                <w:highlight w:val="none"/>
                <w:lang w:val="en-US" w:eastAsia="zh-CN"/>
              </w:rPr>
              <w:t xml:space="preserve">注</w:t>
            </w:r>
            <w:r>
              <w:rPr>
                <w:rFonts w:hint="eastAsia" w:ascii="宋体" w:hAnsi="Times New Roman" w:cs="宋体"/>
                <w:color w:val="000000"/>
                <w:sz w:val="24"/>
                <w:szCs w:val="24"/>
                <w:highlight w:val="none"/>
                <w:lang w:val="en-US" w:eastAsia="zh-CN"/>
              </w:rPr>
              <w:t xml:space="preserve">：</w:t>
            </w:r>
            <w:r>
              <w:rPr>
                <w:rFonts w:hint="eastAsia" w:ascii="宋体" w:cs="宋体"/>
                <w:color w:val="000000"/>
                <w:sz w:val="24"/>
                <w:szCs w:val="24"/>
                <w:highlight w:val="none"/>
                <w:lang w:val="en-US"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color w:val="000000"/>
                <w:highlight w:val="none"/>
              </w:rPr>
            </w:r>
            <w:r/>
          </w:p>
          <w:p>
            <w:pPr>
              <w:pStyle w:val="724"/>
              <w:ind w:right="63"/>
              <w:spacing w:before="73" w:line="321" w:lineRule="auto"/>
              <w:rPr>
                <w:rFonts w:hint="eastAsia" w:ascii="宋体" w:hAnsi="Times New Roman" w:cs="宋体"/>
                <w:color w:val="000000"/>
                <w:sz w:val="24"/>
                <w:szCs w:val="24"/>
                <w:highlight w:val="none"/>
              </w:rPr>
            </w:pPr>
            <w:r>
              <w:rPr>
                <w:rFonts w:hint="eastAsia" w:ascii="宋体" w:cs="宋体"/>
                <w:color w:val="000000"/>
                <w:sz w:val="24"/>
                <w:szCs w:val="24"/>
                <w:highlight w:val="none"/>
                <w:lang w:eastAsia="zh-CN"/>
              </w:rPr>
              <w:t xml:space="preserve">（</w:t>
            </w:r>
            <w:r>
              <w:rPr>
                <w:rFonts w:hint="eastAsia" w:ascii="宋体" w:cs="宋体"/>
                <w:color w:val="000000"/>
                <w:sz w:val="24"/>
                <w:szCs w:val="24"/>
                <w:highlight w:val="none"/>
                <w:lang w:val="en-US" w:eastAsia="zh-CN"/>
              </w:rPr>
              <w:t xml:space="preserve">4</w:t>
            </w:r>
            <w:r>
              <w:rPr>
                <w:rFonts w:hint="eastAsia" w:ascii="宋体" w:cs="宋体"/>
                <w:color w:val="000000"/>
                <w:sz w:val="24"/>
                <w:szCs w:val="24"/>
                <w:highlight w:val="none"/>
                <w:lang w:eastAsia="zh-CN"/>
              </w:rPr>
              <w:t xml:space="preserve">）</w:t>
            </w:r>
            <w:r>
              <w:rPr>
                <w:rFonts w:hint="eastAsia" w:ascii="宋体" w:hAnsi="Times New Roman" w:cs="宋体"/>
                <w:color w:val="000000"/>
                <w:sz w:val="24"/>
                <w:szCs w:val="24"/>
                <w:highlight w:val="none"/>
              </w:rPr>
              <w:t xml:space="preserve">供应商须结合本项目采购内容、环卫作业现场条件及服务交付目标，编制贴合本项目清扫清运作业场景的安全保障及事故处置方案。方案内容包含但不限于：1.意外伤害保障赔偿措施；2.岗位作业安全风险识别与规避防控措施；3.安全事故现场应急处置流程；4.事故善后理赔、维稳处理机制；5.事故责任追溯、复盘整改闭环措施。</w:t>
            </w:r>
            <w:r>
              <w:rPr>
                <w:rFonts w:hint="eastAsia" w:ascii="宋体" w:hAnsi="Times New Roman" w:cs="宋体"/>
                <w:color w:val="000000"/>
                <w:sz w:val="24"/>
                <w:szCs w:val="24"/>
                <w:highlight w:val="none"/>
              </w:rPr>
            </w:r>
            <w:r/>
          </w:p>
          <w:p>
            <w:pPr>
              <w:pStyle w:val="724"/>
              <w:ind w:right="63" w:firstLine="482"/>
              <w:spacing w:before="73" w:line="321" w:lineRule="auto"/>
              <w:rPr>
                <w:rFonts w:hint="eastAsia" w:ascii="宋体" w:hAnsi="Times New Roman" w:cs="宋体"/>
                <w:color w:val="000000"/>
                <w:sz w:val="24"/>
                <w:szCs w:val="24"/>
                <w:highlight w:val="none"/>
              </w:rPr>
            </w:pPr>
            <w:r>
              <w:rPr>
                <w:rFonts w:hint="eastAsia" w:ascii="宋体" w:hAnsi="Times New Roman" w:cs="宋体"/>
                <w:b/>
                <w:bCs/>
                <w:color w:val="000000"/>
                <w:sz w:val="24"/>
                <w:szCs w:val="24"/>
                <w:highlight w:val="none"/>
              </w:rPr>
              <w:t xml:space="preserve">评分规则（满分5分）</w:t>
            </w:r>
            <w:r>
              <w:rPr>
                <w:rFonts w:hint="eastAsia" w:ascii="宋体" w:hAnsi="Times New Roman" w:cs="宋体"/>
                <w:color w:val="000000"/>
                <w:sz w:val="24"/>
                <w:szCs w:val="24"/>
                <w:highlight w:val="none"/>
              </w:rPr>
              <w:t xml:space="preserve">：方案完整包含以上5项核心内容，赔偿保障机制健全、权责清晰、赔付流程明确，风险识别全面、防控措施贴合项目实际，事故上报、现场处置、人员救治、善后整改全流程闭环完整、可直接落地执行、无缺陷得5分。每缺失1项核心内容扣1分；方案内容存在缺陷或错误的，每发现1处扣0.5分，扣完本项分值为止；未提供本项方案的，本项得0分。</w:t>
            </w:r>
            <w:r>
              <w:rPr>
                <w:rFonts w:hint="eastAsia" w:ascii="宋体" w:hAnsi="Times New Roman" w:cs="宋体"/>
                <w:color w:val="000000"/>
                <w:sz w:val="24"/>
                <w:szCs w:val="24"/>
                <w:highlight w:val="none"/>
              </w:rPr>
            </w:r>
            <w:r/>
          </w:p>
          <w:p>
            <w:pPr>
              <w:pStyle w:val="724"/>
              <w:ind w:right="63" w:firstLine="482"/>
              <w:spacing w:before="73" w:line="321" w:lineRule="auto"/>
              <w:rPr>
                <w:rFonts w:hint="eastAsia" w:ascii="宋体" w:hAnsi="宋体"/>
                <w:color w:val="000000"/>
                <w:sz w:val="24"/>
                <w:szCs w:val="24"/>
                <w:highlight w:val="none"/>
              </w:rPr>
            </w:pPr>
            <w:r>
              <w:rPr>
                <w:rFonts w:hint="eastAsia" w:ascii="宋体" w:hAnsi="Times New Roman" w:cs="宋体"/>
                <w:b/>
                <w:bCs/>
                <w:color w:val="000000"/>
                <w:sz w:val="24"/>
                <w:szCs w:val="24"/>
                <w:highlight w:val="none"/>
              </w:rPr>
              <w:t xml:space="preserve">注</w:t>
            </w:r>
            <w:r>
              <w:rPr>
                <w:rFonts w:hint="eastAsia" w:ascii="宋体" w:hAnsi="Times New Roman" w:cs="宋体"/>
                <w:color w:val="000000"/>
                <w:sz w:val="24"/>
                <w:szCs w:val="24"/>
                <w:highlight w:val="none"/>
              </w:rPr>
              <w:t xml:space="preserve">：</w:t>
            </w:r>
            <w:r>
              <w:rPr>
                <w:rFonts w:hint="eastAsia" w:ascii="宋体" w:cs="宋体"/>
                <w:color w:val="000000"/>
                <w:sz w:val="24"/>
                <w:szCs w:val="24"/>
                <w:highlight w:val="none"/>
                <w:lang w:eastAsia="zh-CN"/>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宋体"/>
                <w:color w:val="000000"/>
                <w:sz w:val="24"/>
                <w:szCs w:val="24"/>
                <w:highlight w:val="none"/>
              </w:rPr>
            </w:r>
            <w:r/>
          </w:p>
          <w:p>
            <w:pPr>
              <w:pStyle w:val="724"/>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5）供应商须结合本项目采购内容、环卫作业现场条件及服务交付目标，编制贴合本项目清扫、清运服务实际的重难点分析及应对策略方案。方案内容包含但不限于：1.日常清扫保洁作业重难点分析；2.垃圾收集清运作业重难点分析；3.现场管理与人员作业风险分析；4.季节特殊作业难点及应对措施；5.项目日常运维难点管控及闭环保障方案。</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评分规则（满分5分）</w:t>
            </w:r>
            <w:r>
              <w:rPr>
                <w:rFonts w:hint="eastAsia" w:ascii="宋体" w:hAnsi="宋体" w:eastAsia="宋体" w:cs="Times New Roman"/>
                <w:color w:val="000000"/>
                <w:sz w:val="24"/>
                <w:szCs w:val="24"/>
                <w:highlight w:val="none"/>
                <w:lang w:val="en-US" w:eastAsia="zh-CN" w:bidi="ar-SA"/>
              </w:rPr>
              <w:t xml:space="preserve">：方案完整包含以上5项核心内容，对项目作业重点、现存难点、潜在风险识别全面精准，配套应对策略、解决办法、管控保障措施体系完整、逻辑严密、贴合项目实际、落地执行与闭环管控能力强、无缺陷得5分。每缺失1项核心内容扣1分；方案内容存在缺陷或错误的，每发现1处扣0.5分，扣完本项分值为止；未提供本项方案的，本项得0分。</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注</w:t>
            </w:r>
            <w:r>
              <w:rPr>
                <w:rFonts w:hint="eastAsia" w:ascii="宋体" w:hAnsi="宋体" w:eastAsia="宋体" w:cs="Times New Roman"/>
                <w:color w:val="000000"/>
                <w:sz w:val="24"/>
                <w:szCs w:val="24"/>
                <w:highlight w:val="none"/>
                <w:lang w:val="en-US" w:eastAsia="zh-CN" w:bidi="ar-SA"/>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宋体" w:eastAsia="宋体" w:cs="Times New Roman"/>
                <w:color w:val="000000"/>
                <w:sz w:val="24"/>
                <w:szCs w:val="24"/>
                <w:highlight w:val="none"/>
                <w:lang w:val="en-US" w:eastAsia="zh-CN" w:bidi="ar-SA"/>
              </w:rPr>
            </w:r>
            <w:r/>
          </w:p>
          <w:p>
            <w:pPr>
              <w:pStyle w:val="724"/>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6）供应商须结合本项目采购内容、环卫作业现场条件及服务交付目标，编制贴合本项目实际的重大活动、迎检工作、突发事件处置预案。方案内容包含但不限于：1.重大活动环卫保障预案；2.日常各级检查迎检工作保障预案；3.现场突发作业异常处置预案；4.突发环境及作业风险应急处置措施。</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评分规则（满分3分）</w:t>
            </w:r>
            <w:r>
              <w:rPr>
                <w:rFonts w:hint="eastAsia" w:ascii="宋体" w:hAnsi="宋体" w:eastAsia="宋体" w:cs="Times New Roman"/>
                <w:color w:val="000000"/>
                <w:sz w:val="24"/>
                <w:szCs w:val="24"/>
                <w:highlight w:val="none"/>
                <w:lang w:val="en-US" w:eastAsia="zh-CN" w:bidi="ar-SA"/>
              </w:rPr>
              <w:t xml:space="preserve">：方案完整包含以上4项核心内容，预案考虑周全、内容详实具体、贴合项目实际、针对性强、无缺陷得3分。每缺失1项核心内容扣0.7分；方案内容存在缺陷或错误的，每发现1处扣0.3分，扣完本项分值为止；未提供本项方案的，本项得0分。</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Times New Roman" w:hAnsi="Times New Roman" w:eastAsia="宋体" w:cs="Times New Roman"/>
                <w:color w:val="000000"/>
                <w:sz w:val="21"/>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注</w:t>
            </w:r>
            <w:r>
              <w:rPr>
                <w:rFonts w:hint="eastAsia" w:ascii="宋体" w:hAnsi="宋体" w:eastAsia="宋体" w:cs="Times New Roman"/>
                <w:color w:val="000000"/>
                <w:sz w:val="24"/>
                <w:szCs w:val="24"/>
                <w:highlight w:val="none"/>
                <w:lang w:val="en-US" w:eastAsia="zh-CN" w:bidi="ar-SA"/>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Times New Roman" w:hAnsi="Times New Roman" w:eastAsia="宋体" w:cs="Times New Roman"/>
                <w:color w:val="000000"/>
                <w:sz w:val="21"/>
                <w:szCs w:val="24"/>
                <w:highlight w:val="none"/>
                <w:lang w:val="en-US" w:eastAsia="zh-CN" w:bidi="ar-SA"/>
              </w:rPr>
            </w:r>
            <w:r/>
          </w:p>
        </w:tc>
        <w:tc>
          <w:tcPr>
            <w:tcW w:w="879" w:type="dxa"/>
            <w:vAlign w:val="center"/>
            <w:textDirection w:val="lrTb"/>
            <w:noWrap w:val="false"/>
          </w:tcPr>
          <w:p>
            <w:pPr>
              <w:pStyle w:val="724"/>
              <w:ind w:left="1"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rPr>
            </w:pPr>
            <w:r>
              <w:rPr>
                <w:rFonts w:hint="eastAsia" w:ascii="宋体" w:hAnsi="宋体" w:eastAsia="宋体" w:cs="仿宋"/>
                <w:color w:val="000000"/>
                <w:sz w:val="24"/>
                <w:szCs w:val="24"/>
                <w:highlight w:val="none"/>
              </w:rPr>
              <w:t xml:space="preserve">20</w:t>
            </w:r>
            <w:r>
              <w:rPr>
                <w:rFonts w:ascii="宋体" w:hAnsi="宋体" w:eastAsia="宋体" w:cs="仿宋"/>
                <w:color w:val="000000"/>
                <w:sz w:val="24"/>
                <w:szCs w:val="24"/>
                <w:highlight w:val="none"/>
              </w:rPr>
            </w:r>
            <w:r/>
          </w:p>
        </w:tc>
      </w:tr>
      <w:tr>
        <w:trPr>
          <w:trHeight w:val="456"/>
        </w:trPr>
        <w:tc>
          <w:tcPr>
            <w:tcW w:w="1508" w:type="dxa"/>
            <w:vAlign w:val="center"/>
            <w:textDirection w:val="lrTb"/>
            <w:noWrap w:val="false"/>
          </w:tcPr>
          <w:p>
            <w:pPr>
              <w:pStyle w:val="724"/>
              <w:ind w:left="1"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color w:val="000000"/>
                <w:sz w:val="24"/>
                <w:szCs w:val="24"/>
                <w:highlight w:val="none"/>
              </w:rPr>
            </w:pPr>
            <w:r>
              <w:rPr>
                <w:rFonts w:hint="eastAsia" w:ascii="宋体" w:hAnsi="宋体"/>
                <w:color w:val="000000"/>
                <w:sz w:val="24"/>
                <w:szCs w:val="24"/>
                <w:highlight w:val="none"/>
              </w:rPr>
              <w:t xml:space="preserve">应急处理服务方案</w:t>
            </w:r>
            <w:r>
              <w:rPr>
                <w:rFonts w:ascii="宋体" w:hAnsi="宋体"/>
                <w:color w:val="000000"/>
                <w:sz w:val="24"/>
                <w:szCs w:val="24"/>
                <w:highlight w:val="none"/>
              </w:rPr>
            </w:r>
            <w:r/>
          </w:p>
        </w:tc>
        <w:tc>
          <w:tcPr>
            <w:tcW w:w="7651" w:type="dxa"/>
            <w:vAlign w:val="center"/>
            <w:textDirection w:val="lrTb"/>
            <w:noWrap w:val="false"/>
          </w:tcPr>
          <w:p>
            <w:pPr>
              <w:pStyle w:val="724"/>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1）供应商须结合本项目采购内容、环卫作业现场条件及服务交付目标，编制贴合本项目实际的现场突发情况处置与纠纷协调方案。方案内容包含但不限于：1.寻衅滋事、扰民现象预防及处置措施；2.突发公共事件应急处理预案；3.服务过程各类矛盾纠纷排查机制；4.矛盾纠纷现场协调处置方案；5.事后复盘与长效管控措施。</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评分规则（满分5分）</w:t>
            </w:r>
            <w:r>
              <w:rPr>
                <w:rFonts w:hint="eastAsia" w:ascii="宋体" w:hAnsi="宋体" w:eastAsia="宋体" w:cs="Times New Roman"/>
                <w:color w:val="000000"/>
                <w:sz w:val="24"/>
                <w:szCs w:val="24"/>
                <w:highlight w:val="none"/>
                <w:lang w:val="en-US" w:eastAsia="zh-CN" w:bidi="ar-SA"/>
              </w:rPr>
              <w:t xml:space="preserve">：方案完整包含以上5项核心内容，处置预案科学合理、流程清晰、可操作性强，矛盾纠纷协调重点突出、针对性解决方案完善、贴合项目实际、无缺陷得5分。每缺失1项核心内容扣1分；方案内容存在缺陷或错误的，每发现1处扣0.5分，扣完本项分值为止；未提供本项方案的，本项得0分。</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注</w:t>
            </w:r>
            <w:r>
              <w:rPr>
                <w:rFonts w:hint="eastAsia" w:ascii="宋体" w:hAnsi="宋体" w:eastAsia="宋体" w:cs="Times New Roman"/>
                <w:color w:val="000000"/>
                <w:sz w:val="24"/>
                <w:szCs w:val="24"/>
                <w:highlight w:val="none"/>
                <w:lang w:val="en-US" w:eastAsia="zh-CN" w:bidi="ar-SA"/>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hint="eastAsia" w:ascii="宋体" w:hAnsi="宋体" w:eastAsia="宋体" w:cs="Times New Roman"/>
                <w:color w:val="000000"/>
                <w:sz w:val="24"/>
                <w:szCs w:val="24"/>
                <w:highlight w:val="none"/>
                <w:lang w:val="en-US" w:eastAsia="zh-CN" w:bidi="ar-SA"/>
              </w:rPr>
            </w:r>
            <w:r/>
          </w:p>
          <w:p>
            <w:pPr>
              <w:pStyle w:val="724"/>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color w:val="000000"/>
                <w:sz w:val="24"/>
                <w:szCs w:val="24"/>
                <w:highlight w:val="none"/>
                <w:lang w:val="en-US" w:eastAsia="zh-CN" w:bidi="ar-SA"/>
              </w:rPr>
              <w:t xml:space="preserve">（2）供应商须结合本项目采购内容、环卫作业现场条件及服务交付目标，编制贴合本项目实际的自然灾害、严重污染专项应急处置预案。方案内容包含但不限于：1.高温天气作业应急处置预案；2.台风天气应急处置预案；3.冰雪霜冻天气应急处置预案；4.暴雨内涝应急处置预案；5.空气污染、水体污染严重突发情况处置预案。 </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hint="eastAsia"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评分规则（满分5分）</w:t>
            </w:r>
            <w:r>
              <w:rPr>
                <w:rFonts w:hint="eastAsia" w:ascii="宋体" w:hAnsi="宋体" w:eastAsia="宋体" w:cs="Times New Roman"/>
                <w:color w:val="000000"/>
                <w:sz w:val="24"/>
                <w:szCs w:val="24"/>
                <w:highlight w:val="none"/>
                <w:lang w:val="en-US" w:eastAsia="zh-CN" w:bidi="ar-SA"/>
              </w:rPr>
              <w:t xml:space="preserve">：方案完整包含以上5项核心内容，各类预案内容齐全、考虑全面、覆盖各类风险因素、贴合环卫作业场景、可操作性强、无缺陷得5分。每缺失1项核心内容扣1分；方案内容存在缺陷或错误的，每发现1处扣0.5分，扣完本项分值为止；未提供本项方案的，本项得0分。</w:t>
            </w:r>
            <w:r>
              <w:rPr>
                <w:rFonts w:hint="eastAsia" w:ascii="宋体" w:hAnsi="宋体" w:eastAsia="宋体" w:cs="Times New Roman"/>
                <w:color w:val="000000"/>
                <w:sz w:val="24"/>
                <w:szCs w:val="24"/>
                <w:highlight w:val="none"/>
                <w:lang w:val="en-US" w:eastAsia="zh-CN" w:bidi="ar-SA"/>
              </w:rPr>
            </w:r>
            <w:r/>
          </w:p>
          <w:p>
            <w:pPr>
              <w:pStyle w:val="724"/>
              <w:ind w:firstLine="482"/>
              <w:jc w:val="left"/>
              <w:spacing w:line="440" w:lineRule="exact"/>
              <w:widowControl w:val="off"/>
              <w:rPr>
                <w:rFonts w:ascii="宋体" w:hAnsi="宋体" w:eastAsia="宋体" w:cs="Times New Roman"/>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注</w:t>
            </w:r>
            <w:r>
              <w:rPr>
                <w:rFonts w:hint="eastAsia" w:ascii="宋体" w:hAnsi="宋体" w:eastAsia="宋体" w:cs="Times New Roman"/>
                <w:color w:val="000000"/>
                <w:sz w:val="24"/>
                <w:szCs w:val="24"/>
                <w:highlight w:val="none"/>
                <w:lang w:val="en-US" w:eastAsia="zh-CN" w:bidi="ar-SA"/>
              </w:rPr>
              <w:t xml:space="preserve">：“缺陷或错误”是指：标准规范等描述错误的内容；内容缺失不完整；存在套用其他项目方案不适用本项目实际情况的情形；存在项目名称和实施地点与本项目不一致；内容不符合相关国家或行业规范要求、缺少关键节点、前后内容互相矛盾的情形；仅有框架标题，内容简略或简单复制本项目采购需求、表述不清不符合采购需求，存在无关的事项、凭空编造、存在不可能实现的夸大情形等任意一种情形。</w:t>
            </w:r>
            <w:r>
              <w:rPr>
                <w:rFonts w:ascii="宋体" w:hAnsi="宋体" w:eastAsia="宋体" w:cs="Times New Roman"/>
                <w:color w:val="000000"/>
                <w:sz w:val="24"/>
                <w:szCs w:val="24"/>
                <w:highlight w:val="none"/>
                <w:lang w:val="en-US" w:eastAsia="zh-CN" w:bidi="ar-SA"/>
              </w:rPr>
            </w:r>
            <w:r/>
          </w:p>
        </w:tc>
        <w:tc>
          <w:tcPr>
            <w:tcW w:w="879" w:type="dxa"/>
            <w:vAlign w:val="center"/>
            <w:textDirection w:val="lrTb"/>
            <w:noWrap w:val="false"/>
          </w:tcPr>
          <w:p>
            <w:pPr>
              <w:pStyle w:val="724"/>
              <w:ind w:left="1" w:right="-4"/>
              <w:jc w:val="center"/>
              <w:spacing w:line="44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7380" w:leader="none"/>
                <w:tab w:val="left" w:pos="8640" w:leader="none"/>
                <w:tab w:val="left" w:pos="9160" w:leader="none"/>
                <w:tab w:val="left" w:pos="9418" w:leader="none"/>
                <w:tab w:val="left" w:pos="10992" w:leader="none"/>
                <w:tab w:val="left" w:pos="11908" w:leader="none"/>
                <w:tab w:val="left" w:pos="12824" w:leader="none"/>
                <w:tab w:val="left" w:pos="13740" w:leader="none"/>
                <w:tab w:val="left" w:pos="14656" w:leader="none"/>
              </w:tabs>
              <w:rPr>
                <w:rFonts w:ascii="宋体" w:hAnsi="宋体" w:eastAsia="宋体" w:cs="仿宋"/>
                <w:color w:val="000000"/>
                <w:sz w:val="24"/>
                <w:szCs w:val="24"/>
                <w:highlight w:val="none"/>
                <w:lang w:val="en-US" w:eastAsia="zh-CN"/>
              </w:rPr>
            </w:pPr>
            <w:r>
              <w:rPr>
                <w:rFonts w:hint="eastAsia" w:ascii="宋体" w:hAnsi="宋体" w:cs="仿宋"/>
                <w:color w:val="000000"/>
                <w:sz w:val="24"/>
                <w:szCs w:val="24"/>
                <w:highlight w:val="none"/>
                <w:lang w:val="en-US" w:eastAsia="zh-CN"/>
              </w:rPr>
              <w:t xml:space="preserve">10</w:t>
            </w:r>
            <w:r>
              <w:rPr>
                <w:rFonts w:ascii="宋体" w:hAnsi="宋体" w:eastAsia="宋体" w:cs="仿宋"/>
                <w:color w:val="000000"/>
                <w:sz w:val="24"/>
                <w:szCs w:val="24"/>
                <w:highlight w:val="none"/>
                <w:lang w:val="en-US" w:eastAsia="zh-CN"/>
              </w:rPr>
            </w:r>
            <w:r/>
          </w:p>
        </w:tc>
      </w:tr>
    </w:tbl>
    <w:p>
      <w:pPr>
        <w:pStyle w:val="724"/>
        <w:ind w:firstLine="120"/>
        <w:spacing w:line="400" w:lineRule="exact"/>
        <w:widowControl/>
        <w:rPr>
          <w:rFonts w:hint="eastAsia"/>
          <w:color w:val="000000"/>
          <w:sz w:val="24"/>
          <w:szCs w:val="24"/>
          <w:highlight w:val="none"/>
        </w:rPr>
      </w:pPr>
      <w:r>
        <w:rPr>
          <w:rFonts w:hint="eastAsia"/>
          <w:color w:val="000000"/>
          <w:sz w:val="24"/>
          <w:szCs w:val="24"/>
          <w:highlight w:val="none"/>
        </w:rPr>
        <w:t xml:space="preserve">总得分 =价格分+ 商务分+ 技术分</w:t>
      </w:r>
      <w:r>
        <w:rPr>
          <w:rFonts w:hint="eastAsia"/>
          <w:color w:val="000000"/>
          <w:sz w:val="24"/>
          <w:szCs w:val="24"/>
          <w:highlight w:val="none"/>
        </w:rPr>
      </w:r>
      <w:r/>
    </w:p>
    <w:p>
      <w:pPr>
        <w:pStyle w:val="724"/>
        <w:ind w:firstLine="482"/>
        <w:jc w:val="left"/>
        <w:spacing w:line="560" w:lineRule="exact"/>
        <w:widowControl/>
        <w:tabs>
          <w:tab w:val="left" w:pos="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r>
      <w:r/>
    </w:p>
    <w:p>
      <w:pPr>
        <w:pStyle w:val="724"/>
        <w:ind w:firstLine="482"/>
        <w:jc w:val="left"/>
        <w:spacing w:line="560" w:lineRule="exact"/>
        <w:widowControl/>
        <w:tabs>
          <w:tab w:val="left" w:pos="0" w:leader="none"/>
        </w:tabs>
        <w:rPr>
          <w:rFonts w:hint="eastAsia" w:ascii="宋体" w:hAnsi="宋体" w:cs="宋体"/>
          <w:b/>
          <w:color w:val="000000"/>
          <w:sz w:val="24"/>
          <w:szCs w:val="24"/>
          <w:highlight w:val="none"/>
          <w:lang w:bidi="ar"/>
        </w:rPr>
      </w:pPr>
      <w:r>
        <w:rPr>
          <w:rFonts w:hint="eastAsia" w:ascii="宋体" w:hAnsi="宋体" w:cs="宋体"/>
          <w:b/>
          <w:color w:val="000000"/>
          <w:sz w:val="24"/>
          <w:szCs w:val="24"/>
          <w:highlight w:val="none"/>
          <w:lang w:bidi="ar"/>
        </w:rPr>
        <w:t xml:space="preserve">备注：上述评标办法中涉及提供的证明材料以原件扫描件上传至电子投标文件中，上传的资料原件扫描件不完善、不齐全、不完整或无法清晰辨认等，均不予以认可。</w:t>
      </w:r>
      <w:r>
        <w:rPr>
          <w:rFonts w:hint="eastAsia" w:ascii="宋体" w:hAnsi="宋体" w:cs="宋体"/>
          <w:b/>
          <w:color w:val="000000"/>
          <w:sz w:val="24"/>
          <w:szCs w:val="24"/>
          <w:highlight w:val="none"/>
          <w:lang w:bidi="ar"/>
        </w:rPr>
      </w:r>
      <w:r/>
    </w:p>
    <w:p>
      <w:pPr>
        <w:pStyle w:val="724"/>
        <w:ind w:firstLine="482"/>
        <w:jc w:val="left"/>
        <w:spacing w:line="560" w:lineRule="exact"/>
        <w:widowControl/>
        <w:tabs>
          <w:tab w:val="left" w:pos="0" w:leader="none"/>
        </w:tabs>
        <w:rPr>
          <w:rFonts w:hint="eastAsia" w:ascii="宋体" w:hAnsi="宋体" w:cs="宋体"/>
          <w:color w:val="000000"/>
          <w:sz w:val="24"/>
          <w:szCs w:val="24"/>
          <w:highlight w:val="none"/>
        </w:rPr>
      </w:pPr>
      <w:r>
        <w:rPr>
          <w:rFonts w:hint="eastAsia" w:ascii="黑体" w:eastAsia="黑体"/>
          <w:bCs/>
          <w:color w:val="000000"/>
          <w:sz w:val="44"/>
          <w:szCs w:val="28"/>
          <w:highlight w:val="none"/>
        </w:rPr>
        <w:br w:type="page" w:clear="all"/>
      </w:r>
      <w:r>
        <w:rPr>
          <w:rFonts w:hint="eastAsia" w:ascii="宋体" w:hAnsi="宋体" w:cs="宋体"/>
          <w:color w:val="000000"/>
          <w:sz w:val="24"/>
          <w:szCs w:val="24"/>
          <w:highlight w:val="none"/>
        </w:rPr>
      </w:r>
      <w:r/>
    </w:p>
    <w:p>
      <w:pPr>
        <w:pStyle w:val="724"/>
        <w:jc w:val="center"/>
        <w:keepNext/>
        <w:rPr>
          <w:rFonts w:hint="eastAsia" w:ascii="黑体" w:eastAsia="黑体"/>
          <w:bCs/>
          <w:color w:val="000000"/>
          <w:sz w:val="44"/>
          <w:szCs w:val="28"/>
          <w:highlight w:val="none"/>
        </w:rPr>
        <w:outlineLvl w:val="0"/>
      </w:pPr>
      <w:r>
        <w:rPr>
          <w:rFonts w:hint="eastAsia" w:ascii="黑体" w:eastAsia="黑体"/>
          <w:bCs/>
          <w:color w:val="000000"/>
          <w:sz w:val="44"/>
          <w:szCs w:val="28"/>
          <w:highlight w:val="none"/>
        </w:rPr>
        <w:t xml:space="preserve">第六章投标</w:t>
      </w:r>
      <w:bookmarkEnd w:id="165"/>
      <w:r/>
      <w:bookmarkEnd w:id="166"/>
      <w:r/>
      <w:bookmarkEnd w:id="167"/>
      <w:r>
        <w:rPr>
          <w:rFonts w:hint="eastAsia" w:ascii="黑体" w:eastAsia="黑体"/>
          <w:bCs/>
          <w:color w:val="000000"/>
          <w:sz w:val="44"/>
          <w:szCs w:val="28"/>
          <w:highlight w:val="none"/>
        </w:rPr>
        <w:t xml:space="preserve">文件格式</w:t>
      </w:r>
      <w:r>
        <w:rPr>
          <w:rFonts w:hint="eastAsia" w:ascii="黑体" w:eastAsia="黑体"/>
          <w:bCs/>
          <w:color w:val="000000"/>
          <w:sz w:val="44"/>
          <w:szCs w:val="28"/>
          <w:highlight w:val="none"/>
        </w:rPr>
      </w:r>
      <w:r/>
    </w:p>
    <w:p>
      <w:pPr>
        <w:pStyle w:val="724"/>
        <w:jc w:val="center"/>
        <w:rPr>
          <w:rFonts w:hint="eastAsia" w:ascii="宋体" w:hAnsi="宋体"/>
          <w:b/>
          <w:color w:val="000000"/>
          <w:sz w:val="72"/>
          <w:szCs w:val="21"/>
          <w:highlight w:val="none"/>
        </w:rPr>
      </w:pPr>
      <w:r/>
      <w:bookmarkStart w:id="168" w:name="_Hlt26955039"/>
      <w:r/>
      <w:bookmarkEnd w:id="168"/>
      <w:r/>
      <w:bookmarkStart w:id="169" w:name="_Hlt26671244"/>
      <w:r/>
      <w:bookmarkEnd w:id="169"/>
      <w:r/>
      <w:bookmarkStart w:id="170" w:name="_Toc49090576"/>
      <w:r/>
      <w:bookmarkStart w:id="171" w:name="_Toc120614282"/>
      <w:r/>
      <w:bookmarkStart w:id="172" w:name="_Toc26554094"/>
      <w:r>
        <w:rPr>
          <w:rFonts w:hint="eastAsia" w:ascii="宋体" w:hAnsi="宋体"/>
          <w:b/>
          <w:color w:val="000000"/>
          <w:sz w:val="72"/>
          <w:szCs w:val="21"/>
          <w:highlight w:val="none"/>
        </w:rPr>
      </w:r>
      <w:r/>
    </w:p>
    <w:p>
      <w:pPr>
        <w:pStyle w:val="724"/>
        <w:jc w:val="center"/>
        <w:rPr>
          <w:rFonts w:hint="eastAsia" w:ascii="宋体" w:hAnsi="宋体"/>
          <w:b/>
          <w:color w:val="000000"/>
          <w:sz w:val="72"/>
          <w:szCs w:val="21"/>
          <w:highlight w:val="none"/>
        </w:rPr>
      </w:pPr>
      <w:r>
        <w:rPr>
          <w:rFonts w:hint="eastAsia" w:ascii="宋体" w:hAnsi="宋体"/>
          <w:b/>
          <w:color w:val="000000"/>
          <w:sz w:val="72"/>
          <w:szCs w:val="21"/>
          <w:highlight w:val="none"/>
        </w:rPr>
        <w:t xml:space="preserve">投标文件</w:t>
      </w:r>
      <w:r>
        <w:rPr>
          <w:rFonts w:hint="eastAsia" w:ascii="宋体" w:hAnsi="宋体"/>
          <w:b/>
          <w:color w:val="000000"/>
          <w:sz w:val="72"/>
          <w:szCs w:val="21"/>
          <w:highlight w:val="none"/>
        </w:rPr>
      </w:r>
      <w:r/>
    </w:p>
    <w:p>
      <w:pPr>
        <w:pStyle w:val="72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24"/>
        <w:jc w:val="center"/>
        <w:rPr>
          <w:rFonts w:hint="eastAsia" w:ascii="宋体" w:hAnsi="宋体"/>
          <w:b/>
          <w:color w:val="000000"/>
          <w:sz w:val="72"/>
          <w:szCs w:val="21"/>
          <w:highlight w:val="none"/>
        </w:rPr>
      </w:pPr>
      <w:r>
        <w:rPr>
          <w:rFonts w:hint="eastAsia" w:ascii="宋体" w:hAnsi="宋体"/>
          <w:b/>
          <w:color w:val="000000"/>
          <w:sz w:val="72"/>
          <w:szCs w:val="21"/>
          <w:highlight w:val="none"/>
        </w:rPr>
      </w:r>
      <w:r/>
    </w:p>
    <w:p>
      <w:pPr>
        <w:pStyle w:val="72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2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24"/>
        <w:jc w:val="center"/>
        <w:rPr>
          <w:rFonts w:hint="eastAsia" w:ascii="宋体" w:hAnsi="宋体"/>
          <w:b/>
          <w:color w:val="000000"/>
          <w:sz w:val="36"/>
          <w:szCs w:val="21"/>
          <w:highlight w:val="none"/>
        </w:rPr>
      </w:pPr>
      <w:r>
        <w:rPr>
          <w:rFonts w:hint="eastAsia" w:ascii="宋体" w:hAnsi="宋体"/>
          <w:b/>
          <w:color w:val="000000"/>
          <w:sz w:val="36"/>
          <w:szCs w:val="21"/>
          <w:highlight w:val="none"/>
        </w:rPr>
      </w:r>
      <w:r/>
    </w:p>
    <w:p>
      <w:pPr>
        <w:pStyle w:val="724"/>
        <w:ind w:firstLine="1084"/>
        <w:rPr>
          <w:rFonts w:hint="eastAsia" w:ascii="宋体" w:hAnsi="宋体"/>
          <w:b/>
          <w:color w:val="000000"/>
          <w:sz w:val="36"/>
          <w:szCs w:val="21"/>
          <w:highlight w:val="none"/>
        </w:rPr>
      </w:pPr>
      <w:r>
        <w:rPr>
          <w:rFonts w:hint="eastAsia" w:ascii="宋体" w:hAnsi="宋体"/>
          <w:b/>
          <w:color w:val="000000"/>
          <w:sz w:val="36"/>
          <w:szCs w:val="21"/>
          <w:highlight w:val="none"/>
        </w:rPr>
        <w:t xml:space="preserve">项目名称：</w:t>
      </w:r>
      <w:r>
        <w:rPr>
          <w:rFonts w:hint="eastAsia" w:ascii="宋体" w:hAnsi="宋体"/>
          <w:b/>
          <w:color w:val="000000"/>
          <w:sz w:val="36"/>
          <w:szCs w:val="21"/>
          <w:highlight w:val="none"/>
        </w:rPr>
      </w:r>
      <w:r/>
    </w:p>
    <w:p>
      <w:pPr>
        <w:pStyle w:val="72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项目编号：</w:t>
      </w:r>
      <w:r>
        <w:rPr>
          <w:rFonts w:hint="eastAsia" w:ascii="宋体" w:hAnsi="宋体"/>
          <w:b/>
          <w:color w:val="000000"/>
          <w:sz w:val="36"/>
          <w:szCs w:val="21"/>
          <w:highlight w:val="none"/>
          <w:u w:val="single"/>
        </w:rPr>
      </w:r>
      <w:r/>
    </w:p>
    <w:p>
      <w:pPr>
        <w:pStyle w:val="72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投标人名称：</w:t>
      </w:r>
      <w:r>
        <w:rPr>
          <w:rFonts w:hint="eastAsia" w:ascii="宋体" w:hAnsi="宋体"/>
          <w:b/>
          <w:color w:val="000000"/>
          <w:sz w:val="36"/>
          <w:szCs w:val="21"/>
          <w:highlight w:val="none"/>
          <w:u w:val="single"/>
        </w:rPr>
        <w:t xml:space="preserve">（加盖CA电子公章）</w:t>
      </w:r>
      <w:r>
        <w:rPr>
          <w:rFonts w:hint="eastAsia" w:ascii="宋体" w:hAnsi="宋体"/>
          <w:b/>
          <w:color w:val="000000"/>
          <w:sz w:val="36"/>
          <w:szCs w:val="21"/>
          <w:highlight w:val="none"/>
          <w:u w:val="single"/>
        </w:rPr>
      </w:r>
      <w:r/>
    </w:p>
    <w:p>
      <w:pPr>
        <w:pStyle w:val="724"/>
        <w:ind w:firstLine="1084"/>
        <w:rPr>
          <w:rFonts w:hint="eastAsia" w:ascii="宋体" w:hAnsi="宋体"/>
          <w:b/>
          <w:color w:val="000000"/>
          <w:sz w:val="36"/>
          <w:szCs w:val="21"/>
          <w:highlight w:val="none"/>
          <w:u w:val="single"/>
        </w:rPr>
      </w:pPr>
      <w:r>
        <w:rPr>
          <w:rFonts w:hint="eastAsia" w:ascii="宋体" w:hAnsi="宋体"/>
          <w:b/>
          <w:color w:val="000000"/>
          <w:sz w:val="36"/>
          <w:szCs w:val="21"/>
          <w:highlight w:val="none"/>
        </w:rPr>
        <w:t xml:space="preserve">日    期：</w:t>
      </w:r>
      <w:r>
        <w:rPr>
          <w:rFonts w:hint="eastAsia" w:ascii="宋体" w:hAnsi="宋体"/>
          <w:b/>
          <w:color w:val="000000"/>
          <w:sz w:val="36"/>
          <w:szCs w:val="21"/>
          <w:highlight w:val="none"/>
          <w:u w:val="single"/>
        </w:rPr>
      </w:r>
      <w:r/>
    </w:p>
    <w:p>
      <w:pPr>
        <w:pStyle w:val="724"/>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724"/>
        <w:spacing w:line="440" w:lineRule="exact"/>
        <w:rPr>
          <w:rFonts w:ascii="宋体" w:hAnsi="宋体"/>
          <w:color w:val="000000"/>
          <w:szCs w:val="21"/>
          <w:highlight w:val="none"/>
        </w:rPr>
      </w:pPr>
      <w:r>
        <w:rPr>
          <w:rFonts w:ascii="宋体" w:hAnsi="宋体"/>
          <w:color w:val="000000"/>
          <w:szCs w:val="21"/>
          <w:highlight w:val="non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ascii="宋体" w:hAnsi="宋体"/>
          <w:b/>
          <w:color w:val="000000"/>
          <w:sz w:val="36"/>
          <w:szCs w:val="21"/>
          <w:highlight w:val="none"/>
          <w:u w:val="single"/>
        </w:rPr>
        <w:br w:type="page" w:clear="all"/>
      </w:r>
      <w:bookmarkEnd w:id="163"/>
      <w:r/>
      <w:bookmarkEnd w:id="164"/>
      <w:r/>
      <w:bookmarkEnd w:id="170"/>
      <w:r/>
      <w:bookmarkEnd w:id="171"/>
      <w:r/>
      <w:bookmarkEnd w:id="172"/>
      <w:r>
        <w:rPr>
          <w:rFonts w:hint="eastAsia" w:ascii="宋体" w:hAnsi="宋体" w:cs="宋体"/>
          <w:i/>
          <w:color w:val="000000"/>
          <w:sz w:val="28"/>
          <w:szCs w:val="28"/>
          <w:highlight w:val="none"/>
          <w:u w:val="single"/>
        </w:rPr>
        <w:t xml:space="preserve">一、法人或者其他组织的营业执照等证明文件，自然人的身份证明</w:t>
      </w:r>
      <w:r>
        <w:rPr>
          <w:rFonts w:hint="eastAsia" w:ascii="宋体" w:hAnsi="宋体" w:cs="宋体"/>
          <w:i/>
          <w:color w:val="000000"/>
          <w:sz w:val="28"/>
          <w:szCs w:val="28"/>
          <w:highlight w:val="none"/>
          <w:u w:val="singl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color w:val="000000"/>
          <w:sz w:val="36"/>
          <w:highlight w:val="none"/>
          <w:u w:val="single"/>
        </w:rPr>
        <w:br w:type="page" w:clear="all"/>
      </w:r>
      <w:r>
        <w:rPr>
          <w:rFonts w:hint="eastAsia" w:ascii="宋体" w:hAnsi="宋体" w:cs="宋体"/>
          <w:i/>
          <w:color w:val="000000"/>
          <w:sz w:val="28"/>
          <w:szCs w:val="28"/>
          <w:highlight w:val="none"/>
          <w:u w:val="single"/>
        </w:rPr>
        <w:t xml:space="preserve">二、具有良好的商业信誉和健全的财务会计制度</w:t>
      </w:r>
      <w:r>
        <w:rPr>
          <w:rFonts w:hint="eastAsia" w:ascii="宋体" w:hAnsi="宋体" w:cs="宋体"/>
          <w:i/>
          <w:color w:val="000000"/>
          <w:sz w:val="28"/>
          <w:szCs w:val="28"/>
          <w:highlight w:val="none"/>
          <w:u w:val="single"/>
        </w:rPr>
      </w:r>
      <w:r/>
    </w:p>
    <w:p>
      <w:pPr>
        <w:pStyle w:val="72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pStyle w:val="724"/>
        <w:jc w:val="center"/>
        <w:spacing w:line="360" w:lineRule="auto"/>
        <w:rPr>
          <w:rFonts w:hint="eastAsia" w:ascii="宋体" w:hAnsi="宋体" w:cs="宋体"/>
          <w:color w:val="000000"/>
          <w:highlight w:val="none"/>
        </w:rPr>
      </w:pPr>
      <w:r>
        <w:rPr>
          <w:rFonts w:hint="eastAsia" w:ascii="宋体" w:hAnsi="宋体" w:cs="宋体"/>
          <w:bCs/>
          <w:color w:val="000000"/>
          <w:sz w:val="24"/>
          <w:szCs w:val="24"/>
          <w:highlight w:val="none"/>
        </w:rPr>
        <w:t xml:space="preserve">财务状况报告及税收、社会保障资金缴纳情况承诺函</w:t>
      </w:r>
      <w:r>
        <w:rPr>
          <w:rFonts w:hint="eastAsia" w:ascii="宋体" w:hAnsi="宋体" w:cs="宋体"/>
          <w:color w:val="000000"/>
          <w:highlight w:val="none"/>
        </w:rPr>
      </w:r>
      <w:r/>
    </w:p>
    <w:p>
      <w:pPr>
        <w:pStyle w:val="72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i/>
          <w:color w:val="000000"/>
          <w:sz w:val="24"/>
          <w:szCs w:val="24"/>
          <w:highlight w:val="none"/>
          <w:u w:val="single"/>
          <w:lang w:eastAsia="zh-CN"/>
        </w:rPr>
        <w:t xml:space="preserve">采购人</w:t>
      </w:r>
      <w:r>
        <w:rPr>
          <w:rFonts w:hint="eastAsia" w:ascii="宋体" w:hAnsi="宋体" w:cs="宋体"/>
          <w:i/>
          <w:color w:val="000000"/>
          <w:sz w:val="24"/>
          <w:szCs w:val="24"/>
          <w:highlight w:val="none"/>
          <w:u w:val="single"/>
        </w:rPr>
        <w:t xml:space="preserve">名称</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w:t>
      </w:r>
      <w:r>
        <w:rPr>
          <w:rFonts w:hint="eastAsia" w:ascii="宋体" w:hAnsi="宋体" w:cs="宋体"/>
          <w:i/>
          <w:color w:val="000000"/>
          <w:sz w:val="24"/>
          <w:szCs w:val="24"/>
          <w:highlight w:val="none"/>
          <w:u w:val="single"/>
        </w:rPr>
        <w:t xml:space="preserve">投标人名称</w:t>
      </w:r>
      <w:r>
        <w:rPr>
          <w:rFonts w:hint="eastAsia" w:ascii="宋体" w:hAnsi="宋体" w:cs="宋体"/>
          <w:color w:val="000000"/>
          <w:sz w:val="24"/>
          <w:szCs w:val="24"/>
          <w:highlight w:val="none"/>
        </w:rPr>
        <w:t xml:space="preserve">参加</w:t>
      </w:r>
      <w:r>
        <w:rPr>
          <w:rFonts w:hint="eastAsia" w:ascii="宋体" w:hAnsi="宋体" w:cs="宋体"/>
          <w:i/>
          <w:color w:val="000000"/>
          <w:sz w:val="24"/>
          <w:szCs w:val="24"/>
          <w:highlight w:val="none"/>
          <w:u w:val="single"/>
        </w:rPr>
        <w:t xml:space="preserve">项目名称</w:t>
      </w:r>
      <w:r>
        <w:rPr>
          <w:rFonts w:hint="eastAsia" w:ascii="宋体" w:hAnsi="宋体" w:cs="宋体"/>
          <w:color w:val="000000"/>
          <w:sz w:val="24"/>
          <w:szCs w:val="24"/>
          <w:highlight w:val="none"/>
        </w:rPr>
        <w:t xml:space="preserve">（项目编号：</w:t>
      </w:r>
      <w:r>
        <w:rPr>
          <w:rFonts w:hint="eastAsia" w:ascii="宋体" w:hAnsi="宋体" w:cs="宋体"/>
          <w:i/>
          <w:color w:val="000000"/>
          <w:sz w:val="24"/>
          <w:szCs w:val="24"/>
          <w:highlight w:val="none"/>
          <w:u w:val="single"/>
        </w:rPr>
        <w:t xml:space="preserve">项目编号</w:t>
      </w:r>
      <w:r>
        <w:rPr>
          <w:rFonts w:hint="eastAsia" w:ascii="宋体" w:hAnsi="宋体" w:cs="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（1）具有良好的商业信誉和健全的财务会计制度（财务状况报告）；</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（2）有依法缴纳税收和社会保障资金的良好记录。</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特此承诺</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投标人（公章）：</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法定代表人（单位负责人）或委托代理人（签名或签章）：</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三、依法缴纳税收和社会保障资金的相关材料</w:t>
      </w:r>
      <w:r>
        <w:rPr>
          <w:rFonts w:hint="eastAsia" w:ascii="宋体" w:hAnsi="宋体" w:cs="宋体"/>
          <w:i/>
          <w:color w:val="000000"/>
          <w:sz w:val="28"/>
          <w:szCs w:val="28"/>
          <w:highlight w:val="none"/>
          <w:u w:val="singl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jc w:val="cente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财务状况报告及税收、社会保障资金缴纳情况承诺函</w:t>
      </w:r>
      <w:r>
        <w:rPr>
          <w:rFonts w:hint="eastAsia" w:ascii="宋体" w:hAnsi="宋体" w:cs="宋体"/>
          <w:bCs/>
          <w:color w:val="000000"/>
          <w:sz w:val="24"/>
          <w:szCs w:val="24"/>
          <w:highlight w:val="none"/>
        </w:rPr>
      </w:r>
      <w:r/>
    </w:p>
    <w:p>
      <w:pPr>
        <w:pStyle w:val="724"/>
        <w:jc w:val="left"/>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2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i/>
          <w:color w:val="000000"/>
          <w:sz w:val="24"/>
          <w:szCs w:val="24"/>
          <w:highlight w:val="none"/>
          <w:u w:val="single"/>
          <w:lang w:eastAsia="zh-CN"/>
        </w:rPr>
        <w:t xml:space="preserve">采购人</w:t>
      </w:r>
      <w:r>
        <w:rPr>
          <w:rFonts w:hint="eastAsia" w:ascii="宋体" w:hAnsi="宋体" w:cs="宋体"/>
          <w:i/>
          <w:color w:val="000000"/>
          <w:sz w:val="24"/>
          <w:szCs w:val="24"/>
          <w:highlight w:val="none"/>
          <w:u w:val="single"/>
        </w:rPr>
        <w:t xml:space="preserve">名称</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w:t>
      </w:r>
      <w:r>
        <w:rPr>
          <w:rFonts w:hint="eastAsia" w:ascii="宋体" w:hAnsi="宋体" w:cs="宋体"/>
          <w:i/>
          <w:color w:val="000000"/>
          <w:sz w:val="24"/>
          <w:szCs w:val="24"/>
          <w:highlight w:val="none"/>
          <w:u w:val="single"/>
        </w:rPr>
        <w:t xml:space="preserve">投标人名称</w:t>
      </w:r>
      <w:r>
        <w:rPr>
          <w:rFonts w:hint="eastAsia" w:ascii="宋体" w:hAnsi="宋体" w:cs="宋体"/>
          <w:color w:val="000000"/>
          <w:sz w:val="24"/>
          <w:szCs w:val="24"/>
          <w:highlight w:val="none"/>
        </w:rPr>
        <w:t xml:space="preserve">参加</w:t>
      </w:r>
      <w:r>
        <w:rPr>
          <w:rFonts w:hint="eastAsia" w:ascii="宋体" w:hAnsi="宋体" w:cs="宋体"/>
          <w:i/>
          <w:color w:val="000000"/>
          <w:sz w:val="24"/>
          <w:szCs w:val="24"/>
          <w:highlight w:val="none"/>
          <w:u w:val="single"/>
        </w:rPr>
        <w:t xml:space="preserve">项目名称</w:t>
      </w:r>
      <w:r>
        <w:rPr>
          <w:rFonts w:hint="eastAsia" w:ascii="宋体" w:hAnsi="宋体" w:cs="宋体"/>
          <w:color w:val="000000"/>
          <w:sz w:val="24"/>
          <w:szCs w:val="24"/>
          <w:highlight w:val="none"/>
        </w:rPr>
        <w:t xml:space="preserve">（项目编号：</w:t>
      </w:r>
      <w:r>
        <w:rPr>
          <w:rFonts w:hint="eastAsia" w:ascii="宋体" w:hAnsi="宋体" w:cs="宋体"/>
          <w:i/>
          <w:color w:val="000000"/>
          <w:sz w:val="24"/>
          <w:szCs w:val="24"/>
          <w:highlight w:val="none"/>
          <w:u w:val="single"/>
        </w:rPr>
        <w:t xml:space="preserve">项目编号</w:t>
      </w:r>
      <w:r>
        <w:rPr>
          <w:rFonts w:hint="eastAsia" w:ascii="宋体" w:hAnsi="宋体" w:cs="宋体"/>
          <w:color w:val="000000"/>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（1）具有良好的商业信誉和健全的财务会计制度（财务状况报告）；</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（2）有依法缴纳税收和社会保障资金的良好记录。</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特此承诺</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投标人（公章）：</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法定代表人（单位负责人）或委托代理人（签名或签章）：</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四、具备履行合同所必需的设备和专业技术能力的声明及证明材料</w:t>
      </w:r>
      <w:r>
        <w:rPr>
          <w:rFonts w:hint="eastAsia" w:ascii="宋体" w:hAnsi="宋体" w:cs="宋体"/>
          <w:i/>
          <w:color w:val="000000"/>
          <w:sz w:val="28"/>
          <w:szCs w:val="28"/>
          <w:highlight w:val="none"/>
          <w:u w:val="single"/>
        </w:rPr>
      </w:r>
      <w:r/>
    </w:p>
    <w:p>
      <w:pPr>
        <w:pStyle w:val="724"/>
        <w:jc w:val="center"/>
        <w:spacing w:line="360" w:lineRule="auto"/>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pStyle w:val="724"/>
        <w:jc w:val="center"/>
        <w:spacing w:line="360" w:lineRule="auto"/>
        <w:rPr>
          <w:rFonts w:hint="eastAsia" w:ascii="宋体" w:hAnsi="宋体" w:cs="宋体"/>
          <w:color w:val="000000"/>
          <w:sz w:val="28"/>
          <w:szCs w:val="28"/>
          <w:highlight w:val="none"/>
        </w:rPr>
      </w:pPr>
      <w:r>
        <w:rPr>
          <w:rFonts w:hint="eastAsia" w:ascii="宋体" w:hAnsi="宋体" w:cs="宋体"/>
          <w:bCs/>
          <w:color w:val="000000"/>
          <w:sz w:val="28"/>
          <w:szCs w:val="28"/>
          <w:highlight w:val="none"/>
        </w:rPr>
        <w:t xml:space="preserve">具备履行合同所必需的设备和专业技术能力的声明</w:t>
      </w:r>
      <w:r>
        <w:rPr>
          <w:rFonts w:hint="eastAsia" w:ascii="宋体" w:hAnsi="宋体" w:cs="宋体"/>
          <w:color w:val="000000"/>
          <w:sz w:val="28"/>
          <w:szCs w:val="28"/>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主要设备有：。</w:t>
      </w:r>
      <w:r>
        <w:rPr>
          <w:rFonts w:hint="eastAsia" w:ascii="宋体" w:hAnsi="宋体" w:cs="宋体"/>
          <w:color w:val="000000"/>
          <w:sz w:val="24"/>
          <w:szCs w:val="24"/>
          <w:highlight w:val="none"/>
        </w:rPr>
      </w:r>
      <w:r/>
    </w:p>
    <w:p>
      <w:pPr>
        <w:pStyle w:val="72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主要专业技术能力有：。</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jc w:val="left"/>
        <w:spacing w:line="360" w:lineRule="auto"/>
        <w:rPr>
          <w:rFonts w:hint="eastAsia" w:ascii="宋体" w:hAnsi="宋体" w:cs="宋体"/>
          <w:color w:val="000000"/>
          <w:szCs w:val="24"/>
          <w:highlight w:val="none"/>
        </w:rPr>
      </w:pPr>
      <w:r>
        <w:rPr>
          <w:rFonts w:hint="eastAsia" w:ascii="宋体" w:hAnsi="宋体" w:cs="宋体"/>
          <w:color w:val="000000"/>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附主要设备和主要专业技术能力的证明材料如下：</w:t>
      </w:r>
      <w:r>
        <w:rPr>
          <w:rFonts w:hint="eastAsia" w:ascii="宋体" w:hAnsi="宋体" w:cs="宋体"/>
          <w:color w:val="000000"/>
          <w:sz w:val="24"/>
          <w:szCs w:val="24"/>
          <w:highlight w:val="none"/>
        </w:rPr>
      </w:r>
      <w:r/>
    </w:p>
    <w:p>
      <w:pPr>
        <w:pStyle w:val="72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五、参加政府采购活动前3年内在经营活动中没有重大违法记录的书面声明</w:t>
      </w:r>
      <w:r>
        <w:rPr>
          <w:rFonts w:hint="eastAsia" w:ascii="宋体" w:hAnsi="宋体" w:cs="宋体"/>
          <w:i/>
          <w:color w:val="000000"/>
          <w:sz w:val="28"/>
          <w:szCs w:val="28"/>
          <w:highlight w:val="none"/>
          <w:u w:val="single"/>
        </w:rPr>
      </w:r>
      <w:r/>
    </w:p>
    <w:p>
      <w:pPr>
        <w:pStyle w:val="724"/>
        <w:jc w:val="center"/>
        <w:spacing w:line="360" w:lineRule="auto"/>
        <w:rPr>
          <w:rFonts w:hint="eastAsia" w:ascii="宋体" w:hAnsi="宋体" w:cs="宋体"/>
          <w:b/>
          <w:bCs/>
          <w:color w:val="000000"/>
          <w:sz w:val="44"/>
          <w:szCs w:val="44"/>
          <w:highlight w:val="none"/>
        </w:rPr>
      </w:pPr>
      <w:r>
        <w:rPr>
          <w:rFonts w:hint="eastAsia" w:ascii="宋体" w:hAnsi="宋体" w:cs="宋体"/>
          <w:bCs/>
          <w:color w:val="000000"/>
          <w:sz w:val="36"/>
          <w:szCs w:val="28"/>
          <w:highlight w:val="none"/>
        </w:rPr>
        <w:t xml:space="preserve">声  明</w:t>
      </w:r>
      <w:r>
        <w:rPr>
          <w:rFonts w:hint="eastAsia" w:ascii="宋体" w:hAnsi="宋体" w:cs="宋体"/>
          <w:b/>
          <w:bCs/>
          <w:color w:val="000000"/>
          <w:sz w:val="44"/>
          <w:szCs w:val="4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六、法律、行政法规规定的其他条件的证明文件</w:t>
      </w:r>
      <w:r>
        <w:rPr>
          <w:rFonts w:hint="eastAsia" w:ascii="宋体" w:hAnsi="宋体" w:cs="宋体"/>
          <w:i/>
          <w:color w:val="000000"/>
          <w:sz w:val="28"/>
          <w:szCs w:val="28"/>
          <w:highlight w:val="none"/>
          <w:u w:val="singl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（如有，请按要求提供）</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七、落实政府采购政策需满足的资格要求的证明文件</w:t>
      </w:r>
      <w:r>
        <w:rPr>
          <w:rFonts w:hint="eastAsia" w:ascii="宋体" w:hAnsi="宋体" w:cs="宋体"/>
          <w:i/>
          <w:color w:val="000000"/>
          <w:sz w:val="28"/>
          <w:szCs w:val="28"/>
          <w:highlight w:val="none"/>
          <w:u w:val="singl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（如有，请按要求提供）</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八、特定资格要求的证明文件</w:t>
      </w:r>
      <w:r>
        <w:rPr>
          <w:rFonts w:hint="eastAsia" w:ascii="宋体" w:hAnsi="宋体" w:cs="宋体"/>
          <w:i/>
          <w:color w:val="000000"/>
          <w:sz w:val="28"/>
          <w:szCs w:val="28"/>
          <w:highlight w:val="none"/>
          <w:u w:val="singl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（如有，请按要求提供）</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iCs/>
          <w:color w:val="000000"/>
          <w:sz w:val="36"/>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九、授权委托书与法定代表人（单位负责人）身份证明</w:t>
      </w:r>
      <w:r>
        <w:rPr>
          <w:rFonts w:hint="eastAsia" w:ascii="宋体" w:hAnsi="宋体" w:cs="宋体"/>
          <w:i/>
          <w:iCs/>
          <w:color w:val="000000"/>
          <w:sz w:val="36"/>
          <w:highlight w:val="none"/>
          <w:u w:val="single"/>
        </w:rPr>
      </w:r>
      <w:r/>
    </w:p>
    <w:p>
      <w:pPr>
        <w:pStyle w:val="724"/>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授权委托书</w:t>
      </w:r>
      <w:r>
        <w:rPr>
          <w:rFonts w:hint="eastAsia" w:ascii="宋体" w:hAnsi="宋体" w:cs="宋体"/>
          <w:b/>
          <w:color w:val="000000"/>
          <w:sz w:val="36"/>
          <w:szCs w:val="36"/>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致：采购单位</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人（姓名）系（投标人名称）的法定代表人（单位负责人），现委托（姓名）为我方代理人。代理人根据授权，以我方名义签署、澄清确认、递交、撤回、修改（项目名称）项目（项目编号：）投标文件和处理有关事宜，其法律后果由我方承担。</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委托期限：自本授权委托书签署之日起至响应有效期届满之日止。</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代理人无转委托权。</w:t>
      </w:r>
      <w:r>
        <w:rPr>
          <w:rFonts w:hint="eastAsia" w:ascii="宋体" w:hAnsi="宋体" w:cs="宋体"/>
          <w:color w:val="000000"/>
          <w:sz w:val="24"/>
          <w:szCs w:val="24"/>
          <w:highlight w:val="none"/>
        </w:rPr>
        <w:br w:type="textWrapping" w:clear="all"/>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投标人名称（加盖公章）：</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法定代表人（单位负责人）（签字、签章或印鉴）：</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委托代理人（签字/签章）：</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法定代表人（单位负责人）有效期内的身份证正反面电子件：</w:t>
      </w:r>
      <w:r>
        <w:rPr>
          <w:rFonts w:hint="eastAsia" w:ascii="宋体" w:hAnsi="宋体" w:cs="宋体"/>
          <w:color w:val="000000"/>
          <w:sz w:val="24"/>
          <w:szCs w:val="24"/>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536" w:type="dxa"/>
            <w:vAlign w:val="top"/>
            <w:textDirection w:val="lrTb"/>
            <w:noWrap w:val="false"/>
          </w:tcPr>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委托代理人有效期内的身份证正反面电子件：</w:t>
      </w:r>
      <w:r>
        <w:rPr>
          <w:rFonts w:hint="eastAsia" w:ascii="宋体" w:hAnsi="宋体" w:cs="宋体"/>
          <w:color w:val="000000"/>
          <w:sz w:val="24"/>
          <w:szCs w:val="24"/>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4536" w:type="dxa"/>
            <w:vAlign w:val="top"/>
            <w:textDirection w:val="lrTb"/>
            <w:noWrap w:val="false"/>
          </w:tcPr>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填报说明：</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1、若投标人为事业单位或其他组织或分支机构（仅当招标文件注明允许分支机构投标的），则法定代表人（单位负责人）处的签署人可为单位负责人。</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2、若投标文件中全部签字之处均为法定代表人（单位负责人）本人签署，则可不提供本《授权委托书》，但须提供《法定代表人（单位负责人）身份证明》。</w:t>
      </w:r>
      <w:r>
        <w:rPr>
          <w:rFonts w:hint="eastAsia" w:ascii="宋体" w:hAnsi="宋体" w:cs="宋体"/>
          <w:color w:val="000000"/>
          <w:sz w:val="24"/>
          <w:szCs w:val="24"/>
          <w:highlight w:val="none"/>
        </w:rPr>
      </w:r>
      <w:r/>
    </w:p>
    <w:p>
      <w:pPr>
        <w:pStyle w:val="724"/>
        <w:ind w:firstLine="42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3、投标人为自然人的情形，可不提供本《授权委托书》。</w:t>
      </w:r>
      <w:r>
        <w:rPr>
          <w:rFonts w:hint="eastAsia" w:ascii="宋体" w:hAnsi="宋体" w:cs="宋体"/>
          <w:color w:val="000000"/>
          <w:sz w:val="24"/>
          <w:szCs w:val="24"/>
          <w:highlight w:val="none"/>
        </w:rPr>
      </w:r>
      <w:r/>
    </w:p>
    <w:p>
      <w:pPr>
        <w:pStyle w:val="724"/>
        <w:jc w:val="center"/>
        <w:spacing w:line="360" w:lineRule="auto"/>
        <w:rPr>
          <w:rFonts w:hint="eastAsia" w:ascii="宋体" w:hAnsi="宋体" w:cs="宋体"/>
          <w:b/>
          <w:color w:val="000000"/>
          <w:sz w:val="36"/>
          <w:szCs w:val="36"/>
          <w:highlight w:val="none"/>
        </w:rPr>
      </w:pPr>
      <w:r>
        <w:rPr>
          <w:rFonts w:hint="eastAsia" w:ascii="宋体" w:hAnsi="宋体" w:cs="宋体"/>
          <w:b/>
          <w:color w:val="000000"/>
          <w:sz w:val="36"/>
          <w:szCs w:val="36"/>
          <w:highlight w:val="none"/>
        </w:rPr>
        <w:t xml:space="preserve">法定代表人（单位负责人）身份证明</w:t>
      </w:r>
      <w:r>
        <w:rPr>
          <w:rFonts w:hint="eastAsia" w:ascii="宋体" w:hAnsi="宋体" w:cs="宋体"/>
          <w:b/>
          <w:color w:val="000000"/>
          <w:sz w:val="36"/>
          <w:szCs w:val="36"/>
          <w:highlight w:val="none"/>
        </w:rPr>
      </w:r>
      <w:r/>
    </w:p>
    <w:p>
      <w:pPr>
        <w:pStyle w:val="724"/>
        <w:spacing w:line="360" w:lineRule="auto"/>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724"/>
        <w:spacing w:line="360" w:lineRule="auto"/>
        <w:tabs>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致：</w:t>
      </w:r>
      <w:r>
        <w:rPr>
          <w:rFonts w:hint="eastAsia" w:ascii="宋体" w:hAnsi="宋体" w:cs="宋体"/>
          <w:color w:val="000000"/>
          <w:sz w:val="24"/>
          <w:szCs w:val="24"/>
          <w:highlight w:val="none"/>
          <w:u w:val="single"/>
        </w:rPr>
        <w:t xml:space="preserve">采购单位</w:t>
      </w:r>
      <w:r>
        <w:rPr>
          <w:rFonts w:hint="eastAsia" w:ascii="宋体" w:hAnsi="宋体" w:cs="宋体"/>
          <w:color w:val="000000"/>
          <w:sz w:val="24"/>
          <w:szCs w:val="24"/>
          <w:highlight w:val="none"/>
        </w:rPr>
      </w:r>
      <w:r/>
    </w:p>
    <w:p>
      <w:pPr>
        <w:pStyle w:val="724"/>
        <w:ind w:firstLine="480"/>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兹证明，</w:t>
      </w:r>
      <w:r>
        <w:rPr>
          <w:rFonts w:hint="eastAsia" w:ascii="宋体" w:hAnsi="宋体" w:cs="宋体"/>
          <w:color w:val="000000"/>
          <w:sz w:val="24"/>
          <w:szCs w:val="24"/>
          <w:highlight w:val="none"/>
        </w:rPr>
      </w:r>
      <w:r/>
    </w:p>
    <w:p>
      <w:pPr>
        <w:pStyle w:val="724"/>
        <w:spacing w:line="360" w:lineRule="auto"/>
        <w:tabs>
          <w:tab w:val="left" w:pos="567" w:leader="none"/>
          <w:tab w:val="left" w:pos="1690" w:leader="none"/>
          <w:tab w:val="left" w:pos="3400" w:leader="none"/>
          <w:tab w:val="left" w:pos="5110" w:leader="none"/>
          <w:tab w:val="left" w:pos="682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姓名：性别：年龄：职务：</w:t>
      </w:r>
      <w:r>
        <w:rPr>
          <w:rFonts w:hint="eastAsia" w:ascii="宋体" w:hAnsi="宋体" w:cs="宋体"/>
          <w:color w:val="000000"/>
          <w:sz w:val="24"/>
          <w:szCs w:val="24"/>
          <w:highlight w:val="none"/>
        </w:rPr>
      </w:r>
      <w:r/>
    </w:p>
    <w:p>
      <w:pPr>
        <w:pStyle w:val="724"/>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spacing w:line="360" w:lineRule="auto"/>
        <w:tabs>
          <w:tab w:val="left" w:pos="2250" w:leader="none"/>
          <w:tab w:val="left" w:pos="2412" w:leader="none"/>
          <w:tab w:val="left" w:pos="3883" w:leader="none"/>
          <w:tab w:val="left" w:pos="5352" w:leader="none"/>
          <w:tab w:val="left" w:pos="682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系</w:t>
      </w:r>
      <w:r>
        <w:rPr>
          <w:rFonts w:hint="eastAsia" w:ascii="宋体" w:hAnsi="宋体" w:cs="宋体"/>
          <w:color w:val="000000"/>
          <w:sz w:val="24"/>
          <w:szCs w:val="24"/>
          <w:highlight w:val="none"/>
          <w:u w:val="single"/>
        </w:rPr>
        <w:t xml:space="preserve">（投标人名称）</w:t>
      </w:r>
      <w:r>
        <w:rPr>
          <w:rFonts w:hint="eastAsia" w:ascii="宋体" w:hAnsi="宋体" w:cs="宋体"/>
          <w:color w:val="000000"/>
          <w:sz w:val="24"/>
          <w:szCs w:val="24"/>
          <w:highlight w:val="none"/>
        </w:rPr>
        <w:t xml:space="preserve">的法定代表人（单位负责人）。</w:t>
      </w:r>
      <w:r>
        <w:rPr>
          <w:rFonts w:hint="eastAsia" w:ascii="宋体" w:hAnsi="宋体" w:cs="宋体"/>
          <w:color w:val="000000"/>
          <w:sz w:val="24"/>
          <w:szCs w:val="24"/>
          <w:highlight w:val="none"/>
        </w:rPr>
      </w:r>
      <w:r/>
    </w:p>
    <w:p>
      <w:pPr>
        <w:pStyle w:val="724"/>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spacing w:line="360" w:lineRule="auto"/>
        <w:tabs>
          <w:tab w:val="left" w:pos="567" w:leader="none"/>
          <w:tab w:val="left" w:pos="2412" w:leader="none"/>
          <w:tab w:val="left" w:pos="3883" w:leader="none"/>
          <w:tab w:val="left" w:pos="5352" w:leader="none"/>
          <w:tab w:val="left" w:pos="6821"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spacing w:line="360" w:lineRule="auto"/>
        <w:tabs>
          <w:tab w:val="left" w:pos="567" w:leader="none"/>
        </w:tabs>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t xml:space="preserve">法</w:t>
      </w:r>
      <w:r>
        <w:rPr>
          <w:rFonts w:hint="eastAsia" w:ascii="宋体" w:hAnsi="宋体" w:cs="宋体"/>
          <w:color w:val="000000"/>
          <w:sz w:val="24"/>
          <w:szCs w:val="24"/>
          <w:highlight w:val="none"/>
        </w:rPr>
        <w:t xml:space="preserve">定</w:t>
      </w:r>
      <w:r>
        <w:rPr>
          <w:rFonts w:hint="eastAsia" w:ascii="宋体" w:hAnsi="宋体" w:cs="宋体"/>
          <w:color w:val="000000"/>
          <w:spacing w:val="-3"/>
          <w:sz w:val="24"/>
          <w:szCs w:val="24"/>
          <w:highlight w:val="none"/>
        </w:rPr>
        <w:t xml:space="preserve">代</w:t>
      </w:r>
      <w:r>
        <w:rPr>
          <w:rFonts w:hint="eastAsia" w:ascii="宋体" w:hAnsi="宋体" w:cs="宋体"/>
          <w:color w:val="000000"/>
          <w:sz w:val="24"/>
          <w:szCs w:val="24"/>
          <w:highlight w:val="none"/>
        </w:rPr>
        <w:t xml:space="preserve">表</w:t>
      </w:r>
      <w:r>
        <w:rPr>
          <w:rFonts w:hint="eastAsia" w:ascii="宋体" w:hAnsi="宋体" w:cs="宋体"/>
          <w:color w:val="000000"/>
          <w:spacing w:val="-3"/>
          <w:sz w:val="24"/>
          <w:szCs w:val="24"/>
          <w:highlight w:val="none"/>
        </w:rPr>
        <w:t xml:space="preserve">人</w:t>
      </w:r>
      <w:r>
        <w:rPr>
          <w:rFonts w:hint="eastAsia" w:ascii="宋体" w:hAnsi="宋体" w:cs="宋体"/>
          <w:color w:val="000000"/>
          <w:sz w:val="24"/>
          <w:szCs w:val="24"/>
          <w:highlight w:val="none"/>
        </w:rPr>
        <w:t xml:space="preserve">（</w:t>
      </w:r>
      <w:r>
        <w:rPr>
          <w:rFonts w:hint="eastAsia" w:ascii="宋体" w:hAnsi="宋体" w:cs="宋体"/>
          <w:color w:val="000000"/>
          <w:spacing w:val="-3"/>
          <w:sz w:val="24"/>
          <w:szCs w:val="24"/>
          <w:highlight w:val="none"/>
        </w:rPr>
        <w:t xml:space="preserve">单</w:t>
      </w:r>
      <w:r>
        <w:rPr>
          <w:rFonts w:hint="eastAsia" w:ascii="宋体" w:hAnsi="宋体" w:cs="宋体"/>
          <w:color w:val="000000"/>
          <w:sz w:val="24"/>
          <w:szCs w:val="24"/>
          <w:highlight w:val="none"/>
        </w:rPr>
        <w:t xml:space="preserve">位</w:t>
      </w:r>
      <w:r>
        <w:rPr>
          <w:rFonts w:hint="eastAsia" w:ascii="宋体" w:hAnsi="宋体" w:cs="宋体"/>
          <w:color w:val="000000"/>
          <w:spacing w:val="-3"/>
          <w:sz w:val="24"/>
          <w:szCs w:val="24"/>
          <w:highlight w:val="none"/>
        </w:rPr>
        <w:t xml:space="preserve">负</w:t>
      </w:r>
      <w:r>
        <w:rPr>
          <w:rFonts w:hint="eastAsia" w:ascii="宋体" w:hAnsi="宋体" w:cs="宋体"/>
          <w:color w:val="000000"/>
          <w:sz w:val="24"/>
          <w:szCs w:val="24"/>
          <w:highlight w:val="none"/>
        </w:rPr>
        <w:t xml:space="preserve">责人</w:t>
      </w:r>
      <w:r>
        <w:rPr>
          <w:rFonts w:hint="eastAsia" w:ascii="宋体" w:hAnsi="宋体" w:cs="宋体"/>
          <w:color w:val="000000"/>
          <w:spacing w:val="-3"/>
          <w:sz w:val="24"/>
          <w:szCs w:val="24"/>
          <w:highlight w:val="none"/>
        </w:rPr>
        <w:t xml:space="preserve">）有效期内的身份证正反面电子件：</w:t>
      </w:r>
      <w:r>
        <w:rPr>
          <w:rFonts w:hint="eastAsia" w:ascii="宋体" w:hAnsi="宋体" w:cs="宋体"/>
          <w:color w:val="000000"/>
          <w:spacing w:val="-3"/>
          <w:sz w:val="24"/>
          <w:szCs w:val="24"/>
          <w:highlight w:val="none"/>
        </w:rPr>
      </w:r>
      <w:r/>
    </w:p>
    <w:tbl>
      <w:tblPr>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724"/>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24"/>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24"/>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c>
          <w:tcPr>
            <w:tcW w:w="4536" w:type="dxa"/>
            <w:vAlign w:val="top"/>
            <w:textDirection w:val="lrTb"/>
            <w:noWrap w:val="false"/>
          </w:tcPr>
          <w:p>
            <w:pPr>
              <w:pStyle w:val="724"/>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24"/>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p>
            <w:pPr>
              <w:pStyle w:val="724"/>
              <w:jc w:val="left"/>
              <w:spacing w:line="360" w:lineRule="auto"/>
              <w:tabs>
                <w:tab w:val="left" w:pos="5580" w:leader="none"/>
              </w:tabs>
              <w:rPr>
                <w:rFonts w:hint="eastAsia" w:ascii="宋体" w:hAnsi="宋体" w:cs="宋体"/>
                <w:color w:val="000000"/>
                <w:sz w:val="24"/>
                <w:szCs w:val="20"/>
                <w:highlight w:val="none"/>
              </w:rPr>
            </w:pPr>
            <w:r>
              <w:rPr>
                <w:rFonts w:hint="eastAsia" w:ascii="宋体" w:hAnsi="宋体" w:cs="宋体"/>
                <w:color w:val="000000"/>
                <w:sz w:val="24"/>
                <w:szCs w:val="20"/>
                <w:highlight w:val="none"/>
              </w:rPr>
            </w:r>
            <w:r/>
          </w:p>
        </w:tc>
      </w:tr>
    </w:tbl>
    <w:p>
      <w:pPr>
        <w:pStyle w:val="724"/>
        <w:spacing w:line="360" w:lineRule="auto"/>
        <w:tabs>
          <w:tab w:val="left" w:pos="567" w:leader="none"/>
        </w:tabs>
        <w:rPr>
          <w:rFonts w:hint="eastAsia" w:ascii="宋体" w:hAnsi="宋体" w:cs="宋体"/>
          <w:color w:val="000000"/>
          <w:spacing w:val="-3"/>
          <w:sz w:val="24"/>
          <w:szCs w:val="24"/>
          <w:highlight w:val="none"/>
        </w:rPr>
      </w:pPr>
      <w:r>
        <w:rPr>
          <w:rFonts w:hint="eastAsia" w:ascii="宋体" w:hAnsi="宋体" w:cs="宋体"/>
          <w:color w:val="000000"/>
          <w:spacing w:val="-3"/>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投标人名称（加盖公章）</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pacing w:val="-3"/>
          <w:sz w:val="24"/>
          <w:szCs w:val="24"/>
          <w:highlight w:val="none"/>
        </w:rPr>
        <w:t xml:space="preserve">法定代表人（</w:t>
      </w:r>
      <w:r>
        <w:rPr>
          <w:rFonts w:hint="eastAsia" w:ascii="宋体" w:hAnsi="宋体" w:cs="宋体"/>
          <w:color w:val="000000"/>
          <w:sz w:val="24"/>
          <w:szCs w:val="24"/>
          <w:highlight w:val="none"/>
        </w:rPr>
        <w:t xml:space="preserve">单位负责人</w:t>
      </w:r>
      <w:r>
        <w:rPr>
          <w:rFonts w:hint="eastAsia" w:ascii="宋体" w:hAnsi="宋体" w:cs="宋体"/>
          <w:color w:val="000000"/>
          <w:spacing w:val="-3"/>
          <w:sz w:val="24"/>
          <w:szCs w:val="24"/>
          <w:highlight w:val="none"/>
        </w:rPr>
        <w:t xml:space="preserve">）（签字、签章或印鉴）：</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iCs/>
          <w:color w:val="000000"/>
          <w:sz w:val="36"/>
          <w:highlight w:val="none"/>
          <w:u w:val="single"/>
        </w:rPr>
        <w:br w:type="page" w:clear="all"/>
      </w:r>
      <w:r>
        <w:rPr>
          <w:rFonts w:hint="eastAsia" w:ascii="宋体" w:hAnsi="宋体" w:cs="宋体"/>
          <w:i/>
          <w:color w:val="000000"/>
          <w:sz w:val="28"/>
          <w:szCs w:val="28"/>
          <w:highlight w:val="none"/>
          <w:u w:val="single"/>
        </w:rPr>
        <w:t xml:space="preserve">十、投标函</w:t>
      </w: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bCs/>
          <w:color w:val="000000"/>
          <w:sz w:val="36"/>
          <w:szCs w:val="28"/>
          <w:highlight w:val="none"/>
        </w:rPr>
        <w:t xml:space="preserve">投标函</w:t>
      </w:r>
      <w:r>
        <w:rPr>
          <w:rFonts w:hint="eastAsia" w:ascii="宋体" w:hAnsi="宋体" w:cs="宋体"/>
          <w:color w:val="000000"/>
          <w:sz w:val="24"/>
          <w:szCs w:val="24"/>
          <w:highlight w:val="none"/>
        </w:rPr>
      </w:r>
      <w:r/>
    </w:p>
    <w:p>
      <w:pPr>
        <w:pStyle w:val="724"/>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致： </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根据贵方的JSZC-_________________号招标文件，正式授权下述签字人_________________(姓名)代表我方______________（投标人的名称），全权处理本次项目投标的有关事宜。</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据此函，__________签字人兹宣布同意如下：</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1.按招标文件规定的各项要求，向买方提供所需货物（包含与货物相关的工程、服务）。</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2.我们完全理解贵方不一定将合同授予最低报价的投标人。</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3.我们已详细审核全部招标文件及其有效补充文件，我们知道必须放弃提出含糊不清或误解问题的权利。</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4.我们同意从规定的开标日期起遵循本投标文件，并在规定的投标有效期期满之前均具有约束力。</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5.同意向贵方提供贵方可能另外要求的与投标有关的任何证据或资料，并保证我方已提供和将要提供的文件是真实的、准确的。</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6.一旦我方中标,我方将根据招标文件的规定，严格履行合同的责任和义务,并保证在招标文件规定的时间完成项目，交付买方验收、使用。</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7.与本投标有关的正式通讯地址为：</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地        址：</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邮        编：</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电        话：</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传        真：</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投标人开户行：</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账        号： </w:t>
      </w:r>
      <w:r>
        <w:rPr>
          <w:rFonts w:hint="eastAsia" w:ascii="宋体" w:hAnsi="宋体" w:cs="宋体"/>
          <w:color w:val="000000"/>
          <w:sz w:val="24"/>
          <w:szCs w:val="21"/>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十一、中小企业声明函</w:t>
      </w: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pStyle w:val="724"/>
        <w:jc w:val="center"/>
        <w:spacing w:line="360" w:lineRule="auto"/>
        <w:tabs>
          <w:tab w:val="left" w:pos="360" w:leader="none"/>
        </w:tabs>
        <w:rPr>
          <w:rFonts w:hint="eastAsia" w:ascii="宋体" w:hAnsi="宋体" w:cs="宋体"/>
          <w:color w:val="000000"/>
          <w:sz w:val="24"/>
          <w:szCs w:val="24"/>
          <w:highlight w:val="none"/>
        </w:rPr>
      </w:pPr>
      <w:r>
        <w:rPr>
          <w:rFonts w:hint="eastAsia" w:ascii="宋体" w:hAnsi="宋体" w:cs="宋体"/>
          <w:bCs/>
          <w:color w:val="000000"/>
          <w:sz w:val="36"/>
          <w:szCs w:val="28"/>
          <w:highlight w:val="none"/>
        </w:rPr>
        <w:t xml:space="preserve">中小企业声明函</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s="宋体"/>
          <w:color w:val="000000"/>
          <w:sz w:val="24"/>
          <w:szCs w:val="24"/>
          <w:highlight w:val="none"/>
          <w:u w:val="single"/>
        </w:rPr>
        <w:t xml:space="preserve">（单位名称）</w:t>
      </w:r>
      <w:r>
        <w:rPr>
          <w:rFonts w:hint="eastAsia" w:ascii="宋体" w:hAnsi="宋体" w:cs="宋体"/>
          <w:color w:val="000000"/>
          <w:sz w:val="24"/>
          <w:szCs w:val="24"/>
          <w:highlight w:val="none"/>
        </w:rPr>
        <w:t xml:space="preserve">的</w:t>
      </w:r>
      <w:r>
        <w:rPr>
          <w:rFonts w:hint="eastAsia" w:ascii="宋体" w:hAnsi="宋体" w:cs="宋体"/>
          <w:color w:val="000000"/>
          <w:sz w:val="24"/>
          <w:szCs w:val="24"/>
          <w:highlight w:val="none"/>
          <w:u w:val="single"/>
        </w:rPr>
        <w:t xml:space="preserve">（项目名称）</w:t>
      </w:r>
      <w:r>
        <w:rPr>
          <w:rFonts w:hint="eastAsia" w:ascii="宋体" w:hAnsi="宋体" w:cs="宋体"/>
          <w:color w:val="000000"/>
          <w:sz w:val="24"/>
          <w:szCs w:val="24"/>
          <w:highlight w:val="none"/>
        </w:rPr>
        <w:t xml:space="preserve">采购活动，</w:t>
      </w:r>
      <w:r>
        <w:rPr>
          <w:rFonts w:hint="eastAsia" w:ascii="宋体" w:hAnsi="宋体" w:cs="宋体"/>
          <w:color w:val="000000"/>
          <w:sz w:val="24"/>
          <w:szCs w:val="24"/>
          <w:highlight w:val="none"/>
          <w:lang w:val="en-US" w:eastAsia="zh-CN"/>
        </w:rPr>
        <w:t xml:space="preserve">服务</w:t>
      </w:r>
      <w:r>
        <w:rPr>
          <w:rFonts w:hint="eastAsia" w:ascii="宋体" w:hAnsi="宋体" w:cs="宋体"/>
          <w:color w:val="000000"/>
          <w:sz w:val="24"/>
          <w:szCs w:val="24"/>
          <w:highlight w:val="none"/>
        </w:rPr>
        <w:t xml:space="preserve">全部由符合政策要求的中小企业</w:t>
      </w:r>
      <w:r>
        <w:rPr>
          <w:rFonts w:hint="eastAsia" w:ascii="宋体" w:hAnsi="宋体" w:cs="宋体"/>
          <w:color w:val="000000"/>
          <w:sz w:val="24"/>
          <w:szCs w:val="24"/>
          <w:highlight w:val="none"/>
          <w:lang w:val="en-US" w:eastAsia="zh-CN"/>
        </w:rPr>
        <w:t xml:space="preserve">承接</w:t>
      </w:r>
      <w:r>
        <w:rPr>
          <w:rFonts w:hint="eastAsia" w:ascii="宋体" w:hAnsi="宋体" w:cs="宋体"/>
          <w:color w:val="000000"/>
          <w:sz w:val="24"/>
          <w:szCs w:val="24"/>
          <w:highlight w:val="none"/>
        </w:rPr>
        <w:t xml:space="preserve">。相关企业（含联合体中的中小企业、签订分包意向协议的中小企业）的具体情况如下：</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i/>
          <w:color w:val="000000"/>
          <w:sz w:val="24"/>
          <w:szCs w:val="24"/>
          <w:highlight w:val="none"/>
          <w:u w:val="singl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u w:val="single"/>
        </w:rPr>
        <w:t xml:space="preserve">（标的名称）</w:t>
      </w:r>
      <w:r>
        <w:rPr>
          <w:rFonts w:hint="eastAsia" w:ascii="宋体" w:hAnsi="宋体" w:cs="宋体"/>
          <w:color w:val="000000"/>
          <w:sz w:val="24"/>
          <w:szCs w:val="24"/>
          <w:highlight w:val="none"/>
        </w:rPr>
        <w:t xml:space="preserve">，属于</w:t>
      </w:r>
      <w:r>
        <w:rPr>
          <w:rFonts w:hint="eastAsia" w:ascii="宋体" w:hAnsi="宋体" w:cs="宋体"/>
          <w:color w:val="000000"/>
          <w:sz w:val="24"/>
          <w:szCs w:val="24"/>
          <w:highlight w:val="none"/>
          <w:u w:val="single"/>
        </w:rPr>
        <w:t xml:space="preserve">（招标文件中明确的所属行业）</w:t>
      </w:r>
      <w:r>
        <w:rPr>
          <w:rFonts w:hint="eastAsia" w:ascii="宋体" w:hAnsi="宋体" w:cs="宋体"/>
          <w:color w:val="000000"/>
          <w:sz w:val="24"/>
          <w:szCs w:val="24"/>
          <w:highlight w:val="none"/>
        </w:rPr>
        <w:t xml:space="preserve">行业；</w:t>
      </w:r>
      <w:r>
        <w:rPr>
          <w:rFonts w:hint="eastAsia" w:ascii="宋体" w:hAnsi="宋体" w:cs="宋体"/>
          <w:color w:val="000000"/>
          <w:sz w:val="24"/>
          <w:szCs w:val="24"/>
          <w:highlight w:val="none"/>
          <w:lang w:val="en-US" w:eastAsia="zh-CN"/>
        </w:rPr>
        <w:t xml:space="preserve">承接企业</w:t>
      </w:r>
      <w:r>
        <w:rPr>
          <w:rFonts w:hint="eastAsia" w:ascii="宋体" w:hAnsi="宋体" w:cs="宋体"/>
          <w:color w:val="000000"/>
          <w:sz w:val="24"/>
          <w:szCs w:val="24"/>
          <w:highlight w:val="none"/>
        </w:rPr>
        <w:t xml:space="preserve">为</w:t>
      </w:r>
      <w:r>
        <w:rPr>
          <w:rFonts w:hint="eastAsia" w:ascii="宋体" w:hAnsi="宋体" w:cs="宋体"/>
          <w:color w:val="000000"/>
          <w:sz w:val="24"/>
          <w:szCs w:val="24"/>
          <w:highlight w:val="none"/>
          <w:u w:val="single"/>
        </w:rPr>
        <w:t xml:space="preserve">（企业名称）</w:t>
      </w:r>
      <w:r>
        <w:rPr>
          <w:rFonts w:hint="eastAsia" w:ascii="宋体" w:hAnsi="宋体" w:cs="宋体"/>
          <w:color w:val="000000"/>
          <w:sz w:val="24"/>
          <w:szCs w:val="24"/>
          <w:highlight w:val="none"/>
        </w:rPr>
        <w:t xml:space="preserve">，从业人员</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人，营业收入为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万元，资产总额为</w:t>
      </w:r>
      <w:r>
        <w:rPr>
          <w:rFonts w:hint="eastAsia" w:ascii="宋体" w:hAnsi="宋体" w:cs="宋体"/>
          <w:color w:val="000000"/>
          <w:sz w:val="24"/>
          <w:szCs w:val="24"/>
          <w:highlight w:val="none"/>
          <w:u w:val="single"/>
        </w:rPr>
        <w:t xml:space="preserve">  </w:t>
      </w:r>
      <w:r>
        <w:rPr>
          <w:rFonts w:hint="eastAsia" w:ascii="宋体" w:hAnsi="宋体" w:cs="宋体"/>
          <w:color w:val="000000"/>
          <w:sz w:val="24"/>
          <w:szCs w:val="24"/>
          <w:highlight w:val="none"/>
        </w:rPr>
        <w:t xml:space="preserve">万元，属于</w:t>
      </w:r>
      <w:r>
        <w:rPr>
          <w:rFonts w:hint="eastAsia" w:ascii="宋体" w:hAnsi="宋体" w:cs="宋体"/>
          <w:color w:val="000000"/>
          <w:sz w:val="24"/>
          <w:szCs w:val="24"/>
          <w:highlight w:val="none"/>
          <w:u w:val="single"/>
        </w:rPr>
        <w:t xml:space="preserve">（中型企业、小型企业、微型企业）</w:t>
      </w:r>
      <w:r>
        <w:rPr>
          <w:rFonts w:hint="eastAsia" w:ascii="宋体" w:hAnsi="宋体" w:cs="宋体"/>
          <w:color w:val="000000"/>
          <w:sz w:val="24"/>
          <w:szCs w:val="24"/>
          <w:highlight w:val="none"/>
        </w:rPr>
        <w:t xml:space="preserve">；</w:t>
      </w:r>
      <w:r>
        <w:rPr>
          <w:rFonts w:hint="eastAsia" w:ascii="宋体" w:hAnsi="宋体" w:cs="宋体"/>
          <w:i/>
          <w:color w:val="000000"/>
          <w:sz w:val="24"/>
          <w:szCs w:val="24"/>
          <w:highlight w:val="none"/>
          <w:u w:val="singl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本企业对上述声明内容的真实性负责。如有虚假，将依法承担相应责任。</w:t>
      </w:r>
      <w:r>
        <w:rPr>
          <w:rFonts w:hint="eastAsia" w:ascii="宋体" w:hAnsi="宋体" w:cs="宋体"/>
          <w:color w:val="000000"/>
          <w:sz w:val="24"/>
          <w:szCs w:val="24"/>
          <w:highlight w:val="none"/>
        </w:rPr>
      </w:r>
      <w:r/>
    </w:p>
    <w:p>
      <w:pPr>
        <w:pStyle w:val="724"/>
        <w:ind w:firstLine="2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企业名称（盖章）：</w:t>
      </w:r>
      <w:r>
        <w:rPr>
          <w:rFonts w:hint="eastAsia" w:ascii="宋体" w:hAnsi="宋体" w:cs="宋体"/>
          <w:color w:val="000000"/>
          <w:sz w:val="24"/>
          <w:szCs w:val="24"/>
          <w:highlight w:val="none"/>
        </w:rPr>
      </w:r>
      <w:r/>
    </w:p>
    <w:p>
      <w:pPr>
        <w:pStyle w:val="724"/>
        <w:ind w:firstLine="2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724"/>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填报说明：</w:t>
      </w:r>
      <w:r>
        <w:rPr>
          <w:rFonts w:hint="eastAsia" w:ascii="宋体" w:hAnsi="宋体" w:cs="宋体"/>
          <w:color w:val="000000"/>
          <w:sz w:val="24"/>
          <w:szCs w:val="24"/>
          <w:highlight w:val="none"/>
        </w:rPr>
      </w:r>
      <w:r/>
    </w:p>
    <w:p>
      <w:pPr>
        <w:pStyle w:val="724"/>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1、从业人员、营业收入、资产总额填报上一年度数据，无上一年度数据的新成立企业可不填报。</w:t>
      </w:r>
      <w:r>
        <w:rPr>
          <w:rFonts w:hint="eastAsia" w:ascii="宋体" w:hAnsi="宋体" w:cs="宋体"/>
          <w:color w:val="000000"/>
          <w:sz w:val="24"/>
          <w:szCs w:val="24"/>
          <w:highlight w:val="none"/>
        </w:rPr>
      </w:r>
      <w:r/>
    </w:p>
    <w:p>
      <w:pPr>
        <w:pStyle w:val="724"/>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2、请投标人如实填写，所填内容须与投标分项报价表一致，如填写不完整或不一致或填写有误，将不享受扶持政策。</w:t>
      </w:r>
      <w:r>
        <w:rPr>
          <w:rFonts w:hint="eastAsia" w:ascii="宋体" w:hAnsi="宋体" w:cs="宋体"/>
          <w:color w:val="000000"/>
          <w:sz w:val="24"/>
          <w:szCs w:val="24"/>
          <w:highlight w:val="none"/>
        </w:rPr>
      </w:r>
      <w:r/>
    </w:p>
    <w:p>
      <w:pPr>
        <w:pStyle w:val="724"/>
        <w:ind w:firstLine="480"/>
        <w:jc w:val="lef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3、中标人的《中小企业声明函》随中标结果公开，接受社会监督。</w:t>
      </w:r>
      <w:r>
        <w:rPr>
          <w:rFonts w:hint="eastAsia" w:ascii="宋体" w:hAnsi="宋体" w:cs="宋体"/>
          <w:color w:val="000000"/>
          <w:sz w:val="24"/>
          <w:szCs w:val="24"/>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br w:type="page" w:clear="all"/>
      </w:r>
      <w:r>
        <w:rPr>
          <w:rFonts w:hint="eastAsia" w:ascii="宋体" w:hAnsi="宋体" w:cs="宋体"/>
          <w:i/>
          <w:color w:val="000000"/>
          <w:sz w:val="28"/>
          <w:szCs w:val="28"/>
          <w:highlight w:val="none"/>
          <w:u w:val="singl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十二、残疾人福利性单位声明函</w:t>
      </w: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pStyle w:val="724"/>
        <w:jc w:val="center"/>
        <w:spacing w:line="360" w:lineRule="auto"/>
        <w:tabs>
          <w:tab w:val="left" w:pos="360" w:leader="none"/>
        </w:tabs>
        <w:rPr>
          <w:rFonts w:hint="eastAsia" w:ascii="宋体" w:hAnsi="宋体" w:cs="宋体"/>
          <w:color w:val="000000"/>
          <w:sz w:val="24"/>
          <w:szCs w:val="21"/>
          <w:highlight w:val="none"/>
        </w:rPr>
      </w:pPr>
      <w:r>
        <w:rPr>
          <w:rFonts w:hint="eastAsia" w:ascii="宋体" w:hAnsi="宋体" w:cs="宋体"/>
          <w:bCs/>
          <w:color w:val="000000"/>
          <w:sz w:val="36"/>
          <w:szCs w:val="28"/>
          <w:highlight w:val="none"/>
        </w:rPr>
        <w:t xml:space="preserve">残疾人福利性单位声明函</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s="宋体"/>
          <w:color w:val="000000"/>
          <w:sz w:val="24"/>
          <w:szCs w:val="24"/>
          <w:highlight w:val="none"/>
        </w:rPr>
        <w:t xml:space="preserve">〔2017〕</w:t>
      </w:r>
      <w:r>
        <w:rPr>
          <w:rFonts w:hint="eastAsia" w:ascii="宋体" w:hAnsi="宋体" w:cs="宋体"/>
          <w:color w:val="000000"/>
          <w:sz w:val="24"/>
          <w:szCs w:val="21"/>
          <w:highlight w:val="none"/>
        </w:rPr>
        <w:t xml:space="preserve">141号）的规定，本单位为符合条件的残疾人福利性单位，且本单位参加</w:t>
      </w:r>
      <w:r>
        <w:rPr>
          <w:rFonts w:hint="eastAsia" w:ascii="宋体" w:hAnsi="宋体" w:cs="宋体"/>
          <w:color w:val="000000"/>
          <w:sz w:val="24"/>
          <w:szCs w:val="21"/>
          <w:highlight w:val="none"/>
          <w:u w:val="single"/>
          <w:lang w:val="en-US" w:eastAsia="zh-CN"/>
        </w:rPr>
        <w:t xml:space="preserve">       </w:t>
      </w:r>
      <w:r>
        <w:rPr>
          <w:rFonts w:hint="eastAsia" w:ascii="宋体" w:hAnsi="宋体" w:cs="宋体"/>
          <w:color w:val="000000"/>
          <w:sz w:val="24"/>
          <w:szCs w:val="21"/>
          <w:highlight w:val="none"/>
        </w:rPr>
        <w:t xml:space="preserve">（</w:t>
      </w:r>
      <w:r>
        <w:rPr>
          <w:rFonts w:hint="eastAsia" w:ascii="宋体" w:hAnsi="宋体" w:cs="宋体"/>
          <w:color w:val="000000"/>
          <w:sz w:val="24"/>
          <w:szCs w:val="24"/>
          <w:highlight w:val="none"/>
        </w:rPr>
        <w:t xml:space="preserve">项目</w:t>
      </w:r>
      <w:r>
        <w:rPr>
          <w:rFonts w:hint="eastAsia" w:ascii="宋体" w:hAnsi="宋体" w:cs="宋体"/>
          <w:color w:val="000000"/>
          <w:sz w:val="24"/>
          <w:szCs w:val="24"/>
          <w:highlight w:val="none"/>
          <w:lang w:val="en-US" w:eastAsia="zh-CN"/>
        </w:rPr>
        <w:t xml:space="preserve">名称</w:t>
      </w:r>
      <w:r>
        <w:rPr>
          <w:rFonts w:hint="eastAsia" w:ascii="宋体" w:hAnsi="宋体" w:cs="宋体"/>
          <w:color w:val="000000"/>
          <w:sz w:val="24"/>
          <w:szCs w:val="21"/>
          <w:highlight w:val="none"/>
        </w:rPr>
        <w:t xml:space="preserve">）采购活动</w:t>
      </w:r>
      <w:r>
        <w:rPr>
          <w:rFonts w:hint="eastAsia" w:ascii="宋体" w:hAnsi="宋体" w:cs="宋体"/>
          <w:color w:val="000000"/>
          <w:sz w:val="24"/>
          <w:szCs w:val="21"/>
          <w:highlight w:val="none"/>
          <w:lang w:val="en-US" w:eastAsia="zh-CN"/>
        </w:rPr>
        <w:t xml:space="preserve">由</w:t>
      </w:r>
      <w:r>
        <w:rPr>
          <w:rFonts w:hint="eastAsia" w:ascii="宋体" w:hAnsi="宋体" w:cs="宋体"/>
          <w:color w:val="000000"/>
          <w:sz w:val="24"/>
          <w:szCs w:val="21"/>
          <w:highlight w:val="none"/>
        </w:rPr>
        <w:t xml:space="preserve">本单位</w:t>
      </w:r>
      <w:r>
        <w:rPr>
          <w:rFonts w:hint="eastAsia" w:ascii="宋体" w:hAnsi="宋体" w:cs="宋体"/>
          <w:color w:val="000000"/>
          <w:sz w:val="24"/>
          <w:szCs w:val="21"/>
          <w:highlight w:val="none"/>
          <w:lang w:val="en-US" w:eastAsia="zh-CN"/>
        </w:rPr>
        <w:t xml:space="preserve">提供服务</w:t>
      </w:r>
      <w:r>
        <w:rPr>
          <w:rFonts w:hint="eastAsia" w:ascii="宋体" w:hAnsi="宋体" w:cs="宋体"/>
          <w:color w:val="000000"/>
          <w:sz w:val="24"/>
          <w:szCs w:val="21"/>
          <w:highlight w:val="none"/>
          <w:lang w:eastAsia="zh-CN"/>
        </w:rPr>
        <w:t xml:space="preserve">，</w:t>
      </w:r>
      <w:r>
        <w:rPr>
          <w:rFonts w:hint="eastAsia" w:ascii="宋体" w:hAnsi="宋体" w:cs="宋体"/>
          <w:color w:val="000000"/>
          <w:sz w:val="24"/>
          <w:szCs w:val="21"/>
          <w:highlight w:val="none"/>
        </w:rPr>
        <w:t xml:space="preserve">相关企业的具体情况如下：</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1.</w:t>
      </w:r>
      <w:r>
        <w:rPr>
          <w:rFonts w:hint="eastAsia" w:ascii="宋体" w:hAnsi="宋体" w:cs="宋体"/>
          <w:color w:val="000000"/>
          <w:sz w:val="24"/>
          <w:szCs w:val="21"/>
          <w:highlight w:val="none"/>
          <w:u w:val="single"/>
        </w:rPr>
        <w:t xml:space="preserve">（标的名称）</w:t>
      </w: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lang w:val="en-US" w:eastAsia="zh-CN"/>
        </w:rPr>
        <w:t xml:space="preserve">承接企业</w:t>
      </w:r>
      <w:r>
        <w:rPr>
          <w:rFonts w:hint="eastAsia" w:ascii="宋体" w:hAnsi="宋体" w:cs="宋体"/>
          <w:color w:val="000000"/>
          <w:sz w:val="24"/>
          <w:szCs w:val="21"/>
          <w:highlight w:val="none"/>
        </w:rPr>
        <w:t xml:space="preserve">为</w:t>
      </w:r>
      <w:r>
        <w:rPr>
          <w:rFonts w:hint="eastAsia" w:ascii="宋体" w:hAnsi="宋体" w:cs="宋体"/>
          <w:color w:val="000000"/>
          <w:sz w:val="24"/>
          <w:szCs w:val="21"/>
          <w:highlight w:val="none"/>
          <w:u w:val="single"/>
        </w:rPr>
        <w:t xml:space="preserve">（企业名称）</w:t>
      </w:r>
      <w:r>
        <w:rPr>
          <w:rFonts w:hint="eastAsia" w:ascii="宋体" w:hAnsi="宋体" w:cs="宋体"/>
          <w:color w:val="000000"/>
          <w:sz w:val="24"/>
          <w:szCs w:val="21"/>
          <w:highlight w:val="none"/>
        </w:rPr>
        <w:t xml:space="preserve">，属于残疾人福利性单位</w:t>
      </w:r>
      <w:r>
        <w:rPr>
          <w:rFonts w:hint="eastAsia" w:ascii="宋体" w:hAnsi="宋体" w:cs="宋体"/>
          <w:color w:val="000000"/>
          <w:sz w:val="24"/>
          <w:szCs w:val="21"/>
          <w:highlight w:val="none"/>
        </w:rPr>
      </w:r>
      <w:r/>
    </w:p>
    <w:p>
      <w:pPr>
        <w:pStyle w:val="724"/>
        <w:ind w:firstLine="480"/>
        <w:jc w:val="left"/>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w:t>
      </w:r>
      <w:r>
        <w:rPr>
          <w:rFonts w:hint="eastAsia" w:ascii="宋体" w:hAnsi="宋体" w:cs="宋体"/>
          <w:color w:val="000000"/>
          <w:sz w:val="24"/>
          <w:szCs w:val="21"/>
          <w:highlight w:val="none"/>
        </w:rPr>
      </w:r>
      <w:r/>
    </w:p>
    <w:p>
      <w:pPr>
        <w:pStyle w:val="724"/>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t xml:space="preserve">本单位对上述声明的真实性负责。如有虚假，将依法承担相应责任。</w:t>
      </w:r>
      <w:r>
        <w:rPr>
          <w:rFonts w:hint="eastAsia" w:ascii="宋体" w:hAnsi="宋体" w:cs="宋体"/>
          <w:color w:val="000000"/>
          <w:sz w:val="24"/>
          <w:szCs w:val="21"/>
          <w:highlight w:val="none"/>
        </w:rPr>
      </w:r>
      <w:r/>
    </w:p>
    <w:p>
      <w:pPr>
        <w:pStyle w:val="724"/>
        <w:ind w:firstLine="480"/>
        <w:spacing w:line="360" w:lineRule="auto"/>
        <w:rPr>
          <w:rFonts w:hint="eastAsia" w:ascii="宋体" w:hAnsi="宋体" w:cs="宋体"/>
          <w:color w:val="000000"/>
          <w:sz w:val="24"/>
          <w:szCs w:val="21"/>
          <w:highlight w:val="none"/>
        </w:rPr>
      </w:pPr>
      <w:r>
        <w:rPr>
          <w:rFonts w:hint="eastAsia" w:ascii="宋体" w:hAnsi="宋体" w:cs="宋体"/>
          <w:color w:val="000000"/>
          <w:sz w:val="24"/>
          <w:szCs w:val="21"/>
          <w:highlight w:val="none"/>
        </w:rPr>
      </w:r>
      <w:r/>
    </w:p>
    <w:p>
      <w:pPr>
        <w:pStyle w:val="724"/>
        <w:ind w:firstLine="2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单位名称（盖章）：</w:t>
      </w:r>
      <w:r>
        <w:rPr>
          <w:rFonts w:hint="eastAsia" w:ascii="宋体" w:hAnsi="宋体" w:cs="宋体"/>
          <w:color w:val="000000"/>
          <w:sz w:val="24"/>
          <w:szCs w:val="24"/>
          <w:highlight w:val="none"/>
        </w:rPr>
      </w:r>
      <w:r/>
    </w:p>
    <w:p>
      <w:pPr>
        <w:pStyle w:val="724"/>
        <w:ind w:firstLine="28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   期：</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填报说明：</w:t>
      </w:r>
      <w:r>
        <w:rPr>
          <w:rFonts w:hint="eastAsia" w:ascii="宋体" w:hAnsi="宋体" w:cs="宋体"/>
          <w:bCs/>
          <w:color w:val="000000"/>
          <w:sz w:val="24"/>
          <w:szCs w:val="24"/>
          <w:highlight w:val="none"/>
        </w:rPr>
      </w:r>
      <w:r/>
    </w:p>
    <w:p>
      <w:pPr>
        <w:pStyle w:val="724"/>
        <w:ind w:firstLine="480"/>
        <w:jc w:val="left"/>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w:t>
      </w:r>
      <w:r>
        <w:rPr>
          <w:rFonts w:hint="eastAsia" w:ascii="宋体" w:hAnsi="宋体" w:cs="宋体"/>
          <w:color w:val="000000"/>
          <w:sz w:val="24"/>
          <w:szCs w:val="24"/>
          <w:highlight w:val="none"/>
        </w:rPr>
        <w:t xml:space="preserve">请投标人如实填写，所填内容须与投标分项报价表一致，如填写不完整或不一致或填写有误，将不享受扶持政策。</w:t>
      </w:r>
      <w:r>
        <w:rPr>
          <w:rFonts w:hint="eastAsia" w:ascii="宋体" w:hAnsi="宋体" w:cs="宋体"/>
          <w:bCs/>
          <w:color w:val="000000"/>
          <w:sz w:val="24"/>
          <w:szCs w:val="24"/>
          <w:highlight w:val="none"/>
        </w:rPr>
      </w:r>
      <w:r/>
    </w:p>
    <w:p>
      <w:pPr>
        <w:pStyle w:val="724"/>
        <w:ind w:firstLine="480"/>
        <w:jc w:val="left"/>
        <w:spacing w:line="360" w:lineRule="auto"/>
        <w:rPr>
          <w:rFonts w:hint="eastAsia" w:ascii="宋体" w:hAnsi="宋体" w:cs="宋体"/>
          <w:color w:val="000000"/>
          <w:sz w:val="24"/>
          <w:szCs w:val="24"/>
          <w:highlight w:val="none"/>
        </w:rPr>
      </w:pPr>
      <w:r>
        <w:rPr>
          <w:rFonts w:hint="eastAsia" w:ascii="宋体" w:hAnsi="宋体" w:cs="宋体"/>
          <w:bCs/>
          <w:color w:val="000000"/>
          <w:sz w:val="24"/>
          <w:szCs w:val="24"/>
          <w:highlight w:val="none"/>
        </w:rPr>
        <w:t xml:space="preserve">2、中标人的《残疾人福利性单位声明函》随中标结果公开</w:t>
      </w:r>
      <w:r>
        <w:rPr>
          <w:rFonts w:hint="eastAsia" w:ascii="宋体" w:hAnsi="宋体" w:cs="宋体"/>
          <w:color w:val="000000"/>
          <w:sz w:val="24"/>
          <w:szCs w:val="24"/>
          <w:highlight w:val="none"/>
        </w:rPr>
        <w:t xml:space="preserve">，接受社会监督</w:t>
      </w:r>
      <w:r>
        <w:rPr>
          <w:rFonts w:hint="eastAsia" w:ascii="宋体" w:hAnsi="宋体" w:cs="宋体"/>
          <w:bCs/>
          <w:color w:val="000000"/>
          <w:sz w:val="24"/>
          <w:szCs w:val="24"/>
          <w:highlight w:val="none"/>
        </w:rPr>
        <w:t xml:space="preserve">。</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color w:val="000000"/>
          <w:sz w:val="28"/>
          <w:szCs w:val="28"/>
          <w:highlight w:val="none"/>
          <w:u w:val="single"/>
        </w:rPr>
      </w:pPr>
      <w:r>
        <w:rPr>
          <w:rFonts w:hint="eastAsia" w:ascii="宋体" w:hAnsi="宋体" w:cs="宋体"/>
          <w:i/>
          <w:color w:val="000000"/>
          <w:sz w:val="28"/>
          <w:szCs w:val="28"/>
          <w:highlight w:val="none"/>
          <w:u w:val="single"/>
        </w:rPr>
        <w:br w:type="page" w:clear="all"/>
      </w:r>
      <w:r>
        <w:rPr>
          <w:rFonts w:hint="eastAsia" w:ascii="宋体" w:hAnsi="宋体" w:cs="宋体"/>
          <w:i/>
          <w:color w:val="000000"/>
          <w:sz w:val="28"/>
          <w:szCs w:val="28"/>
          <w:highlight w:val="none"/>
          <w:u w:val="singl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w:t>
      </w:r>
      <w:r>
        <w:rPr>
          <w:rFonts w:hint="eastAsia" w:ascii="宋体" w:hAnsi="宋体" w:cs="宋体"/>
          <w:i/>
          <w:color w:val="000000"/>
          <w:sz w:val="28"/>
          <w:szCs w:val="28"/>
          <w:highlight w:val="none"/>
          <w:u w:val="single"/>
          <w:lang w:val="en-US" w:eastAsia="zh-CN"/>
        </w:rPr>
        <w:t xml:space="preserve">三</w:t>
      </w:r>
      <w:r>
        <w:rPr>
          <w:rFonts w:hint="eastAsia" w:ascii="宋体" w:hAnsi="宋体" w:cs="宋体"/>
          <w:i/>
          <w:color w:val="000000"/>
          <w:sz w:val="28"/>
          <w:szCs w:val="28"/>
          <w:highlight w:val="none"/>
          <w:u w:val="single"/>
        </w:rPr>
        <w:t xml:space="preserve">、技术要求响应及偏离表</w:t>
      </w: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t xml:space="preserve">技术要求响应及偏离表</w:t>
      </w:r>
      <w:r>
        <w:rPr>
          <w:rFonts w:hint="eastAsia" w:ascii="宋体" w:hAnsi="宋体" w:cs="宋体"/>
          <w:bCs/>
          <w:color w:val="000000"/>
          <w:sz w:val="36"/>
          <w:szCs w:val="28"/>
          <w:highlight w:val="none"/>
        </w:rPr>
      </w:r>
      <w:r/>
    </w:p>
    <w:p>
      <w:pPr>
        <w:pStyle w:val="724"/>
        <w:ind w:firstLine="480"/>
        <w:jc w:val="left"/>
        <w:spacing w:line="360" w:lineRule="auto"/>
        <w:rPr>
          <w:rFonts w:hint="eastAsia" w:ascii="宋体" w:hAnsi="宋体" w:cs="宋体"/>
          <w:color w:val="000000"/>
          <w:sz w:val="36"/>
          <w:highlight w:val="none"/>
        </w:rPr>
      </w:pPr>
      <w:r>
        <w:rPr>
          <w:rFonts w:hint="eastAsia" w:ascii="宋体" w:hAnsi="宋体" w:cs="宋体"/>
          <w:color w:val="000000"/>
          <w:sz w:val="24"/>
          <w:szCs w:val="24"/>
          <w:highlight w:val="none"/>
        </w:rPr>
        <w:t xml:space="preserve">项目名称：      项目编号：   </w:t>
      </w:r>
      <w:r>
        <w:rPr>
          <w:rFonts w:hint="eastAsia" w:ascii="宋体" w:hAnsi="宋体" w:cs="宋体"/>
          <w:color w:val="000000"/>
          <w:sz w:val="36"/>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327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302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hint="eastAsia" w:ascii="宋体" w:hAnsi="宋体" w:cs="宋体"/>
                <w:color w:val="000000"/>
                <w:sz w:val="24"/>
                <w:szCs w:val="24"/>
                <w:highlight w:val="none"/>
              </w:rPr>
            </w:r>
            <w:r/>
          </w:p>
        </w:tc>
        <w:tc>
          <w:tcPr>
            <w:tcW w:w="139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r>
      <w:tr>
        <w:trPr>
          <w:cantSplit/>
          <w:trHeight w:val="640"/>
        </w:trPr>
        <w:tc>
          <w:tcPr>
            <w:tcW w:w="8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27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2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327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2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327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2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27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2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
          <w:iCs/>
          <w:color w:val="000000"/>
          <w:sz w:val="36"/>
          <w:highlight w:val="none"/>
          <w:u w:val="single"/>
        </w:rPr>
      </w:pPr>
      <w:r/>
      <w:bookmarkStart w:id="173" w:name="_Hlt26955054"/>
      <w:r/>
      <w:bookmarkEnd w:id="173"/>
      <w:r>
        <w:rPr>
          <w:rFonts w:hint="eastAsia" w:ascii="宋体" w:hAnsi="宋体" w:cs="宋体"/>
          <w:i/>
          <w:iCs/>
          <w:color w:val="000000"/>
          <w:sz w:val="36"/>
          <w:highlight w:val="none"/>
          <w:u w:val="single"/>
        </w:rPr>
        <w:br w:type="page" w:clear="all"/>
      </w:r>
      <w:r>
        <w:rPr>
          <w:rFonts w:hint="eastAsia" w:ascii="宋体" w:hAnsi="宋体" w:cs="宋体"/>
          <w:i/>
          <w:iCs/>
          <w:color w:val="000000"/>
          <w:sz w:val="36"/>
          <w:highlight w:val="none"/>
          <w:u w:val="singl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w:t>
      </w:r>
      <w:r>
        <w:rPr>
          <w:rFonts w:hint="eastAsia" w:ascii="宋体" w:hAnsi="宋体" w:cs="宋体"/>
          <w:i/>
          <w:color w:val="000000"/>
          <w:sz w:val="28"/>
          <w:szCs w:val="28"/>
          <w:highlight w:val="none"/>
          <w:u w:val="single"/>
          <w:lang w:val="en-US" w:eastAsia="zh-CN"/>
        </w:rPr>
        <w:t xml:space="preserve">四</w:t>
      </w:r>
      <w:r>
        <w:rPr>
          <w:rFonts w:hint="eastAsia" w:ascii="宋体" w:hAnsi="宋体" w:cs="宋体"/>
          <w:i/>
          <w:color w:val="000000"/>
          <w:sz w:val="28"/>
          <w:szCs w:val="28"/>
          <w:highlight w:val="none"/>
          <w:u w:val="single"/>
        </w:rPr>
        <w:t xml:space="preserve">、商务要求响应及偏离表</w:t>
      </w: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t xml:space="preserve">商务要求响应及偏离表</w:t>
      </w:r>
      <w:r>
        <w:rPr>
          <w:rFonts w:hint="eastAsia" w:ascii="宋体" w:hAnsi="宋体" w:cs="宋体"/>
          <w:bCs/>
          <w:color w:val="000000"/>
          <w:sz w:val="36"/>
          <w:szCs w:val="28"/>
          <w:highlight w:val="none"/>
        </w:rPr>
      </w:r>
      <w:r/>
    </w:p>
    <w:p>
      <w:pPr>
        <w:pStyle w:val="724"/>
        <w:jc w:val="left"/>
        <w:spacing w:line="360" w:lineRule="auto"/>
        <w:rPr>
          <w:rFonts w:hint="eastAsia" w:ascii="宋体" w:hAnsi="宋体" w:cs="宋体"/>
          <w:color w:val="000000"/>
          <w:highlight w:val="none"/>
        </w:rPr>
      </w:pPr>
      <w:r>
        <w:rPr>
          <w:rFonts w:hint="eastAsia" w:ascii="宋体" w:hAnsi="宋体" w:cs="宋体"/>
          <w:color w:val="000000"/>
          <w:sz w:val="24"/>
          <w:szCs w:val="24"/>
          <w:highlight w:val="none"/>
        </w:rPr>
        <w:t xml:space="preserve">项目名称：      项目编号：    </w:t>
      </w:r>
      <w:r>
        <w:rPr>
          <w:rFonts w:hint="eastAsia" w:ascii="宋体" w:hAnsi="宋体" w:cs="宋体"/>
          <w:color w:val="000000"/>
          <w:highlight w:val="none"/>
        </w:rPr>
      </w:r>
      <w:r/>
    </w:p>
    <w:tbl>
      <w:tblPr>
        <w:tblW w:w="8505"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bookmarkStart w:id="174" w:name="_Hlt26580838"/>
            <w:r/>
            <w:bookmarkEnd w:id="174"/>
            <w:r/>
            <w:bookmarkStart w:id="175" w:name="_Hlt26955056"/>
            <w:r/>
            <w:bookmarkEnd w:id="175"/>
            <w:r/>
            <w:bookmarkStart w:id="176" w:name="_Hlt26609391"/>
            <w:r/>
            <w:bookmarkEnd w:id="176"/>
            <w:r/>
            <w:bookmarkStart w:id="177" w:name="_Hlt26782999"/>
            <w:r/>
            <w:bookmarkEnd w:id="177"/>
            <w:r/>
            <w:bookmarkStart w:id="178" w:name="_Hlt26671372"/>
            <w:r/>
            <w:bookmarkEnd w:id="178"/>
            <w:r/>
            <w:bookmarkStart w:id="179" w:name="_Hlt24879081"/>
            <w:r/>
            <w:bookmarkEnd w:id="179"/>
            <w:r/>
            <w:bookmarkStart w:id="180" w:name="_Hlt26955064"/>
            <w:r/>
            <w:bookmarkEnd w:id="180"/>
            <w:r/>
            <w:bookmarkStart w:id="181" w:name="_Hlt26671343"/>
            <w:r/>
            <w:bookmarkEnd w:id="181"/>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326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招标文件要求</w:t>
            </w:r>
            <w:r>
              <w:rPr>
                <w:rFonts w:hint="eastAsia" w:ascii="宋体" w:hAnsi="宋体" w:cs="宋体"/>
                <w:color w:val="000000"/>
                <w:sz w:val="24"/>
                <w:szCs w:val="24"/>
                <w:highlight w:val="none"/>
              </w:rPr>
            </w:r>
            <w:r/>
          </w:p>
        </w:tc>
        <w:tc>
          <w:tcPr>
            <w:tcW w:w="303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投标响应情况</w:t>
            </w:r>
            <w:r>
              <w:rPr>
                <w:rFonts w:hint="eastAsia" w:ascii="宋体" w:hAnsi="宋体" w:cs="宋体"/>
                <w:color w:val="000000"/>
                <w:sz w:val="24"/>
                <w:szCs w:val="24"/>
                <w:highlight w:val="none"/>
              </w:rPr>
            </w:r>
            <w:r/>
          </w:p>
        </w:tc>
        <w:tc>
          <w:tcPr>
            <w:tcW w:w="1391"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超出、符合或偏离</w:t>
            </w: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326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3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326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3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326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3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81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3263"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3034"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91"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bookmarkStart w:id="182" w:name="_Hlt26671374"/>
      <w:r/>
      <w:bookmarkEnd w:id="182"/>
      <w:r/>
      <w:bookmarkStart w:id="183" w:name="_格式2__法定代表人授权书"/>
      <w:r/>
      <w:bookmarkEnd w:id="183"/>
      <w:r/>
      <w:bookmarkStart w:id="184" w:name="_Hlt26955066"/>
      <w:r/>
      <w:bookmarkEnd w:id="184"/>
      <w:r/>
      <w:bookmarkStart w:id="185" w:name="_Hlt26609389"/>
      <w:r/>
      <w:bookmarkEnd w:id="185"/>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Cs/>
          <w:color w:val="000000"/>
          <w:sz w:val="36"/>
          <w:highlight w:val="none"/>
        </w:rPr>
      </w:pPr>
      <w:r>
        <w:rPr>
          <w:rFonts w:hint="eastAsia" w:ascii="宋体" w:hAnsi="宋体" w:cs="宋体"/>
          <w:iCs/>
          <w:color w:val="000000"/>
          <w:sz w:val="36"/>
          <w:highlight w:val="none"/>
        </w:rPr>
        <w:br w:type="page" w:clear="all"/>
      </w:r>
      <w:r>
        <w:rPr>
          <w:rFonts w:hint="eastAsia" w:ascii="宋体" w:hAnsi="宋体" w:cs="宋体"/>
          <w:iCs/>
          <w:color w:val="000000"/>
          <w:sz w:val="36"/>
          <w:highlight w:val="non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w:t>
      </w:r>
      <w:r>
        <w:rPr>
          <w:rFonts w:hint="eastAsia" w:ascii="宋体" w:hAnsi="宋体" w:cs="宋体"/>
          <w:i/>
          <w:color w:val="000000"/>
          <w:sz w:val="28"/>
          <w:szCs w:val="28"/>
          <w:highlight w:val="none"/>
          <w:u w:val="single"/>
          <w:lang w:val="en-US" w:eastAsia="zh-CN"/>
        </w:rPr>
        <w:t xml:space="preserve">五</w:t>
      </w:r>
      <w:r>
        <w:rPr>
          <w:rFonts w:hint="eastAsia" w:ascii="宋体" w:hAnsi="宋体" w:cs="宋体"/>
          <w:i/>
          <w:color w:val="000000"/>
          <w:sz w:val="28"/>
          <w:szCs w:val="28"/>
          <w:highlight w:val="none"/>
          <w:u w:val="single"/>
        </w:rPr>
        <w:t xml:space="preserve">、类似项目业绩一览表</w:t>
      </w:r>
      <w:r>
        <w:rPr>
          <w:rFonts w:hint="eastAsia" w:ascii="宋体" w:hAnsi="宋体" w:cs="宋体"/>
          <w:i/>
          <w:color w:val="000000"/>
          <w:sz w:val="28"/>
          <w:szCs w:val="28"/>
          <w:highlight w:val="none"/>
          <w:u w:val="singl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t xml:space="preserve">类似项目业绩一览表</w:t>
      </w:r>
      <w:r>
        <w:rPr>
          <w:rFonts w:hint="eastAsia" w:ascii="宋体" w:hAnsi="宋体" w:cs="宋体"/>
          <w:bCs/>
          <w:color w:val="000000"/>
          <w:sz w:val="36"/>
          <w:szCs w:val="28"/>
          <w:highlight w:val="none"/>
        </w:rPr>
      </w:r>
      <w:r/>
    </w:p>
    <w:p>
      <w:pPr>
        <w:pStyle w:val="724"/>
        <w:ind w:firstLine="240"/>
        <w:jc w:val="left"/>
        <w:spacing w:line="360" w:lineRule="auto"/>
        <w:rPr>
          <w:rFonts w:hint="eastAsia" w:ascii="宋体" w:hAnsi="宋体" w:cs="宋体"/>
          <w:color w:val="000000"/>
          <w:highlight w:val="none"/>
        </w:rPr>
      </w:pPr>
      <w:r>
        <w:rPr>
          <w:rFonts w:hint="eastAsia" w:ascii="宋体" w:hAnsi="宋体" w:cs="宋体"/>
          <w:color w:val="000000"/>
          <w:sz w:val="24"/>
          <w:szCs w:val="24"/>
          <w:highlight w:val="none"/>
        </w:rPr>
        <w:t xml:space="preserve">项目名称：      项目编号：    </w:t>
      </w:r>
      <w:r>
        <w:rPr>
          <w:rFonts w:hint="eastAsia" w:ascii="宋体" w:hAnsi="宋体" w:cs="宋体"/>
          <w:color w:val="000000"/>
          <w:highlight w:val="none"/>
        </w:rPr>
      </w:r>
      <w:r/>
    </w:p>
    <w:tbl>
      <w:tblPr>
        <w:tblW w:w="8505"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rPr>
                <w:rFonts w:hint="eastAsia" w:ascii="宋体" w:hAnsi="宋体" w:cs="宋体"/>
                <w:color w:val="000000"/>
                <w:sz w:val="24"/>
                <w:szCs w:val="24"/>
                <w:highlight w:val="none"/>
              </w:rPr>
            </w:r>
            <w:r/>
          </w:p>
        </w:tc>
        <w:tc>
          <w:tcPr>
            <w:tcW w:w="2686"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项目名称</w:t>
            </w:r>
            <w:r>
              <w:rPr>
                <w:rFonts w:hint="eastAsia" w:ascii="宋体" w:hAnsi="宋体" w:cs="宋体"/>
                <w:color w:val="000000"/>
                <w:sz w:val="24"/>
                <w:szCs w:val="24"/>
                <w:highlight w:val="none"/>
              </w:rPr>
            </w:r>
            <w:r/>
          </w:p>
        </w:tc>
        <w:tc>
          <w:tcPr>
            <w:tcW w:w="1850"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签订时间</w:t>
            </w:r>
            <w:r>
              <w:rPr>
                <w:rFonts w:hint="eastAsia" w:ascii="宋体" w:hAnsi="宋体" w:cs="宋体"/>
                <w:color w:val="000000"/>
                <w:sz w:val="24"/>
                <w:szCs w:val="24"/>
                <w:highlight w:val="none"/>
              </w:rPr>
            </w:r>
            <w:r/>
          </w:p>
        </w:tc>
        <w:tc>
          <w:tcPr>
            <w:tcW w:w="198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采购单位</w:t>
            </w:r>
            <w:r>
              <w:rPr>
                <w:rFonts w:hint="eastAsia" w:ascii="宋体" w:hAnsi="宋体" w:cs="宋体"/>
                <w:color w:val="000000"/>
                <w:sz w:val="24"/>
                <w:szCs w:val="24"/>
                <w:highlight w:val="none"/>
              </w:rPr>
            </w:r>
            <w:r/>
          </w:p>
        </w:tc>
        <w:tc>
          <w:tcPr>
            <w:tcW w:w="13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主要标的</w:t>
            </w:r>
            <w:r>
              <w:rPr>
                <w:rFonts w:hint="eastAsia" w:ascii="宋体" w:hAnsi="宋体" w:cs="宋体"/>
                <w:color w:val="000000"/>
                <w:sz w:val="24"/>
                <w:szCs w:val="24"/>
                <w:highlight w:val="none"/>
              </w:rPr>
            </w:r>
            <w:r/>
          </w:p>
        </w:tc>
      </w:tr>
      <w:tr>
        <w:trPr>
          <w:cantSplit/>
          <w:trHeight w:val="640"/>
        </w:trPr>
        <w:tc>
          <w:tcPr>
            <w:tcW w:w="67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s="宋体"/>
                <w:color w:val="000000"/>
                <w:sz w:val="24"/>
                <w:szCs w:val="24"/>
                <w:highlight w:val="none"/>
              </w:rPr>
            </w:r>
            <w:r/>
          </w:p>
        </w:tc>
        <w:tc>
          <w:tcPr>
            <w:tcW w:w="2686"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67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rPr>
                <w:rFonts w:hint="eastAsia" w:ascii="宋体" w:hAnsi="宋体" w:cs="宋体"/>
                <w:color w:val="000000"/>
                <w:sz w:val="24"/>
                <w:szCs w:val="24"/>
                <w:highlight w:val="none"/>
              </w:rPr>
            </w:r>
            <w:r/>
          </w:p>
        </w:tc>
        <w:tc>
          <w:tcPr>
            <w:tcW w:w="2686"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67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rPr>
                <w:rFonts w:hint="eastAsia" w:ascii="宋体" w:hAnsi="宋体" w:cs="宋体"/>
                <w:color w:val="000000"/>
                <w:sz w:val="24"/>
                <w:szCs w:val="24"/>
                <w:highlight w:val="none"/>
              </w:rPr>
            </w:r>
            <w:r/>
          </w:p>
        </w:tc>
        <w:tc>
          <w:tcPr>
            <w:tcW w:w="2686"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67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tc>
        <w:tc>
          <w:tcPr>
            <w:tcW w:w="2686"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85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985"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09"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rPr>
          <w:rFonts w:hint="eastAsia" w:ascii="宋体" w:hAnsi="宋体" w:cs="宋体"/>
          <w:iCs/>
          <w:color w:val="000000"/>
          <w:sz w:val="36"/>
          <w:highlight w:val="none"/>
        </w:rPr>
      </w:pPr>
      <w:r>
        <w:rPr>
          <w:rFonts w:hint="eastAsia" w:ascii="宋体" w:hAnsi="宋体" w:cs="宋体"/>
          <w:iCs/>
          <w:color w:val="000000"/>
          <w:sz w:val="36"/>
          <w:highlight w:val="none"/>
        </w:rPr>
        <w:br w:type="page" w:clear="all"/>
      </w:r>
      <w:r>
        <w:rPr>
          <w:rFonts w:hint="eastAsia" w:ascii="宋体" w:hAnsi="宋体" w:cs="宋体"/>
          <w:iCs/>
          <w:color w:val="000000"/>
          <w:sz w:val="36"/>
          <w:highlight w:val="non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w:t>
      </w:r>
      <w:r>
        <w:rPr>
          <w:rFonts w:hint="eastAsia" w:ascii="宋体" w:hAnsi="宋体" w:cs="宋体"/>
          <w:i/>
          <w:color w:val="000000"/>
          <w:sz w:val="28"/>
          <w:szCs w:val="28"/>
          <w:highlight w:val="none"/>
          <w:u w:val="single"/>
          <w:lang w:val="en-US" w:eastAsia="zh-CN"/>
        </w:rPr>
        <w:t xml:space="preserve">六</w:t>
      </w:r>
      <w:r>
        <w:rPr>
          <w:rFonts w:hint="eastAsia" w:ascii="宋体" w:hAnsi="宋体" w:cs="宋体"/>
          <w:i/>
          <w:color w:val="000000"/>
          <w:sz w:val="28"/>
          <w:szCs w:val="28"/>
          <w:highlight w:val="none"/>
          <w:u w:val="single"/>
        </w:rPr>
        <w:t xml:space="preserve">、项目团队人员一览表</w:t>
      </w:r>
      <w:r>
        <w:rPr>
          <w:rFonts w:hint="eastAsia" w:ascii="宋体" w:hAnsi="宋体" w:cs="宋体"/>
          <w:i/>
          <w:color w:val="000000"/>
          <w:sz w:val="28"/>
          <w:szCs w:val="28"/>
          <w:highlight w:val="none"/>
          <w:u w:val="single"/>
        </w:rPr>
      </w:r>
      <w:r/>
    </w:p>
    <w:p>
      <w:pPr>
        <w:pStyle w:val="724"/>
        <w:jc w:val="center"/>
        <w:spacing w:line="360" w:lineRule="auto"/>
        <w:tabs>
          <w:tab w:val="left" w:pos="360" w:leader="none"/>
        </w:tabs>
        <w:rPr>
          <w:rFonts w:hint="eastAsia" w:ascii="宋体" w:hAnsi="宋体" w:cs="宋体"/>
          <w:bCs/>
          <w:color w:val="000000"/>
          <w:sz w:val="36"/>
          <w:szCs w:val="28"/>
          <w:highlight w:val="none"/>
        </w:rPr>
      </w:pPr>
      <w:r>
        <w:rPr>
          <w:rFonts w:hint="eastAsia" w:ascii="宋体" w:hAnsi="宋体" w:cs="宋体"/>
          <w:bCs/>
          <w:color w:val="000000"/>
          <w:sz w:val="36"/>
          <w:szCs w:val="28"/>
          <w:highlight w:val="none"/>
        </w:rPr>
        <w:t xml:space="preserve">项目团队人员一览表</w:t>
      </w:r>
      <w:r>
        <w:rPr>
          <w:rFonts w:hint="eastAsia" w:ascii="宋体" w:hAnsi="宋体" w:cs="宋体"/>
          <w:bCs/>
          <w:color w:val="000000"/>
          <w:sz w:val="36"/>
          <w:szCs w:val="28"/>
          <w:highlight w:val="none"/>
        </w:rPr>
      </w:r>
      <w:r/>
    </w:p>
    <w:p>
      <w:pPr>
        <w:pStyle w:val="724"/>
        <w:jc w:val="left"/>
        <w:spacing w:line="360" w:lineRule="auto"/>
        <w:rPr>
          <w:rFonts w:hint="eastAsia" w:ascii="宋体" w:hAnsi="宋体" w:cs="宋体"/>
          <w:color w:val="000000"/>
          <w:highlight w:val="none"/>
        </w:rPr>
      </w:pPr>
      <w:r>
        <w:rPr>
          <w:rFonts w:hint="eastAsia" w:ascii="宋体" w:hAnsi="宋体" w:cs="宋体"/>
          <w:color w:val="000000"/>
          <w:sz w:val="24"/>
          <w:szCs w:val="24"/>
          <w:highlight w:val="none"/>
        </w:rPr>
        <w:t xml:space="preserve">项目名称：      项目编号：  </w:t>
      </w:r>
      <w:r>
        <w:rPr>
          <w:rFonts w:hint="eastAsia" w:ascii="宋体" w:hAnsi="宋体" w:cs="宋体"/>
          <w:color w:val="000000"/>
          <w:highlight w:val="none"/>
        </w:rPr>
      </w:r>
      <w:r/>
    </w:p>
    <w:tbl>
      <w:tblPr>
        <w:tblW w:w="892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2227"/>
        <w:gridCol w:w="2696"/>
        <w:gridCol w:w="2910"/>
      </w:tblGrid>
      <w:tr>
        <w:trPr>
          <w:cantSplit/>
        </w:trPr>
        <w:tc>
          <w:tcPr>
            <w:tcW w:w="1088"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姓名</w:t>
            </w:r>
            <w:r>
              <w:rPr>
                <w:rFonts w:hint="eastAsia" w:ascii="宋体" w:hAnsi="宋体" w:cs="宋体"/>
                <w:color w:val="000000"/>
                <w:sz w:val="24"/>
                <w:szCs w:val="24"/>
                <w:highlight w:val="none"/>
              </w:rPr>
            </w:r>
            <w:r/>
          </w:p>
        </w:tc>
        <w:tc>
          <w:tcPr>
            <w:tcW w:w="222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本项目拟担任职务</w:t>
            </w:r>
            <w:r>
              <w:rPr>
                <w:rFonts w:hint="eastAsia" w:ascii="宋体" w:hAnsi="宋体" w:cs="宋体"/>
                <w:color w:val="000000"/>
                <w:sz w:val="24"/>
                <w:szCs w:val="24"/>
                <w:highlight w:val="none"/>
              </w:rPr>
            </w:r>
            <w:r/>
          </w:p>
        </w:tc>
        <w:tc>
          <w:tcPr>
            <w:tcW w:w="2696"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技术职称、专业资质</w:t>
            </w:r>
            <w:r>
              <w:rPr>
                <w:rFonts w:hint="eastAsia" w:ascii="宋体" w:hAnsi="宋体" w:cs="宋体"/>
                <w:color w:val="000000"/>
                <w:sz w:val="24"/>
                <w:szCs w:val="24"/>
                <w:highlight w:val="none"/>
              </w:rPr>
            </w:r>
            <w:r/>
          </w:p>
        </w:tc>
        <w:tc>
          <w:tcPr>
            <w:tcW w:w="2910"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主要资历及担任过的职务</w:t>
            </w:r>
            <w:r>
              <w:rPr>
                <w:rFonts w:hint="eastAsia" w:ascii="宋体" w:hAnsi="宋体" w:cs="宋体"/>
                <w:color w:val="000000"/>
                <w:sz w:val="24"/>
                <w:szCs w:val="24"/>
                <w:highlight w:val="none"/>
              </w:rPr>
            </w:r>
            <w:r/>
          </w:p>
        </w:tc>
      </w:tr>
      <w:tr>
        <w:trPr>
          <w:cantSplit/>
          <w:trHeight w:val="640"/>
        </w:trPr>
        <w:tc>
          <w:tcPr>
            <w:tcW w:w="1088"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6"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1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1088"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6"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1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1088"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6"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1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cantSplit/>
          <w:trHeight w:val="640"/>
        </w:trPr>
        <w:tc>
          <w:tcPr>
            <w:tcW w:w="1088"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227" w:type="dxa"/>
            <w:vAlign w:val="center"/>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696"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910" w:type="dxa"/>
            <w:vAlign w:val="top"/>
            <w:textDirection w:val="lrTb"/>
            <w:noWrap w:val="false"/>
          </w:tcPr>
          <w:p>
            <w:pPr>
              <w:pStyle w:val="724"/>
              <w:jc w:val="center"/>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投标人（盖章）：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法定代表人（单位负责人）或委托代理人（签字或盖章）：</w:t>
      </w:r>
      <w:r>
        <w:rPr>
          <w:rFonts w:hint="eastAsia" w:ascii="宋体" w:hAnsi="宋体" w:cs="宋体"/>
          <w:color w:val="000000"/>
          <w:sz w:val="24"/>
          <w:szCs w:val="24"/>
          <w:highlight w:val="none"/>
        </w:rPr>
      </w:r>
      <w:r/>
    </w:p>
    <w:p>
      <w:pPr>
        <w:pStyle w:val="724"/>
        <w:ind w:firstLine="480"/>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日期：年月日</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spacing w:line="360" w:lineRule="auto"/>
        <w:rPr>
          <w:rFonts w:hint="eastAsia" w:ascii="宋体" w:hAnsi="宋体" w:cs="宋体"/>
          <w:color w:val="000000"/>
          <w:highlight w:val="none"/>
        </w:rPr>
      </w:pPr>
      <w:r>
        <w:rPr>
          <w:rFonts w:hint="eastAsia" w:ascii="宋体" w:hAnsi="宋体" w:cs="宋体"/>
          <w:color w:val="000000"/>
          <w:highlight w:val="none"/>
        </w:rPr>
      </w:r>
      <w:r/>
    </w:p>
    <w:p>
      <w:pPr>
        <w:pStyle w:val="724"/>
        <w:ind w:firstLine="643"/>
        <w:jc w:val="left"/>
        <w:spacing w:line="360" w:lineRule="auto"/>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724"/>
        <w:rPr>
          <w:rFonts w:hint="eastAsia" w:ascii="宋体" w:hAnsi="宋体" w:cs="宋体"/>
          <w:bCs/>
          <w:i/>
          <w:color w:val="000000"/>
          <w:sz w:val="36"/>
          <w:szCs w:val="36"/>
          <w:highlight w:val="none"/>
          <w:u w:val="single"/>
        </w:rPr>
      </w:pPr>
      <w:r>
        <w:rPr>
          <w:rFonts w:hint="eastAsia" w:ascii="宋体" w:hAnsi="宋体" w:cs="宋体"/>
          <w:bCs/>
          <w:i/>
          <w:color w:val="000000"/>
          <w:sz w:val="36"/>
          <w:szCs w:val="36"/>
          <w:highlight w:val="none"/>
          <w:u w:val="single"/>
        </w:rPr>
        <w:br w:type="page" w:clear="all"/>
      </w:r>
      <w:r>
        <w:rPr>
          <w:rFonts w:hint="eastAsia" w:ascii="宋体" w:hAnsi="宋体" w:cs="宋体"/>
          <w:bCs/>
          <w:i/>
          <w:color w:val="000000"/>
          <w:sz w:val="36"/>
          <w:szCs w:val="36"/>
          <w:highlight w:val="none"/>
          <w:u w:val="single"/>
        </w:rPr>
      </w:r>
      <w:r/>
    </w:p>
    <w:p>
      <w:pPr>
        <w:pStyle w:val="724"/>
        <w:jc w:val="left"/>
        <w:keepLines/>
        <w:keepNext/>
        <w:spacing w:line="360" w:lineRule="auto"/>
        <w:rPr>
          <w:rFonts w:hint="eastAsia" w:ascii="宋体" w:hAnsi="宋体" w:cs="宋体"/>
          <w:i/>
          <w:color w:val="000000"/>
          <w:sz w:val="28"/>
          <w:szCs w:val="28"/>
          <w:highlight w:val="none"/>
          <w:u w:val="single"/>
        </w:rPr>
        <w:outlineLvl w:val="1"/>
      </w:pPr>
      <w:r>
        <w:rPr>
          <w:rFonts w:hint="eastAsia" w:ascii="宋体" w:hAnsi="宋体" w:cs="宋体"/>
          <w:i/>
          <w:color w:val="000000"/>
          <w:sz w:val="28"/>
          <w:szCs w:val="28"/>
          <w:highlight w:val="none"/>
          <w:u w:val="single"/>
        </w:rPr>
        <w:t xml:space="preserve">十</w:t>
      </w:r>
      <w:r>
        <w:rPr>
          <w:rFonts w:hint="eastAsia" w:ascii="宋体" w:hAnsi="宋体" w:cs="宋体"/>
          <w:i/>
          <w:color w:val="000000"/>
          <w:sz w:val="28"/>
          <w:szCs w:val="28"/>
          <w:highlight w:val="none"/>
          <w:u w:val="single"/>
          <w:lang w:val="en-US" w:eastAsia="zh-CN"/>
        </w:rPr>
        <w:t xml:space="preserve">七</w:t>
      </w:r>
      <w:r>
        <w:rPr>
          <w:rFonts w:hint="eastAsia" w:ascii="宋体" w:hAnsi="宋体" w:cs="宋体"/>
          <w:i/>
          <w:color w:val="000000"/>
          <w:sz w:val="28"/>
          <w:szCs w:val="28"/>
          <w:highlight w:val="none"/>
          <w:u w:val="single"/>
        </w:rPr>
        <w:t xml:space="preserve">、开标一览表</w:t>
      </w:r>
      <w:r>
        <w:rPr>
          <w:rFonts w:hint="eastAsia" w:ascii="宋体" w:hAnsi="宋体" w:cs="宋体"/>
          <w:i/>
          <w:color w:val="000000"/>
          <w:sz w:val="28"/>
          <w:szCs w:val="28"/>
          <w:highlight w:val="none"/>
          <w:u w:val="single"/>
        </w:rPr>
      </w:r>
      <w:r/>
    </w:p>
    <w:p>
      <w:pPr>
        <w:pStyle w:val="72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投标人全称（加盖公章）：</w:t>
      </w:r>
      <w:r>
        <w:rPr>
          <w:rFonts w:hint="eastAsia" w:ascii="宋体" w:hAnsi="宋体"/>
          <w:color w:val="000000"/>
          <w:sz w:val="24"/>
          <w:szCs w:val="24"/>
          <w:highlight w:val="none"/>
        </w:rPr>
      </w:r>
      <w:r/>
    </w:p>
    <w:p>
      <w:pPr>
        <w:pStyle w:val="724"/>
        <w:ind w:firstLine="480"/>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724"/>
        <w:ind w:firstLine="480"/>
        <w:rPr>
          <w:rFonts w:hint="eastAsia" w:ascii="宋体" w:hAnsi="宋体"/>
          <w:color w:val="000000"/>
          <w:sz w:val="24"/>
          <w:szCs w:val="24"/>
          <w:highlight w:val="none"/>
        </w:rPr>
      </w:pPr>
      <w:r>
        <w:rPr>
          <w:rFonts w:hint="eastAsia" w:ascii="宋体" w:hAnsi="宋体"/>
          <w:color w:val="000000"/>
          <w:sz w:val="24"/>
          <w:szCs w:val="24"/>
          <w:highlight w:val="none"/>
        </w:rPr>
        <w:t xml:space="preserve">招标编号：</w:t>
      </w:r>
      <w:r>
        <w:rPr>
          <w:rFonts w:hint="eastAsia" w:ascii="宋体" w:hAnsi="宋体"/>
          <w:color w:val="000000"/>
          <w:sz w:val="24"/>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24"/>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投标总报价</w:t>
            </w:r>
            <w:r>
              <w:rPr>
                <w:rFonts w:hint="eastAsia" w:ascii="宋体" w:hAnsi="宋体" w:eastAsia="宋体"/>
                <w:color w:val="000000"/>
                <w:sz w:val="24"/>
                <w:szCs w:val="24"/>
                <w:highlight w:val="none"/>
                <w:lang w:eastAsia="zh-CN"/>
              </w:rPr>
            </w:r>
            <w:r/>
          </w:p>
        </w:tc>
      </w:tr>
      <w:tr>
        <w:trPr>
          <w:cantSplit/>
          <w:trHeight w:val="612"/>
        </w:trPr>
        <w:tc>
          <w:tcPr>
            <w:gridSpan w:val="2"/>
            <w:tcW w:w="8886" w:type="dxa"/>
            <w:vAlign w:val="center"/>
            <w:textDirection w:val="lrTb"/>
            <w:noWrap w:val="false"/>
          </w:tcPr>
          <w:p>
            <w:pPr>
              <w:pStyle w:val="724"/>
              <w:jc w:val="left"/>
              <w:spacing w:line="500" w:lineRule="exact"/>
              <w:rPr>
                <w:rFonts w:hint="eastAsia" w:ascii="宋体" w:hAnsi="宋体"/>
                <w:color w:val="000000"/>
                <w:sz w:val="24"/>
                <w:szCs w:val="21"/>
                <w:highlight w:val="none"/>
              </w:rPr>
            </w:pPr>
            <w:r>
              <w:rPr>
                <w:rFonts w:hint="eastAsia" w:ascii="宋体" w:hAnsi="宋体" w:cs="宋体"/>
                <w:color w:val="000000"/>
                <w:sz w:val="24"/>
                <w:szCs w:val="24"/>
                <w:highlight w:val="none"/>
              </w:rPr>
              <w:t xml:space="preserve">小写：   元        （人民币（大写）：   元）</w:t>
            </w:r>
            <w:r>
              <w:rPr>
                <w:rFonts w:hint="eastAsia" w:ascii="宋体" w:hAnsi="宋体"/>
                <w:color w:val="000000"/>
                <w:sz w:val="24"/>
                <w:szCs w:val="21"/>
                <w:highlight w:val="none"/>
              </w:rPr>
            </w:r>
            <w:r/>
          </w:p>
        </w:tc>
      </w:tr>
      <w:tr>
        <w:trPr>
          <w:cantSplit/>
          <w:trHeight w:val="612"/>
        </w:trPr>
        <w:tc>
          <w:tcPr>
            <w:tcW w:w="2481" w:type="dxa"/>
            <w:vAlign w:val="center"/>
            <w:textDirection w:val="lrTb"/>
            <w:noWrap w:val="false"/>
          </w:tcPr>
          <w:p>
            <w:pPr>
              <w:pStyle w:val="724"/>
              <w:jc w:val="center"/>
              <w:spacing w:line="300" w:lineRule="auto"/>
              <w:rPr>
                <w:rFonts w:ascii="宋体" w:hAnsi="宋体" w:eastAsia="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服务期（年）</w:t>
            </w:r>
            <w:r>
              <w:rPr>
                <w:rFonts w:ascii="宋体" w:hAnsi="宋体" w:eastAsia="宋体" w:cs="宋体"/>
                <w:color w:val="000000"/>
                <w:sz w:val="24"/>
                <w:szCs w:val="24"/>
                <w:highlight w:val="none"/>
                <w:lang w:val="en-US" w:eastAsia="zh-CN"/>
              </w:rPr>
            </w:r>
            <w:r/>
          </w:p>
        </w:tc>
        <w:tc>
          <w:tcPr>
            <w:tcW w:w="6405" w:type="dxa"/>
            <w:vAlign w:val="center"/>
            <w:textDirection w:val="lrTb"/>
            <w:noWrap w:val="false"/>
          </w:tcPr>
          <w:p>
            <w:pPr>
              <w:pStyle w:val="724"/>
              <w:jc w:val="left"/>
              <w:spacing w:line="50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bl>
    <w:p>
      <w:pPr>
        <w:pStyle w:val="724"/>
        <w:rPr>
          <w:rFonts w:ascii="宋体" w:hAnsi="宋体"/>
          <w:color w:val="000000"/>
          <w:sz w:val="24"/>
          <w:szCs w:val="24"/>
          <w:highlight w:val="none"/>
        </w:rPr>
      </w:pPr>
      <w:r>
        <w:rPr>
          <w:rFonts w:ascii="宋体" w:hAnsi="宋体"/>
          <w:color w:val="000000"/>
          <w:sz w:val="24"/>
          <w:szCs w:val="24"/>
          <w:highlight w:val="none"/>
        </w:rPr>
      </w:r>
      <w:r/>
    </w:p>
    <w:p>
      <w:pPr>
        <w:pStyle w:val="724"/>
        <w:ind w:firstLine="480"/>
        <w:rPr>
          <w:rFonts w:ascii="宋体" w:hAnsi="宋体"/>
          <w:color w:val="000000"/>
          <w:sz w:val="24"/>
          <w:szCs w:val="24"/>
          <w:highlight w:val="none"/>
        </w:rPr>
      </w:pPr>
      <w:r>
        <w:rPr>
          <w:rFonts w:hint="eastAsia" w:ascii="宋体" w:hAnsi="宋体"/>
          <w:color w:val="000000"/>
          <w:sz w:val="24"/>
          <w:szCs w:val="24"/>
          <w:highlight w:val="none"/>
        </w:rPr>
        <w:t xml:space="preserve">日期： 年 月 日</w:t>
      </w:r>
      <w:r>
        <w:rPr>
          <w:rFonts w:ascii="宋体" w:hAnsi="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ind w:firstLine="800"/>
        <w:spacing w:line="360" w:lineRule="auto"/>
        <w:rPr>
          <w:rFonts w:hint="eastAsia" w:ascii="宋体" w:hAnsi="宋体" w:cs="宋体"/>
          <w:color w:val="000000"/>
          <w:sz w:val="24"/>
          <w:szCs w:val="24"/>
          <w:highlight w:val="none"/>
        </w:rPr>
      </w:pPr>
      <w:r>
        <w:rPr>
          <w:rFonts w:hint="eastAsia" w:ascii="宋体" w:hAnsi="宋体" w:cs="宋体"/>
          <w:bCs/>
          <w:color w:val="000000"/>
          <w:sz w:val="40"/>
          <w:szCs w:val="32"/>
          <w:highlight w:val="none"/>
        </w:rPr>
        <w:br w:type="page" w:clear="all"/>
      </w:r>
      <w:r>
        <w:rPr>
          <w:rFonts w:hint="eastAsia" w:ascii="宋体" w:hAnsi="宋体" w:cs="宋体"/>
          <w:color w:val="000000"/>
          <w:sz w:val="24"/>
          <w:szCs w:val="24"/>
          <w:highlight w:val="none"/>
        </w:rPr>
      </w:r>
      <w:r/>
    </w:p>
    <w:p>
      <w:pPr>
        <w:pStyle w:val="724"/>
        <w:jc w:val="center"/>
        <w:spacing w:line="360" w:lineRule="auto"/>
        <w:rPr>
          <w:rFonts w:hint="eastAsia" w:ascii="宋体" w:hAnsi="宋体" w:cs="宋体"/>
          <w:bCs/>
          <w:color w:val="000000"/>
          <w:sz w:val="40"/>
          <w:szCs w:val="32"/>
          <w:highlight w:val="none"/>
        </w:rPr>
      </w:pPr>
      <w:r>
        <w:rPr>
          <w:rFonts w:hint="eastAsia" w:ascii="宋体" w:hAnsi="宋体" w:cs="宋体"/>
          <w:bCs/>
          <w:color w:val="000000"/>
          <w:sz w:val="40"/>
          <w:szCs w:val="32"/>
          <w:highlight w:val="none"/>
        </w:rPr>
        <w:t xml:space="preserve">质疑函范本</w:t>
      </w:r>
      <w:r>
        <w:rPr>
          <w:rFonts w:hint="eastAsia" w:ascii="宋体" w:hAnsi="宋体" w:cs="宋体"/>
          <w:bCs/>
          <w:color w:val="000000"/>
          <w:sz w:val="40"/>
          <w:szCs w:val="32"/>
          <w:highlight w:val="none"/>
        </w:rPr>
      </w:r>
      <w:r/>
    </w:p>
    <w:p>
      <w:pPr>
        <w:pStyle w:val="72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致：</w:t>
      </w:r>
      <w:r>
        <w:rPr>
          <w:rFonts w:hint="eastAsia" w:ascii="宋体" w:hAnsi="宋体" w:cs="宋体"/>
          <w:bCs/>
          <w:color w:val="000000"/>
          <w:sz w:val="24"/>
          <w:szCs w:val="24"/>
          <w:highlight w:val="none"/>
        </w:rPr>
      </w:r>
      <w:r/>
    </w:p>
    <w:p>
      <w:pPr>
        <w:pStyle w:val="72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一、质疑投标人基本信息</w:t>
      </w:r>
      <w:r>
        <w:rPr>
          <w:rFonts w:hint="eastAsia" w:ascii="宋体" w:hAnsi="宋体" w:cs="宋体"/>
          <w:bCs/>
          <w:color w:val="000000"/>
          <w:sz w:val="24"/>
          <w:szCs w:val="24"/>
          <w:highlight w:val="non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质疑投标人：</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地址：邮编：</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联系人：联系电话：</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授权代表：</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联系电话：</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地址：邮编：</w:t>
      </w:r>
      <w:r>
        <w:rPr>
          <w:rFonts w:hint="eastAsia" w:ascii="宋体" w:hAnsi="宋体" w:cs="宋体"/>
          <w:color w:val="000000"/>
          <w:sz w:val="24"/>
          <w:szCs w:val="24"/>
          <w:highlight w:val="none"/>
        </w:rPr>
      </w:r>
      <w:r/>
    </w:p>
    <w:p>
      <w:pPr>
        <w:pStyle w:val="72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二、质疑项目基本情况</w:t>
      </w:r>
      <w:r>
        <w:rPr>
          <w:rFonts w:hint="eastAsia" w:ascii="宋体" w:hAnsi="宋体" w:cs="宋体"/>
          <w:bCs/>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质疑项目的名称：</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质疑项目的编号：包号：</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lang w:eastAsia="zh-CN"/>
        </w:rPr>
        <w:t xml:space="preserve">采购人</w:t>
      </w:r>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招标文件获取日期：</w:t>
      </w:r>
      <w:r>
        <w:rPr>
          <w:rFonts w:hint="eastAsia" w:ascii="宋体" w:hAnsi="宋体" w:cs="宋体"/>
          <w:color w:val="000000"/>
          <w:sz w:val="24"/>
          <w:szCs w:val="24"/>
          <w:highlight w:val="none"/>
        </w:rPr>
      </w:r>
      <w:r/>
    </w:p>
    <w:p>
      <w:pPr>
        <w:pStyle w:val="72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三、质疑事项具体内容</w:t>
      </w:r>
      <w:r>
        <w:rPr>
          <w:rFonts w:hint="eastAsia" w:ascii="宋体" w:hAnsi="宋体" w:cs="宋体"/>
          <w:bCs/>
          <w:color w:val="000000"/>
          <w:sz w:val="24"/>
          <w:szCs w:val="24"/>
          <w:highlight w:val="non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质疑事项1：</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事实依据：</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法律依据：</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质疑事项2</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rPr>
          <w:rFonts w:hint="eastAsia" w:ascii="宋体" w:hAnsi="宋体" w:cs="宋体"/>
          <w:color w:val="000000"/>
          <w:sz w:val="24"/>
          <w:szCs w:val="24"/>
          <w:highlight w:val="none"/>
        </w:rPr>
      </w:r>
      <w:r/>
    </w:p>
    <w:p>
      <w:pPr>
        <w:pStyle w:val="724"/>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四、与质疑事项相关的质疑请求</w:t>
      </w:r>
      <w:r>
        <w:rPr>
          <w:rFonts w:hint="eastAsia" w:ascii="宋体" w:hAnsi="宋体" w:cs="宋体"/>
          <w:bCs/>
          <w:color w:val="000000"/>
          <w:sz w:val="24"/>
          <w:szCs w:val="24"/>
          <w:highlight w:val="none"/>
        </w:rPr>
      </w:r>
      <w:r/>
    </w:p>
    <w:p>
      <w:pPr>
        <w:pStyle w:val="724"/>
        <w:spacing w:line="360" w:lineRule="auto"/>
        <w:rPr>
          <w:rFonts w:hint="eastAsia" w:ascii="宋体" w:hAnsi="宋体" w:cs="宋体"/>
          <w:color w:val="000000"/>
          <w:sz w:val="24"/>
          <w:szCs w:val="24"/>
          <w:highlight w:val="none"/>
          <w:u w:val="single"/>
        </w:rPr>
      </w:pPr>
      <w:r>
        <w:rPr>
          <w:rFonts w:hint="eastAsia" w:ascii="宋体" w:hAnsi="宋体" w:cs="宋体"/>
          <w:color w:val="000000"/>
          <w:sz w:val="24"/>
          <w:szCs w:val="24"/>
          <w:highlight w:val="none"/>
        </w:rPr>
        <w:t xml:space="preserve">请求：</w:t>
      </w:r>
      <w:r>
        <w:rPr>
          <w:rFonts w:hint="eastAsia" w:ascii="宋体" w:hAnsi="宋体" w:cs="宋体"/>
          <w:color w:val="000000"/>
          <w:sz w:val="24"/>
          <w:szCs w:val="24"/>
          <w:highlight w:val="none"/>
          <w:u w:val="singl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签字（签章）：                   公章：                      </w:t>
      </w:r>
      <w:r>
        <w:rPr>
          <w:rFonts w:hint="eastAsia" w:ascii="宋体" w:hAnsi="宋体" w:cs="宋体"/>
          <w:color w:val="000000"/>
          <w:sz w:val="24"/>
          <w:szCs w:val="24"/>
          <w:highlight w:val="none"/>
        </w:rPr>
      </w:r>
      <w:r/>
    </w:p>
    <w:p>
      <w:pPr>
        <w:pStyle w:val="724"/>
        <w:spacing w:line="360" w:lineRule="auto"/>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日期：    </w:t>
      </w:r>
      <w:r>
        <w:rPr>
          <w:rFonts w:hint="eastAsia" w:ascii="宋体" w:hAnsi="宋体" w:cs="宋体"/>
          <w:color w:val="000000"/>
          <w:sz w:val="24"/>
          <w:szCs w:val="24"/>
          <w:highlight w:val="none"/>
        </w:rPr>
      </w:r>
      <w:r/>
    </w:p>
    <w:p>
      <w:pPr>
        <w:pStyle w:val="724"/>
        <w:spacing w:line="360" w:lineRule="auto"/>
        <w:rPr>
          <w:rFonts w:hint="eastAsia" w:ascii="宋体" w:hAnsi="宋体" w:cs="宋体"/>
          <w:b/>
          <w:color w:val="000000"/>
          <w:sz w:val="24"/>
          <w:szCs w:val="24"/>
          <w:highlight w:val="none"/>
        </w:rPr>
      </w:pPr>
      <w:r>
        <w:rPr>
          <w:rFonts w:hint="eastAsia" w:ascii="宋体" w:hAnsi="宋体" w:cs="宋体"/>
          <w:b/>
          <w:color w:val="000000"/>
          <w:sz w:val="24"/>
          <w:szCs w:val="24"/>
          <w:highlight w:val="none"/>
        </w:rPr>
        <w:t xml:space="preserve">质疑函制作说明：</w:t>
      </w:r>
      <w:r>
        <w:rPr>
          <w:rFonts w:hint="eastAsia" w:ascii="宋体" w:hAnsi="宋体" w:cs="宋体"/>
          <w:b/>
          <w:color w:val="000000"/>
          <w:sz w:val="24"/>
          <w:szCs w:val="24"/>
          <w:highlight w:val="none"/>
        </w:rPr>
      </w:r>
      <w:r/>
    </w:p>
    <w:p>
      <w:pPr>
        <w:pStyle w:val="72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1.投标人提出质疑时，应提交质疑函和必要的证明材料。</w:t>
      </w:r>
      <w:r>
        <w:rPr>
          <w:rFonts w:hint="eastAsia" w:ascii="宋体" w:hAnsi="宋体" w:cs="宋体"/>
          <w:color w:val="000000"/>
          <w:sz w:val="24"/>
          <w:szCs w:val="24"/>
          <w:highlight w:val="none"/>
        </w:rPr>
      </w:r>
      <w:r/>
    </w:p>
    <w:p>
      <w:pPr>
        <w:pStyle w:val="72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投标人为自然人的，应当由本人签字；投标人为法人或者其他组织的，应当由法定代表人、主要负责人签字或者盖章，并加盖公章。</w:t>
      </w:r>
      <w:r>
        <w:rPr>
          <w:rFonts w:hint="eastAsia" w:ascii="宋体" w:hAnsi="宋体" w:cs="宋体"/>
          <w:color w:val="000000"/>
          <w:sz w:val="24"/>
          <w:szCs w:val="24"/>
          <w:highlight w:val="none"/>
        </w:rPr>
      </w:r>
      <w:r/>
    </w:p>
    <w:p>
      <w:pPr>
        <w:pStyle w:val="72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3.质疑投标人若对项目的某一分包进行质疑，质疑函中应列明具体分包号。</w:t>
      </w:r>
      <w:r>
        <w:rPr>
          <w:rFonts w:hint="eastAsia" w:ascii="宋体" w:hAnsi="宋体" w:cs="宋体"/>
          <w:color w:val="000000"/>
          <w:sz w:val="24"/>
          <w:szCs w:val="24"/>
          <w:highlight w:val="none"/>
        </w:rPr>
      </w:r>
      <w:r/>
    </w:p>
    <w:p>
      <w:pPr>
        <w:pStyle w:val="72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4.质疑函的质疑事项应具体、明确，并有必要的事实依据和法律依据。</w:t>
      </w:r>
      <w:r>
        <w:rPr>
          <w:rFonts w:hint="eastAsia" w:ascii="宋体" w:hAnsi="宋体" w:cs="宋体"/>
          <w:color w:val="000000"/>
          <w:sz w:val="24"/>
          <w:szCs w:val="24"/>
          <w:highlight w:val="none"/>
        </w:rPr>
      </w:r>
      <w:r/>
    </w:p>
    <w:p>
      <w:pPr>
        <w:pStyle w:val="724"/>
        <w:ind w:firstLine="480"/>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5.质疑函的质疑请求应与质疑事项相关。</w:t>
      </w:r>
      <w:r>
        <w:rPr>
          <w:rFonts w:hint="eastAsia" w:ascii="宋体" w:hAnsi="宋体" w:cs="宋体"/>
          <w:color w:val="000000"/>
          <w:sz w:val="24"/>
          <w:szCs w:val="24"/>
          <w:highlight w:val="none"/>
        </w:rPr>
      </w:r>
      <w:r/>
    </w:p>
    <w:p>
      <w:pPr>
        <w:pStyle w:val="724"/>
        <w:ind w:firstLine="480"/>
        <w:jc w:val="left"/>
        <w:spacing w:line="360" w:lineRule="auto"/>
        <w:widowControl/>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6.质疑投标人为自然人的，质疑函应附自然人身份证明复印件并由本人签字；质疑投标人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howcard Gothic">
    <w:panose1 w:val="04020904020102020604"/>
  </w:font>
  <w:font w:name="文鼎CS楷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思源宋体">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４２</w:t>
                          </w:r>
                          <w:r>
                            <w:rPr>
                              <w:rFonts w:ascii="宋体" w:hAnsi="宋体"/>
                            </w:rPr>
                            <w:fldChar w:fldCharType="end"/>
                          </w:r>
                          <w:r>
                            <w:rPr>
                              <w:rStyle w:val="981"/>
                              <w:rFonts w:ascii="宋体" w:hAnsi="宋体"/>
                            </w:rPr>
                          </w:r>
                          <w:r/>
                        </w:p>
                        <w:p>
                          <w:pPr>
                            <w:pStyle w:val="724"/>
                          </w:pPr>
                          <w:r/>
                          <w:r/>
                        </w:p>
                        <w:p>
                          <w:pPr>
                            <w:pStyle w:val="72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rPr>
                        <w:rStyle w:val="981"/>
                        <w:rFonts w:ascii="宋体" w:hAnsi="宋体"/>
                      </w:rPr>
                    </w:pPr>
                    <w:r>
                      <w:rPr>
                        <w:rFonts w:ascii="宋体" w:hAnsi="宋体"/>
                      </w:rPr>
                      <w:fldChar w:fldCharType="begin"/>
                    </w:r>
                    <w:r>
                      <w:rPr>
                        <w:rStyle w:val="981"/>
                        <w:rFonts w:ascii="宋体" w:hAnsi="宋体"/>
                      </w:rPr>
                      <w:instrText xml:space="preserve">PAGE  </w:instrText>
                    </w:r>
                    <w:r>
                      <w:rPr>
                        <w:rFonts w:ascii="宋体" w:hAnsi="宋体"/>
                      </w:rPr>
                      <w:fldChar w:fldCharType="separate"/>
                    </w:r>
                    <w:r>
                      <w:rPr>
                        <w:rStyle w:val="981"/>
                        <w:rFonts w:ascii="宋体" w:hAnsi="宋体"/>
                      </w:rPr>
                      <w:t xml:space="preserve">４２</w:t>
                    </w:r>
                    <w:r>
                      <w:rPr>
                        <w:rFonts w:ascii="宋体" w:hAnsi="宋体"/>
                      </w:rPr>
                      <w:fldChar w:fldCharType="end"/>
                    </w:r>
                    <w:r>
                      <w:rPr>
                        <w:rStyle w:val="981"/>
                        <w:rFonts w:ascii="宋体" w:hAnsi="宋体"/>
                      </w:rPr>
                    </w:r>
                    <w:r/>
                  </w:p>
                  <w:p>
                    <w:pPr>
                      <w:pStyle w:val="724"/>
                    </w:pPr>
                    <w:r/>
                    <w:r/>
                  </w:p>
                  <w:p>
                    <w:pPr>
                      <w:pStyle w:val="724"/>
                    </w:pPr>
                    <w:r/>
                    <w:r/>
                  </w:p>
                </w:txbxContent>
              </v:textbox>
            </v:shape>
          </w:pict>
        </mc:Fallback>
      </mc:AlternateConten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rPr>
        <w:rStyle w:val="981"/>
      </w:rPr>
      <w:framePr w:wrap="around" w:vAnchor="text" w:hAnchor="margin" w:xAlign="center" w:y="1"/>
    </w:pPr>
    <w:r>
      <w:fldChar w:fldCharType="begin"/>
    </w:r>
    <w:r>
      <w:rPr>
        <w:rStyle w:val="981"/>
      </w:rPr>
      <w:instrText xml:space="preserve">PAGE  </w:instrText>
    </w:r>
    <w:r>
      <w:fldChar w:fldCharType="separate"/>
    </w:r>
    <w:r>
      <w:rPr>
        <w:rStyle w:val="981"/>
      </w:rPr>
      <w:t xml:space="preserve">1</w:t>
    </w:r>
    <w:r>
      <w:fldChar w:fldCharType="end"/>
    </w:r>
    <w:r>
      <w:rPr>
        <w:rStyle w:val="981"/>
      </w:rPr>
    </w:r>
    <w:r/>
  </w:p>
  <w:p>
    <w:pPr>
      <w:pStyle w:val="955"/>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5"/>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4"/>
                          </w:pPr>
                          <w:r/>
                          <w:r/>
                        </w:p>
                        <w:p>
                          <w:pPr>
                            <w:pStyle w:val="724"/>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5"/>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724"/>
                    </w:pPr>
                    <w:r/>
                    <w:r/>
                  </w:p>
                  <w:p>
                    <w:pPr>
                      <w:pStyle w:val="724"/>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pStyle w:val="724"/>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pStyle w:val="724"/>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2">
    <w:multiLevelType w:val="hybridMultilevel"/>
    <w:lvl w:ilvl="0">
      <w:start w:val="1"/>
      <w:numFmt w:val="upperLetter"/>
      <w:pStyle w:val="987"/>
      <w:isLgl w:val="false"/>
      <w:suff w:val="tab"/>
      <w:lvlText w:val="附录%1."/>
      <w:lvlJc w:val="left"/>
      <w:pPr>
        <w:pStyle w:val="724"/>
        <w:ind w:left="907" w:hanging="907"/>
        <w:tabs>
          <w:tab w:val="num" w:pos="907" w:leader="none"/>
        </w:tabs>
      </w:pPr>
      <w:rPr>
        <w:rFonts w:hint="eastAsia"/>
      </w:r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pStyle w:val="724"/>
        <w:ind w:left="0" w:firstLine="0"/>
      </w:pPr>
      <w:rPr>
        <w:rFonts w:hint="eastAsia"/>
      </w:rPr>
    </w:lvl>
    <w:lvl w:ilvl="1">
      <w:start w:val="1"/>
      <w:numFmt w:val="decimal"/>
      <w:isLgl w:val="false"/>
      <w:suff w:val="nothing"/>
      <w:lvlText w:val="%2、"/>
      <w:lvlJc w:val="left"/>
      <w:pPr>
        <w:pStyle w:val="724"/>
        <w:ind w:left="0" w:firstLine="0"/>
      </w:pPr>
      <w:rPr>
        <w:rFonts w:hint="eastAsia"/>
      </w:rPr>
    </w:lvl>
    <w:lvl w:ilvl="2">
      <w:start w:val="1"/>
      <w:numFmt w:val="decimal"/>
      <w:isLgl w:val="false"/>
      <w:suff w:val="nothing"/>
      <w:lvlText w:val="%2.%3 "/>
      <w:lvlJc w:val="left"/>
      <w:pPr>
        <w:pStyle w:val="724"/>
        <w:ind w:left="0" w:firstLine="0"/>
      </w:pPr>
      <w:rPr>
        <w:rFonts w:hint="eastAsia"/>
      </w:rPr>
    </w:lvl>
    <w:lvl w:ilvl="3">
      <w:start w:val="1"/>
      <w:numFmt w:val="decimal"/>
      <w:isLgl w:val="false"/>
      <w:suff w:val="nothing"/>
      <w:lvlText w:val="%2.%3.%4 "/>
      <w:lvlJc w:val="left"/>
      <w:pPr>
        <w:pStyle w:val="724"/>
        <w:ind w:left="0" w:firstLine="0"/>
      </w:pPr>
      <w:rPr>
        <w:rFonts w:hint="eastAsia"/>
      </w:rPr>
    </w:lvl>
    <w:lvl w:ilvl="4">
      <w:start w:val="1"/>
      <w:numFmt w:val="decimal"/>
      <w:isLgl w:val="false"/>
      <w:suff w:val="nothing"/>
      <w:lvlText w:val="%2.%3.%4.%5 "/>
      <w:lvlJc w:val="left"/>
      <w:pPr>
        <w:pStyle w:val="724"/>
        <w:ind w:left="0" w:firstLine="0"/>
      </w:pPr>
      <w:rPr>
        <w:rFonts w:hint="eastAsia"/>
      </w:rPr>
    </w:lvl>
    <w:lvl w:ilvl="5">
      <w:start w:val="1"/>
      <w:numFmt w:val="decimal"/>
      <w:pStyle w:val="920"/>
      <w:isLgl w:val="false"/>
      <w:suff w:val="nothing"/>
      <w:lvlText w:val=""/>
      <w:lvlJc w:val="left"/>
      <w:pPr>
        <w:pStyle w:val="724"/>
        <w:ind w:left="0" w:firstLine="0"/>
      </w:pPr>
      <w:rPr>
        <w:rFonts w:hint="eastAsia"/>
      </w:rPr>
    </w:lvl>
    <w:lvl w:ilvl="6">
      <w:start w:val="1"/>
      <w:numFmt w:val="decimal"/>
      <w:pStyle w:val="922"/>
      <w:isLgl w:val="false"/>
      <w:suff w:val="nothing"/>
      <w:lvlText w:val=""/>
      <w:lvlJc w:val="left"/>
      <w:pPr>
        <w:pStyle w:val="724"/>
        <w:ind w:left="0" w:firstLine="0"/>
      </w:pPr>
      <w:rPr>
        <w:rFonts w:hint="eastAsia"/>
      </w:rPr>
    </w:lvl>
    <w:lvl w:ilvl="7">
      <w:start w:val="1"/>
      <w:numFmt w:val="decimal"/>
      <w:pStyle w:val="924"/>
      <w:isLgl w:val="false"/>
      <w:suff w:val="nothing"/>
      <w:lvlText w:val=""/>
      <w:lvlJc w:val="left"/>
      <w:pPr>
        <w:pStyle w:val="724"/>
        <w:ind w:left="0" w:firstLine="0"/>
      </w:pPr>
      <w:rPr>
        <w:rFonts w:hint="eastAsia"/>
      </w:rPr>
    </w:lvl>
    <w:lvl w:ilvl="8">
      <w:start w:val="1"/>
      <w:numFmt w:val="decimal"/>
      <w:pStyle w:val="926"/>
      <w:isLgl w:val="false"/>
      <w:suff w:val="nothing"/>
      <w:lvlText w:val=""/>
      <w:lvlJc w:val="left"/>
      <w:pPr>
        <w:pStyle w:val="724"/>
        <w:ind w:left="0" w:firstLine="0"/>
      </w:pPr>
      <w:rPr>
        <w:rFonts w:hint="eastAsia"/>
      </w:rPr>
    </w:lvl>
  </w:abstractNum>
  <w:abstractNum w:abstractNumId="4">
    <w:multiLevelType w:val="hybridMultilevel"/>
    <w:lvl w:ilvl="0">
      <w:start w:val="2"/>
      <w:numFmt w:val="decimal"/>
      <w:isLgl w:val="false"/>
      <w:suff w:val="space"/>
      <w:lvlText w:val="%1."/>
      <w:lvlJc w:val="left"/>
      <w:pPr>
        <w:pStyle w:val="724"/>
      </w:pPr>
    </w:lvl>
    <w:lvl w:ilvl="1">
      <w:start w:val="1"/>
      <w:numFmt w:val="bullet"/>
      <w:isLgl w:val="false"/>
      <w:suff w:val="tab"/>
      <w:lvlText w:val="o"/>
      <w:lvlJc w:val="left"/>
      <w:pPr>
        <w:pStyle w:val="724"/>
        <w:ind w:left="1440" w:hanging="360"/>
      </w:pPr>
      <w:rPr>
        <w:rFonts w:ascii="Courier New" w:hAnsi="Courier New" w:eastAsia="Courier New" w:cs="Courier New"/>
      </w:rPr>
    </w:lvl>
    <w:lvl w:ilvl="2">
      <w:start w:val="1"/>
      <w:numFmt w:val="bullet"/>
      <w:isLgl w:val="false"/>
      <w:suff w:val="tab"/>
      <w:lvlText w:val="§"/>
      <w:lvlJc w:val="left"/>
      <w:pPr>
        <w:pStyle w:val="724"/>
        <w:ind w:left="2160" w:hanging="360"/>
      </w:pPr>
      <w:rPr>
        <w:rFonts w:ascii="Wingdings" w:hAnsi="Wingdings" w:eastAsia="Wingdings" w:cs="Wingdings"/>
      </w:rPr>
    </w:lvl>
    <w:lvl w:ilvl="3">
      <w:start w:val="1"/>
      <w:numFmt w:val="bullet"/>
      <w:isLgl w:val="false"/>
      <w:suff w:val="tab"/>
      <w:lvlText w:val="·"/>
      <w:lvlJc w:val="left"/>
      <w:pPr>
        <w:pStyle w:val="724"/>
        <w:ind w:left="2880" w:hanging="360"/>
      </w:pPr>
      <w:rPr>
        <w:rFonts w:ascii="Symbol" w:hAnsi="Symbol" w:eastAsia="Symbol" w:cs="Symbol"/>
      </w:rPr>
    </w:lvl>
    <w:lvl w:ilvl="4">
      <w:start w:val="1"/>
      <w:numFmt w:val="bullet"/>
      <w:isLgl w:val="false"/>
      <w:suff w:val="tab"/>
      <w:lvlText w:val="o"/>
      <w:lvlJc w:val="left"/>
      <w:pPr>
        <w:pStyle w:val="724"/>
        <w:ind w:left="3600" w:hanging="360"/>
      </w:pPr>
      <w:rPr>
        <w:rFonts w:ascii="Courier New" w:hAnsi="Courier New" w:eastAsia="Courier New" w:cs="Courier New"/>
      </w:rPr>
    </w:lvl>
    <w:lvl w:ilvl="5">
      <w:start w:val="1"/>
      <w:numFmt w:val="bullet"/>
      <w:isLgl w:val="false"/>
      <w:suff w:val="tab"/>
      <w:lvlText w:val="§"/>
      <w:lvlJc w:val="left"/>
      <w:pPr>
        <w:pStyle w:val="724"/>
        <w:ind w:left="4320" w:hanging="360"/>
      </w:pPr>
      <w:rPr>
        <w:rFonts w:ascii="Wingdings" w:hAnsi="Wingdings" w:eastAsia="Wingdings" w:cs="Wingdings"/>
      </w:rPr>
    </w:lvl>
    <w:lvl w:ilvl="6">
      <w:start w:val="1"/>
      <w:numFmt w:val="bullet"/>
      <w:isLgl w:val="false"/>
      <w:suff w:val="tab"/>
      <w:lvlText w:val="·"/>
      <w:lvlJc w:val="left"/>
      <w:pPr>
        <w:pStyle w:val="724"/>
        <w:ind w:left="5040" w:hanging="360"/>
      </w:pPr>
      <w:rPr>
        <w:rFonts w:ascii="Symbol" w:hAnsi="Symbol" w:eastAsia="Symbol" w:cs="Symbol"/>
      </w:rPr>
    </w:lvl>
    <w:lvl w:ilvl="7">
      <w:start w:val="1"/>
      <w:numFmt w:val="bullet"/>
      <w:isLgl w:val="false"/>
      <w:suff w:val="tab"/>
      <w:lvlText w:val="o"/>
      <w:lvlJc w:val="left"/>
      <w:pPr>
        <w:pStyle w:val="724"/>
        <w:ind w:left="5760" w:hanging="360"/>
      </w:pPr>
      <w:rPr>
        <w:rFonts w:ascii="Courier New" w:hAnsi="Courier New" w:eastAsia="Courier New" w:cs="Courier New"/>
      </w:rPr>
    </w:lvl>
    <w:lvl w:ilvl="8">
      <w:start w:val="1"/>
      <w:numFmt w:val="bullet"/>
      <w:isLgl w:val="false"/>
      <w:suff w:val="tab"/>
      <w:lvlText w:val="§"/>
      <w:lvlJc w:val="left"/>
      <w:pPr>
        <w:pStyle w:val="724"/>
        <w:ind w:left="6480" w:hanging="360"/>
      </w:pPr>
      <w:rPr>
        <w:rFonts w:ascii="Wingdings" w:hAnsi="Wingdings" w:eastAsia="Wingdings" w:cs="Wingdings"/>
      </w:rPr>
    </w:lvl>
  </w:abstractNum>
  <w:abstractNum w:abstractNumId="5">
    <w:multiLevelType w:val="hybridMultilevel"/>
    <w:lvl w:ilvl="0">
      <w:start w:val="1"/>
      <w:numFmt w:val="decimal"/>
      <w:pStyle w:val="1004"/>
      <w:isLgl w:val="false"/>
      <w:suff w:val="tab"/>
      <w:lvlText w:val="%1."/>
      <w:lvlJc w:val="left"/>
      <w:pPr>
        <w:pStyle w:val="724"/>
        <w:ind w:left="709" w:hanging="709"/>
        <w:tabs>
          <w:tab w:val="num" w:pos="709" w:leader="none"/>
        </w:tabs>
      </w:pPr>
      <w:rPr>
        <w:rFonts w:hint="eastAsia"/>
      </w:rPr>
    </w:lvl>
    <w:lvl w:ilvl="1">
      <w:start w:val="1"/>
      <w:numFmt w:val="decimal"/>
      <w:isLgl w:val="false"/>
      <w:suff w:val="tab"/>
      <w:lvlText w:val="%1.%2"/>
      <w:lvlJc w:val="left"/>
      <w:pPr>
        <w:pStyle w:val="724"/>
        <w:ind w:left="709" w:hanging="709"/>
        <w:tabs>
          <w:tab w:val="num" w:pos="709" w:leader="none"/>
        </w:tabs>
      </w:pPr>
      <w:rPr>
        <w:rFonts w:hint="eastAsia"/>
      </w:rPr>
    </w:lvl>
    <w:lvl w:ilvl="2">
      <w:start w:val="1"/>
      <w:numFmt w:val="decimal"/>
      <w:isLgl w:val="false"/>
      <w:suff w:val="tab"/>
      <w:lvlText w:val="%1.%2.%3."/>
      <w:lvlJc w:val="left"/>
      <w:pPr>
        <w:pStyle w:val="724"/>
        <w:ind w:left="425" w:hanging="425"/>
        <w:tabs>
          <w:tab w:val="num" w:pos="425" w:leader="none"/>
        </w:tabs>
      </w:pPr>
      <w:rPr>
        <w:rFonts w:hint="eastAsia"/>
      </w:rPr>
    </w:lvl>
    <w:lvl w:ilvl="3">
      <w:start w:val="1"/>
      <w:numFmt w:val="decimal"/>
      <w:isLgl w:val="false"/>
      <w:suff w:val="tab"/>
      <w:lvlText w:val="%1.%2.%3.%4."/>
      <w:lvlJc w:val="left"/>
      <w:pPr>
        <w:pStyle w:val="724"/>
        <w:ind w:left="851" w:hanging="851"/>
        <w:tabs>
          <w:tab w:val="num" w:pos="851" w:leader="none"/>
        </w:tabs>
      </w:pPr>
      <w:rPr>
        <w:rFonts w:hint="eastAsia"/>
      </w:rPr>
    </w:lvl>
    <w:lvl w:ilvl="4">
      <w:start w:val="1"/>
      <w:numFmt w:val="decimal"/>
      <w:isLgl w:val="false"/>
      <w:suff w:val="tab"/>
      <w:lvlText w:val="%1.%2.%3.%4.%5."/>
      <w:lvlJc w:val="left"/>
      <w:pPr>
        <w:pStyle w:val="724"/>
        <w:ind w:left="992" w:hanging="992"/>
        <w:tabs>
          <w:tab w:val="num" w:pos="992" w:leader="none"/>
        </w:tabs>
      </w:pPr>
      <w:rPr>
        <w:rFonts w:hint="eastAsia"/>
      </w:rPr>
    </w:lvl>
    <w:lvl w:ilvl="5">
      <w:start w:val="1"/>
      <w:numFmt w:val="decimal"/>
      <w:isLgl w:val="false"/>
      <w:suff w:val="tab"/>
      <w:lvlText w:val="%1.%2.%3.%4.%5.%6."/>
      <w:lvlJc w:val="left"/>
      <w:pPr>
        <w:pStyle w:val="724"/>
        <w:ind w:left="1134" w:hanging="1134"/>
        <w:tabs>
          <w:tab w:val="num" w:pos="1134" w:leader="none"/>
        </w:tabs>
      </w:pPr>
      <w:rPr>
        <w:rFonts w:hint="eastAsia"/>
      </w:rPr>
    </w:lvl>
    <w:lvl w:ilvl="6">
      <w:start w:val="1"/>
      <w:numFmt w:val="decimal"/>
      <w:isLgl w:val="false"/>
      <w:suff w:val="tab"/>
      <w:lvlText w:val="%1.%2.%3.%4.%5.%6.%7."/>
      <w:lvlJc w:val="left"/>
      <w:pPr>
        <w:pStyle w:val="724"/>
        <w:ind w:left="1276" w:hanging="1276"/>
        <w:tabs>
          <w:tab w:val="num" w:pos="1276" w:leader="none"/>
        </w:tabs>
      </w:pPr>
      <w:rPr>
        <w:rFonts w:hint="eastAsia"/>
      </w:rPr>
    </w:lvl>
    <w:lvl w:ilvl="7">
      <w:start w:val="1"/>
      <w:numFmt w:val="decimal"/>
      <w:isLgl w:val="false"/>
      <w:suff w:val="tab"/>
      <w:lvlText w:val="%1.%2.%3.%4.%5.%6.%7.%8."/>
      <w:lvlJc w:val="left"/>
      <w:pPr>
        <w:pStyle w:val="724"/>
        <w:ind w:left="1418" w:hanging="1418"/>
        <w:tabs>
          <w:tab w:val="num" w:pos="1418" w:leader="none"/>
        </w:tabs>
      </w:pPr>
      <w:rPr>
        <w:rFonts w:hint="eastAsia"/>
      </w:rPr>
    </w:lvl>
    <w:lvl w:ilvl="8">
      <w:start w:val="1"/>
      <w:numFmt w:val="decimal"/>
      <w:isLgl w:val="false"/>
      <w:suff w:val="tab"/>
      <w:lvlText w:val="%1.%2.%3.%4.%5.%6.%7.%8.%9."/>
      <w:lvlJc w:val="left"/>
      <w:pPr>
        <w:pStyle w:val="724"/>
        <w:ind w:left="1559" w:hanging="1559"/>
        <w:tabs>
          <w:tab w:val="num" w:pos="1559" w:leader="none"/>
        </w:tabs>
      </w:pPr>
      <w:rPr>
        <w:rFonts w:hint="eastAsia"/>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14">
    <w:name w:val="Heading 2"/>
    <w:basedOn w:val="724"/>
    <w:next w:val="724"/>
    <w:link w:val="738"/>
    <w:uiPriority w:val="9"/>
    <w:unhideWhenUsed/>
    <w:qFormat/>
    <w:pPr>
      <w:keepLines/>
      <w:keepNext/>
      <w:spacing w:before="360" w:after="200"/>
      <w:outlineLvl w:val="1"/>
    </w:pPr>
    <w:rPr>
      <w:rFonts w:ascii="Arial" w:hAnsi="Arial" w:eastAsia="Arial" w:cs="Arial"/>
      <w:sz w:val="34"/>
    </w:rPr>
  </w:style>
  <w:style w:type="paragraph" w:styleId="16">
    <w:name w:val="Heading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24"/>
    <w:next w:val="724"/>
    <w:link w:val="741"/>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paragraph" w:styleId="33">
    <w:name w:val="Title"/>
    <w:basedOn w:val="724"/>
    <w:next w:val="724"/>
    <w:link w:val="769"/>
    <w:uiPriority w:val="10"/>
    <w:qFormat/>
    <w:pPr>
      <w:contextualSpacing/>
      <w:spacing w:before="300" w:after="200"/>
    </w:pPr>
    <w:rPr>
      <w:sz w:val="48"/>
      <w:szCs w:val="48"/>
    </w:rPr>
  </w:style>
  <w:style w:type="paragraph" w:styleId="35">
    <w:name w:val="Subtitle"/>
    <w:basedOn w:val="724"/>
    <w:next w:val="724"/>
    <w:link w:val="761"/>
    <w:uiPriority w:val="11"/>
    <w:qFormat/>
    <w:pPr>
      <w:spacing w:before="200" w:after="200"/>
    </w:pPr>
    <w:rPr>
      <w:sz w:val="24"/>
      <w:szCs w:val="24"/>
    </w:rPr>
  </w:style>
  <w:style w:type="paragraph" w:styleId="41">
    <w:name w:val="Header"/>
    <w:basedOn w:val="724"/>
    <w:link w:val="757"/>
    <w:uiPriority w:val="99"/>
    <w:unhideWhenUsed/>
    <w:pPr>
      <w:spacing w:after="0" w:line="240" w:lineRule="auto"/>
      <w:tabs>
        <w:tab w:val="center" w:pos="7143" w:leader="none"/>
        <w:tab w:val="right" w:pos="14287" w:leader="none"/>
      </w:tabs>
    </w:pPr>
  </w:style>
  <w:style w:type="paragraph" w:styleId="43">
    <w:name w:val="Footer"/>
    <w:basedOn w:val="724"/>
    <w:link w:val="775"/>
    <w:uiPriority w:val="99"/>
    <w:unhideWhenUsed/>
    <w:pPr>
      <w:spacing w:after="0" w:line="240" w:lineRule="auto"/>
      <w:tabs>
        <w:tab w:val="center" w:pos="7143" w:leader="none"/>
        <w:tab w:val="right" w:pos="14287" w:leader="none"/>
      </w:tabs>
    </w:pPr>
  </w:style>
  <w:style w:type="paragraph" w:styleId="45">
    <w:name w:val="Caption"/>
    <w:basedOn w:val="724"/>
    <w:next w:val="724"/>
    <w:uiPriority w:val="35"/>
    <w:semiHidden/>
    <w:unhideWhenUsed/>
    <w:qFormat/>
    <w:pPr>
      <w:spacing w:line="276" w:lineRule="auto"/>
    </w:pPr>
    <w:rPr>
      <w:b/>
      <w:bCs/>
      <w:color w:val="4f81bd" w:themeColor="accent1"/>
      <w:sz w:val="18"/>
      <w:szCs w:val="18"/>
    </w:rPr>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73">
    <w:name w:val="Hyperlink"/>
    <w:uiPriority w:val="99"/>
    <w:unhideWhenUsed/>
    <w:rPr>
      <w:color w:val="0000ff" w:themeColor="hyperlink"/>
      <w:u w:val="single"/>
    </w:rPr>
  </w:style>
  <w:style w:type="paragraph" w:styleId="174">
    <w:name w:val="footnote text"/>
    <w:basedOn w:val="724"/>
    <w:link w:val="76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24"/>
    <w:link w:val="753"/>
    <w:uiPriority w:val="99"/>
    <w:semiHidden/>
    <w:unhideWhenUsed/>
    <w:pPr>
      <w:spacing w:after="0" w:line="240" w:lineRule="auto"/>
    </w:pPr>
    <w:rPr>
      <w:sz w:val="20"/>
    </w:rPr>
  </w:style>
  <w:style w:type="character" w:styleId="179">
    <w:name w:val="endnote reference"/>
    <w:basedOn w:val="10"/>
    <w:uiPriority w:val="99"/>
    <w:semiHidden/>
    <w:unhideWhenUsed/>
    <w:rPr>
      <w:vertAlign w:val="superscript"/>
    </w:rPr>
  </w:style>
  <w:style w:type="paragraph" w:styleId="180">
    <w:name w:val="toc 1"/>
    <w:basedOn w:val="724"/>
    <w:next w:val="724"/>
    <w:uiPriority w:val="39"/>
    <w:unhideWhenUsed/>
    <w:pPr>
      <w:ind w:left="0" w:right="0" w:firstLine="0"/>
      <w:spacing w:after="57"/>
    </w:pPr>
  </w:style>
  <w:style w:type="paragraph" w:styleId="181">
    <w:name w:val="toc 2"/>
    <w:basedOn w:val="724"/>
    <w:next w:val="724"/>
    <w:uiPriority w:val="39"/>
    <w:unhideWhenUsed/>
    <w:pPr>
      <w:ind w:left="283" w:right="0" w:firstLine="0"/>
      <w:spacing w:after="57"/>
    </w:pPr>
  </w:style>
  <w:style w:type="paragraph" w:styleId="182">
    <w:name w:val="toc 3"/>
    <w:basedOn w:val="724"/>
    <w:next w:val="724"/>
    <w:uiPriority w:val="39"/>
    <w:unhideWhenUsed/>
    <w:pPr>
      <w:ind w:left="567" w:right="0" w:firstLine="0"/>
      <w:spacing w:after="57"/>
    </w:pPr>
  </w:style>
  <w:style w:type="paragraph" w:styleId="183">
    <w:name w:val="toc 4"/>
    <w:basedOn w:val="724"/>
    <w:next w:val="724"/>
    <w:uiPriority w:val="39"/>
    <w:unhideWhenUsed/>
    <w:pPr>
      <w:ind w:left="850" w:right="0" w:firstLine="0"/>
      <w:spacing w:after="57"/>
    </w:pPr>
  </w:style>
  <w:style w:type="paragraph" w:styleId="184">
    <w:name w:val="toc 5"/>
    <w:basedOn w:val="724"/>
    <w:next w:val="724"/>
    <w:uiPriority w:val="39"/>
    <w:unhideWhenUsed/>
    <w:pPr>
      <w:ind w:left="1134" w:right="0" w:firstLine="0"/>
      <w:spacing w:after="57"/>
    </w:pPr>
  </w:style>
  <w:style w:type="paragraph" w:styleId="185">
    <w:name w:val="toc 6"/>
    <w:basedOn w:val="724"/>
    <w:next w:val="724"/>
    <w:uiPriority w:val="39"/>
    <w:unhideWhenUsed/>
    <w:pPr>
      <w:ind w:left="1417" w:right="0" w:firstLine="0"/>
      <w:spacing w:after="57"/>
    </w:pPr>
  </w:style>
  <w:style w:type="paragraph" w:styleId="186">
    <w:name w:val="toc 7"/>
    <w:basedOn w:val="724"/>
    <w:next w:val="724"/>
    <w:uiPriority w:val="39"/>
    <w:unhideWhenUsed/>
    <w:pPr>
      <w:ind w:left="1701" w:right="0" w:firstLine="0"/>
      <w:spacing w:after="57"/>
    </w:pPr>
  </w:style>
  <w:style w:type="paragraph" w:styleId="187">
    <w:name w:val="toc 8"/>
    <w:basedOn w:val="724"/>
    <w:next w:val="724"/>
    <w:uiPriority w:val="39"/>
    <w:unhideWhenUsed/>
    <w:pPr>
      <w:ind w:left="1984" w:right="0" w:firstLine="0"/>
      <w:spacing w:after="57"/>
    </w:pPr>
  </w:style>
  <w:style w:type="paragraph" w:styleId="188">
    <w:name w:val="toc 9"/>
    <w:basedOn w:val="724"/>
    <w:next w:val="724"/>
    <w:uiPriority w:val="39"/>
    <w:unhideWhenUsed/>
    <w:pPr>
      <w:ind w:left="2268" w:right="0" w:firstLine="0"/>
      <w:spacing w:after="57"/>
    </w:pPr>
  </w:style>
  <w:style w:type="paragraph" w:styleId="190">
    <w:name w:val="table of figures"/>
    <w:basedOn w:val="724"/>
    <w:next w:val="724"/>
    <w:uiPriority w:val="99"/>
    <w:unhideWhenUsed/>
    <w:pPr>
      <w:spacing w:after="0" w:afterAutospacing="0"/>
    </w:pPr>
  </w:style>
  <w:style w:type="paragraph" w:styleId="724" w:default="1">
    <w:name w:val="Normal"/>
    <w:next w:val="736"/>
    <w:link w:val="724"/>
    <w:qFormat/>
    <w:pPr>
      <w:jc w:val="both"/>
      <w:widowControl w:val="off"/>
    </w:pPr>
    <w:rPr>
      <w:rFonts w:ascii="Times New Roman" w:hAnsi="Times New Roman" w:eastAsia="宋体" w:cs="Times New Roman"/>
      <w:sz w:val="21"/>
      <w:szCs w:val="22"/>
      <w:lang w:val="en-US" w:eastAsia="zh-CN" w:bidi="ar-SA"/>
    </w:rPr>
  </w:style>
  <w:style w:type="paragraph" w:styleId="725">
    <w:name w:val="标题 1"/>
    <w:basedOn w:val="724"/>
    <w:next w:val="724"/>
    <w:link w:val="737"/>
    <w:uiPriority w:val="9"/>
    <w:qFormat/>
    <w:pPr>
      <w:keepLines/>
      <w:keepNext/>
      <w:spacing w:before="480" w:after="200"/>
      <w:outlineLvl w:val="0"/>
    </w:pPr>
    <w:rPr>
      <w:rFonts w:ascii="Arial" w:hAnsi="Arial" w:eastAsia="Arial" w:cs="Arial"/>
      <w:sz w:val="40"/>
      <w:szCs w:val="40"/>
    </w:rPr>
  </w:style>
  <w:style w:type="paragraph" w:styleId="726">
    <w:name w:val="标题 2"/>
    <w:basedOn w:val="724"/>
    <w:next w:val="724"/>
    <w:link w:val="738"/>
    <w:uiPriority w:val="9"/>
    <w:unhideWhenUsed/>
    <w:qFormat/>
    <w:pPr>
      <w:keepLines/>
      <w:keepNext/>
      <w:spacing w:before="360" w:after="200"/>
      <w:outlineLvl w:val="1"/>
    </w:pPr>
    <w:rPr>
      <w:rFonts w:ascii="Arial" w:hAnsi="Arial" w:eastAsia="Arial" w:cs="Arial"/>
      <w:sz w:val="34"/>
    </w:rPr>
  </w:style>
  <w:style w:type="paragraph" w:styleId="727">
    <w:name w:val="标题 3"/>
    <w:basedOn w:val="724"/>
    <w:next w:val="724"/>
    <w:link w:val="739"/>
    <w:uiPriority w:val="9"/>
    <w:unhideWhenUsed/>
    <w:qFormat/>
    <w:pPr>
      <w:keepLines/>
      <w:keepNext/>
      <w:spacing w:before="320" w:after="200"/>
      <w:outlineLvl w:val="2"/>
    </w:pPr>
    <w:rPr>
      <w:rFonts w:ascii="Arial" w:hAnsi="Arial" w:eastAsia="Arial" w:cs="Arial"/>
      <w:sz w:val="30"/>
      <w:szCs w:val="30"/>
    </w:rPr>
  </w:style>
  <w:style w:type="paragraph" w:styleId="728">
    <w:name w:val="标题 4"/>
    <w:basedOn w:val="724"/>
    <w:next w:val="724"/>
    <w:link w:val="740"/>
    <w:uiPriority w:val="9"/>
    <w:unhideWhenUsed/>
    <w:qFormat/>
    <w:pPr>
      <w:keepLines/>
      <w:keepNext/>
      <w:spacing w:before="320" w:after="200"/>
      <w:outlineLvl w:val="3"/>
    </w:pPr>
    <w:rPr>
      <w:rFonts w:ascii="Arial" w:hAnsi="Arial" w:eastAsia="Arial" w:cs="Arial"/>
      <w:b/>
      <w:bCs/>
      <w:sz w:val="26"/>
      <w:szCs w:val="26"/>
    </w:rPr>
  </w:style>
  <w:style w:type="paragraph" w:styleId="729">
    <w:name w:val="标题 5"/>
    <w:basedOn w:val="724"/>
    <w:next w:val="724"/>
    <w:link w:val="741"/>
    <w:uiPriority w:val="9"/>
    <w:unhideWhenUsed/>
    <w:qFormat/>
    <w:pPr>
      <w:keepLines/>
      <w:keepNext/>
      <w:spacing w:before="320" w:after="200"/>
      <w:outlineLvl w:val="4"/>
    </w:pPr>
    <w:rPr>
      <w:rFonts w:ascii="Arial" w:hAnsi="Arial" w:eastAsia="Arial" w:cs="Arial"/>
      <w:b/>
      <w:bCs/>
      <w:sz w:val="24"/>
      <w:szCs w:val="24"/>
    </w:rPr>
  </w:style>
  <w:style w:type="paragraph" w:styleId="730">
    <w:name w:val="标题 6"/>
    <w:basedOn w:val="724"/>
    <w:next w:val="724"/>
    <w:link w:val="742"/>
    <w:uiPriority w:val="9"/>
    <w:unhideWhenUsed/>
    <w:qFormat/>
    <w:pPr>
      <w:keepLines/>
      <w:keepNext/>
      <w:spacing w:before="320" w:after="200"/>
      <w:outlineLvl w:val="5"/>
    </w:pPr>
    <w:rPr>
      <w:rFonts w:ascii="Arial" w:hAnsi="Arial" w:eastAsia="Arial" w:cs="Arial"/>
      <w:b/>
      <w:bCs/>
      <w:sz w:val="22"/>
      <w:szCs w:val="22"/>
    </w:rPr>
  </w:style>
  <w:style w:type="paragraph" w:styleId="731">
    <w:name w:val="标题 7"/>
    <w:basedOn w:val="724"/>
    <w:next w:val="724"/>
    <w:link w:val="743"/>
    <w:uiPriority w:val="9"/>
    <w:unhideWhenUsed/>
    <w:qFormat/>
    <w:pPr>
      <w:keepLines/>
      <w:keepNext/>
      <w:spacing w:before="320" w:after="200"/>
      <w:outlineLvl w:val="6"/>
    </w:pPr>
    <w:rPr>
      <w:rFonts w:ascii="Arial" w:hAnsi="Arial" w:eastAsia="Arial" w:cs="Arial"/>
      <w:b/>
      <w:bCs/>
      <w:i/>
      <w:iCs/>
      <w:sz w:val="22"/>
      <w:szCs w:val="22"/>
    </w:rPr>
  </w:style>
  <w:style w:type="paragraph" w:styleId="732">
    <w:name w:val="标题 8"/>
    <w:basedOn w:val="724"/>
    <w:next w:val="724"/>
    <w:link w:val="744"/>
    <w:uiPriority w:val="9"/>
    <w:unhideWhenUsed/>
    <w:qFormat/>
    <w:pPr>
      <w:keepLines/>
      <w:keepNext/>
      <w:spacing w:before="320" w:after="200"/>
      <w:outlineLvl w:val="7"/>
    </w:pPr>
    <w:rPr>
      <w:rFonts w:ascii="Arial" w:hAnsi="Arial" w:eastAsia="Arial" w:cs="Arial"/>
      <w:i/>
      <w:iCs/>
      <w:sz w:val="22"/>
      <w:szCs w:val="22"/>
    </w:rPr>
  </w:style>
  <w:style w:type="paragraph" w:styleId="733">
    <w:name w:val="标题 9"/>
    <w:basedOn w:val="724"/>
    <w:next w:val="724"/>
    <w:link w:val="745"/>
    <w:uiPriority w:val="9"/>
    <w:unhideWhenUsed/>
    <w:qFormat/>
    <w:pPr>
      <w:keepLines/>
      <w:keepNext/>
      <w:spacing w:before="320" w:after="200"/>
      <w:outlineLvl w:val="8"/>
    </w:pPr>
    <w:rPr>
      <w:rFonts w:ascii="Arial" w:hAnsi="Arial" w:eastAsia="Arial" w:cs="Arial"/>
      <w:i/>
      <w:iCs/>
      <w:sz w:val="21"/>
      <w:szCs w:val="21"/>
    </w:rPr>
  </w:style>
  <w:style w:type="character" w:styleId="734">
    <w:name w:val="默认段落字体"/>
    <w:next w:val="734"/>
    <w:link w:val="724"/>
    <w:uiPriority w:val="1"/>
    <w:unhideWhenUsed/>
    <w:qFormat/>
  </w:style>
  <w:style w:type="table" w:styleId="735">
    <w:name w:val="普通表格"/>
    <w:next w:val="735"/>
    <w:link w:val="724"/>
    <w:uiPriority w:val="99"/>
    <w:unhideWhenUsed/>
    <w:qFormat/>
    <w:tblPr/>
  </w:style>
  <w:style w:type="paragraph" w:styleId="736">
    <w:name w:val="正文格式"/>
    <w:next w:val="736"/>
    <w:link w:val="724"/>
    <w:qFormat/>
    <w:pPr>
      <w:ind w:firstLine="200"/>
      <w:spacing w:line="360" w:lineRule="auto"/>
    </w:pPr>
    <w:rPr>
      <w:rFonts w:ascii="宋体" w:hAnsi="宋体" w:eastAsia="宋体" w:cs="Times New Roman"/>
      <w:sz w:val="28"/>
      <w:szCs w:val="22"/>
      <w:lang w:val="en-US" w:eastAsia="zh-CN" w:bidi="ar-SA"/>
    </w:rPr>
  </w:style>
  <w:style w:type="character" w:styleId="737">
    <w:name w:val="Heading 1 Char"/>
    <w:next w:val="737"/>
    <w:link w:val="725"/>
    <w:uiPriority w:val="9"/>
    <w:qFormat/>
    <w:rPr>
      <w:rFonts w:ascii="Arial" w:hAnsi="Arial" w:eastAsia="Arial" w:cs="Arial"/>
      <w:sz w:val="40"/>
      <w:szCs w:val="40"/>
    </w:rPr>
  </w:style>
  <w:style w:type="character" w:styleId="738">
    <w:name w:val="Heading 2 Char"/>
    <w:next w:val="738"/>
    <w:link w:val="726"/>
    <w:uiPriority w:val="9"/>
    <w:qFormat/>
    <w:rPr>
      <w:rFonts w:ascii="Arial" w:hAnsi="Arial" w:eastAsia="Arial" w:cs="Arial"/>
      <w:sz w:val="34"/>
    </w:rPr>
  </w:style>
  <w:style w:type="character" w:styleId="739">
    <w:name w:val="Heading 3 Char"/>
    <w:next w:val="739"/>
    <w:link w:val="727"/>
    <w:uiPriority w:val="9"/>
    <w:qFormat/>
    <w:rPr>
      <w:rFonts w:ascii="Arial" w:hAnsi="Arial" w:eastAsia="Arial" w:cs="Arial"/>
      <w:sz w:val="30"/>
      <w:szCs w:val="30"/>
    </w:rPr>
  </w:style>
  <w:style w:type="character" w:styleId="740">
    <w:name w:val="Heading 4 Char"/>
    <w:next w:val="740"/>
    <w:link w:val="728"/>
    <w:uiPriority w:val="9"/>
    <w:qFormat/>
    <w:rPr>
      <w:rFonts w:ascii="Arial" w:hAnsi="Arial" w:eastAsia="Arial" w:cs="Arial"/>
      <w:b/>
      <w:bCs/>
      <w:sz w:val="26"/>
      <w:szCs w:val="26"/>
    </w:rPr>
  </w:style>
  <w:style w:type="character" w:styleId="741">
    <w:name w:val="Heading 5 Char"/>
    <w:next w:val="741"/>
    <w:link w:val="729"/>
    <w:uiPriority w:val="9"/>
    <w:qFormat/>
    <w:rPr>
      <w:rFonts w:ascii="Arial" w:hAnsi="Arial" w:eastAsia="Arial" w:cs="Arial"/>
      <w:b/>
      <w:bCs/>
      <w:sz w:val="24"/>
      <w:szCs w:val="24"/>
    </w:rPr>
  </w:style>
  <w:style w:type="character" w:styleId="742">
    <w:name w:val="Heading 6 Char"/>
    <w:next w:val="742"/>
    <w:link w:val="730"/>
    <w:uiPriority w:val="9"/>
    <w:qFormat/>
    <w:rPr>
      <w:rFonts w:ascii="Arial" w:hAnsi="Arial" w:eastAsia="Arial" w:cs="Arial"/>
      <w:b/>
      <w:bCs/>
      <w:sz w:val="22"/>
      <w:szCs w:val="22"/>
    </w:rPr>
  </w:style>
  <w:style w:type="character" w:styleId="743">
    <w:name w:val="Heading 7 Char"/>
    <w:next w:val="743"/>
    <w:link w:val="731"/>
    <w:uiPriority w:val="9"/>
    <w:qFormat/>
    <w:rPr>
      <w:rFonts w:ascii="Arial" w:hAnsi="Arial" w:eastAsia="Arial" w:cs="Arial"/>
      <w:b/>
      <w:bCs/>
      <w:i/>
      <w:iCs/>
      <w:sz w:val="22"/>
      <w:szCs w:val="22"/>
    </w:rPr>
  </w:style>
  <w:style w:type="character" w:styleId="744">
    <w:name w:val="Heading 8 Char"/>
    <w:next w:val="744"/>
    <w:link w:val="732"/>
    <w:uiPriority w:val="9"/>
    <w:qFormat/>
    <w:rPr>
      <w:rFonts w:ascii="Arial" w:hAnsi="Arial" w:eastAsia="Arial" w:cs="Arial"/>
      <w:i/>
      <w:iCs/>
      <w:sz w:val="22"/>
      <w:szCs w:val="22"/>
    </w:rPr>
  </w:style>
  <w:style w:type="character" w:styleId="745">
    <w:name w:val="Heading 9 Char"/>
    <w:next w:val="745"/>
    <w:link w:val="733"/>
    <w:uiPriority w:val="9"/>
    <w:qFormat/>
    <w:rPr>
      <w:rFonts w:ascii="Arial" w:hAnsi="Arial" w:eastAsia="Arial" w:cs="Arial"/>
      <w:i/>
      <w:iCs/>
      <w:sz w:val="21"/>
      <w:szCs w:val="21"/>
    </w:rPr>
  </w:style>
  <w:style w:type="paragraph" w:styleId="746">
    <w:name w:val="目录 7"/>
    <w:basedOn w:val="724"/>
    <w:next w:val="724"/>
    <w:link w:val="724"/>
    <w:uiPriority w:val="39"/>
    <w:unhideWhenUsed/>
    <w:qFormat/>
    <w:pPr>
      <w:ind w:left="1701" w:right="0" w:firstLine="0"/>
      <w:spacing w:after="57"/>
    </w:pPr>
  </w:style>
  <w:style w:type="paragraph" w:styleId="747">
    <w:name w:val="题注"/>
    <w:basedOn w:val="724"/>
    <w:next w:val="724"/>
    <w:link w:val="724"/>
    <w:uiPriority w:val="35"/>
    <w:unhideWhenUsed/>
    <w:qFormat/>
    <w:pPr>
      <w:spacing w:line="276" w:lineRule="auto"/>
    </w:pPr>
    <w:rPr>
      <w:b/>
      <w:bCs/>
      <w:color w:val="4f81bd"/>
      <w:sz w:val="18"/>
      <w:szCs w:val="18"/>
    </w:rPr>
  </w:style>
  <w:style w:type="paragraph" w:styleId="748">
    <w:name w:val="批注文字"/>
    <w:basedOn w:val="724"/>
    <w:next w:val="748"/>
    <w:link w:val="724"/>
    <w:uiPriority w:val="99"/>
    <w:qFormat/>
    <w:pPr>
      <w:jc w:val="left"/>
    </w:pPr>
    <w:rPr>
      <w:rFonts w:ascii="Times New Roman" w:hAnsi="Times New Roman" w:eastAsia="宋体" w:cs="Times New Roman"/>
      <w:szCs w:val="24"/>
    </w:rPr>
  </w:style>
  <w:style w:type="paragraph" w:styleId="749">
    <w:name w:val="目录 5"/>
    <w:basedOn w:val="724"/>
    <w:next w:val="724"/>
    <w:link w:val="724"/>
    <w:uiPriority w:val="39"/>
    <w:unhideWhenUsed/>
    <w:qFormat/>
    <w:pPr>
      <w:ind w:left="1134" w:right="0" w:firstLine="0"/>
      <w:spacing w:after="57"/>
    </w:pPr>
  </w:style>
  <w:style w:type="paragraph" w:styleId="750">
    <w:name w:val="目录 3"/>
    <w:basedOn w:val="724"/>
    <w:next w:val="724"/>
    <w:link w:val="724"/>
    <w:uiPriority w:val="39"/>
    <w:unhideWhenUsed/>
    <w:qFormat/>
    <w:pPr>
      <w:ind w:left="567" w:right="0" w:firstLine="0"/>
      <w:spacing w:after="57"/>
    </w:pPr>
  </w:style>
  <w:style w:type="paragraph" w:styleId="751">
    <w:name w:val="目录 8"/>
    <w:basedOn w:val="724"/>
    <w:next w:val="724"/>
    <w:link w:val="724"/>
    <w:uiPriority w:val="39"/>
    <w:unhideWhenUsed/>
    <w:qFormat/>
    <w:pPr>
      <w:ind w:left="1984" w:right="0" w:firstLine="0"/>
      <w:spacing w:after="57"/>
    </w:pPr>
  </w:style>
  <w:style w:type="paragraph" w:styleId="752">
    <w:name w:val="尾注文本"/>
    <w:basedOn w:val="724"/>
    <w:next w:val="752"/>
    <w:link w:val="753"/>
    <w:uiPriority w:val="99"/>
    <w:unhideWhenUsed/>
    <w:qFormat/>
    <w:pPr>
      <w:spacing w:after="0" w:line="240" w:lineRule="auto"/>
    </w:pPr>
    <w:rPr>
      <w:sz w:val="20"/>
    </w:rPr>
  </w:style>
  <w:style w:type="character" w:styleId="753">
    <w:name w:val="Endnote Text Char"/>
    <w:next w:val="753"/>
    <w:link w:val="752"/>
    <w:uiPriority w:val="99"/>
    <w:qFormat/>
    <w:rPr>
      <w:sz w:val="20"/>
    </w:rPr>
  </w:style>
  <w:style w:type="paragraph" w:styleId="754">
    <w:name w:val="页脚"/>
    <w:basedOn w:val="724"/>
    <w:next w:val="754"/>
    <w:link w:val="755"/>
    <w:uiPriority w:val="99"/>
    <w:unhideWhenUsed/>
    <w:qFormat/>
    <w:pPr>
      <w:spacing w:after="0" w:line="240" w:lineRule="auto"/>
      <w:tabs>
        <w:tab w:val="center" w:pos="7143" w:leader="none"/>
        <w:tab w:val="right" w:pos="14287" w:leader="none"/>
      </w:tabs>
    </w:pPr>
  </w:style>
  <w:style w:type="character" w:styleId="755">
    <w:name w:val="Footer Char"/>
    <w:next w:val="755"/>
    <w:link w:val="754"/>
    <w:uiPriority w:val="99"/>
    <w:qFormat/>
  </w:style>
  <w:style w:type="paragraph" w:styleId="756">
    <w:name w:val="页眉"/>
    <w:basedOn w:val="724"/>
    <w:next w:val="756"/>
    <w:link w:val="757"/>
    <w:uiPriority w:val="99"/>
    <w:unhideWhenUsed/>
    <w:qFormat/>
    <w:pPr>
      <w:spacing w:after="0" w:line="240" w:lineRule="auto"/>
      <w:tabs>
        <w:tab w:val="center" w:pos="7143" w:leader="none"/>
        <w:tab w:val="right" w:pos="14287" w:leader="none"/>
      </w:tabs>
    </w:pPr>
  </w:style>
  <w:style w:type="character" w:styleId="757">
    <w:name w:val="Header Char"/>
    <w:next w:val="757"/>
    <w:link w:val="756"/>
    <w:uiPriority w:val="99"/>
    <w:qFormat/>
  </w:style>
  <w:style w:type="paragraph" w:styleId="758">
    <w:name w:val="目录 1"/>
    <w:basedOn w:val="724"/>
    <w:next w:val="724"/>
    <w:link w:val="724"/>
    <w:uiPriority w:val="39"/>
    <w:unhideWhenUsed/>
    <w:qFormat/>
    <w:pPr>
      <w:ind w:left="0" w:right="0" w:firstLine="0"/>
      <w:spacing w:after="57"/>
    </w:pPr>
  </w:style>
  <w:style w:type="paragraph" w:styleId="759">
    <w:name w:val="目录 4"/>
    <w:basedOn w:val="724"/>
    <w:next w:val="724"/>
    <w:link w:val="724"/>
    <w:uiPriority w:val="39"/>
    <w:unhideWhenUsed/>
    <w:qFormat/>
    <w:pPr>
      <w:ind w:left="850" w:right="0" w:firstLine="0"/>
      <w:spacing w:after="57"/>
    </w:pPr>
  </w:style>
  <w:style w:type="paragraph" w:styleId="760">
    <w:name w:val="副标题"/>
    <w:basedOn w:val="724"/>
    <w:next w:val="724"/>
    <w:link w:val="761"/>
    <w:uiPriority w:val="11"/>
    <w:qFormat/>
    <w:pPr>
      <w:spacing w:before="200" w:after="200"/>
    </w:pPr>
    <w:rPr>
      <w:sz w:val="24"/>
      <w:szCs w:val="24"/>
    </w:rPr>
  </w:style>
  <w:style w:type="character" w:styleId="761">
    <w:name w:val="Subtitle Char"/>
    <w:next w:val="761"/>
    <w:link w:val="760"/>
    <w:uiPriority w:val="11"/>
    <w:qFormat/>
    <w:rPr>
      <w:sz w:val="24"/>
      <w:szCs w:val="24"/>
    </w:rPr>
  </w:style>
  <w:style w:type="paragraph" w:styleId="762">
    <w:name w:val="脚注文本"/>
    <w:basedOn w:val="724"/>
    <w:next w:val="762"/>
    <w:link w:val="763"/>
    <w:uiPriority w:val="99"/>
    <w:unhideWhenUsed/>
    <w:qFormat/>
    <w:pPr>
      <w:spacing w:after="40" w:line="240" w:lineRule="auto"/>
    </w:pPr>
    <w:rPr>
      <w:sz w:val="18"/>
    </w:rPr>
  </w:style>
  <w:style w:type="character" w:styleId="763">
    <w:name w:val="Footnote Text Char"/>
    <w:next w:val="763"/>
    <w:link w:val="762"/>
    <w:uiPriority w:val="99"/>
    <w:qFormat/>
    <w:rPr>
      <w:sz w:val="18"/>
    </w:rPr>
  </w:style>
  <w:style w:type="paragraph" w:styleId="764">
    <w:name w:val="目录 6"/>
    <w:basedOn w:val="724"/>
    <w:next w:val="724"/>
    <w:link w:val="724"/>
    <w:uiPriority w:val="39"/>
    <w:unhideWhenUsed/>
    <w:qFormat/>
    <w:pPr>
      <w:ind w:left="1417" w:right="0" w:firstLine="0"/>
      <w:spacing w:after="57"/>
    </w:pPr>
  </w:style>
  <w:style w:type="paragraph" w:styleId="765">
    <w:name w:val="图表目录"/>
    <w:basedOn w:val="724"/>
    <w:next w:val="724"/>
    <w:link w:val="724"/>
    <w:uiPriority w:val="99"/>
    <w:unhideWhenUsed/>
    <w:qFormat/>
    <w:pPr>
      <w:spacing w:after="0" w:afterAutospacing="0"/>
    </w:pPr>
  </w:style>
  <w:style w:type="paragraph" w:styleId="766">
    <w:name w:val="目录 2"/>
    <w:basedOn w:val="724"/>
    <w:next w:val="724"/>
    <w:link w:val="724"/>
    <w:uiPriority w:val="39"/>
    <w:unhideWhenUsed/>
    <w:qFormat/>
    <w:pPr>
      <w:ind w:left="283" w:right="0" w:firstLine="0"/>
      <w:spacing w:after="57"/>
    </w:pPr>
  </w:style>
  <w:style w:type="paragraph" w:styleId="767">
    <w:name w:val="目录 9"/>
    <w:basedOn w:val="724"/>
    <w:next w:val="724"/>
    <w:link w:val="724"/>
    <w:uiPriority w:val="39"/>
    <w:unhideWhenUsed/>
    <w:qFormat/>
    <w:pPr>
      <w:ind w:left="2268" w:right="0" w:firstLine="0"/>
      <w:spacing w:after="57"/>
    </w:pPr>
  </w:style>
  <w:style w:type="paragraph" w:styleId="768">
    <w:name w:val="标题"/>
    <w:basedOn w:val="724"/>
    <w:next w:val="724"/>
    <w:link w:val="769"/>
    <w:uiPriority w:val="10"/>
    <w:qFormat/>
    <w:pPr>
      <w:contextualSpacing/>
      <w:spacing w:before="300" w:after="200"/>
    </w:pPr>
    <w:rPr>
      <w:sz w:val="48"/>
      <w:szCs w:val="48"/>
    </w:rPr>
  </w:style>
  <w:style w:type="character" w:styleId="769">
    <w:name w:val="Title Char"/>
    <w:next w:val="769"/>
    <w:link w:val="768"/>
    <w:uiPriority w:val="10"/>
    <w:qFormat/>
    <w:rPr>
      <w:sz w:val="48"/>
      <w:szCs w:val="48"/>
    </w:rPr>
  </w:style>
  <w:style w:type="table" w:styleId="770">
    <w:name w:val="网格型"/>
    <w:next w:val="770"/>
    <w:link w:val="724"/>
    <w:uiPriority w:val="59"/>
    <w:qFormat/>
    <w:pPr>
      <w:spacing w:after="0" w:line="240" w:lineRule="auto"/>
    </w:pPr>
    <w:tblPr/>
  </w:style>
  <w:style w:type="character" w:styleId="771">
    <w:name w:val="尾注引用"/>
    <w:next w:val="771"/>
    <w:link w:val="724"/>
    <w:uiPriority w:val="99"/>
    <w:unhideWhenUsed/>
    <w:qFormat/>
    <w:rPr>
      <w:vertAlign w:val="superscript"/>
    </w:rPr>
  </w:style>
  <w:style w:type="character" w:styleId="772">
    <w:name w:val="页码"/>
    <w:next w:val="772"/>
    <w:link w:val="724"/>
    <w:uiPriority w:val="99"/>
    <w:qFormat/>
    <w:rPr>
      <w:rFonts w:ascii="Times New Roman" w:hAnsi="Times New Roman" w:eastAsia="宋体" w:cs="Times New Roman"/>
    </w:rPr>
  </w:style>
  <w:style w:type="character" w:styleId="773">
    <w:name w:val="超链接"/>
    <w:next w:val="773"/>
    <w:link w:val="724"/>
    <w:uiPriority w:val="99"/>
    <w:unhideWhenUsed/>
    <w:qFormat/>
    <w:rPr>
      <w:color w:val="0000ff"/>
      <w:u w:val="single"/>
    </w:rPr>
  </w:style>
  <w:style w:type="character" w:styleId="774">
    <w:name w:val="脚注引用"/>
    <w:next w:val="774"/>
    <w:link w:val="724"/>
    <w:uiPriority w:val="99"/>
    <w:unhideWhenUsed/>
    <w:qFormat/>
    <w:rPr>
      <w:vertAlign w:val="superscript"/>
    </w:rPr>
  </w:style>
  <w:style w:type="character" w:styleId="775">
    <w:name w:val="Caption Char"/>
    <w:next w:val="775"/>
    <w:link w:val="754"/>
    <w:uiPriority w:val="99"/>
    <w:qFormat/>
  </w:style>
  <w:style w:type="character" w:styleId="776">
    <w:name w:val="NormalCharacter1"/>
    <w:next w:val="776"/>
    <w:link w:val="724"/>
    <w:semiHidden/>
    <w:qFormat/>
    <w:rPr>
      <w:rFonts w:ascii="Arial" w:hAnsi="Arial" w:eastAsia="Arial" w:cs="Arial"/>
      <w:color w:val="000000"/>
      <w:sz w:val="21"/>
      <w:szCs w:val="21"/>
    </w:rPr>
  </w:style>
  <w:style w:type="paragraph" w:styleId="777">
    <w:name w:val="No Spacing"/>
    <w:next w:val="777"/>
    <w:link w:val="724"/>
    <w:uiPriority w:val="1"/>
    <w:qFormat/>
    <w:pPr>
      <w:spacing w:before="0" w:after="0" w:line="240" w:lineRule="auto"/>
    </w:pPr>
    <w:rPr>
      <w:rFonts w:ascii="Times New Roman" w:hAnsi="Times New Roman" w:eastAsia="宋体" w:cs="Times New Roman"/>
    </w:rPr>
  </w:style>
  <w:style w:type="paragraph" w:styleId="778">
    <w:name w:val="Quote"/>
    <w:basedOn w:val="724"/>
    <w:next w:val="724"/>
    <w:link w:val="779"/>
    <w:uiPriority w:val="29"/>
    <w:qFormat/>
    <w:pPr>
      <w:ind w:left="720" w:right="720"/>
    </w:pPr>
    <w:rPr>
      <w:i/>
    </w:rPr>
  </w:style>
  <w:style w:type="character" w:styleId="779">
    <w:name w:val="Quote Char"/>
    <w:next w:val="779"/>
    <w:link w:val="778"/>
    <w:uiPriority w:val="29"/>
    <w:qFormat/>
    <w:rPr>
      <w:i/>
    </w:rPr>
  </w:style>
  <w:style w:type="paragraph" w:styleId="780">
    <w:name w:val="Intense Quote"/>
    <w:basedOn w:val="724"/>
    <w:next w:val="724"/>
    <w:link w:val="78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next w:val="781"/>
    <w:link w:val="780"/>
    <w:uiPriority w:val="30"/>
    <w:qFormat/>
    <w:rPr>
      <w:i/>
    </w:rPr>
  </w:style>
  <w:style w:type="table" w:styleId="782">
    <w:name w:val="Table Grid Light"/>
    <w:next w:val="782"/>
    <w:link w:val="724"/>
    <w:uiPriority w:val="59"/>
    <w:qFormat/>
    <w:pPr>
      <w:spacing w:after="0" w:line="240" w:lineRule="auto"/>
    </w:pPr>
    <w:tblPr/>
  </w:style>
  <w:style w:type="table" w:styleId="783">
    <w:name w:val="Plain Table 1"/>
    <w:next w:val="783"/>
    <w:link w:val="724"/>
    <w:uiPriority w:val="59"/>
    <w:qFormat/>
    <w:pPr>
      <w:spacing w:after="0" w:line="240" w:lineRule="auto"/>
    </w:pPr>
    <w:tblPr/>
  </w:style>
  <w:style w:type="table" w:styleId="784">
    <w:name w:val="Plain Table 2"/>
    <w:next w:val="784"/>
    <w:link w:val="724"/>
    <w:uiPriority w:val="59"/>
    <w:qFormat/>
    <w:pPr>
      <w:spacing w:after="0" w:line="240" w:lineRule="auto"/>
    </w:pPr>
    <w:tblPr/>
  </w:style>
  <w:style w:type="table" w:styleId="785">
    <w:name w:val="Plain Table 3"/>
    <w:next w:val="785"/>
    <w:link w:val="724"/>
    <w:uiPriority w:val="99"/>
    <w:qFormat/>
    <w:pPr>
      <w:spacing w:after="0" w:line="240" w:lineRule="auto"/>
    </w:pPr>
    <w:tblPr/>
  </w:style>
  <w:style w:type="table" w:styleId="786">
    <w:name w:val="Plain Table 4"/>
    <w:next w:val="786"/>
    <w:link w:val="724"/>
    <w:uiPriority w:val="99"/>
    <w:qFormat/>
    <w:pPr>
      <w:spacing w:after="0" w:line="240" w:lineRule="auto"/>
    </w:pPr>
    <w:tblPr/>
  </w:style>
  <w:style w:type="table" w:styleId="787">
    <w:name w:val="Plain Table 5"/>
    <w:next w:val="787"/>
    <w:link w:val="724"/>
    <w:uiPriority w:val="99"/>
    <w:qFormat/>
    <w:pPr>
      <w:spacing w:after="0" w:line="240" w:lineRule="auto"/>
    </w:pPr>
    <w:tblPr/>
  </w:style>
  <w:style w:type="table" w:styleId="788">
    <w:name w:val="Grid Table 1 Light"/>
    <w:next w:val="788"/>
    <w:link w:val="724"/>
    <w:uiPriority w:val="99"/>
    <w:qFormat/>
    <w:pPr>
      <w:spacing w:after="0" w:line="240" w:lineRule="auto"/>
    </w:pPr>
    <w:tblPr/>
  </w:style>
  <w:style w:type="table" w:styleId="789">
    <w:name w:val="Grid Table 1 Light - Accent 1"/>
    <w:next w:val="789"/>
    <w:link w:val="724"/>
    <w:uiPriority w:val="99"/>
    <w:qFormat/>
    <w:pPr>
      <w:spacing w:after="0" w:line="240" w:lineRule="auto"/>
    </w:pPr>
    <w:tblPr/>
  </w:style>
  <w:style w:type="table" w:styleId="790">
    <w:name w:val="Grid Table 1 Light - Accent 2"/>
    <w:next w:val="790"/>
    <w:link w:val="724"/>
    <w:uiPriority w:val="99"/>
    <w:qFormat/>
    <w:pPr>
      <w:spacing w:after="0" w:line="240" w:lineRule="auto"/>
    </w:pPr>
    <w:tblPr/>
  </w:style>
  <w:style w:type="table" w:styleId="791">
    <w:name w:val="Grid Table 1 Light - Accent 3"/>
    <w:next w:val="791"/>
    <w:link w:val="724"/>
    <w:uiPriority w:val="99"/>
    <w:qFormat/>
    <w:pPr>
      <w:spacing w:after="0" w:line="240" w:lineRule="auto"/>
    </w:pPr>
    <w:tblPr/>
  </w:style>
  <w:style w:type="table" w:styleId="792">
    <w:name w:val="Grid Table 1 Light - Accent 4"/>
    <w:next w:val="792"/>
    <w:link w:val="724"/>
    <w:uiPriority w:val="99"/>
    <w:qFormat/>
    <w:pPr>
      <w:spacing w:after="0" w:line="240" w:lineRule="auto"/>
    </w:pPr>
    <w:tblPr/>
  </w:style>
  <w:style w:type="table" w:styleId="793">
    <w:name w:val="Grid Table 1 Light - Accent 5"/>
    <w:next w:val="793"/>
    <w:link w:val="724"/>
    <w:uiPriority w:val="99"/>
    <w:qFormat/>
    <w:pPr>
      <w:spacing w:after="0" w:line="240" w:lineRule="auto"/>
    </w:pPr>
    <w:tblPr/>
  </w:style>
  <w:style w:type="table" w:styleId="794">
    <w:name w:val="Grid Table 1 Light - Accent 6"/>
    <w:next w:val="794"/>
    <w:link w:val="724"/>
    <w:uiPriority w:val="99"/>
    <w:qFormat/>
    <w:pPr>
      <w:spacing w:after="0" w:line="240" w:lineRule="auto"/>
    </w:pPr>
    <w:tblPr/>
  </w:style>
  <w:style w:type="table" w:styleId="795">
    <w:name w:val="Grid Table 2"/>
    <w:next w:val="795"/>
    <w:link w:val="724"/>
    <w:uiPriority w:val="99"/>
    <w:qFormat/>
    <w:pPr>
      <w:spacing w:after="0" w:line="240" w:lineRule="auto"/>
    </w:pPr>
    <w:tblPr/>
  </w:style>
  <w:style w:type="table" w:styleId="796">
    <w:name w:val="Grid Table 2 - Accent 1"/>
    <w:next w:val="796"/>
    <w:link w:val="724"/>
    <w:uiPriority w:val="99"/>
    <w:qFormat/>
    <w:pPr>
      <w:spacing w:after="0" w:line="240" w:lineRule="auto"/>
    </w:pPr>
    <w:tblPr/>
  </w:style>
  <w:style w:type="table" w:styleId="797">
    <w:name w:val="Grid Table 2 - Accent 2"/>
    <w:next w:val="797"/>
    <w:link w:val="724"/>
    <w:uiPriority w:val="99"/>
    <w:qFormat/>
    <w:pPr>
      <w:spacing w:after="0" w:line="240" w:lineRule="auto"/>
    </w:pPr>
    <w:tblPr/>
  </w:style>
  <w:style w:type="table" w:styleId="798">
    <w:name w:val="Grid Table 2 - Accent 3"/>
    <w:next w:val="798"/>
    <w:link w:val="724"/>
    <w:uiPriority w:val="99"/>
    <w:qFormat/>
    <w:pPr>
      <w:spacing w:after="0" w:line="240" w:lineRule="auto"/>
    </w:pPr>
    <w:tblPr/>
  </w:style>
  <w:style w:type="table" w:styleId="799">
    <w:name w:val="Grid Table 2 - Accent 4"/>
    <w:next w:val="799"/>
    <w:link w:val="724"/>
    <w:uiPriority w:val="99"/>
    <w:qFormat/>
    <w:pPr>
      <w:spacing w:after="0" w:line="240" w:lineRule="auto"/>
    </w:pPr>
    <w:tblPr/>
  </w:style>
  <w:style w:type="table" w:styleId="800">
    <w:name w:val="Grid Table 2 - Accent 5"/>
    <w:next w:val="800"/>
    <w:link w:val="724"/>
    <w:uiPriority w:val="99"/>
    <w:qFormat/>
    <w:pPr>
      <w:spacing w:after="0" w:line="240" w:lineRule="auto"/>
    </w:pPr>
    <w:tblPr/>
  </w:style>
  <w:style w:type="table" w:styleId="801">
    <w:name w:val="Grid Table 2 - Accent 6"/>
    <w:next w:val="801"/>
    <w:link w:val="724"/>
    <w:uiPriority w:val="99"/>
    <w:qFormat/>
    <w:pPr>
      <w:spacing w:after="0" w:line="240" w:lineRule="auto"/>
    </w:pPr>
    <w:tblPr/>
  </w:style>
  <w:style w:type="table" w:styleId="802">
    <w:name w:val="Grid Table 3"/>
    <w:next w:val="802"/>
    <w:link w:val="724"/>
    <w:uiPriority w:val="99"/>
    <w:qFormat/>
    <w:pPr>
      <w:spacing w:after="0" w:line="240" w:lineRule="auto"/>
    </w:pPr>
    <w:tblPr/>
  </w:style>
  <w:style w:type="table" w:styleId="803">
    <w:name w:val="Grid Table 3 - Accent 1"/>
    <w:next w:val="803"/>
    <w:link w:val="724"/>
    <w:uiPriority w:val="99"/>
    <w:qFormat/>
    <w:pPr>
      <w:spacing w:after="0" w:line="240" w:lineRule="auto"/>
    </w:pPr>
    <w:tblPr/>
  </w:style>
  <w:style w:type="table" w:styleId="804">
    <w:name w:val="Grid Table 3 - Accent 2"/>
    <w:next w:val="804"/>
    <w:link w:val="724"/>
    <w:uiPriority w:val="99"/>
    <w:qFormat/>
    <w:pPr>
      <w:spacing w:after="0" w:line="240" w:lineRule="auto"/>
    </w:pPr>
    <w:tblPr/>
  </w:style>
  <w:style w:type="table" w:styleId="805">
    <w:name w:val="Grid Table 3 - Accent 3"/>
    <w:next w:val="805"/>
    <w:link w:val="724"/>
    <w:uiPriority w:val="99"/>
    <w:qFormat/>
    <w:pPr>
      <w:spacing w:after="0" w:line="240" w:lineRule="auto"/>
    </w:pPr>
    <w:tblPr/>
  </w:style>
  <w:style w:type="table" w:styleId="806">
    <w:name w:val="Grid Table 3 - Accent 4"/>
    <w:next w:val="806"/>
    <w:link w:val="724"/>
    <w:uiPriority w:val="99"/>
    <w:qFormat/>
    <w:pPr>
      <w:spacing w:after="0" w:line="240" w:lineRule="auto"/>
    </w:pPr>
    <w:tblPr/>
  </w:style>
  <w:style w:type="table" w:styleId="807">
    <w:name w:val="Grid Table 3 - Accent 5"/>
    <w:next w:val="807"/>
    <w:link w:val="724"/>
    <w:uiPriority w:val="99"/>
    <w:qFormat/>
    <w:pPr>
      <w:spacing w:after="0" w:line="240" w:lineRule="auto"/>
    </w:pPr>
    <w:tblPr/>
  </w:style>
  <w:style w:type="table" w:styleId="808">
    <w:name w:val="Grid Table 3 - Accent 6"/>
    <w:next w:val="808"/>
    <w:link w:val="724"/>
    <w:uiPriority w:val="99"/>
    <w:qFormat/>
    <w:pPr>
      <w:spacing w:after="0" w:line="240" w:lineRule="auto"/>
    </w:pPr>
    <w:tblPr/>
  </w:style>
  <w:style w:type="table" w:styleId="809">
    <w:name w:val="Grid Table 4"/>
    <w:next w:val="809"/>
    <w:link w:val="724"/>
    <w:uiPriority w:val="59"/>
    <w:qFormat/>
    <w:pPr>
      <w:spacing w:after="0" w:line="240" w:lineRule="auto"/>
    </w:pPr>
    <w:tblPr/>
  </w:style>
  <w:style w:type="table" w:styleId="810">
    <w:name w:val="Grid Table 4 - Accent 1"/>
    <w:next w:val="810"/>
    <w:link w:val="724"/>
    <w:uiPriority w:val="59"/>
    <w:qFormat/>
    <w:pPr>
      <w:spacing w:after="0" w:line="240" w:lineRule="auto"/>
    </w:pPr>
    <w:tblPr/>
  </w:style>
  <w:style w:type="table" w:styleId="811">
    <w:name w:val="Grid Table 4 - Accent 2"/>
    <w:next w:val="811"/>
    <w:link w:val="724"/>
    <w:uiPriority w:val="59"/>
    <w:qFormat/>
    <w:pPr>
      <w:spacing w:after="0" w:line="240" w:lineRule="auto"/>
    </w:pPr>
    <w:tblPr/>
  </w:style>
  <w:style w:type="table" w:styleId="812">
    <w:name w:val="Grid Table 4 - Accent 3"/>
    <w:next w:val="812"/>
    <w:link w:val="724"/>
    <w:uiPriority w:val="59"/>
    <w:qFormat/>
    <w:pPr>
      <w:spacing w:after="0" w:line="240" w:lineRule="auto"/>
    </w:pPr>
    <w:tblPr/>
  </w:style>
  <w:style w:type="table" w:styleId="813">
    <w:name w:val="Grid Table 4 - Accent 4"/>
    <w:next w:val="813"/>
    <w:link w:val="724"/>
    <w:uiPriority w:val="59"/>
    <w:qFormat/>
    <w:pPr>
      <w:spacing w:after="0" w:line="240" w:lineRule="auto"/>
    </w:pPr>
    <w:tblPr/>
  </w:style>
  <w:style w:type="table" w:styleId="814">
    <w:name w:val="Grid Table 4 - Accent 5"/>
    <w:next w:val="814"/>
    <w:link w:val="724"/>
    <w:uiPriority w:val="59"/>
    <w:pPr>
      <w:spacing w:after="0" w:line="240" w:lineRule="auto"/>
    </w:pPr>
    <w:tblPr/>
  </w:style>
  <w:style w:type="table" w:styleId="815">
    <w:name w:val="Grid Table 4 - Accent 6"/>
    <w:next w:val="815"/>
    <w:link w:val="724"/>
    <w:uiPriority w:val="59"/>
    <w:qFormat/>
    <w:pPr>
      <w:spacing w:after="0" w:line="240" w:lineRule="auto"/>
    </w:pPr>
    <w:tblPr/>
  </w:style>
  <w:style w:type="table" w:styleId="816">
    <w:name w:val="Grid Table 5 Dark"/>
    <w:next w:val="816"/>
    <w:link w:val="724"/>
    <w:uiPriority w:val="99"/>
    <w:qFormat/>
    <w:pPr>
      <w:spacing w:after="0" w:line="240" w:lineRule="auto"/>
    </w:pPr>
    <w:tblPr/>
  </w:style>
  <w:style w:type="table" w:styleId="817">
    <w:name w:val="Grid Table 5 Dark- Accent 1"/>
    <w:next w:val="817"/>
    <w:link w:val="724"/>
    <w:uiPriority w:val="99"/>
    <w:qFormat/>
    <w:pPr>
      <w:spacing w:after="0" w:line="240" w:lineRule="auto"/>
    </w:pPr>
    <w:tblPr/>
  </w:style>
  <w:style w:type="table" w:styleId="818">
    <w:name w:val="Grid Table 5 Dark - Accent 2"/>
    <w:next w:val="818"/>
    <w:link w:val="724"/>
    <w:uiPriority w:val="99"/>
    <w:qFormat/>
    <w:pPr>
      <w:spacing w:after="0" w:line="240" w:lineRule="auto"/>
    </w:pPr>
    <w:tblPr/>
  </w:style>
  <w:style w:type="table" w:styleId="819">
    <w:name w:val="Grid Table 5 Dark - Accent 3"/>
    <w:next w:val="819"/>
    <w:link w:val="724"/>
    <w:uiPriority w:val="99"/>
    <w:pPr>
      <w:spacing w:after="0" w:line="240" w:lineRule="auto"/>
    </w:pPr>
    <w:tblPr/>
  </w:style>
  <w:style w:type="table" w:styleId="820">
    <w:name w:val="Grid Table 5 Dark- Accent 4"/>
    <w:next w:val="820"/>
    <w:link w:val="724"/>
    <w:uiPriority w:val="99"/>
    <w:qFormat/>
    <w:pPr>
      <w:spacing w:after="0" w:line="240" w:lineRule="auto"/>
    </w:pPr>
    <w:tblPr/>
  </w:style>
  <w:style w:type="table" w:styleId="821">
    <w:name w:val="Grid Table 5 Dark - Accent 5"/>
    <w:next w:val="821"/>
    <w:link w:val="724"/>
    <w:uiPriority w:val="99"/>
    <w:qFormat/>
    <w:pPr>
      <w:spacing w:after="0" w:line="240" w:lineRule="auto"/>
    </w:pPr>
    <w:tblPr/>
  </w:style>
  <w:style w:type="table" w:styleId="822">
    <w:name w:val="Grid Table 5 Dark - Accent 6"/>
    <w:next w:val="822"/>
    <w:link w:val="724"/>
    <w:uiPriority w:val="99"/>
    <w:pPr>
      <w:spacing w:after="0" w:line="240" w:lineRule="auto"/>
    </w:pPr>
    <w:tblPr/>
  </w:style>
  <w:style w:type="table" w:styleId="823">
    <w:name w:val="Grid Table 6 Colorful"/>
    <w:next w:val="823"/>
    <w:link w:val="724"/>
    <w:uiPriority w:val="99"/>
    <w:qFormat/>
    <w:pPr>
      <w:spacing w:after="0" w:line="240" w:lineRule="auto"/>
    </w:pPr>
    <w:tblPr/>
  </w:style>
  <w:style w:type="table" w:styleId="824">
    <w:name w:val="Grid Table 6 Colorful - Accent 1"/>
    <w:next w:val="824"/>
    <w:link w:val="724"/>
    <w:uiPriority w:val="99"/>
    <w:qFormat/>
    <w:pPr>
      <w:spacing w:after="0" w:line="240" w:lineRule="auto"/>
    </w:pPr>
    <w:tblPr/>
  </w:style>
  <w:style w:type="table" w:styleId="825">
    <w:name w:val="Grid Table 6 Colorful - Accent 2"/>
    <w:next w:val="825"/>
    <w:link w:val="724"/>
    <w:uiPriority w:val="99"/>
    <w:qFormat/>
    <w:pPr>
      <w:spacing w:after="0" w:line="240" w:lineRule="auto"/>
    </w:pPr>
    <w:tblPr/>
  </w:style>
  <w:style w:type="table" w:styleId="826">
    <w:name w:val="Grid Table 6 Colorful - Accent 3"/>
    <w:next w:val="826"/>
    <w:link w:val="724"/>
    <w:uiPriority w:val="99"/>
    <w:qFormat/>
    <w:pPr>
      <w:spacing w:after="0" w:line="240" w:lineRule="auto"/>
    </w:pPr>
    <w:tblPr/>
  </w:style>
  <w:style w:type="table" w:styleId="827">
    <w:name w:val="Grid Table 6 Colorful - Accent 4"/>
    <w:next w:val="827"/>
    <w:link w:val="724"/>
    <w:uiPriority w:val="99"/>
    <w:qFormat/>
    <w:pPr>
      <w:spacing w:after="0" w:line="240" w:lineRule="auto"/>
    </w:pPr>
    <w:tblPr/>
  </w:style>
  <w:style w:type="table" w:styleId="828">
    <w:name w:val="Grid Table 6 Colorful - Accent 5"/>
    <w:next w:val="828"/>
    <w:link w:val="724"/>
    <w:uiPriority w:val="99"/>
    <w:qFormat/>
    <w:pPr>
      <w:spacing w:after="0" w:line="240" w:lineRule="auto"/>
    </w:pPr>
    <w:tblPr/>
  </w:style>
  <w:style w:type="table" w:styleId="829">
    <w:name w:val="Grid Table 6 Colorful - Accent 6"/>
    <w:next w:val="829"/>
    <w:link w:val="724"/>
    <w:uiPriority w:val="99"/>
    <w:qFormat/>
    <w:pPr>
      <w:spacing w:after="0" w:line="240" w:lineRule="auto"/>
    </w:pPr>
    <w:tblPr/>
  </w:style>
  <w:style w:type="table" w:styleId="830">
    <w:name w:val="Grid Table 7 Colorful"/>
    <w:next w:val="830"/>
    <w:link w:val="724"/>
    <w:uiPriority w:val="99"/>
    <w:qFormat/>
    <w:pPr>
      <w:spacing w:after="0" w:line="240" w:lineRule="auto"/>
    </w:pPr>
    <w:tblPr/>
  </w:style>
  <w:style w:type="table" w:styleId="831">
    <w:name w:val="Grid Table 7 Colorful - Accent 1"/>
    <w:next w:val="831"/>
    <w:link w:val="724"/>
    <w:uiPriority w:val="99"/>
    <w:qFormat/>
    <w:pPr>
      <w:spacing w:after="0" w:line="240" w:lineRule="auto"/>
    </w:pPr>
    <w:tblPr/>
  </w:style>
  <w:style w:type="table" w:styleId="832">
    <w:name w:val="Grid Table 7 Colorful - Accent 2"/>
    <w:next w:val="832"/>
    <w:link w:val="724"/>
    <w:uiPriority w:val="99"/>
    <w:qFormat/>
    <w:pPr>
      <w:spacing w:after="0" w:line="240" w:lineRule="auto"/>
    </w:pPr>
    <w:tblPr/>
  </w:style>
  <w:style w:type="table" w:styleId="833">
    <w:name w:val="Grid Table 7 Colorful - Accent 3"/>
    <w:next w:val="833"/>
    <w:link w:val="724"/>
    <w:uiPriority w:val="99"/>
    <w:qFormat/>
    <w:pPr>
      <w:spacing w:after="0" w:line="240" w:lineRule="auto"/>
    </w:pPr>
    <w:tblPr/>
  </w:style>
  <w:style w:type="table" w:styleId="834">
    <w:name w:val="Grid Table 7 Colorful - Accent 4"/>
    <w:next w:val="834"/>
    <w:link w:val="724"/>
    <w:uiPriority w:val="99"/>
    <w:pPr>
      <w:spacing w:after="0" w:line="240" w:lineRule="auto"/>
    </w:pPr>
    <w:tblPr/>
  </w:style>
  <w:style w:type="table" w:styleId="835">
    <w:name w:val="Grid Table 7 Colorful - Accent 5"/>
    <w:next w:val="835"/>
    <w:link w:val="724"/>
    <w:uiPriority w:val="99"/>
    <w:qFormat/>
    <w:pPr>
      <w:spacing w:after="0" w:line="240" w:lineRule="auto"/>
    </w:pPr>
    <w:tblPr/>
  </w:style>
  <w:style w:type="table" w:styleId="836">
    <w:name w:val="Grid Table 7 Colorful - Accent 6"/>
    <w:next w:val="836"/>
    <w:link w:val="724"/>
    <w:uiPriority w:val="99"/>
    <w:pPr>
      <w:spacing w:after="0" w:line="240" w:lineRule="auto"/>
    </w:pPr>
    <w:tblPr/>
  </w:style>
  <w:style w:type="table" w:styleId="837">
    <w:name w:val="List Table 1 Light"/>
    <w:next w:val="837"/>
    <w:link w:val="724"/>
    <w:uiPriority w:val="99"/>
    <w:qFormat/>
    <w:pPr>
      <w:spacing w:after="0" w:line="240" w:lineRule="auto"/>
    </w:pPr>
    <w:tblPr/>
  </w:style>
  <w:style w:type="table" w:styleId="838">
    <w:name w:val="List Table 1 Light - Accent 1"/>
    <w:next w:val="838"/>
    <w:link w:val="724"/>
    <w:uiPriority w:val="99"/>
    <w:qFormat/>
    <w:pPr>
      <w:spacing w:after="0" w:line="240" w:lineRule="auto"/>
    </w:pPr>
    <w:tblPr/>
  </w:style>
  <w:style w:type="table" w:styleId="839">
    <w:name w:val="List Table 1 Light - Accent 2"/>
    <w:next w:val="839"/>
    <w:link w:val="724"/>
    <w:uiPriority w:val="99"/>
    <w:pPr>
      <w:spacing w:after="0" w:line="240" w:lineRule="auto"/>
    </w:pPr>
    <w:tblPr/>
  </w:style>
  <w:style w:type="table" w:styleId="840">
    <w:name w:val="List Table 1 Light - Accent 3"/>
    <w:next w:val="840"/>
    <w:link w:val="724"/>
    <w:uiPriority w:val="99"/>
    <w:qFormat/>
    <w:pPr>
      <w:spacing w:after="0" w:line="240" w:lineRule="auto"/>
    </w:pPr>
    <w:tblPr/>
  </w:style>
  <w:style w:type="table" w:styleId="841">
    <w:name w:val="List Table 1 Light - Accent 4"/>
    <w:next w:val="841"/>
    <w:link w:val="724"/>
    <w:uiPriority w:val="99"/>
    <w:qFormat/>
    <w:pPr>
      <w:spacing w:after="0" w:line="240" w:lineRule="auto"/>
    </w:pPr>
    <w:tblPr/>
  </w:style>
  <w:style w:type="table" w:styleId="842">
    <w:name w:val="List Table 1 Light - Accent 5"/>
    <w:next w:val="842"/>
    <w:link w:val="724"/>
    <w:uiPriority w:val="99"/>
    <w:qFormat/>
    <w:pPr>
      <w:spacing w:after="0" w:line="240" w:lineRule="auto"/>
    </w:pPr>
    <w:tblPr/>
  </w:style>
  <w:style w:type="table" w:styleId="843">
    <w:name w:val="List Table 1 Light - Accent 6"/>
    <w:next w:val="843"/>
    <w:link w:val="724"/>
    <w:uiPriority w:val="99"/>
    <w:qFormat/>
    <w:pPr>
      <w:spacing w:after="0" w:line="240" w:lineRule="auto"/>
    </w:pPr>
    <w:tblPr/>
  </w:style>
  <w:style w:type="table" w:styleId="844">
    <w:name w:val="List Table 2"/>
    <w:next w:val="844"/>
    <w:link w:val="724"/>
    <w:uiPriority w:val="99"/>
    <w:pPr>
      <w:spacing w:after="0" w:line="240" w:lineRule="auto"/>
    </w:pPr>
    <w:tblPr/>
  </w:style>
  <w:style w:type="table" w:styleId="845">
    <w:name w:val="List Table 2 - Accent 1"/>
    <w:next w:val="845"/>
    <w:link w:val="724"/>
    <w:uiPriority w:val="99"/>
    <w:qFormat/>
    <w:pPr>
      <w:spacing w:after="0" w:line="240" w:lineRule="auto"/>
    </w:pPr>
    <w:tblPr/>
  </w:style>
  <w:style w:type="table" w:styleId="846">
    <w:name w:val="List Table 2 - Accent 2"/>
    <w:next w:val="846"/>
    <w:link w:val="724"/>
    <w:uiPriority w:val="99"/>
    <w:qFormat/>
    <w:pPr>
      <w:spacing w:after="0" w:line="240" w:lineRule="auto"/>
    </w:pPr>
    <w:tblPr/>
  </w:style>
  <w:style w:type="table" w:styleId="847">
    <w:name w:val="List Table 2 - Accent 3"/>
    <w:next w:val="847"/>
    <w:link w:val="724"/>
    <w:uiPriority w:val="99"/>
    <w:qFormat/>
    <w:pPr>
      <w:spacing w:after="0" w:line="240" w:lineRule="auto"/>
    </w:pPr>
    <w:tblPr/>
  </w:style>
  <w:style w:type="table" w:styleId="848">
    <w:name w:val="List Table 2 - Accent 4"/>
    <w:next w:val="848"/>
    <w:link w:val="724"/>
    <w:uiPriority w:val="99"/>
    <w:qFormat/>
    <w:pPr>
      <w:spacing w:after="0" w:line="240" w:lineRule="auto"/>
    </w:pPr>
    <w:tblPr/>
  </w:style>
  <w:style w:type="table" w:styleId="849">
    <w:name w:val="List Table 2 - Accent 5"/>
    <w:next w:val="849"/>
    <w:link w:val="724"/>
    <w:uiPriority w:val="99"/>
    <w:pPr>
      <w:spacing w:after="0" w:line="240" w:lineRule="auto"/>
    </w:pPr>
    <w:tblPr/>
  </w:style>
  <w:style w:type="table" w:styleId="850">
    <w:name w:val="List Table 2 - Accent 6"/>
    <w:next w:val="850"/>
    <w:link w:val="724"/>
    <w:uiPriority w:val="99"/>
    <w:pPr>
      <w:spacing w:after="0" w:line="240" w:lineRule="auto"/>
    </w:pPr>
    <w:tblPr/>
  </w:style>
  <w:style w:type="table" w:styleId="851">
    <w:name w:val="List Table 3"/>
    <w:next w:val="851"/>
    <w:link w:val="724"/>
    <w:uiPriority w:val="99"/>
    <w:qFormat/>
    <w:pPr>
      <w:spacing w:after="0" w:line="240" w:lineRule="auto"/>
    </w:pPr>
    <w:tblPr/>
  </w:style>
  <w:style w:type="table" w:styleId="852">
    <w:name w:val="List Table 3 - Accent 1"/>
    <w:next w:val="852"/>
    <w:link w:val="724"/>
    <w:uiPriority w:val="99"/>
    <w:qFormat/>
    <w:pPr>
      <w:spacing w:after="0" w:line="240" w:lineRule="auto"/>
    </w:pPr>
    <w:tblPr/>
  </w:style>
  <w:style w:type="table" w:styleId="853">
    <w:name w:val="List Table 3 - Accent 2"/>
    <w:next w:val="853"/>
    <w:link w:val="724"/>
    <w:uiPriority w:val="99"/>
    <w:qFormat/>
    <w:pPr>
      <w:spacing w:after="0" w:line="240" w:lineRule="auto"/>
    </w:pPr>
    <w:tblPr/>
  </w:style>
  <w:style w:type="table" w:styleId="854">
    <w:name w:val="List Table 3 - Accent 3"/>
    <w:next w:val="854"/>
    <w:link w:val="724"/>
    <w:uiPriority w:val="99"/>
    <w:qFormat/>
    <w:pPr>
      <w:spacing w:after="0" w:line="240" w:lineRule="auto"/>
    </w:pPr>
    <w:tblPr/>
  </w:style>
  <w:style w:type="table" w:styleId="855">
    <w:name w:val="List Table 3 - Accent 4"/>
    <w:next w:val="855"/>
    <w:link w:val="724"/>
    <w:uiPriority w:val="99"/>
    <w:qFormat/>
    <w:pPr>
      <w:spacing w:after="0" w:line="240" w:lineRule="auto"/>
    </w:pPr>
    <w:tblPr/>
  </w:style>
  <w:style w:type="table" w:styleId="856">
    <w:name w:val="List Table 3 - Accent 5"/>
    <w:next w:val="856"/>
    <w:link w:val="724"/>
    <w:uiPriority w:val="99"/>
    <w:qFormat/>
    <w:pPr>
      <w:spacing w:after="0" w:line="240" w:lineRule="auto"/>
    </w:pPr>
    <w:tblPr/>
  </w:style>
  <w:style w:type="table" w:styleId="857">
    <w:name w:val="List Table 3 - Accent 6"/>
    <w:next w:val="857"/>
    <w:link w:val="724"/>
    <w:uiPriority w:val="99"/>
    <w:qFormat/>
    <w:pPr>
      <w:spacing w:after="0" w:line="240" w:lineRule="auto"/>
    </w:pPr>
    <w:tblPr/>
  </w:style>
  <w:style w:type="table" w:styleId="858">
    <w:name w:val="List Table 4"/>
    <w:next w:val="858"/>
    <w:link w:val="724"/>
    <w:uiPriority w:val="99"/>
    <w:qFormat/>
    <w:pPr>
      <w:spacing w:after="0" w:line="240" w:lineRule="auto"/>
    </w:pPr>
    <w:tblPr/>
  </w:style>
  <w:style w:type="table" w:styleId="859">
    <w:name w:val="List Table 4 - Accent 1"/>
    <w:next w:val="859"/>
    <w:link w:val="724"/>
    <w:uiPriority w:val="99"/>
    <w:qFormat/>
    <w:pPr>
      <w:spacing w:after="0" w:line="240" w:lineRule="auto"/>
    </w:pPr>
    <w:tblPr/>
  </w:style>
  <w:style w:type="table" w:styleId="860">
    <w:name w:val="List Table 4 - Accent 2"/>
    <w:next w:val="860"/>
    <w:link w:val="724"/>
    <w:uiPriority w:val="99"/>
    <w:qFormat/>
    <w:pPr>
      <w:spacing w:after="0" w:line="240" w:lineRule="auto"/>
    </w:pPr>
    <w:tblPr/>
  </w:style>
  <w:style w:type="table" w:styleId="861">
    <w:name w:val="List Table 4 - Accent 3"/>
    <w:next w:val="861"/>
    <w:link w:val="724"/>
    <w:uiPriority w:val="99"/>
    <w:qFormat/>
    <w:pPr>
      <w:spacing w:after="0" w:line="240" w:lineRule="auto"/>
    </w:pPr>
    <w:tblPr/>
  </w:style>
  <w:style w:type="table" w:styleId="862">
    <w:name w:val="List Table 4 - Accent 4"/>
    <w:next w:val="862"/>
    <w:link w:val="724"/>
    <w:uiPriority w:val="99"/>
    <w:qFormat/>
    <w:pPr>
      <w:spacing w:after="0" w:line="240" w:lineRule="auto"/>
    </w:pPr>
    <w:tblPr/>
  </w:style>
  <w:style w:type="table" w:styleId="863">
    <w:name w:val="List Table 4 - Accent 5"/>
    <w:next w:val="863"/>
    <w:link w:val="724"/>
    <w:uiPriority w:val="99"/>
    <w:qFormat/>
    <w:pPr>
      <w:spacing w:after="0" w:line="240" w:lineRule="auto"/>
    </w:pPr>
    <w:tblPr/>
  </w:style>
  <w:style w:type="table" w:styleId="864">
    <w:name w:val="List Table 4 - Accent 6"/>
    <w:next w:val="864"/>
    <w:link w:val="724"/>
    <w:uiPriority w:val="99"/>
    <w:qFormat/>
    <w:pPr>
      <w:spacing w:after="0" w:line="240" w:lineRule="auto"/>
    </w:pPr>
    <w:tblPr/>
  </w:style>
  <w:style w:type="table" w:styleId="865">
    <w:name w:val="List Table 5 Dark"/>
    <w:next w:val="865"/>
    <w:link w:val="724"/>
    <w:uiPriority w:val="99"/>
    <w:qFormat/>
    <w:pPr>
      <w:spacing w:after="0" w:line="240" w:lineRule="auto"/>
    </w:pPr>
    <w:tblPr/>
  </w:style>
  <w:style w:type="table" w:styleId="866">
    <w:name w:val="List Table 5 Dark - Accent 1"/>
    <w:next w:val="866"/>
    <w:link w:val="724"/>
    <w:uiPriority w:val="99"/>
    <w:qFormat/>
    <w:pPr>
      <w:spacing w:after="0" w:line="240" w:lineRule="auto"/>
    </w:pPr>
    <w:tblPr/>
  </w:style>
  <w:style w:type="table" w:styleId="867">
    <w:name w:val="List Table 5 Dark - Accent 2"/>
    <w:next w:val="867"/>
    <w:link w:val="724"/>
    <w:uiPriority w:val="99"/>
    <w:qFormat/>
    <w:pPr>
      <w:spacing w:after="0" w:line="240" w:lineRule="auto"/>
    </w:pPr>
    <w:tblPr/>
  </w:style>
  <w:style w:type="table" w:styleId="868">
    <w:name w:val="List Table 5 Dark - Accent 3"/>
    <w:next w:val="868"/>
    <w:link w:val="724"/>
    <w:uiPriority w:val="99"/>
    <w:qFormat/>
    <w:pPr>
      <w:spacing w:after="0" w:line="240" w:lineRule="auto"/>
    </w:pPr>
    <w:tblPr/>
  </w:style>
  <w:style w:type="table" w:styleId="869">
    <w:name w:val="List Table 5 Dark - Accent 4"/>
    <w:next w:val="869"/>
    <w:link w:val="724"/>
    <w:uiPriority w:val="99"/>
    <w:qFormat/>
    <w:pPr>
      <w:spacing w:after="0" w:line="240" w:lineRule="auto"/>
    </w:pPr>
    <w:tblPr/>
  </w:style>
  <w:style w:type="table" w:styleId="870">
    <w:name w:val="List Table 5 Dark - Accent 5"/>
    <w:next w:val="870"/>
    <w:link w:val="724"/>
    <w:uiPriority w:val="99"/>
    <w:qFormat/>
    <w:pPr>
      <w:spacing w:after="0" w:line="240" w:lineRule="auto"/>
    </w:pPr>
    <w:tblPr/>
  </w:style>
  <w:style w:type="table" w:styleId="871">
    <w:name w:val="List Table 5 Dark - Accent 6"/>
    <w:next w:val="871"/>
    <w:link w:val="724"/>
    <w:uiPriority w:val="99"/>
    <w:qFormat/>
    <w:pPr>
      <w:spacing w:after="0" w:line="240" w:lineRule="auto"/>
    </w:pPr>
    <w:tblPr/>
  </w:style>
  <w:style w:type="table" w:styleId="872">
    <w:name w:val="List Table 6 Colorful"/>
    <w:next w:val="872"/>
    <w:link w:val="724"/>
    <w:uiPriority w:val="99"/>
    <w:qFormat/>
    <w:pPr>
      <w:spacing w:after="0" w:line="240" w:lineRule="auto"/>
    </w:pPr>
    <w:tblPr/>
  </w:style>
  <w:style w:type="table" w:styleId="873">
    <w:name w:val="List Table 6 Colorful - Accent 1"/>
    <w:next w:val="873"/>
    <w:link w:val="724"/>
    <w:uiPriority w:val="99"/>
    <w:qFormat/>
    <w:pPr>
      <w:spacing w:after="0" w:line="240" w:lineRule="auto"/>
    </w:pPr>
    <w:tblPr/>
  </w:style>
  <w:style w:type="table" w:styleId="874">
    <w:name w:val="List Table 6 Colorful - Accent 2"/>
    <w:next w:val="874"/>
    <w:link w:val="724"/>
    <w:uiPriority w:val="99"/>
    <w:qFormat/>
    <w:pPr>
      <w:spacing w:after="0" w:line="240" w:lineRule="auto"/>
    </w:pPr>
    <w:tblPr/>
  </w:style>
  <w:style w:type="table" w:styleId="875">
    <w:name w:val="List Table 6 Colorful - Accent 3"/>
    <w:next w:val="875"/>
    <w:link w:val="724"/>
    <w:uiPriority w:val="99"/>
    <w:qFormat/>
    <w:pPr>
      <w:spacing w:after="0" w:line="240" w:lineRule="auto"/>
    </w:pPr>
    <w:tblPr/>
  </w:style>
  <w:style w:type="table" w:styleId="876">
    <w:name w:val="List Table 6 Colorful - Accent 4"/>
    <w:next w:val="876"/>
    <w:link w:val="724"/>
    <w:uiPriority w:val="99"/>
    <w:qFormat/>
    <w:pPr>
      <w:spacing w:after="0" w:line="240" w:lineRule="auto"/>
    </w:pPr>
    <w:tblPr/>
  </w:style>
  <w:style w:type="table" w:styleId="877">
    <w:name w:val="List Table 6 Colorful - Accent 5"/>
    <w:next w:val="877"/>
    <w:link w:val="724"/>
    <w:uiPriority w:val="99"/>
    <w:qFormat/>
    <w:pPr>
      <w:spacing w:after="0" w:line="240" w:lineRule="auto"/>
    </w:pPr>
    <w:tblPr/>
  </w:style>
  <w:style w:type="table" w:styleId="878">
    <w:name w:val="List Table 6 Colorful - Accent 6"/>
    <w:next w:val="878"/>
    <w:link w:val="724"/>
    <w:uiPriority w:val="99"/>
    <w:qFormat/>
    <w:pPr>
      <w:spacing w:after="0" w:line="240" w:lineRule="auto"/>
    </w:pPr>
    <w:tblPr/>
  </w:style>
  <w:style w:type="table" w:styleId="879">
    <w:name w:val="List Table 7 Colorful"/>
    <w:next w:val="879"/>
    <w:link w:val="724"/>
    <w:uiPriority w:val="99"/>
    <w:qFormat/>
    <w:pPr>
      <w:spacing w:after="0" w:line="240" w:lineRule="auto"/>
    </w:pPr>
    <w:tblPr/>
  </w:style>
  <w:style w:type="table" w:styleId="880">
    <w:name w:val="List Table 7 Colorful - Accent 1"/>
    <w:next w:val="880"/>
    <w:link w:val="724"/>
    <w:uiPriority w:val="99"/>
    <w:qFormat/>
    <w:pPr>
      <w:spacing w:after="0" w:line="240" w:lineRule="auto"/>
    </w:pPr>
    <w:tblPr/>
  </w:style>
  <w:style w:type="table" w:styleId="881">
    <w:name w:val="List Table 7 Colorful - Accent 2"/>
    <w:next w:val="881"/>
    <w:link w:val="724"/>
    <w:uiPriority w:val="99"/>
    <w:qFormat/>
    <w:pPr>
      <w:spacing w:after="0" w:line="240" w:lineRule="auto"/>
    </w:pPr>
    <w:tblPr/>
  </w:style>
  <w:style w:type="table" w:styleId="882">
    <w:name w:val="List Table 7 Colorful - Accent 3"/>
    <w:next w:val="882"/>
    <w:link w:val="724"/>
    <w:uiPriority w:val="99"/>
    <w:qFormat/>
    <w:pPr>
      <w:spacing w:after="0" w:line="240" w:lineRule="auto"/>
    </w:pPr>
    <w:tblPr/>
  </w:style>
  <w:style w:type="table" w:styleId="883">
    <w:name w:val="List Table 7 Colorful - Accent 4"/>
    <w:next w:val="883"/>
    <w:link w:val="724"/>
    <w:uiPriority w:val="99"/>
    <w:qFormat/>
    <w:pPr>
      <w:spacing w:after="0" w:line="240" w:lineRule="auto"/>
    </w:pPr>
    <w:tblPr/>
  </w:style>
  <w:style w:type="table" w:styleId="884">
    <w:name w:val="List Table 7 Colorful - Accent 5"/>
    <w:next w:val="884"/>
    <w:link w:val="724"/>
    <w:uiPriority w:val="99"/>
    <w:qFormat/>
    <w:pPr>
      <w:spacing w:after="0" w:line="240" w:lineRule="auto"/>
    </w:pPr>
    <w:tblPr/>
  </w:style>
  <w:style w:type="table" w:styleId="885">
    <w:name w:val="List Table 7 Colorful - Accent 6"/>
    <w:next w:val="885"/>
    <w:link w:val="724"/>
    <w:uiPriority w:val="99"/>
    <w:qFormat/>
    <w:pPr>
      <w:spacing w:after="0" w:line="240" w:lineRule="auto"/>
    </w:pPr>
    <w:tblPr/>
  </w:style>
  <w:style w:type="table" w:styleId="886">
    <w:name w:val="Lined - Accent"/>
    <w:next w:val="886"/>
    <w:link w:val="724"/>
    <w:uiPriority w:val="99"/>
    <w:qFormat/>
    <w:pPr>
      <w:spacing w:after="0" w:line="240" w:lineRule="auto"/>
    </w:pPr>
    <w:rPr>
      <w:color w:val="404040"/>
    </w:rPr>
    <w:tblPr/>
  </w:style>
  <w:style w:type="table" w:styleId="887">
    <w:name w:val="Lined - Accent 1"/>
    <w:next w:val="887"/>
    <w:link w:val="724"/>
    <w:uiPriority w:val="99"/>
    <w:qFormat/>
    <w:pPr>
      <w:spacing w:after="0" w:line="240" w:lineRule="auto"/>
    </w:pPr>
    <w:rPr>
      <w:color w:val="404040"/>
    </w:rPr>
    <w:tblPr/>
  </w:style>
  <w:style w:type="table" w:styleId="888">
    <w:name w:val="Lined - Accent 2"/>
    <w:next w:val="888"/>
    <w:link w:val="724"/>
    <w:uiPriority w:val="99"/>
    <w:qFormat/>
    <w:pPr>
      <w:spacing w:after="0" w:line="240" w:lineRule="auto"/>
    </w:pPr>
    <w:rPr>
      <w:color w:val="404040"/>
    </w:rPr>
    <w:tblPr/>
  </w:style>
  <w:style w:type="table" w:styleId="889">
    <w:name w:val="Lined - Accent 3"/>
    <w:next w:val="889"/>
    <w:link w:val="724"/>
    <w:uiPriority w:val="99"/>
    <w:qFormat/>
    <w:pPr>
      <w:spacing w:after="0" w:line="240" w:lineRule="auto"/>
    </w:pPr>
    <w:rPr>
      <w:color w:val="404040"/>
    </w:rPr>
    <w:tblPr/>
  </w:style>
  <w:style w:type="table" w:styleId="890">
    <w:name w:val="Lined - Accent 4"/>
    <w:next w:val="890"/>
    <w:link w:val="724"/>
    <w:uiPriority w:val="99"/>
    <w:qFormat/>
    <w:pPr>
      <w:spacing w:after="0" w:line="240" w:lineRule="auto"/>
    </w:pPr>
    <w:rPr>
      <w:color w:val="404040"/>
    </w:rPr>
    <w:tblPr/>
  </w:style>
  <w:style w:type="table" w:styleId="891">
    <w:name w:val="Lined - Accent 5"/>
    <w:next w:val="891"/>
    <w:link w:val="724"/>
    <w:uiPriority w:val="99"/>
    <w:qFormat/>
    <w:pPr>
      <w:spacing w:after="0" w:line="240" w:lineRule="auto"/>
    </w:pPr>
    <w:rPr>
      <w:color w:val="404040"/>
    </w:rPr>
    <w:tblPr/>
  </w:style>
  <w:style w:type="table" w:styleId="892">
    <w:name w:val="Lined - Accent 6"/>
    <w:next w:val="892"/>
    <w:link w:val="724"/>
    <w:uiPriority w:val="99"/>
    <w:qFormat/>
    <w:pPr>
      <w:spacing w:after="0" w:line="240" w:lineRule="auto"/>
    </w:pPr>
    <w:rPr>
      <w:color w:val="404040"/>
    </w:rPr>
    <w:tblPr/>
  </w:style>
  <w:style w:type="table" w:styleId="893">
    <w:name w:val="Bordered &amp; Lined - Accent"/>
    <w:next w:val="893"/>
    <w:link w:val="724"/>
    <w:uiPriority w:val="99"/>
    <w:qFormat/>
    <w:pPr>
      <w:spacing w:after="0" w:line="240" w:lineRule="auto"/>
    </w:pPr>
    <w:rPr>
      <w:color w:val="404040"/>
    </w:rPr>
    <w:tblPr/>
  </w:style>
  <w:style w:type="table" w:styleId="894">
    <w:name w:val="Bordered &amp; Lined - Accent 1"/>
    <w:next w:val="894"/>
    <w:link w:val="724"/>
    <w:uiPriority w:val="99"/>
    <w:qFormat/>
    <w:pPr>
      <w:spacing w:after="0" w:line="240" w:lineRule="auto"/>
    </w:pPr>
    <w:rPr>
      <w:color w:val="404040"/>
    </w:rPr>
    <w:tblPr/>
  </w:style>
  <w:style w:type="table" w:styleId="895">
    <w:name w:val="Bordered &amp; Lined - Accent 2"/>
    <w:next w:val="895"/>
    <w:link w:val="724"/>
    <w:uiPriority w:val="99"/>
    <w:qFormat/>
    <w:pPr>
      <w:spacing w:after="0" w:line="240" w:lineRule="auto"/>
    </w:pPr>
    <w:rPr>
      <w:color w:val="404040"/>
    </w:rPr>
    <w:tblPr/>
  </w:style>
  <w:style w:type="table" w:styleId="896">
    <w:name w:val="Bordered &amp; Lined - Accent 3"/>
    <w:next w:val="896"/>
    <w:link w:val="724"/>
    <w:uiPriority w:val="99"/>
    <w:qFormat/>
    <w:pPr>
      <w:spacing w:after="0" w:line="240" w:lineRule="auto"/>
    </w:pPr>
    <w:rPr>
      <w:color w:val="404040"/>
    </w:rPr>
    <w:tblPr/>
  </w:style>
  <w:style w:type="table" w:styleId="897">
    <w:name w:val="Bordered &amp; Lined - Accent 4"/>
    <w:next w:val="897"/>
    <w:link w:val="724"/>
    <w:uiPriority w:val="99"/>
    <w:qFormat/>
    <w:pPr>
      <w:spacing w:after="0" w:line="240" w:lineRule="auto"/>
    </w:pPr>
    <w:rPr>
      <w:color w:val="404040"/>
    </w:rPr>
    <w:tblPr/>
  </w:style>
  <w:style w:type="table" w:styleId="898">
    <w:name w:val="Bordered &amp; Lined - Accent 5"/>
    <w:next w:val="898"/>
    <w:link w:val="724"/>
    <w:uiPriority w:val="99"/>
    <w:qFormat/>
    <w:pPr>
      <w:spacing w:after="0" w:line="240" w:lineRule="auto"/>
    </w:pPr>
    <w:rPr>
      <w:color w:val="404040"/>
    </w:rPr>
    <w:tblPr/>
  </w:style>
  <w:style w:type="table" w:styleId="899">
    <w:name w:val="Bordered &amp; Lined - Accent 6"/>
    <w:next w:val="899"/>
    <w:link w:val="724"/>
    <w:uiPriority w:val="99"/>
    <w:qFormat/>
    <w:pPr>
      <w:spacing w:after="0" w:line="240" w:lineRule="auto"/>
    </w:pPr>
    <w:rPr>
      <w:color w:val="404040"/>
    </w:rPr>
    <w:tblPr/>
  </w:style>
  <w:style w:type="table" w:styleId="900">
    <w:name w:val="Bordered"/>
    <w:next w:val="900"/>
    <w:link w:val="724"/>
    <w:uiPriority w:val="99"/>
    <w:qFormat/>
    <w:pPr>
      <w:spacing w:after="0" w:line="240" w:lineRule="auto"/>
    </w:pPr>
    <w:tblPr/>
  </w:style>
  <w:style w:type="table" w:styleId="901">
    <w:name w:val="Bordered - Accent 1"/>
    <w:next w:val="901"/>
    <w:link w:val="724"/>
    <w:uiPriority w:val="99"/>
    <w:qFormat/>
    <w:pPr>
      <w:spacing w:after="0" w:line="240" w:lineRule="auto"/>
    </w:pPr>
    <w:tblPr/>
  </w:style>
  <w:style w:type="table" w:styleId="902">
    <w:name w:val="Bordered - Accent 2"/>
    <w:next w:val="902"/>
    <w:link w:val="724"/>
    <w:uiPriority w:val="99"/>
    <w:qFormat/>
    <w:pPr>
      <w:spacing w:after="0" w:line="240" w:lineRule="auto"/>
    </w:pPr>
    <w:tblPr/>
  </w:style>
  <w:style w:type="table" w:styleId="903">
    <w:name w:val="Bordered - Accent 3"/>
    <w:next w:val="903"/>
    <w:link w:val="724"/>
    <w:uiPriority w:val="99"/>
    <w:qFormat/>
    <w:pPr>
      <w:spacing w:after="0" w:line="240" w:lineRule="auto"/>
    </w:pPr>
    <w:tblPr/>
  </w:style>
  <w:style w:type="table" w:styleId="904">
    <w:name w:val="Bordered - Accent 4"/>
    <w:next w:val="904"/>
    <w:link w:val="724"/>
    <w:uiPriority w:val="99"/>
    <w:qFormat/>
    <w:pPr>
      <w:spacing w:after="0" w:line="240" w:lineRule="auto"/>
    </w:pPr>
    <w:tblPr/>
  </w:style>
  <w:style w:type="table" w:styleId="905">
    <w:name w:val="Bordered - Accent 5"/>
    <w:next w:val="905"/>
    <w:link w:val="724"/>
    <w:uiPriority w:val="99"/>
    <w:qFormat/>
    <w:pPr>
      <w:spacing w:after="0" w:line="240" w:lineRule="auto"/>
    </w:pPr>
    <w:tblPr/>
  </w:style>
  <w:style w:type="table" w:styleId="906">
    <w:name w:val="Bordered - Accent 6"/>
    <w:next w:val="906"/>
    <w:link w:val="724"/>
    <w:uiPriority w:val="99"/>
    <w:qFormat/>
    <w:pPr>
      <w:spacing w:after="0" w:line="240" w:lineRule="auto"/>
    </w:pPr>
    <w:tblPr/>
  </w:style>
  <w:style w:type="paragraph" w:styleId="907">
    <w:name w:val="TOC Heading"/>
    <w:next w:val="907"/>
    <w:link w:val="724"/>
    <w:uiPriority w:val="39"/>
    <w:unhideWhenUsed/>
    <w:qFormat/>
    <w:rPr>
      <w:rFonts w:ascii="Times New Roman" w:hAnsi="Times New Roman" w:eastAsia="宋体" w:cs="Times New Roman"/>
    </w:rPr>
  </w:style>
  <w:style w:type="paragraph" w:styleId="908">
    <w:name w:val="标题 11"/>
    <w:basedOn w:val="724"/>
    <w:next w:val="724"/>
    <w:link w:val="909"/>
    <w:qFormat/>
    <w:pPr>
      <w:jc w:val="center"/>
      <w:keepNext/>
      <w:outlineLvl w:val="0"/>
    </w:pPr>
    <w:rPr>
      <w:rFonts w:ascii="楷体_GB2312" w:hAnsi="Times New Roman" w:eastAsia="楷体_GB2312" w:cs="Times New Roman"/>
      <w:sz w:val="28"/>
      <w:szCs w:val="28"/>
    </w:rPr>
  </w:style>
  <w:style w:type="character" w:styleId="909">
    <w:name w:val="标题 1 字符"/>
    <w:next w:val="909"/>
    <w:link w:val="908"/>
    <w:qFormat/>
    <w:rPr>
      <w:rFonts w:ascii="楷体_GB2312" w:hAnsi="Times New Roman" w:eastAsia="楷体_GB2312" w:cs="Times New Roman"/>
      <w:sz w:val="28"/>
      <w:szCs w:val="28"/>
    </w:rPr>
  </w:style>
  <w:style w:type="paragraph" w:styleId="910">
    <w:name w:val="标题 21"/>
    <w:basedOn w:val="724"/>
    <w:next w:val="912"/>
    <w:link w:val="911"/>
    <w:qFormat/>
    <w:pPr>
      <w:jc w:val="center"/>
      <w:keepLines/>
      <w:keepNext/>
      <w:spacing w:before="260" w:after="260" w:line="416" w:lineRule="auto"/>
      <w:outlineLvl w:val="1"/>
    </w:pPr>
    <w:rPr>
      <w:rFonts w:ascii="Arial" w:hAnsi="Arial" w:eastAsia="幼圆" w:cs="Arial"/>
      <w:b/>
      <w:bCs/>
      <w:sz w:val="44"/>
      <w:szCs w:val="44"/>
    </w:rPr>
  </w:style>
  <w:style w:type="character" w:styleId="911">
    <w:name w:val="标题 2 字符"/>
    <w:next w:val="911"/>
    <w:link w:val="910"/>
    <w:qFormat/>
    <w:rPr>
      <w:rFonts w:ascii="Arial" w:hAnsi="Arial" w:eastAsia="幼圆" w:cs="Arial"/>
      <w:b/>
      <w:bCs/>
      <w:sz w:val="44"/>
      <w:szCs w:val="44"/>
    </w:rPr>
  </w:style>
  <w:style w:type="paragraph" w:styleId="912">
    <w:name w:val="正文缩进1"/>
    <w:basedOn w:val="724"/>
    <w:next w:val="912"/>
    <w:link w:val="913"/>
    <w:qFormat/>
    <w:pPr>
      <w:ind w:firstLine="420"/>
    </w:pPr>
    <w:rPr>
      <w:szCs w:val="21"/>
    </w:rPr>
  </w:style>
  <w:style w:type="character" w:styleId="913">
    <w:name w:val="正文缩进 字符"/>
    <w:next w:val="913"/>
    <w:link w:val="912"/>
    <w:qFormat/>
    <w:rPr>
      <w:szCs w:val="21"/>
    </w:rPr>
  </w:style>
  <w:style w:type="paragraph" w:styleId="914">
    <w:name w:val="标题 31"/>
    <w:basedOn w:val="724"/>
    <w:next w:val="724"/>
    <w:link w:val="915"/>
    <w:qFormat/>
    <w:pPr>
      <w:keepLines/>
      <w:keepNext/>
      <w:spacing w:before="260" w:after="260" w:line="416" w:lineRule="auto"/>
      <w:outlineLvl w:val="2"/>
    </w:pPr>
    <w:rPr>
      <w:rFonts w:ascii="Times New Roman" w:hAnsi="Times New Roman" w:eastAsia="宋体" w:cs="Times New Roman"/>
      <w:b/>
      <w:bCs/>
      <w:sz w:val="32"/>
      <w:szCs w:val="32"/>
    </w:rPr>
  </w:style>
  <w:style w:type="character" w:styleId="915">
    <w:name w:val="标题 3 字符"/>
    <w:next w:val="915"/>
    <w:link w:val="914"/>
    <w:qFormat/>
    <w:rPr>
      <w:rFonts w:ascii="Times New Roman" w:hAnsi="Times New Roman" w:eastAsia="宋体" w:cs="Times New Roman"/>
      <w:b/>
      <w:bCs/>
      <w:sz w:val="32"/>
      <w:szCs w:val="32"/>
    </w:rPr>
  </w:style>
  <w:style w:type="paragraph" w:styleId="916">
    <w:name w:val="标题 41"/>
    <w:basedOn w:val="724"/>
    <w:next w:val="912"/>
    <w:link w:val="917"/>
    <w:qFormat/>
    <w:pPr>
      <w:keepLines/>
      <w:keepNext/>
      <w:spacing w:before="280" w:after="290" w:line="376" w:lineRule="auto"/>
      <w:outlineLvl w:val="3"/>
    </w:pPr>
    <w:rPr>
      <w:rFonts w:ascii="Arial" w:hAnsi="Arial" w:eastAsia="黑体" w:cs="Arial"/>
      <w:b/>
      <w:bCs/>
      <w:sz w:val="28"/>
      <w:szCs w:val="28"/>
    </w:rPr>
  </w:style>
  <w:style w:type="character" w:styleId="917">
    <w:name w:val="标题 4 字符"/>
    <w:next w:val="917"/>
    <w:link w:val="916"/>
    <w:qFormat/>
    <w:rPr>
      <w:rFonts w:ascii="Arial" w:hAnsi="Arial" w:eastAsia="黑体" w:cs="Arial"/>
      <w:b/>
      <w:bCs/>
      <w:sz w:val="28"/>
      <w:szCs w:val="28"/>
    </w:rPr>
  </w:style>
  <w:style w:type="paragraph" w:styleId="918">
    <w:name w:val="标题 51"/>
    <w:basedOn w:val="724"/>
    <w:next w:val="724"/>
    <w:link w:val="919"/>
    <w:qFormat/>
    <w:pPr>
      <w:keepNext/>
      <w:outlineLvl w:val="4"/>
    </w:pPr>
    <w:rPr>
      <w:rFonts w:ascii="宋体" w:hAnsi="Times New Roman" w:eastAsia="宋体" w:cs="Times New Roman"/>
      <w:color w:val="000000"/>
      <w:sz w:val="28"/>
      <w:szCs w:val="28"/>
    </w:rPr>
  </w:style>
  <w:style w:type="character" w:styleId="919">
    <w:name w:val="标题 5 字符"/>
    <w:next w:val="919"/>
    <w:link w:val="918"/>
    <w:qFormat/>
    <w:rPr>
      <w:rFonts w:ascii="宋体" w:hAnsi="Times New Roman" w:eastAsia="宋体" w:cs="Times New Roman"/>
      <w:color w:val="000000"/>
      <w:sz w:val="28"/>
      <w:szCs w:val="28"/>
    </w:rPr>
  </w:style>
  <w:style w:type="paragraph" w:styleId="920">
    <w:name w:val="标题 61"/>
    <w:basedOn w:val="724"/>
    <w:next w:val="724"/>
    <w:link w:val="921"/>
    <w:qFormat/>
    <w:pPr>
      <w:numPr>
        <w:ilvl w:val="5"/>
        <w:numId w:val="1"/>
      </w:numPr>
      <w:keepLines/>
      <w:keepNext/>
      <w:spacing w:before="240" w:after="64" w:line="320" w:lineRule="auto"/>
      <w:outlineLvl w:val="5"/>
    </w:pPr>
    <w:rPr>
      <w:rFonts w:ascii="Arial" w:hAnsi="Arial" w:eastAsia="黑体" w:cs="Times New Roman"/>
      <w:b/>
      <w:bCs/>
      <w:sz w:val="24"/>
      <w:szCs w:val="24"/>
    </w:rPr>
  </w:style>
  <w:style w:type="character" w:styleId="921">
    <w:name w:val="标题 6 字符"/>
    <w:next w:val="921"/>
    <w:link w:val="920"/>
    <w:qFormat/>
    <w:rPr>
      <w:rFonts w:ascii="Arial" w:hAnsi="Arial" w:eastAsia="黑体" w:cs="Times New Roman"/>
      <w:b/>
      <w:bCs/>
      <w:sz w:val="24"/>
      <w:szCs w:val="24"/>
    </w:rPr>
  </w:style>
  <w:style w:type="paragraph" w:styleId="922">
    <w:name w:val="标题 71"/>
    <w:basedOn w:val="724"/>
    <w:next w:val="724"/>
    <w:link w:val="923"/>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character" w:styleId="923">
    <w:name w:val="标题 7 字符"/>
    <w:next w:val="923"/>
    <w:link w:val="922"/>
    <w:qFormat/>
    <w:rPr>
      <w:rFonts w:ascii="Times New Roman" w:hAnsi="Times New Roman" w:eastAsia="宋体" w:cs="Times New Roman"/>
      <w:b/>
      <w:bCs/>
      <w:sz w:val="24"/>
      <w:szCs w:val="24"/>
    </w:rPr>
  </w:style>
  <w:style w:type="paragraph" w:styleId="924">
    <w:name w:val="标题 81"/>
    <w:basedOn w:val="724"/>
    <w:next w:val="724"/>
    <w:link w:val="925"/>
    <w:qFormat/>
    <w:pPr>
      <w:numPr>
        <w:ilvl w:val="7"/>
        <w:numId w:val="1"/>
      </w:numPr>
      <w:keepLines/>
      <w:keepNext/>
      <w:spacing w:before="240" w:after="64" w:line="320" w:lineRule="auto"/>
      <w:outlineLvl w:val="7"/>
    </w:pPr>
    <w:rPr>
      <w:rFonts w:ascii="Arial" w:hAnsi="Arial" w:eastAsia="黑体" w:cs="Times New Roman"/>
      <w:sz w:val="24"/>
      <w:szCs w:val="24"/>
    </w:rPr>
  </w:style>
  <w:style w:type="character" w:styleId="925">
    <w:name w:val="标题 8 字符"/>
    <w:next w:val="925"/>
    <w:link w:val="924"/>
    <w:qFormat/>
    <w:rPr>
      <w:rFonts w:ascii="Arial" w:hAnsi="Arial" w:eastAsia="黑体" w:cs="Times New Roman"/>
      <w:sz w:val="24"/>
      <w:szCs w:val="24"/>
    </w:rPr>
  </w:style>
  <w:style w:type="paragraph" w:styleId="926">
    <w:name w:val="标题 91"/>
    <w:basedOn w:val="724"/>
    <w:next w:val="724"/>
    <w:link w:val="927"/>
    <w:qFormat/>
    <w:pPr>
      <w:numPr>
        <w:ilvl w:val="8"/>
        <w:numId w:val="1"/>
      </w:numPr>
      <w:keepLines/>
      <w:keepNext/>
      <w:spacing w:before="240" w:after="64" w:line="320" w:lineRule="auto"/>
      <w:outlineLvl w:val="8"/>
    </w:pPr>
    <w:rPr>
      <w:rFonts w:ascii="Arial" w:hAnsi="Arial" w:eastAsia="黑体" w:cs="Times New Roman"/>
      <w:szCs w:val="21"/>
    </w:rPr>
  </w:style>
  <w:style w:type="character" w:styleId="927">
    <w:name w:val="标题 9 字符"/>
    <w:next w:val="927"/>
    <w:link w:val="926"/>
    <w:qFormat/>
    <w:rPr>
      <w:rFonts w:ascii="Arial" w:hAnsi="Arial" w:eastAsia="黑体" w:cs="Times New Roman"/>
      <w:szCs w:val="21"/>
    </w:rPr>
  </w:style>
  <w:style w:type="character" w:styleId="928">
    <w:name w:val="默认段落字体1"/>
    <w:next w:val="928"/>
    <w:link w:val="724"/>
    <w:uiPriority w:val="1"/>
    <w:unhideWhenUsed/>
    <w:qFormat/>
  </w:style>
  <w:style w:type="table" w:styleId="929">
    <w:name w:val="普通表格1"/>
    <w:next w:val="929"/>
    <w:link w:val="724"/>
    <w:uiPriority w:val="99"/>
    <w:unhideWhenUsed/>
    <w:qFormat/>
    <w:tblPr/>
  </w:style>
  <w:style w:type="paragraph" w:styleId="930">
    <w:name w:val="列表 31"/>
    <w:basedOn w:val="724"/>
    <w:next w:val="930"/>
    <w:link w:val="724"/>
    <w:qFormat/>
    <w:pPr>
      <w:ind w:left="100" w:hanging="200"/>
    </w:pPr>
    <w:rPr>
      <w:rFonts w:ascii="Times New Roman" w:hAnsi="Times New Roman" w:eastAsia="宋体" w:cs="Times New Roman"/>
      <w:szCs w:val="21"/>
    </w:rPr>
  </w:style>
  <w:style w:type="paragraph" w:styleId="931">
    <w:name w:val="目录 71"/>
    <w:basedOn w:val="724"/>
    <w:next w:val="724"/>
    <w:link w:val="724"/>
    <w:semiHidden/>
    <w:qFormat/>
    <w:pPr>
      <w:ind w:left="1260"/>
      <w:jc w:val="left"/>
    </w:pPr>
    <w:rPr>
      <w:rFonts w:ascii="Times New Roman" w:hAnsi="Times New Roman" w:eastAsia="宋体" w:cs="Times New Roman"/>
      <w:szCs w:val="21"/>
    </w:rPr>
  </w:style>
  <w:style w:type="paragraph" w:styleId="932">
    <w:name w:val="文档结构图1"/>
    <w:basedOn w:val="724"/>
    <w:next w:val="932"/>
    <w:link w:val="933"/>
    <w:semiHidden/>
    <w:qFormat/>
    <w:pPr>
      <w:shd w:val="clear" w:color="auto" w:fill="000080"/>
    </w:pPr>
    <w:rPr>
      <w:rFonts w:ascii="Times New Roman" w:hAnsi="Times New Roman" w:eastAsia="宋体" w:cs="Times New Roman"/>
      <w:szCs w:val="21"/>
    </w:rPr>
  </w:style>
  <w:style w:type="character" w:styleId="933">
    <w:name w:val="文档结构图 字符"/>
    <w:next w:val="933"/>
    <w:link w:val="932"/>
    <w:semiHidden/>
    <w:qFormat/>
    <w:rPr>
      <w:rFonts w:ascii="Times New Roman" w:hAnsi="Times New Roman" w:eastAsia="宋体" w:cs="Times New Roman"/>
      <w:szCs w:val="21"/>
      <w:shd w:val="clear" w:color="auto" w:fill="000080"/>
    </w:rPr>
  </w:style>
  <w:style w:type="paragraph" w:styleId="934">
    <w:name w:val="批注文字1"/>
    <w:basedOn w:val="724"/>
    <w:next w:val="934"/>
    <w:link w:val="935"/>
    <w:unhideWhenUsed/>
    <w:qFormat/>
    <w:pPr>
      <w:jc w:val="left"/>
    </w:pPr>
  </w:style>
  <w:style w:type="character" w:styleId="935">
    <w:name w:val="批注文字 字符"/>
    <w:next w:val="935"/>
    <w:link w:val="934"/>
    <w:uiPriority w:val="99"/>
    <w:semiHidden/>
    <w:qFormat/>
  </w:style>
  <w:style w:type="paragraph" w:styleId="936">
    <w:name w:val="正文文本 31"/>
    <w:basedOn w:val="724"/>
    <w:next w:val="936"/>
    <w:link w:val="937"/>
    <w:qFormat/>
    <w:rPr>
      <w:rFonts w:ascii="仿宋_GB2312" w:hAnsi="Arial" w:eastAsia="仿宋_GB2312" w:cs="Times New Roman"/>
      <w:sz w:val="32"/>
      <w:szCs w:val="32"/>
    </w:rPr>
  </w:style>
  <w:style w:type="character" w:styleId="937">
    <w:name w:val="正文文本 3 字符"/>
    <w:next w:val="937"/>
    <w:link w:val="936"/>
    <w:qFormat/>
    <w:rPr>
      <w:rFonts w:ascii="仿宋_GB2312" w:hAnsi="Arial" w:eastAsia="仿宋_GB2312" w:cs="Times New Roman"/>
      <w:sz w:val="32"/>
      <w:szCs w:val="32"/>
    </w:rPr>
  </w:style>
  <w:style w:type="paragraph" w:styleId="938">
    <w:name w:val="正文文本11"/>
    <w:basedOn w:val="724"/>
    <w:next w:val="724"/>
    <w:link w:val="939"/>
    <w:qFormat/>
    <w:rPr>
      <w:rFonts w:ascii="楷体_GB2312" w:hAnsi="Arial" w:eastAsia="楷体_GB2312" w:cs="Times New Roman"/>
      <w:sz w:val="28"/>
      <w:szCs w:val="28"/>
    </w:rPr>
  </w:style>
  <w:style w:type="character" w:styleId="939">
    <w:name w:val="正文文本 字符"/>
    <w:next w:val="939"/>
    <w:link w:val="938"/>
    <w:qFormat/>
    <w:rPr>
      <w:rFonts w:ascii="楷体_GB2312" w:hAnsi="Arial" w:eastAsia="楷体_GB2312" w:cs="Times New Roman"/>
      <w:sz w:val="28"/>
      <w:szCs w:val="28"/>
    </w:rPr>
  </w:style>
  <w:style w:type="paragraph" w:styleId="940">
    <w:name w:val="正文文本缩进1"/>
    <w:basedOn w:val="724"/>
    <w:next w:val="942"/>
    <w:link w:val="941"/>
    <w:unhideWhenUsed/>
    <w:qFormat/>
    <w:pPr>
      <w:ind w:left="420"/>
      <w:spacing w:after="120"/>
    </w:pPr>
  </w:style>
  <w:style w:type="character" w:styleId="941">
    <w:name w:val="正文文本缩进 字符"/>
    <w:next w:val="941"/>
    <w:link w:val="940"/>
    <w:uiPriority w:val="99"/>
    <w:semiHidden/>
    <w:qFormat/>
  </w:style>
  <w:style w:type="paragraph" w:styleId="942">
    <w:name w:val="寄信人地址1"/>
    <w:next w:val="942"/>
    <w:link w:val="724"/>
    <w:qFormat/>
    <w:pPr>
      <w:jc w:val="both"/>
      <w:widowControl w:val="off"/>
    </w:pPr>
    <w:rPr>
      <w:rFonts w:ascii="Arial" w:hAnsi="Arial" w:eastAsia="宋体" w:cs="Arial"/>
      <w:sz w:val="21"/>
      <w:szCs w:val="21"/>
      <w:lang w:val="en-US" w:eastAsia="zh-CN" w:bidi="ar-SA"/>
    </w:rPr>
  </w:style>
  <w:style w:type="paragraph" w:styleId="943">
    <w:name w:val="列表 21"/>
    <w:basedOn w:val="724"/>
    <w:next w:val="943"/>
    <w:link w:val="724"/>
    <w:qFormat/>
    <w:pPr>
      <w:ind w:left="100" w:hanging="200"/>
    </w:pPr>
    <w:rPr>
      <w:rFonts w:ascii="Times New Roman" w:hAnsi="Times New Roman" w:eastAsia="宋体" w:cs="Times New Roman"/>
      <w:szCs w:val="21"/>
    </w:rPr>
  </w:style>
  <w:style w:type="paragraph" w:styleId="944">
    <w:name w:val="目录 51"/>
    <w:basedOn w:val="724"/>
    <w:next w:val="724"/>
    <w:link w:val="724"/>
    <w:semiHidden/>
    <w:qFormat/>
    <w:pPr>
      <w:ind w:left="840"/>
      <w:jc w:val="left"/>
    </w:pPr>
    <w:rPr>
      <w:rFonts w:ascii="Times New Roman" w:hAnsi="Times New Roman" w:eastAsia="宋体" w:cs="Times New Roman"/>
      <w:szCs w:val="21"/>
    </w:rPr>
  </w:style>
  <w:style w:type="paragraph" w:styleId="945">
    <w:name w:val="目录 31"/>
    <w:basedOn w:val="724"/>
    <w:next w:val="724"/>
    <w:link w:val="724"/>
    <w:semiHidden/>
    <w:qFormat/>
    <w:pPr>
      <w:ind w:left="420"/>
      <w:jc w:val="left"/>
    </w:pPr>
    <w:rPr>
      <w:rFonts w:ascii="Times New Roman" w:hAnsi="Times New Roman" w:eastAsia="宋体" w:cs="Times New Roman"/>
      <w:i/>
      <w:iCs/>
      <w:szCs w:val="24"/>
    </w:rPr>
  </w:style>
  <w:style w:type="paragraph" w:styleId="946">
    <w:name w:val="纯文本1"/>
    <w:basedOn w:val="724"/>
    <w:next w:val="946"/>
    <w:link w:val="947"/>
    <w:qFormat/>
    <w:rPr>
      <w:rFonts w:ascii="宋体" w:hAnsi="Courier New" w:eastAsia="宋体" w:cs="Courier New"/>
      <w:szCs w:val="21"/>
    </w:rPr>
  </w:style>
  <w:style w:type="character" w:styleId="947">
    <w:name w:val="纯文本 字符"/>
    <w:next w:val="947"/>
    <w:link w:val="946"/>
    <w:qFormat/>
    <w:rPr>
      <w:rFonts w:ascii="宋体" w:hAnsi="Courier New" w:eastAsia="宋体" w:cs="Courier New"/>
      <w:szCs w:val="21"/>
    </w:rPr>
  </w:style>
  <w:style w:type="paragraph" w:styleId="948">
    <w:name w:val="目录 81"/>
    <w:basedOn w:val="724"/>
    <w:next w:val="724"/>
    <w:link w:val="724"/>
    <w:semiHidden/>
    <w:qFormat/>
    <w:pPr>
      <w:ind w:left="1470"/>
      <w:jc w:val="left"/>
    </w:pPr>
    <w:rPr>
      <w:rFonts w:ascii="Times New Roman" w:hAnsi="Times New Roman" w:eastAsia="宋体" w:cs="Times New Roman"/>
      <w:szCs w:val="21"/>
    </w:rPr>
  </w:style>
  <w:style w:type="paragraph" w:styleId="949">
    <w:name w:val="日期1"/>
    <w:basedOn w:val="724"/>
    <w:next w:val="724"/>
    <w:link w:val="950"/>
    <w:qFormat/>
    <w:rPr>
      <w:rFonts w:ascii="Times New Roman" w:hAnsi="Times New Roman" w:eastAsia="宋体" w:cs="Times New Roman"/>
      <w:sz w:val="24"/>
      <w:szCs w:val="24"/>
    </w:rPr>
  </w:style>
  <w:style w:type="character" w:styleId="950">
    <w:name w:val="日期 字符"/>
    <w:next w:val="950"/>
    <w:link w:val="949"/>
    <w:qFormat/>
    <w:rPr>
      <w:rFonts w:ascii="Times New Roman" w:hAnsi="Times New Roman" w:eastAsia="宋体" w:cs="Times New Roman"/>
      <w:sz w:val="24"/>
      <w:szCs w:val="24"/>
    </w:rPr>
  </w:style>
  <w:style w:type="paragraph" w:styleId="951">
    <w:name w:val="正文文本缩进 21"/>
    <w:basedOn w:val="724"/>
    <w:next w:val="951"/>
    <w:link w:val="952"/>
    <w:qFormat/>
    <w:pPr>
      <w:ind w:left="630" w:firstLine="645"/>
    </w:pPr>
    <w:rPr>
      <w:rFonts w:ascii="Arial" w:hAnsi="Arial" w:eastAsia="仿宋_GB2312" w:cs="Arial"/>
      <w:sz w:val="32"/>
      <w:szCs w:val="32"/>
    </w:rPr>
  </w:style>
  <w:style w:type="character" w:styleId="952">
    <w:name w:val="正文文本缩进 2 字符"/>
    <w:next w:val="952"/>
    <w:link w:val="951"/>
    <w:qFormat/>
    <w:rPr>
      <w:rFonts w:ascii="Arial" w:hAnsi="Arial" w:eastAsia="仿宋_GB2312" w:cs="Arial"/>
      <w:sz w:val="32"/>
      <w:szCs w:val="32"/>
    </w:rPr>
  </w:style>
  <w:style w:type="paragraph" w:styleId="953">
    <w:name w:val="批注框文本1"/>
    <w:basedOn w:val="724"/>
    <w:next w:val="953"/>
    <w:link w:val="954"/>
    <w:semiHidden/>
    <w:qFormat/>
    <w:rPr>
      <w:rFonts w:ascii="Times New Roman" w:hAnsi="Times New Roman" w:eastAsia="宋体" w:cs="Times New Roman"/>
      <w:sz w:val="18"/>
      <w:szCs w:val="18"/>
    </w:rPr>
  </w:style>
  <w:style w:type="character" w:styleId="954">
    <w:name w:val="批注框文本 字符"/>
    <w:next w:val="954"/>
    <w:link w:val="953"/>
    <w:semiHidden/>
    <w:qFormat/>
    <w:rPr>
      <w:rFonts w:ascii="Times New Roman" w:hAnsi="Times New Roman" w:eastAsia="宋体" w:cs="Times New Roman"/>
      <w:sz w:val="18"/>
      <w:szCs w:val="18"/>
    </w:rPr>
  </w:style>
  <w:style w:type="paragraph" w:styleId="955">
    <w:name w:val="页脚1"/>
    <w:basedOn w:val="724"/>
    <w:next w:val="955"/>
    <w:link w:val="956"/>
    <w:qFormat/>
    <w:pPr>
      <w:jc w:val="left"/>
      <w:tabs>
        <w:tab w:val="center" w:pos="4153" w:leader="none"/>
        <w:tab w:val="right" w:pos="8306" w:leader="none"/>
      </w:tabs>
    </w:pPr>
    <w:rPr>
      <w:rFonts w:ascii="Times New Roman" w:hAnsi="Times New Roman" w:eastAsia="宋体" w:cs="Times New Roman"/>
      <w:sz w:val="18"/>
      <w:szCs w:val="18"/>
    </w:rPr>
  </w:style>
  <w:style w:type="character" w:styleId="956">
    <w:name w:val="页脚 字符"/>
    <w:next w:val="956"/>
    <w:link w:val="955"/>
    <w:qFormat/>
    <w:rPr>
      <w:rFonts w:ascii="Times New Roman" w:hAnsi="Times New Roman" w:eastAsia="宋体" w:cs="Times New Roman"/>
      <w:sz w:val="18"/>
      <w:szCs w:val="18"/>
    </w:rPr>
  </w:style>
  <w:style w:type="paragraph" w:styleId="957">
    <w:name w:val="页眉1"/>
    <w:basedOn w:val="724"/>
    <w:next w:val="957"/>
    <w:link w:val="958"/>
    <w:qFormat/>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8">
    <w:name w:val="页眉 字符"/>
    <w:next w:val="958"/>
    <w:link w:val="957"/>
    <w:qFormat/>
    <w:rPr>
      <w:rFonts w:ascii="Times New Roman" w:hAnsi="Times New Roman" w:eastAsia="宋体" w:cs="Times New Roman"/>
      <w:sz w:val="18"/>
      <w:szCs w:val="18"/>
    </w:rPr>
  </w:style>
  <w:style w:type="paragraph" w:styleId="959">
    <w:name w:val="目录 11"/>
    <w:basedOn w:val="724"/>
    <w:next w:val="724"/>
    <w:link w:val="724"/>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60">
    <w:name w:val="目录 41"/>
    <w:basedOn w:val="724"/>
    <w:next w:val="724"/>
    <w:link w:val="724"/>
    <w:semiHidden/>
    <w:qFormat/>
    <w:pPr>
      <w:ind w:left="630"/>
      <w:jc w:val="left"/>
    </w:pPr>
    <w:rPr>
      <w:rFonts w:ascii="Times New Roman" w:hAnsi="Times New Roman" w:eastAsia="宋体" w:cs="Times New Roman"/>
      <w:szCs w:val="21"/>
    </w:rPr>
  </w:style>
  <w:style w:type="paragraph" w:styleId="961">
    <w:name w:val="列表1"/>
    <w:basedOn w:val="724"/>
    <w:next w:val="961"/>
    <w:link w:val="724"/>
    <w:qFormat/>
    <w:pPr>
      <w:ind w:left="200" w:hanging="200"/>
    </w:pPr>
    <w:rPr>
      <w:rFonts w:ascii="Times New Roman" w:hAnsi="Times New Roman" w:eastAsia="宋体" w:cs="Times New Roman"/>
      <w:szCs w:val="21"/>
    </w:rPr>
  </w:style>
  <w:style w:type="paragraph" w:styleId="962">
    <w:name w:val="目录 61"/>
    <w:basedOn w:val="724"/>
    <w:next w:val="724"/>
    <w:link w:val="724"/>
    <w:semiHidden/>
    <w:qFormat/>
    <w:pPr>
      <w:ind w:left="1050"/>
      <w:jc w:val="left"/>
    </w:pPr>
    <w:rPr>
      <w:rFonts w:ascii="Times New Roman" w:hAnsi="Times New Roman" w:eastAsia="宋体" w:cs="Times New Roman"/>
      <w:szCs w:val="21"/>
    </w:rPr>
  </w:style>
  <w:style w:type="paragraph" w:styleId="963">
    <w:name w:val="正文文本缩进 31"/>
    <w:basedOn w:val="724"/>
    <w:next w:val="963"/>
    <w:link w:val="964"/>
    <w:qFormat/>
    <w:pPr>
      <w:ind w:left="645" w:firstLine="645"/>
    </w:pPr>
    <w:rPr>
      <w:rFonts w:ascii="Arial" w:hAnsi="Arial" w:eastAsia="仿宋_GB2312" w:cs="Arial"/>
      <w:color w:val="ffff00"/>
      <w:sz w:val="32"/>
      <w:szCs w:val="32"/>
    </w:rPr>
  </w:style>
  <w:style w:type="character" w:styleId="964">
    <w:name w:val="正文文本缩进 3 字符"/>
    <w:next w:val="964"/>
    <w:link w:val="963"/>
    <w:qFormat/>
    <w:rPr>
      <w:rFonts w:ascii="Arial" w:hAnsi="Arial" w:eastAsia="仿宋_GB2312" w:cs="Arial"/>
      <w:color w:val="ffff00"/>
      <w:sz w:val="32"/>
      <w:szCs w:val="32"/>
    </w:rPr>
  </w:style>
  <w:style w:type="paragraph" w:styleId="965">
    <w:name w:val="图表目录1"/>
    <w:basedOn w:val="724"/>
    <w:next w:val="724"/>
    <w:link w:val="724"/>
    <w:semiHidden/>
    <w:qFormat/>
    <w:pPr>
      <w:ind w:left="840" w:hanging="420"/>
    </w:pPr>
    <w:rPr>
      <w:rFonts w:ascii="Times New Roman" w:hAnsi="Times New Roman" w:eastAsia="宋体" w:cs="Times New Roman"/>
      <w:szCs w:val="21"/>
    </w:rPr>
  </w:style>
  <w:style w:type="paragraph" w:styleId="966">
    <w:name w:val="目录 21"/>
    <w:basedOn w:val="724"/>
    <w:next w:val="724"/>
    <w:link w:val="724"/>
    <w:semiHidden/>
    <w:qFormat/>
    <w:pPr>
      <w:ind w:left="210"/>
      <w:jc w:val="left"/>
    </w:pPr>
    <w:rPr>
      <w:rFonts w:ascii="Times New Roman" w:hAnsi="Times New Roman" w:eastAsia="宋体" w:cs="Times New Roman"/>
      <w:smallCaps/>
      <w:szCs w:val="24"/>
    </w:rPr>
  </w:style>
  <w:style w:type="paragraph" w:styleId="967">
    <w:name w:val="目录 91"/>
    <w:basedOn w:val="724"/>
    <w:next w:val="724"/>
    <w:link w:val="724"/>
    <w:semiHidden/>
    <w:qFormat/>
    <w:pPr>
      <w:ind w:left="1680"/>
      <w:jc w:val="left"/>
    </w:pPr>
    <w:rPr>
      <w:rFonts w:ascii="Times New Roman" w:hAnsi="Times New Roman" w:eastAsia="宋体" w:cs="Times New Roman"/>
      <w:szCs w:val="21"/>
    </w:rPr>
  </w:style>
  <w:style w:type="paragraph" w:styleId="968">
    <w:name w:val="正文文本 21"/>
    <w:basedOn w:val="724"/>
    <w:next w:val="968"/>
    <w:link w:val="969"/>
    <w:qFormat/>
    <w:pPr>
      <w:jc w:val="center"/>
      <w:widowControl/>
    </w:pPr>
    <w:rPr>
      <w:rFonts w:ascii="楷体_GB2312" w:hAnsi="Times New Roman" w:eastAsia="楷体_GB2312" w:cs="Times New Roman"/>
      <w:sz w:val="28"/>
      <w:szCs w:val="28"/>
    </w:rPr>
  </w:style>
  <w:style w:type="character" w:styleId="969">
    <w:name w:val="正文文本 2 字符"/>
    <w:next w:val="969"/>
    <w:link w:val="968"/>
    <w:qFormat/>
    <w:rPr>
      <w:rFonts w:ascii="楷体_GB2312" w:hAnsi="Times New Roman" w:eastAsia="楷体_GB2312" w:cs="Times New Roman"/>
      <w:sz w:val="28"/>
      <w:szCs w:val="28"/>
    </w:rPr>
  </w:style>
  <w:style w:type="paragraph" w:styleId="970">
    <w:name w:val="HTML 预设格式1"/>
    <w:basedOn w:val="724"/>
    <w:next w:val="970"/>
    <w:link w:val="72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971">
    <w:name w:val="普通(网站)1"/>
    <w:basedOn w:val="724"/>
    <w:next w:val="971"/>
    <w:link w:val="724"/>
    <w:uiPriority w:val="99"/>
    <w:qFormat/>
    <w:pPr>
      <w:jc w:val="left"/>
      <w:spacing w:before="100" w:beforeAutospacing="1" w:after="100" w:afterAutospacing="1"/>
      <w:widowControl/>
    </w:pPr>
    <w:rPr>
      <w:rFonts w:ascii="宋体" w:hAnsi="宋体" w:eastAsia="宋体" w:cs="宋体"/>
      <w:sz w:val="24"/>
      <w:szCs w:val="24"/>
    </w:rPr>
  </w:style>
  <w:style w:type="paragraph" w:styleId="972">
    <w:name w:val="索引 11"/>
    <w:basedOn w:val="724"/>
    <w:next w:val="724"/>
    <w:link w:val="724"/>
    <w:semiHidden/>
    <w:qFormat/>
    <w:pPr>
      <w:spacing w:line="240" w:lineRule="atLeast"/>
    </w:pPr>
    <w:rPr>
      <w:rFonts w:ascii="Times New Roman" w:hAnsi="Times New Roman" w:eastAsia="宋体" w:cs="Times New Roman"/>
      <w:b/>
      <w:bCs/>
      <w:szCs w:val="21"/>
    </w:rPr>
  </w:style>
  <w:style w:type="paragraph" w:styleId="973">
    <w:name w:val="批注主题1"/>
    <w:basedOn w:val="934"/>
    <w:next w:val="934"/>
    <w:link w:val="974"/>
    <w:semiHidden/>
    <w:qFormat/>
    <w:rPr>
      <w:rFonts w:ascii="Times New Roman" w:hAnsi="Times New Roman" w:eastAsia="宋体" w:cs="Times New Roman"/>
      <w:b/>
      <w:bCs/>
      <w:szCs w:val="21"/>
    </w:rPr>
  </w:style>
  <w:style w:type="character" w:styleId="974">
    <w:name w:val="批注主题 字符"/>
    <w:next w:val="974"/>
    <w:link w:val="973"/>
    <w:semiHidden/>
    <w:qFormat/>
    <w:rPr>
      <w:rFonts w:ascii="Times New Roman" w:hAnsi="Times New Roman" w:eastAsia="宋体" w:cs="Times New Roman"/>
      <w:b/>
      <w:bCs/>
      <w:szCs w:val="21"/>
    </w:rPr>
  </w:style>
  <w:style w:type="paragraph" w:styleId="975">
    <w:name w:val="正文首行缩进1"/>
    <w:basedOn w:val="724"/>
    <w:next w:val="975"/>
    <w:link w:val="976"/>
    <w:qFormat/>
    <w:pPr>
      <w:ind w:firstLine="200"/>
      <w:spacing w:line="360" w:lineRule="auto"/>
    </w:pPr>
    <w:rPr>
      <w:rFonts w:ascii="仿宋_GB2312" w:hAnsi="Times New Roman" w:eastAsia="仿宋_GB2312" w:cs="Times New Roman"/>
      <w:sz w:val="30"/>
      <w:szCs w:val="30"/>
    </w:rPr>
  </w:style>
  <w:style w:type="character" w:styleId="976">
    <w:name w:val="正文文本首行缩进 字符"/>
    <w:next w:val="976"/>
    <w:link w:val="975"/>
    <w:qFormat/>
    <w:rPr>
      <w:rFonts w:ascii="仿宋_GB2312" w:hAnsi="Times New Roman" w:eastAsia="仿宋_GB2312" w:cs="Times New Roman"/>
      <w:sz w:val="30"/>
      <w:szCs w:val="30"/>
    </w:rPr>
  </w:style>
  <w:style w:type="paragraph" w:styleId="977">
    <w:name w:val="正文首行缩进 21"/>
    <w:basedOn w:val="940"/>
    <w:next w:val="961"/>
    <w:link w:val="978"/>
    <w:qFormat/>
    <w:pPr>
      <w:ind w:left="0" w:firstLine="420"/>
      <w:spacing w:after="0" w:line="360" w:lineRule="auto"/>
    </w:pPr>
    <w:rPr>
      <w:rFonts w:ascii="宋体" w:hAnsi="宋体" w:eastAsia="宋体" w:cs="Times New Roman"/>
      <w:szCs w:val="20"/>
    </w:rPr>
  </w:style>
  <w:style w:type="character" w:styleId="978">
    <w:name w:val="正文文本首行缩进 2 字符"/>
    <w:next w:val="978"/>
    <w:link w:val="977"/>
    <w:qFormat/>
    <w:rPr>
      <w:rFonts w:ascii="宋体" w:hAnsi="宋体" w:eastAsia="宋体" w:cs="Times New Roman"/>
      <w:szCs w:val="20"/>
    </w:rPr>
  </w:style>
  <w:style w:type="table" w:styleId="979">
    <w:name w:val="网格型1"/>
    <w:basedOn w:val="929"/>
    <w:next w:val="979"/>
    <w:link w:val="724"/>
    <w:qFormat/>
    <w:pPr>
      <w:jc w:val="both"/>
      <w:widowControl w:val="off"/>
    </w:pPr>
    <w:rPr>
      <w:rFonts w:ascii="Times New Roman" w:hAnsi="Times New Roman" w:eastAsia="宋体" w:cs="Times New Roman"/>
      <w:sz w:val="20"/>
      <w:szCs w:val="20"/>
    </w:rPr>
    <w:tblPr/>
  </w:style>
  <w:style w:type="character" w:styleId="980">
    <w:name w:val="要点1"/>
    <w:next w:val="980"/>
    <w:link w:val="724"/>
    <w:qFormat/>
    <w:rPr>
      <w:b/>
      <w:bCs/>
    </w:rPr>
  </w:style>
  <w:style w:type="character" w:styleId="981">
    <w:name w:val="页码1"/>
    <w:next w:val="981"/>
    <w:link w:val="724"/>
    <w:qFormat/>
  </w:style>
  <w:style w:type="character" w:styleId="982">
    <w:name w:val="已访问的超链接1"/>
    <w:next w:val="982"/>
    <w:link w:val="724"/>
    <w:qFormat/>
    <w:rPr>
      <w:color w:val="800080"/>
      <w:u w:val="single"/>
    </w:rPr>
  </w:style>
  <w:style w:type="character" w:styleId="983">
    <w:name w:val="超链接1"/>
    <w:next w:val="983"/>
    <w:link w:val="724"/>
    <w:qFormat/>
    <w:rPr>
      <w:color w:val="0000ff"/>
      <w:u w:val="single"/>
    </w:rPr>
  </w:style>
  <w:style w:type="character" w:styleId="984">
    <w:name w:val="批注引用1"/>
    <w:next w:val="984"/>
    <w:link w:val="724"/>
    <w:semiHidden/>
    <w:qFormat/>
    <w:rPr>
      <w:sz w:val="21"/>
      <w:szCs w:val="21"/>
    </w:rPr>
  </w:style>
  <w:style w:type="character" w:styleId="985">
    <w:name w:val="font5 Char"/>
    <w:next w:val="985"/>
    <w:link w:val="724"/>
    <w:qFormat/>
    <w:rPr>
      <w:rFonts w:ascii="宋体" w:hAnsi="宋体" w:eastAsia="宋体"/>
      <w:sz w:val="28"/>
      <w:szCs w:val="28"/>
      <w:lang w:val="en-US" w:eastAsia="zh-CN" w:bidi="ar-SA"/>
    </w:rPr>
  </w:style>
  <w:style w:type="character" w:styleId="986">
    <w:name w:val="二级目录 Char"/>
    <w:next w:val="986"/>
    <w:link w:val="987"/>
    <w:qFormat/>
    <w:rPr>
      <w:b/>
      <w:sz w:val="30"/>
      <w:szCs w:val="28"/>
    </w:rPr>
  </w:style>
  <w:style w:type="paragraph" w:styleId="987">
    <w:name w:val="二级目录"/>
    <w:next w:val="724"/>
    <w:link w:val="986"/>
    <w:qFormat/>
    <w:pPr>
      <w:numPr>
        <w:ilvl w:val="0"/>
        <w:numId w:val="2"/>
      </w:numPr>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character" w:styleId="988">
    <w:name w:val="列出段落 Char"/>
    <w:next w:val="988"/>
    <w:link w:val="989"/>
    <w:qFormat/>
    <w:rPr>
      <w:rFonts w:ascii="Calibri" w:hAnsi="Calibri"/>
      <w:sz w:val="24"/>
      <w:szCs w:val="24"/>
      <w:lang w:eastAsia="en-US" w:bidi="en-US"/>
    </w:rPr>
  </w:style>
  <w:style w:type="paragraph" w:styleId="989">
    <w:name w:val="列出段落1"/>
    <w:basedOn w:val="724"/>
    <w:next w:val="989"/>
    <w:link w:val="988"/>
    <w:qFormat/>
    <w:pPr>
      <w:contextualSpacing/>
      <w:ind w:left="720"/>
      <w:jc w:val="left"/>
      <w:widowControl/>
    </w:pPr>
    <w:rPr>
      <w:rFonts w:ascii="Calibri" w:hAnsi="Calibri"/>
      <w:sz w:val="24"/>
      <w:szCs w:val="24"/>
      <w:lang w:eastAsia="en-US" w:bidi="en-US"/>
    </w:rPr>
  </w:style>
  <w:style w:type="paragraph" w:styleId="990">
    <w:name w:val="Body Text(ch)"/>
    <w:basedOn w:val="724"/>
    <w:next w:val="938"/>
    <w:link w:val="724"/>
    <w:qFormat/>
    <w:pPr>
      <w:spacing w:after="120"/>
    </w:pPr>
    <w:rPr>
      <w:rFonts w:ascii="宋体" w:hAnsi="Arial" w:eastAsia="宋体" w:cs="Times New Roman"/>
      <w:bCs/>
      <w:iCs/>
      <w:szCs w:val="24"/>
    </w:rPr>
  </w:style>
  <w:style w:type="paragraph" w:styleId="991">
    <w:name w:val="xl27"/>
    <w:basedOn w:val="724"/>
    <w:next w:val="991"/>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xl26"/>
    <w:basedOn w:val="724"/>
    <w:next w:val="992"/>
    <w:link w:val="72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3">
    <w:name w:val="Char"/>
    <w:basedOn w:val="724"/>
    <w:next w:val="993"/>
    <w:link w:val="724"/>
    <w:qFormat/>
    <w:pPr>
      <w:ind w:firstLine="200"/>
      <w:tabs>
        <w:tab w:val="left" w:pos="360" w:leader="none"/>
      </w:tabs>
    </w:pPr>
    <w:rPr>
      <w:rFonts w:ascii="Times New Roman" w:hAnsi="Times New Roman" w:eastAsia="宋体" w:cs="Times New Roman"/>
      <w:sz w:val="28"/>
      <w:szCs w:val="30"/>
    </w:rPr>
  </w:style>
  <w:style w:type="paragraph" w:styleId="994">
    <w:name w:val=" Char"/>
    <w:basedOn w:val="932"/>
    <w:next w:val="994"/>
    <w:link w:val="724"/>
    <w:qFormat/>
    <w:rPr>
      <w:rFonts w:ascii="Tahoma" w:hAnsi="Tahoma"/>
      <w:sz w:val="24"/>
      <w:szCs w:val="24"/>
    </w:rPr>
  </w:style>
  <w:style w:type="paragraph" w:styleId="995">
    <w:name w:val="普通正文"/>
    <w:basedOn w:val="724"/>
    <w:next w:val="995"/>
    <w:link w:val="724"/>
    <w:qFormat/>
    <w:pPr>
      <w:ind w:firstLine="480"/>
      <w:jc w:val="left"/>
      <w:spacing w:before="120" w:after="120" w:line="360" w:lineRule="auto"/>
    </w:pPr>
    <w:rPr>
      <w:rFonts w:ascii="Arial" w:hAnsi="Arial" w:eastAsia="宋体" w:cs="Times New Roman"/>
      <w:sz w:val="24"/>
      <w:szCs w:val="24"/>
    </w:rPr>
  </w:style>
  <w:style w:type="paragraph" w:styleId="996">
    <w:name w:val="table_lines"/>
    <w:basedOn w:val="724"/>
    <w:next w:val="996"/>
    <w:link w:val="724"/>
    <w:qFormat/>
    <w:pPr>
      <w:jc w:val="left"/>
      <w:widowControl/>
    </w:pPr>
    <w:rPr>
      <w:rFonts w:ascii="Times New Roman" w:hAnsi="Times New Roman" w:eastAsia="宋体" w:cs="Times New Roman"/>
      <w:sz w:val="20"/>
      <w:szCs w:val="20"/>
      <w:lang w:val="de-DE" w:eastAsia="de-DE"/>
    </w:rPr>
  </w:style>
  <w:style w:type="paragraph" w:styleId="997">
    <w:name w:val="附录1"/>
    <w:next w:val="997"/>
    <w:link w:val="724"/>
    <w:qFormat/>
    <w:pPr>
      <w:numPr>
        <w:ilvl w:val="0"/>
        <w:numId w:val="2"/>
      </w:numPr>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998">
    <w:name w:val="font7"/>
    <w:basedOn w:val="724"/>
    <w:next w:val="998"/>
    <w:link w:val="724"/>
    <w:qFormat/>
    <w:pPr>
      <w:jc w:val="left"/>
      <w:spacing w:before="100" w:beforeAutospacing="1" w:after="100" w:afterAutospacing="1"/>
      <w:widowControl/>
    </w:pPr>
    <w:rPr>
      <w:rFonts w:hint="eastAsia" w:ascii="宋体" w:hAnsi="宋体" w:eastAsia="宋体" w:cs="Times New Roman"/>
      <w:sz w:val="18"/>
      <w:szCs w:val="18"/>
    </w:rPr>
  </w:style>
  <w:style w:type="paragraph" w:styleId="999">
    <w:name w:val=" Char Char Char Char"/>
    <w:basedOn w:val="932"/>
    <w:next w:val="999"/>
    <w:link w:val="724"/>
    <w:qFormat/>
    <w:pPr>
      <w:spacing w:line="360" w:lineRule="auto"/>
    </w:pPr>
    <w:rPr>
      <w:rFonts w:ascii="Tahoma" w:hAnsi="Tahoma"/>
      <w:sz w:val="24"/>
      <w:szCs w:val="24"/>
    </w:rPr>
  </w:style>
  <w:style w:type="paragraph" w:styleId="1000">
    <w:name w:val="列表段落"/>
    <w:basedOn w:val="724"/>
    <w:next w:val="1000"/>
    <w:link w:val="724"/>
    <w:qFormat/>
    <w:pPr>
      <w:contextualSpacing/>
      <w:ind w:left="720"/>
      <w:jc w:val="left"/>
      <w:widowControl/>
    </w:pPr>
    <w:rPr>
      <w:rFonts w:ascii="Calibri" w:hAnsi="Calibri" w:eastAsia="宋体" w:cs="Times New Roman"/>
      <w:sz w:val="24"/>
      <w:szCs w:val="24"/>
      <w:lang w:eastAsia="en-US" w:bidi="en-US"/>
    </w:rPr>
  </w:style>
  <w:style w:type="paragraph" w:styleId="1001">
    <w:name w:val="4"/>
    <w:basedOn w:val="724"/>
    <w:next w:val="963"/>
    <w:link w:val="724"/>
    <w:qFormat/>
    <w:pPr>
      <w:ind w:firstLine="420"/>
      <w:spacing w:line="360" w:lineRule="auto"/>
    </w:pPr>
    <w:rPr>
      <w:rFonts w:ascii="Times New Roman" w:hAnsi="Times New Roman" w:eastAsia="宋体" w:cs="Times New Roman"/>
      <w:color w:val="ff0000"/>
      <w:sz w:val="24"/>
      <w:szCs w:val="24"/>
    </w:rPr>
  </w:style>
  <w:style w:type="paragraph" w:styleId="1002">
    <w:name w:val="普通 (Web)"/>
    <w:basedOn w:val="724"/>
    <w:next w:val="1002"/>
    <w:link w:val="724"/>
    <w:qFormat/>
    <w:pPr>
      <w:jc w:val="left"/>
      <w:spacing w:before="100" w:beforeAutospacing="1" w:after="100" w:afterAutospacing="1"/>
      <w:widowControl/>
    </w:pPr>
    <w:rPr>
      <w:rFonts w:ascii="宋体" w:hAnsi="宋体" w:eastAsia="宋体" w:cs="Times New Roman"/>
      <w:sz w:val="24"/>
      <w:szCs w:val="24"/>
    </w:rPr>
  </w:style>
  <w:style w:type="paragraph" w:styleId="1003">
    <w:name w:val=" Char Char Char Char Char Char Char Char Char Char"/>
    <w:basedOn w:val="724"/>
    <w:next w:val="1003"/>
    <w:link w:val="724"/>
    <w:qFormat/>
    <w:pPr>
      <w:spacing w:line="360" w:lineRule="auto"/>
    </w:pPr>
    <w:rPr>
      <w:rFonts w:ascii="Times New Roman" w:hAnsi="Times New Roman" w:eastAsia="宋体" w:cs="Times New Roman"/>
      <w:sz w:val="24"/>
      <w:szCs w:val="20"/>
    </w:rPr>
  </w:style>
  <w:style w:type="paragraph" w:styleId="1004">
    <w:name w:val="样式1"/>
    <w:basedOn w:val="724"/>
    <w:next w:val="1004"/>
    <w:link w:val="724"/>
    <w:qFormat/>
    <w:pPr>
      <w:numPr>
        <w:ilvl w:val="0"/>
        <w:numId w:val="3"/>
      </w:numPr>
      <w:tabs>
        <w:tab w:val="left" w:pos="709" w:leader="none"/>
      </w:tabs>
    </w:pPr>
    <w:rPr>
      <w:rFonts w:ascii="宋体" w:hAnsi="宋体" w:eastAsia="宋体" w:cs="Times New Roman"/>
      <w:szCs w:val="21"/>
    </w:rPr>
  </w:style>
  <w:style w:type="paragraph" w:styleId="1005">
    <w:name w:val="font6"/>
    <w:basedOn w:val="724"/>
    <w:next w:val="1005"/>
    <w:link w:val="724"/>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6">
    <w:name w:val="xl25"/>
    <w:basedOn w:val="724"/>
    <w:next w:val="1006"/>
    <w:link w:val="724"/>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7">
    <w:name w:val="图标"/>
    <w:basedOn w:val="724"/>
    <w:next w:val="724"/>
    <w:link w:val="724"/>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8">
    <w:name w:val="标题3"/>
    <w:basedOn w:val="724"/>
    <w:next w:val="724"/>
    <w:link w:val="724"/>
    <w:qFormat/>
    <w:pPr>
      <w:ind w:firstLine="624"/>
      <w:spacing w:line="590" w:lineRule="atLeast"/>
    </w:pPr>
    <w:rPr>
      <w:rFonts w:ascii="方正黑体_GBK" w:hAnsi="Times New Roman" w:eastAsia="方正黑体_GBK" w:cs="Times New Roman"/>
      <w:sz w:val="32"/>
      <w:szCs w:val="32"/>
    </w:rPr>
  </w:style>
  <w:style w:type="paragraph" w:styleId="1009">
    <w:name w:val="xl24"/>
    <w:basedOn w:val="724"/>
    <w:next w:val="1009"/>
    <w:link w:val="724"/>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10">
    <w:name w:val="xl29"/>
    <w:basedOn w:val="724"/>
    <w:next w:val="1010"/>
    <w:link w:val="724"/>
    <w:qFormat/>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1">
    <w:name w:val="Char Char Char Char Char Char Char Char"/>
    <w:basedOn w:val="724"/>
    <w:next w:val="1011"/>
    <w:link w:val="724"/>
    <w:qFormat/>
    <w:pPr>
      <w:jc w:val="left"/>
      <w:spacing w:after="160" w:line="240" w:lineRule="exact"/>
      <w:widowControl/>
    </w:pPr>
    <w:rPr>
      <w:rFonts w:ascii="Verdana" w:hAnsi="Verdana" w:eastAsia="宋体" w:cs="Times New Roman"/>
      <w:sz w:val="20"/>
      <w:szCs w:val="20"/>
      <w:lang w:eastAsia="en-US"/>
    </w:rPr>
  </w:style>
  <w:style w:type="paragraph" w:styleId="1012">
    <w:name w:val="xl28"/>
    <w:basedOn w:val="724"/>
    <w:next w:val="1012"/>
    <w:link w:val="724"/>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3">
    <w:name w:val=" Char Char Char Char Char Char Char Char"/>
    <w:basedOn w:val="724"/>
    <w:next w:val="1013"/>
    <w:link w:val="724"/>
    <w:qFormat/>
    <w:pPr>
      <w:jc w:val="left"/>
      <w:spacing w:after="160" w:line="240" w:lineRule="exact"/>
      <w:widowControl/>
    </w:pPr>
    <w:rPr>
      <w:rFonts w:ascii="Verdana" w:hAnsi="Verdana" w:eastAsia="宋体" w:cs="Times New Roman"/>
      <w:sz w:val="20"/>
      <w:szCs w:val="20"/>
      <w:lang w:eastAsia="en-US"/>
    </w:rPr>
  </w:style>
  <w:style w:type="paragraph" w:styleId="1014">
    <w:name w:val="xl30"/>
    <w:basedOn w:val="724"/>
    <w:next w:val="1014"/>
    <w:link w:val="724"/>
    <w:qFormat/>
    <w:pPr>
      <w:jc w:val="center"/>
      <w:spacing w:before="100" w:beforeAutospacing="1" w:after="100" w:afterAutospacing="1"/>
      <w:widowControl/>
    </w:pPr>
    <w:rPr>
      <w:rFonts w:ascii="宋体" w:hAnsi="宋体" w:eastAsia="宋体" w:cs="Times New Roman"/>
      <w:b/>
      <w:bCs/>
      <w:sz w:val="36"/>
      <w:szCs w:val="36"/>
    </w:rPr>
  </w:style>
  <w:style w:type="paragraph" w:styleId="1015">
    <w:name w:val="Char Char Char Char"/>
    <w:basedOn w:val="932"/>
    <w:next w:val="1015"/>
    <w:link w:val="724"/>
    <w:qFormat/>
    <w:pPr>
      <w:spacing w:line="360" w:lineRule="auto"/>
    </w:pPr>
    <w:rPr>
      <w:rFonts w:ascii="Tahoma" w:hAnsi="Tahoma"/>
      <w:sz w:val="24"/>
      <w:szCs w:val="24"/>
    </w:rPr>
  </w:style>
  <w:style w:type="paragraph" w:styleId="1016">
    <w:name w:val="table_1stline"/>
    <w:basedOn w:val="724"/>
    <w:next w:val="1016"/>
    <w:link w:val="724"/>
    <w:qFormat/>
    <w:pPr>
      <w:jc w:val="left"/>
      <w:spacing w:before="120"/>
      <w:widowControl/>
    </w:pPr>
    <w:rPr>
      <w:rFonts w:ascii="Times New Roman" w:hAnsi="Times New Roman" w:eastAsia="宋体" w:cs="Times New Roman"/>
      <w:bCs/>
      <w:sz w:val="20"/>
      <w:szCs w:val="20"/>
      <w:lang w:val="de-DE" w:eastAsia="de-DE"/>
    </w:rPr>
  </w:style>
  <w:style w:type="paragraph" w:styleId="1017">
    <w:name w:val="font5"/>
    <w:basedOn w:val="724"/>
    <w:next w:val="1017"/>
    <w:link w:val="724"/>
    <w:qFormat/>
    <w:pPr>
      <w:jc w:val="left"/>
      <w:spacing w:before="100" w:beforeAutospacing="1" w:after="100" w:afterAutospacing="1"/>
      <w:widowControl/>
    </w:pPr>
    <w:rPr>
      <w:rFonts w:hint="eastAsia" w:ascii="宋体" w:hAnsi="宋体" w:eastAsia="宋体" w:cs="Times New Roman"/>
      <w:sz w:val="28"/>
      <w:szCs w:val="28"/>
    </w:rPr>
  </w:style>
  <w:style w:type="paragraph" w:styleId="1018">
    <w:name w:val="标题1"/>
    <w:basedOn w:val="724"/>
    <w:next w:val="724"/>
    <w:link w:val="724"/>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9">
    <w:name w:val="修订"/>
    <w:next w:val="1019"/>
    <w:link w:val="724"/>
    <w:uiPriority w:val="99"/>
    <w:semiHidden/>
    <w:qFormat/>
    <w:rPr>
      <w:rFonts w:ascii="Times New Roman" w:hAnsi="Times New Roman" w:eastAsia="宋体" w:cs="Times New Roman"/>
      <w:sz w:val="21"/>
      <w:szCs w:val="21"/>
      <w:lang w:val="en-US" w:eastAsia="zh-CN" w:bidi="ar-SA"/>
    </w:rPr>
  </w:style>
  <w:style w:type="paragraph" w:styleId="1020">
    <w:name w:val="无间隔"/>
    <w:next w:val="1020"/>
    <w:link w:val="724"/>
    <w:uiPriority w:val="99"/>
    <w:qFormat/>
    <w:pPr>
      <w:jc w:val="both"/>
      <w:widowControl w:val="off"/>
    </w:pPr>
    <w:rPr>
      <w:rFonts w:ascii="Times New Roman" w:hAnsi="Times New Roman" w:eastAsia="宋体" w:cs="Times New Roman"/>
      <w:sz w:val="21"/>
      <w:szCs w:val="21"/>
      <w:lang w:val="en-US" w:eastAsia="zh-CN" w:bidi="ar-SA"/>
    </w:rPr>
  </w:style>
  <w:style w:type="paragraph" w:styleId="1021">
    <w:name w:val="Table Paragraph"/>
    <w:basedOn w:val="724"/>
    <w:next w:val="1021"/>
    <w:link w:val="724"/>
    <w:uiPriority w:val="1"/>
    <w:qFormat/>
    <w:rPr>
      <w:rFonts w:ascii="宋体" w:hAnsi="宋体" w:eastAsia="宋体" w:cs="宋体"/>
      <w:lang w:val="zh-CN" w:bidi="zh-CN"/>
    </w:rPr>
  </w:style>
  <w:style w:type="paragraph" w:styleId="1022">
    <w:name w:val="List Paragraph"/>
    <w:basedOn w:val="724"/>
    <w:next w:val="1022"/>
    <w:link w:val="724"/>
    <w:uiPriority w:val="34"/>
    <w:qFormat/>
    <w:pPr>
      <w:ind w:firstLine="420"/>
    </w:pPr>
  </w:style>
  <w:style w:type="character" w:styleId="1023">
    <w:name w:val="font71"/>
    <w:next w:val="1023"/>
    <w:link w:val="724"/>
    <w:qFormat/>
    <w:rPr>
      <w:rFonts w:hint="eastAsia" w:ascii="宋体" w:hAnsi="宋体" w:eastAsia="宋体" w:cs="宋体"/>
      <w:color w:val="ff0000"/>
      <w:sz w:val="21"/>
      <w:szCs w:val="21"/>
      <w:u w:val="none"/>
    </w:rPr>
  </w:style>
  <w:style w:type="character" w:styleId="1024">
    <w:name w:val="font21"/>
    <w:next w:val="1024"/>
    <w:link w:val="724"/>
    <w:qFormat/>
    <w:rPr>
      <w:rFonts w:hint="eastAsia" w:ascii="宋体" w:hAnsi="宋体" w:eastAsia="宋体" w:cs="宋体"/>
      <w:color w:val="000000"/>
      <w:sz w:val="22"/>
      <w:szCs w:val="22"/>
      <w:u w:val="none"/>
    </w:rPr>
  </w:style>
  <w:style w:type="character" w:styleId="1025">
    <w:name w:val="font31"/>
    <w:next w:val="1025"/>
    <w:link w:val="724"/>
    <w:qFormat/>
    <w:rPr>
      <w:rFonts w:hint="eastAsia" w:ascii="宋体" w:hAnsi="宋体" w:eastAsia="宋体" w:cs="宋体"/>
      <w:color w:val="000000"/>
      <w:sz w:val="21"/>
      <w:szCs w:val="21"/>
      <w:u w:val="none"/>
    </w:rPr>
  </w:style>
  <w:style w:type="paragraph" w:styleId="1026">
    <w:name w:val="正文文本1"/>
    <w:basedOn w:val="724"/>
    <w:next w:val="724"/>
    <w:link w:val="724"/>
    <w:qFormat/>
    <w:rPr>
      <w:rFonts w:ascii="楷体_GB2312" w:hAnsi="Arial" w:eastAsia="楷体_GB2312" w:cs="Times New Roman"/>
      <w:sz w:val="28"/>
      <w:szCs w:val="28"/>
    </w:rPr>
  </w:style>
  <w:style w:type="paragraph" w:styleId="1027">
    <w:name w:val="图表"/>
    <w:next w:val="1027"/>
    <w:link w:val="724"/>
    <w:qFormat/>
    <w:pPr>
      <w:jc w:val="center"/>
      <w:spacing w:line="360" w:lineRule="auto"/>
      <w:widowControl w:val="off"/>
    </w:pPr>
    <w:rPr>
      <w:rFonts w:hint="eastAsia" w:ascii="宋体" w:hAnsi="宋体" w:eastAsia="宋体" w:cs="宋体"/>
      <w:color w:val="000000"/>
      <w:sz w:val="24"/>
      <w:szCs w:val="21"/>
      <w:lang w:val="en-US" w:eastAsia="zh-CN" w:bidi="ar-SA"/>
    </w:rPr>
  </w:style>
  <w:style w:type="paragraph" w:styleId="1028">
    <w:name w:val="Table Text"/>
    <w:next w:val="1028"/>
    <w:link w:val="724"/>
    <w:semiHidden/>
    <w:qFormat/>
    <w:pPr>
      <w:jc w:val="both"/>
      <w:widowControl w:val="off"/>
    </w:pPr>
    <w:rPr>
      <w:rFonts w:ascii="宋体" w:hAnsi="宋体" w:eastAsia="宋体" w:cs="宋体"/>
      <w:sz w:val="24"/>
      <w:szCs w:val="21"/>
      <w:lang w:val="en-US" w:eastAsia="en-US" w:bidi="ar-SA"/>
    </w:rPr>
  </w:style>
  <w:style w:type="table" w:styleId="1029">
    <w:name w:val="网格型4"/>
    <w:basedOn w:val="735"/>
    <w:next w:val="1029"/>
    <w:link w:val="724"/>
    <w:uiPriority w:val="59"/>
    <w:qFormat/>
    <w:rPr>
      <w:sz w:val="20"/>
      <w:szCs w:val="20"/>
    </w:rPr>
    <w:tblPr/>
  </w:style>
  <w:style w:type="character" w:styleId="8580" w:default="1">
    <w:name w:val="Default Paragraph Font"/>
    <w:uiPriority w:val="1"/>
    <w:semiHidden/>
    <w:unhideWhenUsed/>
  </w:style>
  <w:style w:type="numbering" w:styleId="8581" w:default="1">
    <w:name w:val="No List"/>
    <w:uiPriority w:val="99"/>
    <w:semiHidden/>
    <w:unhideWhenUsed/>
  </w:style>
  <w:style w:type="table" w:styleId="85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Company>
  <DocSecurity>0</DocSecurity>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dc:creator>
  <cp:lastModifiedBy>李星</cp:lastModifiedBy>
  <cp:revision>7</cp:revision>
  <dcterms:created xsi:type="dcterms:W3CDTF">2026-09-07T06:35:00Z</dcterms:created>
  <dcterms:modified xsi:type="dcterms:W3CDTF">2026-10-28T10:06:17Z</dcterms:modified>
</cp:coreProperties>
</file>