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74"/>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74"/>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JSZC-321283-HWZX-G2026-0466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采购代理编号：0675-266JOC003663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项目名称：重大慢病防控基地建设设备采购项目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人：泰兴市卫生健康委员会</w:t>
      </w:r>
      <w:r/>
    </w:p>
    <w:p>
      <w:pPr>
        <w:pStyle w:val="816"/>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2026年8月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7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7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7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7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7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7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重大慢病防控基地建设设备采购项目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20"/>
            <w:rFonts w:hint="eastAsia" w:cs="仿宋" w:asciiTheme="minorEastAsia" w:hAnsiTheme="minorEastAsia" w:eastAsiaTheme="minorEastAsia"/>
            <w:color w:val="000000" w:themeColor="text1"/>
            <w:sz w:val="24"/>
            <w:szCs w:val="24"/>
            <w:u w:val="none"/>
          </w:rPr>
          <w:t xml:space="preserve">，并于</w:t>
        </w:r>
        <w:r>
          <w:rPr>
            <w:rStyle w:val="820"/>
            <w:rFonts w:hint="eastAsia" w:cs="仿宋" w:asciiTheme="minorEastAsia" w:hAnsiTheme="minorEastAsia" w:eastAsiaTheme="minorEastAsia"/>
            <w:color w:val="000000" w:themeColor="text1"/>
            <w:sz w:val="24"/>
            <w:szCs w:val="24"/>
          </w:rPr>
          <w:t xml:space="preserve">2026年</w:t>
        </w:r>
        <w:r>
          <w:rPr>
            <w:rStyle w:val="820"/>
            <w:rFonts w:hint="eastAsia" w:cs="仿宋" w:asciiTheme="minorEastAsia" w:hAnsiTheme="minorEastAsia" w:eastAsiaTheme="minorEastAsia"/>
            <w:color w:val="000000" w:themeColor="text1"/>
            <w:sz w:val="24"/>
            <w:szCs w:val="24"/>
          </w:rPr>
          <w:t xml:space="preserve">10</w:t>
        </w:r>
        <w:r>
          <w:rPr>
            <w:rStyle w:val="820"/>
            <w:rFonts w:hint="eastAsia" w:cs="仿宋" w:asciiTheme="minorEastAsia" w:hAnsiTheme="minorEastAsia" w:eastAsiaTheme="minorEastAsia"/>
            <w:color w:val="000000" w:themeColor="text1"/>
            <w:sz w:val="24"/>
            <w:szCs w:val="24"/>
          </w:rPr>
          <w:t xml:space="preserve">月</w:t>
        </w:r>
      </w:hyperlink>
      <w:r>
        <w:rPr>
          <w:rStyle w:val="820"/>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w:t>
      </w:r>
      <w:r/>
      <w:r>
        <w:rPr>
          <w:rFonts w:hint="eastAsia" w:cs="仿宋" w:asciiTheme="minorEastAsia" w:hAnsiTheme="minorEastAsia" w:eastAsiaTheme="minorEastAsia"/>
          <w:color w:val="000000" w:themeColor="text1"/>
          <w:sz w:val="24"/>
          <w:szCs w:val="24"/>
          <w:u w:val="single"/>
        </w:rPr>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76"/>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JSZC-321283-HWZX-G2026-0466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采购代理编号：0675-266JOC003663</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重大慢病防控基地建设设备采购项目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800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最高限价：703.8万元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03"/>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00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0"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肺功能仪和慢病手环</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207台</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441.4/393.3</w:t>
            </w:r>
            <w:r/>
          </w:p>
        </w:tc>
        <w:tc>
          <w:tcPr>
            <w:shd w:val="clear" w:color="auto" w:fill="ffffff"/>
            <w:tcW w:w="654" w:type="pct"/>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0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90"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远程心电设备</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358.6/310.5</w:t>
            </w:r>
            <w:r/>
          </w:p>
        </w:tc>
        <w:tc>
          <w:tcPr>
            <w:shd w:val="clear" w:color="auto" w:fill="ffffff"/>
            <w:tcW w:w="654"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77"/>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77"/>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76"/>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976"/>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976"/>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976"/>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76"/>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1）.小微企业价格扣除《江苏省财政厅关于进一</w:t>
      </w:r>
      <w:r>
        <w:rPr>
          <w:rFonts w:hint="eastAsia" w:ascii="宋体" w:hAnsi="宋体" w:eastAsia="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976"/>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称：泰兴市卫生健康委员会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地址：泰州市泰兴市文昌东路</w:t>
      </w:r>
      <w:r>
        <w:rPr>
          <w:rFonts w:ascii="宋体" w:hAnsi="宋体" w:eastAsia="宋体"/>
          <w:bCs/>
          <w:sz w:val="24"/>
          <w:szCs w:val="24"/>
        </w:rPr>
        <w:t xml:space="preserve">9</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rPr>
        <w:t xml:space="preserve">0523-87602053</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址：南京市建邺区云龙山路56号大唐科技大厦A座高区15楼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重大慢病防控基地建设设备采购项目</w:t>
            </w:r>
            <w:r/>
          </w:p>
        </w:tc>
      </w:tr>
      <w:tr>
        <w:trPr>
          <w:jc w:val="center"/>
          <w:trHeight w:val="543"/>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800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703.8万元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33"/>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33"/>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33"/>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79"/>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本次合同由泰兴市卫健委代各单位统一签署，资金按照各单位实际配备数计算，在设备安装调试验收到位后，</w:t>
            </w:r>
            <w:r>
              <w:rPr>
                <w:rFonts w:cs="仿宋" w:asciiTheme="minorEastAsia" w:hAnsiTheme="minorEastAsia" w:eastAsiaTheme="minorEastAsia"/>
                <w:bCs/>
                <w:color w:val="000000" w:themeColor="text1"/>
                <w:sz w:val="24"/>
                <w:szCs w:val="24"/>
              </w:rPr>
              <w:t xml:space="preserve">2027</w:t>
            </w:r>
            <w:r>
              <w:rPr>
                <w:rFonts w:hint="eastAsia" w:cs="仿宋" w:asciiTheme="minorEastAsia" w:hAnsiTheme="minorEastAsia" w:eastAsiaTheme="minorEastAsia"/>
                <w:bCs/>
                <w:color w:val="000000" w:themeColor="text1"/>
                <w:sz w:val="24"/>
                <w:szCs w:val="24"/>
              </w:rPr>
              <w:t xml:space="preserve">年由各实际使用单位按照实际金额的</w:t>
            </w:r>
            <w:r>
              <w:rPr>
                <w:rFonts w:cs="仿宋" w:asciiTheme="minorEastAsia" w:hAnsiTheme="minorEastAsia" w:eastAsiaTheme="minorEastAsia"/>
                <w:bCs/>
                <w:color w:val="000000" w:themeColor="text1"/>
                <w:sz w:val="24"/>
                <w:szCs w:val="24"/>
              </w:rPr>
              <w:t xml:space="preserve">50%</w:t>
            </w:r>
            <w:r>
              <w:rPr>
                <w:rFonts w:hint="eastAsia" w:cs="仿宋" w:asciiTheme="minorEastAsia" w:hAnsiTheme="minorEastAsia" w:eastAsiaTheme="minorEastAsia"/>
                <w:bCs/>
                <w:color w:val="000000" w:themeColor="text1"/>
                <w:sz w:val="24"/>
                <w:szCs w:val="24"/>
              </w:rPr>
              <w:t xml:space="preserve">支付给设备中标商，余款</w:t>
            </w:r>
            <w:r>
              <w:rPr>
                <w:rFonts w:cs="仿宋" w:asciiTheme="minorEastAsia" w:hAnsiTheme="minorEastAsia" w:eastAsiaTheme="minorEastAsia"/>
                <w:bCs/>
                <w:color w:val="000000" w:themeColor="text1"/>
                <w:sz w:val="24"/>
                <w:szCs w:val="24"/>
              </w:rPr>
              <w:t xml:space="preserve">50%</w:t>
            </w:r>
            <w:r>
              <w:rPr>
                <w:rFonts w:hint="eastAsia" w:cs="仿宋" w:asciiTheme="minorEastAsia" w:hAnsiTheme="minorEastAsia" w:eastAsiaTheme="minorEastAsia"/>
                <w:bCs/>
                <w:color w:val="000000" w:themeColor="text1"/>
                <w:sz w:val="24"/>
                <w:szCs w:val="24"/>
              </w:rPr>
              <w:t xml:space="preserve">在</w:t>
            </w:r>
            <w:r>
              <w:rPr>
                <w:rFonts w:cs="仿宋" w:asciiTheme="minorEastAsia" w:hAnsiTheme="minorEastAsia" w:eastAsiaTheme="minorEastAsia"/>
                <w:bCs/>
                <w:color w:val="000000" w:themeColor="text1"/>
                <w:sz w:val="24"/>
                <w:szCs w:val="24"/>
              </w:rPr>
              <w:t xml:space="preserve">2028</w:t>
            </w:r>
            <w:r>
              <w:rPr>
                <w:rFonts w:hint="eastAsia" w:cs="仿宋" w:asciiTheme="minorEastAsia" w:hAnsiTheme="minorEastAsia" w:eastAsiaTheme="minorEastAsia"/>
                <w:bCs/>
                <w:color w:val="000000" w:themeColor="text1"/>
                <w:sz w:val="24"/>
                <w:szCs w:val="24"/>
              </w:rPr>
              <w:t xml:space="preserve">年付清。</w:t>
            </w:r>
            <w:r/>
          </w:p>
        </w:tc>
      </w:tr>
      <w:tr>
        <w:trPr>
          <w:jc w:val="center"/>
          <w:trHeight w:val="135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97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
                <w:bCs/>
                <w:color w:val="000000" w:themeColor="text1"/>
                <w:szCs w:val="24"/>
              </w:rPr>
              <w:t xml:space="preserve">本项目采购人为泰兴市卫生健康委员会，采购设备的实际使用单位及资金出资方为各乡镇卫生院。鉴于本项目采购预算资金来源于各乡镇卫生院，且预算中已包含代理服务费，根据采购人要求，本项目代理服务费由中标供应商承担。投标供应商在编制投标文件时，应将代理服务费计入投标报价总价中。</w:t>
            </w:r>
            <w:r>
              <w:rPr>
                <w:rFonts w:hint="eastAsia" w:cs="仿宋" w:asciiTheme="minorEastAsia" w:hAnsiTheme="minorEastAsia" w:eastAsiaTheme="minorEastAsia"/>
                <w:b/>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按照江苏省政府采购协会《关于印发(江苏省政府采购代理服务收费指导意见〉的通知》(苏政采协(2024〕20号)文件规定的收费标准</w:t>
            </w:r>
            <w:r>
              <w:rPr>
                <w:rFonts w:hint="eastAsia" w:cs="仿宋" w:asciiTheme="minorEastAsia" w:hAnsiTheme="minorEastAsia" w:eastAsiaTheme="minorEastAsia"/>
                <w:color w:val="000000" w:themeColor="text1"/>
                <w:szCs w:val="24"/>
              </w:rPr>
              <w:t xml:space="preserve">的80%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663代理服务费。</w:t>
            </w:r>
            <w:r/>
          </w:p>
          <w:p>
            <w:pPr>
              <w:pStyle w:val="979"/>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7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97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97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97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97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79"/>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79"/>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79"/>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w:t>
      </w:r>
      <w:r>
        <w:rPr>
          <w:rFonts w:hint="eastAsia" w:cs="仿宋" w:asciiTheme="minorEastAsia" w:hAnsiTheme="minorEastAsia" w:eastAsiaTheme="minorEastAsia"/>
          <w:color w:val="000000" w:themeColor="text1"/>
          <w:sz w:val="24"/>
          <w:szCs w:val="24"/>
        </w:rPr>
        <w:t xml:space="preserve">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7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79"/>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w:t>
      </w:r>
      <w:r>
        <w:rPr>
          <w:rFonts w:hint="eastAsia" w:cs="仿宋" w:asciiTheme="minorEastAsia" w:hAnsiTheme="minorEastAsia" w:eastAsiaTheme="minorEastAsia"/>
          <w:bCs/>
          <w:color w:val="000000" w:themeColor="text1"/>
          <w:sz w:val="24"/>
          <w:szCs w:val="24"/>
        </w:rPr>
        <w:t xml:space="preserve">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7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78"/>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97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3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3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79"/>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7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7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7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23"/>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w:t>
      </w:r>
      <w:r>
        <w:rPr>
          <w:rFonts w:hint="eastAsia" w:cs="仿宋" w:asciiTheme="minorEastAsia" w:hAnsiTheme="minorEastAsia" w:eastAsiaTheme="minorEastAsia"/>
          <w:color w:val="000000" w:themeColor="text1"/>
          <w:sz w:val="24"/>
          <w:szCs w:val="24"/>
        </w:rPr>
        <w:t xml:space="preserve">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97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7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7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w:t>
      </w:r>
      <w:r>
        <w:rPr>
          <w:rFonts w:hint="eastAsia" w:cs="仿宋" w:asciiTheme="minorEastAsia" w:hAnsiTheme="minorEastAsia" w:eastAsiaTheme="minorEastAsia"/>
          <w:color w:val="000000" w:themeColor="text1"/>
          <w:szCs w:val="24"/>
        </w:rPr>
        <w:t xml:space="preserve">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7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7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w:t>
      </w:r>
      <w:r>
        <w:rPr>
          <w:rFonts w:hint="eastAsia" w:cs="仿宋" w:asciiTheme="minorEastAsia" w:hAnsiTheme="minorEastAsia" w:eastAsiaTheme="minorEastAsia"/>
          <w:color w:val="000000" w:themeColor="text1"/>
          <w:sz w:val="24"/>
          <w:szCs w:val="24"/>
        </w:rPr>
        <w:t xml:space="preserve">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7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w:t>
      </w:r>
      <w:r>
        <w:rPr>
          <w:rFonts w:hint="eastAsia" w:cs="仿宋" w:asciiTheme="minorEastAsia" w:hAnsiTheme="minorEastAsia" w:eastAsiaTheme="minorEastAsia"/>
          <w:color w:val="000000" w:themeColor="text1"/>
          <w:szCs w:val="24"/>
        </w:rPr>
        <w:t xml:space="preserve">中标人未按上述要求提交履约保证金的,采购人可取消其中标资格。</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79"/>
        <w:ind w:firstLine="431"/>
        <w:jc w:val="both"/>
        <w:spacing w:line="360" w:lineRule="auto"/>
        <w:rPr>
          <w:rFonts w:hint="eastAsia"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79"/>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79"/>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979"/>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9"/>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979"/>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8"/>
      <w:r>
        <w:rPr>
          <w:rFonts w:hint="eastAsia" w:cs="仿宋" w:asciiTheme="minorEastAsia" w:hAnsiTheme="minorEastAsia" w:eastAsiaTheme="minorEastAsia"/>
          <w:b/>
          <w:color w:val="000000" w:themeColor="text1"/>
          <w:sz w:val="32"/>
          <w:szCs w:val="32"/>
        </w:rPr>
        <w:t xml:space="preserve">需求</w:t>
      </w:r>
      <w:r/>
    </w:p>
    <w:p>
      <w:pPr>
        <w:pStyle w:val="833"/>
        <w:ind w:left="720" w:firstLine="0"/>
        <w:jc w:val="left"/>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03"/>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3"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肺功能仪和慢病手环</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207台</w:t>
            </w:r>
            <w:r/>
          </w:p>
        </w:tc>
        <w:tc>
          <w:tcPr>
            <w:shd w:val="clear" w:color="auto" w:fill="ffffff"/>
            <w:tcW w:w="1412" w:type="pct"/>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泰兴市卫生健康委员会指定地点</w:t>
            </w:r>
            <w:r/>
          </w:p>
        </w:tc>
      </w:tr>
      <w:tr>
        <w:trPr>
          <w:jc w:val="center"/>
          <w:trHeight w:val="1093" w:hRule="exact"/>
        </w:trPr>
        <w:tc>
          <w:tcPr>
            <w:shd w:val="clear" w:color="auto" w:fill="ffffff"/>
            <w:tcW w:w="540"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远程心电设备</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207套</w:t>
            </w:r>
            <w:r/>
          </w:p>
        </w:tc>
        <w:tc>
          <w:tcPr>
            <w:shd w:val="clear" w:color="auto" w:fill="ffffff"/>
            <w:tcW w:w="141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bookmarkEnd w:id="41"/>
            <w:r/>
          </w:p>
        </w:tc>
      </w:tr>
    </w:tbl>
    <w:p>
      <w:pPr>
        <w:spacing w:line="360" w:lineRule="auto"/>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78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pStyle w:val="786"/>
        <w:jc w:val="center"/>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包一：</w:t>
      </w:r>
      <w:r>
        <w:rPr>
          <w:rFonts w:asciiTheme="minorEastAsia" w:hAnsiTheme="minorEastAsia" w:eastAsiaTheme="minorEastAsia"/>
          <w:b/>
          <w:szCs w:val="28"/>
        </w:rPr>
        <w:t xml:space="preserve">肺功能仪和慢病手环</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肺功能仪是用于测定肺的容量和呼吸流速的仪器，是肺功能检查中最为常用的设备。肺功能检查是胸肺疾病及呼吸生理的重要检查方式，是现代肺科检查不可缺少的检测项目，对呼吸系统疾病诊断、鉴别诊断、治疗效果评定以及外科手术适应症的选择均具有重要意义。因此，随着临床呼吸生理学的迅速发展，肺活量检查的临床应用亦日趋普及。</w:t>
      </w:r>
      <w:r/>
    </w:p>
    <w:p>
      <w:pPr>
        <w:jc w:val="left"/>
        <w:spacing w:line="360" w:lineRule="auto"/>
        <w:tabs>
          <w:tab w:val="left" w:pos="1260" w:leader="none"/>
        </w:tabs>
        <w:rPr>
          <w:rFonts w:hint="eastAsia"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二、产品资质要求</w:t>
      </w:r>
      <w:r>
        <w:rPr>
          <w:rFonts w:ascii="宋体" w:hAnsi="宋体" w:eastAsia="宋体" w:cs="宋体"/>
          <w:b/>
          <w:bCs/>
          <w:sz w:val="24"/>
          <w:szCs w:val="24"/>
        </w:rPr>
        <w:t xml:space="preserve">（实质性要求</w:t>
      </w:r>
      <w:r>
        <w:rPr>
          <w:rFonts w:hint="eastAsia" w:ascii="宋体" w:hAnsi="宋体" w:eastAsia="宋体" w:cs="宋体"/>
          <w:b/>
          <w:bCs/>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1、投标产品具备有效二类医疗器械注册证、厂家生产许可证；</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2、肺功能仪符合国家/行业现行有效的肺量计相关标准（如YY/T 1438等适用标准）；</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3、具有多种预计值公式，自动划分通气功能障碍等级。</w:t>
      </w:r>
      <w:r>
        <w:rPr>
          <w:rFonts w:hint="eastAsia" w:ascii="宋体" w:hAnsi="宋体" w:eastAsia="宋体" w:cs="宋体"/>
          <w:sz w:val="24"/>
          <w:szCs w:val="24"/>
        </w:rPr>
        <w:t xml:space="preserve"> </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三、核心技术参数</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、传感器：压差式流量传感器；</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、容量检测：量程</w:t>
      </w:r>
      <w:r>
        <w:rPr>
          <w:rFonts w:ascii="宋体" w:hAnsi="宋体" w:eastAsia="宋体" w:cs="宋体"/>
          <w:sz w:val="24"/>
          <w:szCs w:val="24"/>
        </w:rPr>
        <w:t xml:space="preserve">0L</w:t>
      </w:r>
      <w:r>
        <w:rPr>
          <w:rFonts w:hint="eastAsia" w:ascii="宋体" w:hAnsi="宋体" w:eastAsia="宋体" w:cs="宋体"/>
          <w:sz w:val="24"/>
          <w:szCs w:val="24"/>
        </w:rPr>
        <w:t xml:space="preserve">～</w:t>
      </w:r>
      <w:r>
        <w:rPr>
          <w:rFonts w:ascii="宋体" w:hAnsi="宋体" w:eastAsia="宋体" w:cs="宋体"/>
          <w:sz w:val="24"/>
          <w:szCs w:val="24"/>
        </w:rPr>
        <w:t xml:space="preserve">10L</w:t>
      </w:r>
      <w:r>
        <w:rPr>
          <w:rFonts w:hint="eastAsia" w:ascii="宋体" w:hAnsi="宋体" w:eastAsia="宋体" w:cs="宋体"/>
          <w:sz w:val="24"/>
          <w:szCs w:val="24"/>
        </w:rPr>
        <w:t xml:space="preserve">，精度</w:t>
      </w:r>
      <w:r>
        <w:rPr>
          <w:rFonts w:hint="cs"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或</w:t>
      </w:r>
      <w:r>
        <w:rPr>
          <w:rFonts w:ascii="宋体" w:hAnsi="宋体" w:eastAsia="宋体" w:cs="宋体"/>
          <w:sz w:val="24"/>
          <w:szCs w:val="24"/>
        </w:rPr>
        <w:t xml:space="preserve">0.05L</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cs="宋体" w:asciiTheme="minorEastAsia" w:hAnsiTheme="minorEastAsia" w:eastAsiaTheme="minorEastAsia"/>
          <w:bCs/>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、流量检测：量程</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ascii="宋体" w:hAnsi="宋体" w:eastAsia="宋体" w:cs="宋体"/>
          <w:sz w:val="24"/>
          <w:szCs w:val="24"/>
        </w:rPr>
        <w:t xml:space="preserve">16L/s</w:t>
      </w:r>
      <w:r>
        <w:rPr>
          <w:rFonts w:hint="eastAsia" w:ascii="宋体" w:hAnsi="宋体" w:eastAsia="宋体" w:cs="宋体"/>
          <w:sz w:val="24"/>
          <w:szCs w:val="24"/>
        </w:rPr>
        <w:t xml:space="preserve">，精度</w:t>
      </w:r>
      <w:r>
        <w:rPr>
          <w:rFonts w:hint="cs" w:ascii="宋体" w:hAnsi="宋体" w:eastAsia="宋体" w:cs="宋体"/>
          <w:sz w:val="24"/>
          <w:szCs w:val="24"/>
        </w:rPr>
        <w:t xml:space="preserve">±</w:t>
      </w:r>
      <w:r>
        <w:rPr>
          <w:rFonts w:ascii="宋体" w:hAnsi="宋体" w:eastAsia="宋体" w:cs="宋体"/>
          <w:sz w:val="24"/>
          <w:szCs w:val="24"/>
        </w:rPr>
        <w:t xml:space="preserve">5%</w:t>
      </w:r>
      <w:r>
        <w:rPr>
          <w:rFonts w:hint="eastAsia" w:ascii="宋体" w:hAnsi="宋体" w:eastAsia="宋体" w:cs="宋体"/>
          <w:sz w:val="24"/>
          <w:szCs w:val="24"/>
        </w:rPr>
        <w:t xml:space="preserve">或</w:t>
      </w:r>
      <w:r>
        <w:rPr>
          <w:rFonts w:ascii="宋体" w:hAnsi="宋体" w:eastAsia="宋体" w:cs="宋体"/>
          <w:sz w:val="24"/>
          <w:szCs w:val="24"/>
        </w:rPr>
        <w:t xml:space="preserve">0.17L/s</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、自带温湿度、气压传感器，全自动</w:t>
      </w:r>
      <w:r>
        <w:rPr>
          <w:rFonts w:ascii="宋体" w:hAnsi="宋体" w:eastAsia="宋体" w:cs="宋体"/>
          <w:sz w:val="24"/>
          <w:szCs w:val="24"/>
        </w:rPr>
        <w:t xml:space="preserve">BTPS</w:t>
      </w:r>
      <w:r>
        <w:rPr>
          <w:rFonts w:hint="eastAsia" w:ascii="宋体" w:hAnsi="宋体" w:eastAsia="宋体" w:cs="宋体"/>
          <w:sz w:val="24"/>
          <w:szCs w:val="24"/>
        </w:rPr>
        <w:t xml:space="preserve">校正；</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、机器≥</w:t>
      </w:r>
      <w:r>
        <w:rPr>
          <w:rFonts w:ascii="宋体" w:hAnsi="宋体" w:eastAsia="宋体" w:cs="宋体"/>
          <w:sz w:val="24"/>
          <w:szCs w:val="24"/>
        </w:rPr>
        <w:t xml:space="preserve">10</w:t>
      </w:r>
      <w:r>
        <w:rPr>
          <w:rFonts w:hint="eastAsia" w:ascii="宋体" w:hAnsi="宋体" w:eastAsia="宋体" w:cs="宋体"/>
          <w:sz w:val="24"/>
          <w:szCs w:val="24"/>
        </w:rPr>
        <w:t xml:space="preserve">英寸液晶触摸显示屏，操作简单；</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、整机轻便，内置锂电池，交直流两用，支持下乡体检、床旁检测；</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四、检测功能</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cs="宋体" w:asciiTheme="minorEastAsia" w:hAnsiTheme="minorEastAsia" w:eastAsiaTheme="minorEastAsia"/>
          <w:bCs/>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、全套通气指标：</w:t>
      </w:r>
      <w:r>
        <w:rPr>
          <w:rFonts w:ascii="宋体" w:hAnsi="宋体" w:eastAsia="宋体" w:cs="宋体"/>
          <w:sz w:val="24"/>
          <w:szCs w:val="24"/>
        </w:rPr>
        <w:t xml:space="preserve">FVC</w:t>
      </w:r>
      <w:r>
        <w:rPr>
          <w:rFonts w:hint="eastAsia" w:ascii="宋体" w:hAnsi="宋体" w:eastAsia="宋体" w:cs="宋体"/>
          <w:sz w:val="24"/>
          <w:szCs w:val="24"/>
        </w:rPr>
        <w:t xml:space="preserve">、</w:t>
      </w:r>
      <w:r>
        <w:rPr>
          <w:rFonts w:ascii="宋体" w:hAnsi="宋体" w:eastAsia="宋体" w:cs="宋体"/>
          <w:sz w:val="24"/>
          <w:szCs w:val="24"/>
        </w:rPr>
        <w:t xml:space="preserve">FEV1</w:t>
      </w:r>
      <w:r>
        <w:rPr>
          <w:rFonts w:hint="eastAsia" w:ascii="宋体" w:hAnsi="宋体" w:eastAsia="宋体" w:cs="宋体"/>
          <w:sz w:val="24"/>
          <w:szCs w:val="24"/>
        </w:rPr>
        <w:t xml:space="preserve">、</w:t>
      </w:r>
      <w:r>
        <w:rPr>
          <w:rFonts w:ascii="宋体" w:hAnsi="宋体" w:eastAsia="宋体" w:cs="宋体"/>
          <w:sz w:val="24"/>
          <w:szCs w:val="24"/>
        </w:rPr>
        <w:t xml:space="preserve">FEV1/FVC</w:t>
      </w:r>
      <w:r>
        <w:rPr>
          <w:rFonts w:hint="eastAsia" w:ascii="宋体" w:hAnsi="宋体" w:eastAsia="宋体" w:cs="宋体"/>
          <w:sz w:val="24"/>
          <w:szCs w:val="24"/>
        </w:rPr>
        <w:t xml:space="preserve">、</w:t>
      </w:r>
      <w:r>
        <w:rPr>
          <w:rFonts w:ascii="宋体" w:hAnsi="宋体" w:eastAsia="宋体" w:cs="宋体"/>
          <w:sz w:val="24"/>
          <w:szCs w:val="24"/>
        </w:rPr>
        <w:t xml:space="preserve">FEV3</w:t>
      </w:r>
      <w:r>
        <w:rPr>
          <w:rFonts w:hint="eastAsia" w:ascii="宋体" w:hAnsi="宋体" w:eastAsia="宋体" w:cs="宋体"/>
          <w:sz w:val="24"/>
          <w:szCs w:val="24"/>
        </w:rPr>
        <w:t xml:space="preserve">、</w:t>
      </w:r>
      <w:r>
        <w:rPr>
          <w:rFonts w:ascii="宋体" w:hAnsi="宋体" w:eastAsia="宋体" w:cs="宋体"/>
          <w:sz w:val="24"/>
          <w:szCs w:val="24"/>
        </w:rPr>
        <w:t xml:space="preserve">PEF</w:t>
      </w:r>
      <w:r>
        <w:rPr>
          <w:rFonts w:hint="eastAsia" w:ascii="宋体" w:hAnsi="宋体" w:eastAsia="宋体" w:cs="宋体"/>
          <w:sz w:val="24"/>
          <w:szCs w:val="24"/>
        </w:rPr>
        <w:t xml:space="preserve">、</w:t>
      </w:r>
      <w:r>
        <w:rPr>
          <w:rFonts w:ascii="宋体" w:hAnsi="宋体" w:eastAsia="宋体" w:cs="宋体"/>
          <w:sz w:val="24"/>
          <w:szCs w:val="24"/>
        </w:rPr>
        <w:t xml:space="preserve">FEF</w:t>
      </w:r>
      <w:r>
        <w:rPr>
          <w:rFonts w:hint="eastAsia" w:ascii="宋体" w:hAnsi="宋体" w:eastAsia="宋体" w:cs="宋体"/>
          <w:sz w:val="24"/>
          <w:szCs w:val="24"/>
        </w:rPr>
        <w:t xml:space="preserve">、</w:t>
      </w:r>
      <w:r>
        <w:rPr>
          <w:rFonts w:ascii="宋体" w:hAnsi="宋体" w:eastAsia="宋体" w:cs="宋体"/>
          <w:sz w:val="24"/>
          <w:szCs w:val="24"/>
        </w:rPr>
        <w:t xml:space="preserve">VC</w:t>
      </w:r>
      <w:r>
        <w:rPr>
          <w:rFonts w:hint="eastAsia" w:ascii="宋体" w:hAnsi="宋体" w:eastAsia="宋体" w:cs="宋体"/>
          <w:sz w:val="24"/>
          <w:szCs w:val="24"/>
        </w:rPr>
        <w:t xml:space="preserve">、</w:t>
      </w:r>
      <w:r>
        <w:rPr>
          <w:rFonts w:ascii="宋体" w:hAnsi="宋体" w:eastAsia="宋体" w:cs="宋体"/>
          <w:sz w:val="24"/>
          <w:szCs w:val="24"/>
        </w:rPr>
        <w:t xml:space="preserve">MVV</w:t>
      </w:r>
      <w:r>
        <w:rPr>
          <w:rFonts w:hint="eastAsia" w:ascii="宋体" w:hAnsi="宋体" w:eastAsia="宋体" w:cs="宋体"/>
          <w:sz w:val="24"/>
          <w:szCs w:val="24"/>
        </w:rPr>
        <w:t xml:space="preserve">、</w:t>
      </w:r>
      <w:r>
        <w:rPr>
          <w:rFonts w:ascii="宋体" w:hAnsi="宋体" w:eastAsia="宋体" w:cs="宋体"/>
          <w:sz w:val="24"/>
          <w:szCs w:val="24"/>
        </w:rPr>
        <w:t xml:space="preserve">MV</w:t>
      </w:r>
      <w:r>
        <w:rPr>
          <w:rFonts w:hint="eastAsia" w:ascii="宋体" w:hAnsi="宋体" w:eastAsia="宋体" w:cs="宋体"/>
          <w:sz w:val="24"/>
          <w:szCs w:val="24"/>
        </w:rPr>
        <w:t xml:space="preserve">等</w:t>
      </w:r>
      <w:r>
        <w:rPr>
          <w:rFonts w:ascii="宋体" w:hAnsi="宋体" w:eastAsia="宋体" w:cs="宋体"/>
          <w:sz w:val="24"/>
          <w:szCs w:val="24"/>
        </w:rPr>
        <w:t xml:space="preserve">100</w:t>
      </w:r>
      <w:r>
        <w:rPr>
          <w:rFonts w:hint="eastAsia" w:ascii="宋体" w:hAnsi="宋体" w:eastAsia="宋体" w:cs="宋体"/>
          <w:sz w:val="24"/>
          <w:szCs w:val="24"/>
        </w:rPr>
        <w:t xml:space="preserve">多项参数；</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、支持支气管舒张试验，激发试验，自动对比用药前后数值；</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、智能吹气质控，三次测试自动择优；</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、受检≥</w:t>
      </w:r>
      <w:r>
        <w:rPr>
          <w:rFonts w:ascii="宋体" w:hAnsi="宋体" w:eastAsia="宋体" w:cs="宋体"/>
          <w:sz w:val="24"/>
          <w:szCs w:val="24"/>
        </w:rPr>
        <w:t xml:space="preserve">6</w:t>
      </w:r>
      <w:r>
        <w:rPr>
          <w:rFonts w:hint="eastAsia" w:ascii="宋体" w:hAnsi="宋体" w:eastAsia="宋体" w:cs="宋体"/>
          <w:sz w:val="24"/>
          <w:szCs w:val="24"/>
        </w:rPr>
        <w:t xml:space="preserve">岁以上人群。</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五、打印与信息化</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cs="宋体" w:asciiTheme="minorEastAsia" w:hAnsiTheme="minorEastAsia" w:eastAsiaTheme="minorEastAsia"/>
          <w:bCs/>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、内置热敏打印机，输出带流量容积曲线标准图文报告</w:t>
      </w:r>
      <w:r>
        <w:rPr>
          <w:rFonts w:hint="eastAsia" w:ascii="宋体" w:hAnsi="宋体" w:eastAsia="宋体" w:cs="宋体"/>
          <w:sz w:val="24"/>
          <w:szCs w:val="24"/>
        </w:rPr>
        <w:t xml:space="preserve">(需提供内置热敏打印机打印时的照片证明)</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w:t>
      </w:r>
      <w:r>
        <w:rPr>
          <w:rFonts w:ascii="宋体" w:hAnsi="宋体" w:eastAsia="宋体" w:cs="宋体"/>
          <w:sz w:val="24"/>
          <w:szCs w:val="24"/>
        </w:rPr>
        <w:t xml:space="preserve">USB</w:t>
      </w:r>
      <w:r>
        <w:rPr>
          <w:rFonts w:hint="eastAsia" w:ascii="宋体" w:hAnsi="宋体" w:eastAsia="宋体" w:cs="宋体"/>
          <w:sz w:val="24"/>
          <w:szCs w:val="24"/>
        </w:rPr>
        <w:t xml:space="preserve">导出数据，可对接</w:t>
      </w:r>
      <w:r>
        <w:rPr>
          <w:rFonts w:ascii="宋体" w:hAnsi="宋体" w:eastAsia="宋体" w:cs="宋体"/>
          <w:sz w:val="24"/>
          <w:szCs w:val="24"/>
        </w:rPr>
        <w:t xml:space="preserve">HIS</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、本地存储≥</w:t>
      </w:r>
      <w:r>
        <w:rPr>
          <w:rFonts w:ascii="宋体" w:hAnsi="宋体" w:eastAsia="宋体" w:cs="宋体"/>
          <w:sz w:val="24"/>
          <w:szCs w:val="24"/>
        </w:rPr>
        <w:t xml:space="preserve">9000</w:t>
      </w:r>
      <w:r>
        <w:rPr>
          <w:rFonts w:hint="eastAsia" w:ascii="宋体" w:hAnsi="宋体" w:eastAsia="宋体" w:cs="宋体"/>
          <w:sz w:val="24"/>
          <w:szCs w:val="24"/>
        </w:rPr>
        <w:t xml:space="preserve">份完整曲线报告，校准日志可导出备查。</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六、质控、院感配套</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、设备使用年限：≥</w:t>
      </w:r>
      <w:r>
        <w:rPr>
          <w:rFonts w:ascii="宋体" w:hAnsi="宋体" w:eastAsia="宋体" w:cs="宋体"/>
          <w:sz w:val="24"/>
          <w:szCs w:val="24"/>
        </w:rPr>
        <w:t xml:space="preserve">9</w:t>
      </w:r>
      <w:r>
        <w:rPr>
          <w:rFonts w:hint="eastAsia" w:ascii="宋体" w:hAnsi="宋体" w:eastAsia="宋体" w:cs="宋体"/>
          <w:sz w:val="24"/>
          <w:szCs w:val="24"/>
        </w:rPr>
        <w:t xml:space="preserve">年</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、标配</w:t>
      </w:r>
      <w:r>
        <w:rPr>
          <w:rFonts w:ascii="宋体" w:hAnsi="宋体" w:eastAsia="宋体" w:cs="宋体"/>
          <w:sz w:val="24"/>
          <w:szCs w:val="24"/>
        </w:rPr>
        <w:t xml:space="preserve">3L</w:t>
      </w:r>
      <w:r>
        <w:rPr>
          <w:rFonts w:hint="eastAsia" w:ascii="宋体" w:hAnsi="宋体" w:eastAsia="宋体" w:cs="宋体"/>
          <w:sz w:val="24"/>
          <w:szCs w:val="24"/>
        </w:rPr>
        <w:t xml:space="preserve">标准定标桶，支持每日设备校准；</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、传感组件可拆卸消毒，配套一次性呼吸过滤器，过滤器非专机专用。</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七、慢病手环参数要求</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、具有健康检测功能：心率、血氧、</w:t>
      </w:r>
      <w:r>
        <w:rPr>
          <w:rFonts w:ascii="宋体" w:hAnsi="宋体" w:eastAsia="宋体" w:cs="宋体"/>
          <w:sz w:val="24"/>
          <w:szCs w:val="24"/>
        </w:rPr>
        <w:t xml:space="preserve">HRV</w:t>
      </w:r>
      <w:r>
        <w:rPr>
          <w:rFonts w:hint="eastAsia" w:ascii="宋体" w:hAnsi="宋体" w:eastAsia="宋体" w:cs="宋体"/>
          <w:sz w:val="24"/>
          <w:szCs w:val="24"/>
        </w:rPr>
        <w:t xml:space="preserve">、压力、体温；</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、具有睡眠检测功能；具有运动记录功能：计步</w:t>
      </w:r>
      <w:r>
        <w:rPr>
          <w:rFonts w:ascii="宋体" w:hAnsi="宋体" w:eastAsia="宋体" w:cs="宋体"/>
          <w:sz w:val="24"/>
          <w:szCs w:val="24"/>
        </w:rPr>
        <w:t xml:space="preserve"> </w:t>
      </w:r>
      <w:r>
        <w:rPr>
          <w:rFonts w:hint="eastAsia" w:ascii="宋体" w:hAnsi="宋体" w:eastAsia="宋体" w:cs="宋体"/>
          <w:sz w:val="24"/>
          <w:szCs w:val="24"/>
        </w:rPr>
        <w:t xml:space="preserve">、卡路里、运动距离；</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10</w:t>
      </w:r>
      <w:r>
        <w:rPr>
          <w:rFonts w:hint="eastAsia" w:ascii="宋体" w:hAnsi="宋体" w:eastAsia="宋体" w:cs="宋体"/>
          <w:sz w:val="24"/>
          <w:szCs w:val="24"/>
        </w:rPr>
        <w:t xml:space="preserve">米内可连蓝牙；可充电锂电池，充电时间</w:t>
      </w:r>
      <w:r>
        <w:rPr>
          <w:rFonts w:ascii="宋体" w:hAnsi="宋体" w:eastAsia="宋体" w:cs="宋体"/>
          <w:sz w:val="24"/>
          <w:szCs w:val="24"/>
        </w:rPr>
        <w:t xml:space="preserve">&lt;2 </w:t>
      </w:r>
      <w:r>
        <w:rPr>
          <w:rFonts w:hint="eastAsia" w:ascii="宋体" w:hAnsi="宋体" w:eastAsia="宋体" w:cs="宋体"/>
          <w:sz w:val="24"/>
          <w:szCs w:val="24"/>
        </w:rPr>
        <w:t xml:space="preserve">小时。</w:t>
      </w:r>
      <w:r/>
    </w:p>
    <w:p>
      <w:pPr>
        <w:jc w:val="left"/>
        <w:spacing w:line="360" w:lineRule="auto"/>
        <w:tabs>
          <w:tab w:val="left" w:pos="0" w:leader="none"/>
        </w:tabs>
        <w:rPr>
          <w:rFonts w:hint="eastAsia" w:cs="宋体" w:asciiTheme="minorEastAsia" w:hAnsiTheme="minorEastAsia" w:eastAsiaTheme="minorEastAsia"/>
          <w:bCs/>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、体温传感器：</w:t>
      </w:r>
      <w:r>
        <w:rPr>
          <w:rFonts w:ascii="宋体" w:hAnsi="宋体" w:eastAsia="宋体" w:cs="宋体"/>
          <w:sz w:val="24"/>
          <w:szCs w:val="24"/>
        </w:rPr>
        <w:t xml:space="preserve">NTC </w:t>
      </w:r>
      <w:r>
        <w:rPr>
          <w:rFonts w:hint="eastAsia" w:ascii="宋体" w:hAnsi="宋体" w:eastAsia="宋体" w:cs="宋体"/>
          <w:sz w:val="24"/>
          <w:szCs w:val="24"/>
        </w:rPr>
        <w:t xml:space="preserve">温度传感器；</w:t>
      </w:r>
      <w:r>
        <w:rPr>
          <w:rFonts w:cs="宋体" w:asciiTheme="minorEastAsia" w:hAnsiTheme="minorEastAsia" w:eastAsiaTheme="minorEastAsia"/>
          <w:bCs/>
          <w:sz w:val="24"/>
          <w:szCs w:val="24"/>
        </w:rPr>
        <w:t xml:space="preserve"> </w:t>
      </w:r>
      <w:r/>
    </w:p>
    <w:p>
      <w:pPr>
        <w:pStyle w:val="786"/>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786"/>
        <w:jc w:val="center"/>
        <w:rPr>
          <w:rFonts w:hint="eastAsia" w:asciiTheme="minorEastAsia" w:hAnsiTheme="minorEastAsia" w:eastAsiaTheme="minorEastAsia"/>
          <w:b/>
          <w:szCs w:val="28"/>
        </w:rPr>
      </w:pPr>
      <w:r>
        <w:rPr>
          <w:rFonts w:hint="eastAsia" w:asciiTheme="minorEastAsia" w:hAnsiTheme="minorEastAsia" w:eastAsiaTheme="minorEastAsia"/>
          <w:b/>
          <w:szCs w:val="28"/>
        </w:rPr>
      </w:r>
      <w:r/>
    </w:p>
    <w:p>
      <w:pPr>
        <w:jc w:val="center"/>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Cs w:val="28"/>
        </w:rPr>
        <w:t xml:space="preserve">包二：</w:t>
      </w:r>
      <w:bookmarkStart w:id="42" w:name="OLE_LINK3"/>
      <w:r>
        <w:rPr>
          <w:rFonts w:asciiTheme="minorEastAsia" w:hAnsiTheme="minorEastAsia" w:eastAsiaTheme="minorEastAsia"/>
          <w:b/>
          <w:sz w:val="28"/>
          <w:szCs w:val="28"/>
        </w:rPr>
        <w:t xml:space="preserve">远程心电设备</w:t>
      </w:r>
      <w:bookmarkEnd w:id="42"/>
      <w:r/>
      <w:r/>
    </w:p>
    <w:p>
      <w:pPr>
        <w:jc w:val="left"/>
        <w:spacing w:line="360" w:lineRule="auto"/>
        <w:tabs>
          <w:tab w:val="left" w:pos="126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一、项目总体要求</w:t>
      </w:r>
      <w:r/>
    </w:p>
    <w:p>
      <w:pPr>
        <w:ind w:firstLine="480"/>
        <w:jc w:val="left"/>
        <w:spacing w:line="360" w:lineRule="auto"/>
        <w:tabs>
          <w:tab w:val="left" w:pos="1260" w:leader="none"/>
        </w:tabs>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设备为县域区域心电诊断中心基层终端设备，应用于村卫生室，用于完成居民常规心电图筛查、心电数据实时采集、自动上传、中心远程诊断、报告回传、数据归档等工作。设备须符合国家心电设备相关行业标准及区域卫生信息化对接要求，数据标准、接口协议符合国家及省级远程医疗、心电信息化规范。</w:t>
      </w:r>
      <w:r/>
    </w:p>
    <w:p>
      <w:pPr>
        <w:ind w:firstLine="480"/>
        <w:jc w:val="left"/>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设备整体要求：便携式、低功耗、高抗干扰、操作简单、适配基层医务人员使用，支持常态化全民心电筛查、随访体检、门诊检查等场景。</w:t>
      </w:r>
      <w:r/>
    </w:p>
    <w:p>
      <w:pPr>
        <w:jc w:val="left"/>
        <w:spacing w:line="288" w:lineRule="auto"/>
        <w:rPr>
          <w:rFonts w:hint="eastAsia" w:cs="宋体" w:asciiTheme="minorEastAsia" w:hAnsiTheme="minorEastAsia" w:eastAsiaTheme="minorEastAsia"/>
          <w:b/>
          <w:sz w:val="24"/>
          <w:szCs w:val="24"/>
        </w:rPr>
        <w:outlineLvl w:val="1"/>
      </w:pPr>
      <w:r/>
      <w:bookmarkStart w:id="43" w:name="heading_1"/>
      <w:r>
        <w:rPr>
          <w:rFonts w:cs="宋体" w:asciiTheme="minorEastAsia" w:hAnsiTheme="minorEastAsia" w:eastAsiaTheme="minorEastAsia"/>
          <w:b/>
          <w:sz w:val="24"/>
          <w:szCs w:val="24"/>
        </w:rPr>
        <w:t xml:space="preserve">二、执行标准</w:t>
      </w:r>
      <w:bookmarkEnd w:id="43"/>
      <w:r>
        <w:rPr>
          <w:rFonts w:hint="eastAsia" w:cs="宋体" w:asciiTheme="minorEastAsia" w:hAnsiTheme="minorEastAsia" w:eastAsiaTheme="minorEastAsia"/>
          <w:b/>
          <w:sz w:val="24"/>
          <w:szCs w:val="24"/>
        </w:rPr>
        <w:t xml:space="preserve"> </w:t>
      </w:r>
      <w:r/>
    </w:p>
    <w:p>
      <w:pPr>
        <w:jc w:val="left"/>
        <w:spacing w:before="120" w:after="120" w:line="288"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设备设计、生产、检验需满足以下最新国家/行业标准：</w:t>
      </w:r>
      <w:r/>
    </w:p>
    <w:p>
      <w:pPr>
        <w:jc w:val="left"/>
        <w:spacing w:before="120" w:after="120" w:line="288"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WS/T 892—2026《</w:t>
      </w:r>
      <w:r>
        <w:rPr>
          <w:rFonts w:cs="宋体" w:asciiTheme="minorEastAsia" w:hAnsiTheme="minorEastAsia" w:eastAsiaTheme="minorEastAsia"/>
          <w:bCs/>
          <w:color w:val="ff0000"/>
          <w:sz w:val="24"/>
          <w:szCs w:val="24"/>
        </w:rPr>
        <w:t xml:space="preserve">紧密型县域医共体心电诊断中心设置标准</w:t>
      </w:r>
      <w:r>
        <w:rPr>
          <w:rFonts w:cs="宋体" w:asciiTheme="minorEastAsia" w:hAnsiTheme="minorEastAsia" w:eastAsiaTheme="minorEastAsia"/>
          <w:bCs/>
          <w:sz w:val="24"/>
          <w:szCs w:val="24"/>
        </w:rPr>
        <w:t xml:space="preserve">》</w:t>
      </w:r>
      <w:r/>
    </w:p>
    <w:p>
      <w:pPr>
        <w:pStyle w:val="786"/>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GB 9706.225—2021《医用电气设备 第2-25部分：心电图机的基本安全和基本性能专用要求》</w:t>
      </w:r>
      <w:r/>
    </w:p>
    <w:p>
      <w:pPr>
        <w:jc w:val="left"/>
        <w:spacing w:before="120" w:after="120" w:line="288"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cs="宋体" w:asciiTheme="minorEastAsia" w:hAnsiTheme="minorEastAsia" w:eastAsiaTheme="minorEastAsia"/>
          <w:bCs/>
          <w:sz w:val="24"/>
          <w:szCs w:val="24"/>
        </w:rPr>
        <w:t xml:space="preserve">符合国家卫健委区域远程心电诊断信息化数据标准</w:t>
      </w:r>
      <w:r/>
    </w:p>
    <w:p>
      <w:pPr>
        <w:jc w:val="left"/>
        <w:spacing w:before="120" w:after="120" w:line="288"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w:t>
      </w:r>
      <w:r>
        <w:rPr>
          <w:rFonts w:cs="宋体" w:asciiTheme="minorEastAsia" w:hAnsiTheme="minorEastAsia" w:eastAsiaTheme="minorEastAsia"/>
          <w:bCs/>
          <w:sz w:val="24"/>
          <w:szCs w:val="24"/>
        </w:rPr>
        <w:t xml:space="preserve">具备医疗器械注册证、医疗器械生产许可证，可合法临床使用</w:t>
      </w:r>
      <w:r/>
    </w:p>
    <w:p>
      <w:pPr>
        <w:pStyle w:val="786"/>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三、核心硬件技术参数（技术评分项）</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（一）采集导联配置</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支持标准12导联同步采集、同步输出（Ⅰ、Ⅱ、Ⅲ、</w:t>
      </w:r>
      <w:r>
        <w:rPr>
          <w:rFonts w:cs="宋体" w:asciiTheme="minorEastAsia" w:hAnsiTheme="minorEastAsia" w:eastAsiaTheme="minorEastAsia"/>
          <w:bCs/>
          <w:sz w:val="24"/>
          <w:szCs w:val="24"/>
        </w:rPr>
        <w:t xml:space="preserve">aVR</w:t>
      </w:r>
      <w:r>
        <w:rPr>
          <w:rFonts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aVL</w:t>
      </w:r>
      <w:r>
        <w:rPr>
          <w:rFonts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aVF</w:t>
      </w:r>
      <w:r>
        <w:rPr>
          <w:rFonts w:cs="宋体" w:asciiTheme="minorEastAsia" w:hAnsiTheme="minorEastAsia" w:eastAsiaTheme="minorEastAsia"/>
          <w:bCs/>
          <w:sz w:val="24"/>
          <w:szCs w:val="24"/>
        </w:rPr>
        <w:t xml:space="preserve">、V1～V6）。</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（二）信号采集性能参数</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1、支持10s/15s/30s/60s</w:t>
      </w:r>
      <w:r>
        <w:rPr>
          <w:rFonts w:hint="eastAsia" w:cs="宋体" w:asciiTheme="minorEastAsia" w:hAnsiTheme="minorEastAsia" w:eastAsiaTheme="minorEastAsia"/>
          <w:bCs/>
          <w:sz w:val="24"/>
          <w:szCs w:val="24"/>
        </w:rPr>
        <w:t xml:space="preserve">/300s</w:t>
      </w:r>
      <w:r>
        <w:rPr>
          <w:rFonts w:cs="宋体" w:asciiTheme="minorEastAsia" w:hAnsiTheme="minorEastAsia" w:eastAsiaTheme="minorEastAsia"/>
          <w:bCs/>
          <w:sz w:val="24"/>
          <w:szCs w:val="24"/>
        </w:rPr>
        <w:t xml:space="preserve">自定义时长心电图采集；</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2、A/D转换精度：≥24bit；</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3、单通道采样率：≥30kHz；</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4、频率响应：0.0</w:t>
      </w: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Hz～350Hz，满足成人、老人、心律失常高精度采集需求；</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5、输入阻抗：≥1</w:t>
      </w:r>
      <w:r>
        <w:rPr>
          <w:rFonts w:hint="eastAsia" w:cs="宋体" w:asciiTheme="minorEastAsia" w:hAnsiTheme="minorEastAsia" w:eastAsiaTheme="minorEastAsia"/>
          <w:bCs/>
          <w:sz w:val="24"/>
          <w:szCs w:val="24"/>
        </w:rPr>
        <w:t xml:space="preserve">0</w:t>
      </w:r>
      <w:r>
        <w:rPr>
          <w:rFonts w:cs="宋体" w:asciiTheme="minorEastAsia" w:hAnsiTheme="minorEastAsia" w:eastAsiaTheme="minorEastAsia"/>
          <w:bCs/>
          <w:sz w:val="24"/>
          <w:szCs w:val="24"/>
        </w:rPr>
        <w:t xml:space="preserve">0MΩ（10Hz）；</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6、共模抑制比：≥1</w:t>
      </w: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0dB（工频及环境抗干扰，适配基层复杂环境）；</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7、▲内部噪声：≤1</w:t>
      </w:r>
      <w:r>
        <w:rPr>
          <w:rFonts w:hint="eastAsia" w:cs="宋体" w:asciiTheme="minorEastAsia" w:hAnsiTheme="minorEastAsia" w:eastAsiaTheme="minorEastAsia"/>
          <w:bCs/>
          <w:sz w:val="24"/>
          <w:szCs w:val="24"/>
        </w:rPr>
        <w:t xml:space="preserve">0</w:t>
      </w:r>
      <w:r>
        <w:rPr>
          <w:rFonts w:cs="宋体" w:asciiTheme="minorEastAsia" w:hAnsiTheme="minorEastAsia" w:eastAsiaTheme="minorEastAsia"/>
          <w:bCs/>
          <w:sz w:val="24"/>
          <w:szCs w:val="24"/>
        </w:rPr>
        <w:t xml:space="preserve">μVp-p；</w:t>
      </w:r>
      <w:r>
        <w:rPr>
          <w:rFonts w:hint="eastAsia" w:cs="宋体" w:asciiTheme="minorEastAsia" w:hAnsiTheme="minorEastAsia" w:eastAsiaTheme="minorEastAsia"/>
          <w:bCs/>
          <w:sz w:val="24"/>
          <w:szCs w:val="24"/>
        </w:rPr>
        <w:t xml:space="preserve">需提供医疗器械注册证明材料。</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8、时间常数：</w:t>
      </w: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s，保证长基线稳定无漂移；</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9、▲耐极化电压：≥±</w:t>
      </w:r>
      <w:r>
        <w:rPr>
          <w:rFonts w:hint="eastAsia" w:cs="宋体" w:asciiTheme="minorEastAsia" w:hAnsiTheme="minorEastAsia" w:eastAsiaTheme="minorEastAsia"/>
          <w:bCs/>
          <w:sz w:val="24"/>
          <w:szCs w:val="24"/>
        </w:rPr>
        <w:t xml:space="preserve">100</w:t>
      </w:r>
      <w:r>
        <w:rPr>
          <w:rFonts w:cs="宋体" w:asciiTheme="minorEastAsia" w:hAnsiTheme="minorEastAsia" w:eastAsiaTheme="minorEastAsia"/>
          <w:bCs/>
          <w:sz w:val="24"/>
          <w:szCs w:val="24"/>
        </w:rPr>
        <w:t xml:space="preserve">0mV；</w:t>
      </w:r>
      <w:r>
        <w:rPr>
          <w:rFonts w:hint="eastAsia" w:cs="宋体" w:asciiTheme="minorEastAsia" w:hAnsiTheme="minorEastAsia" w:eastAsiaTheme="minorEastAsia"/>
          <w:bCs/>
          <w:sz w:val="24"/>
          <w:szCs w:val="24"/>
        </w:rPr>
        <w:t xml:space="preserve">需提供医疗器械注册证明材料。</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10、定标电压：1mV±1%。</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11、</w:t>
      </w:r>
      <w:r>
        <w:rPr>
          <w:rFonts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可靠性：支持时间基准选择（走纸速度）和增益控制功能，确保准确度误差≤±3%。</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（三）设备硬件配置</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1、显示屏：≥</w:t>
      </w: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英寸彩色液晶触控屏，实时显示十二导联心电波形、心率、检查参数；</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2、操作方式：触控操作；</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3、支持GPS定位、NFC功能；</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4、支持语音录入功能；</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、存储：设备本地</w:t>
      </w:r>
      <w:r>
        <w:rPr>
          <w:rFonts w:hint="eastAsia" w:cs="宋体" w:asciiTheme="minorEastAsia" w:hAnsiTheme="minorEastAsia" w:eastAsiaTheme="minorEastAsia"/>
          <w:bCs/>
          <w:sz w:val="24"/>
          <w:szCs w:val="24"/>
        </w:rPr>
        <w:t xml:space="preserve">支持16G</w:t>
      </w:r>
      <w:r>
        <w:rPr>
          <w:rFonts w:cs="宋体" w:asciiTheme="minorEastAsia" w:hAnsiTheme="minorEastAsia" w:eastAsiaTheme="minorEastAsia"/>
          <w:bCs/>
          <w:sz w:val="24"/>
          <w:szCs w:val="24"/>
        </w:rPr>
        <w:t xml:space="preserve">存储，可离线保存心电数据，联网后自动批量上传；</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w:t>
      </w:r>
      <w:r>
        <w:rPr>
          <w:rFonts w:cs="宋体" w:asciiTheme="minorEastAsia" w:hAnsiTheme="minorEastAsia" w:eastAsiaTheme="minorEastAsia"/>
          <w:bCs/>
          <w:sz w:val="24"/>
          <w:szCs w:val="24"/>
        </w:rPr>
        <w:t xml:space="preserve">、整机重量：主机≤</w:t>
      </w:r>
      <w:r>
        <w:rPr>
          <w:rFonts w:hint="eastAsia" w:cs="宋体" w:asciiTheme="minorEastAsia" w:hAnsiTheme="minorEastAsia" w:eastAsiaTheme="minorEastAsia"/>
          <w:bCs/>
          <w:sz w:val="24"/>
          <w:szCs w:val="24"/>
        </w:rPr>
        <w:t xml:space="preserve">500</w:t>
      </w:r>
      <w:r>
        <w:rPr>
          <w:rFonts w:cs="宋体" w:asciiTheme="minorEastAsia" w:hAnsiTheme="minorEastAsia" w:eastAsiaTheme="minorEastAsia"/>
          <w:bCs/>
          <w:sz w:val="24"/>
          <w:szCs w:val="24"/>
        </w:rPr>
        <w:t xml:space="preserve">g，便携式设计，支持入户随访、下乡筛查；</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7</w:t>
      </w:r>
      <w:r>
        <w:rPr>
          <w:rFonts w:cs="宋体" w:asciiTheme="minorEastAsia" w:hAnsiTheme="minorEastAsia" w:eastAsiaTheme="minorEastAsia"/>
          <w:bCs/>
          <w:sz w:val="24"/>
          <w:szCs w:val="24"/>
        </w:rPr>
        <w:t xml:space="preserve">、供电方式：交流AC 100V–240V，50/60Hz通用医用电源；内置可充电锂电池，连续工作≥5小时，待机≥10小时，支持断电续检；电池设计使用寿命≥3年（或≥500次完整充放电循环），投标人须承诺在产品整机寿命期内保证电池更换保障。</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（四）通讯与接口要求</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1、无线网络：内置4G全网通、WiFi（2.4G/5G双频）、蓝牙4.2及以上；</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2、数据传输：支持实时上传、断点续传、离线补传，数据传输加密。</w:t>
      </w:r>
      <w:r/>
    </w:p>
    <w:p>
      <w:pPr>
        <w:pStyle w:val="786"/>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四、</w:t>
      </w:r>
      <w:r>
        <w:rPr>
          <w:rFonts w:hint="eastAsia" w:cs="宋体" w:asciiTheme="minorEastAsia" w:hAnsiTheme="minorEastAsia" w:eastAsiaTheme="minorEastAsia"/>
          <w:b/>
          <w:sz w:val="24"/>
          <w:szCs w:val="24"/>
        </w:rPr>
        <w:t xml:space="preserve">心电人工智能</w:t>
      </w:r>
      <w:r>
        <w:rPr>
          <w:rFonts w:cs="宋体" w:asciiTheme="minorEastAsia" w:hAnsiTheme="minorEastAsia" w:eastAsiaTheme="minorEastAsia"/>
          <w:b/>
          <w:sz w:val="24"/>
          <w:szCs w:val="24"/>
        </w:rPr>
        <w:t xml:space="preserve">软件功能要求（技术评分项）</w:t>
      </w:r>
      <w:r/>
    </w:p>
    <w:p>
      <w:pPr>
        <w:pStyle w:val="786"/>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为落实《泰州市卫生健康委员会办公室关于组织做好重大慢病防控基地建设工作的通知》文件要求，推进重大慢病防控基地（基层诊室 / 管理中心 / 区域医院）标准化建设，深化慢病管理医防融合，构建心脑血管疾病早筛查、早识别、分级转诊、上下联动的慢病分级诊疗体系。</w:t>
      </w:r>
      <w:r/>
    </w:p>
    <w:p>
      <w:pPr>
        <w:pStyle w:val="786"/>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依据国家、省人工智能赋能基层慢病管理、县域医共体心电资源共享相关政策导向，基层医疗机构心电专业人员不足，亟需依托人工智能心电辅助分析技术，提升高血压、冠心病、心律失常、脑卒中高危人群心电筛查能力，落实心血管慢病高危人群快速初筛、异常预警、数据联网上传，实现基层采集、AI 初判、上级远程复核的心电分级诊疗工作模式。</w:t>
      </w:r>
      <w:r/>
    </w:p>
    <w:p>
      <w:pPr>
        <w:pStyle w:val="786"/>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本次采购 12 导联心电图机，配套心电分析软件须具备合规 AI 心电辅助诊断功能，满足重大慢病防控基地建设验收标准，支撑常态化心血管慢病随访筛查、胸痛快速初筛、心电数据区域平台互联互通。</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（一）</w:t>
      </w:r>
      <w:r>
        <w:rPr>
          <w:rFonts w:hint="eastAsia" w:cs="宋体" w:asciiTheme="minorEastAsia" w:hAnsiTheme="minorEastAsia" w:eastAsiaTheme="minorEastAsia"/>
          <w:bCs/>
          <w:sz w:val="24"/>
          <w:szCs w:val="24"/>
        </w:rPr>
        <w:t xml:space="preserve">辅助诊断</w:t>
      </w:r>
      <w:r>
        <w:rPr>
          <w:rFonts w:cs="宋体" w:asciiTheme="minorEastAsia" w:hAnsiTheme="minorEastAsia" w:eastAsiaTheme="minorEastAsia"/>
          <w:bCs/>
          <w:sz w:val="24"/>
          <w:szCs w:val="24"/>
        </w:rPr>
        <w:t xml:space="preserve">功能</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具备智能心电预分析算法，可自动捕捉、提示心电基础异常，落地基层心电智能初筛场景，需提供国家药品监督管理局核发的第三类医疗器械注册证复印件证明</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实时波形降噪、基线自动校正、自动滤波；</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cs="宋体" w:asciiTheme="minorEastAsia" w:hAnsiTheme="minorEastAsia" w:eastAsiaTheme="minorEastAsia"/>
          <w:bCs/>
          <w:sz w:val="24"/>
          <w:szCs w:val="24"/>
        </w:rPr>
        <w:t xml:space="preserve">、内置智能心电预分析算法，自动提示基础异常，辅助基层初筛；</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w:t>
      </w:r>
      <w:r>
        <w:rPr>
          <w:rFonts w:cs="宋体" w:asciiTheme="minorEastAsia" w:hAnsiTheme="minorEastAsia" w:eastAsiaTheme="minorEastAsia"/>
          <w:bCs/>
          <w:sz w:val="24"/>
          <w:szCs w:val="24"/>
        </w:rPr>
        <w:t xml:space="preserve">、具备快速心电、标准采集两种方式；支持加做心电图、重做心电图；</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、具有成人/儿童心电图差异化分析功能；</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w:t>
      </w:r>
      <w:r>
        <w:rPr>
          <w:rFonts w:cs="宋体" w:asciiTheme="minorEastAsia" w:hAnsiTheme="minorEastAsia" w:eastAsiaTheme="minorEastAsia"/>
          <w:bCs/>
          <w:sz w:val="24"/>
          <w:szCs w:val="24"/>
        </w:rPr>
        <w:t xml:space="preserve">具有接收诊断结论功能，可将诊断后的心电报告下载到本机；</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7、▲具备深度学习心电分析模块，支持成人心律失常、心肌梗塞、ST-T异常、房室肥大等四大类异常心电图的自动识别。</w:t>
      </w:r>
      <w:r>
        <w:rPr>
          <w:rFonts w:cs="宋体" w:asciiTheme="minorEastAsia" w:hAnsiTheme="minorEastAsia" w:eastAsiaTheme="minorEastAsia"/>
          <w:bCs/>
          <w:sz w:val="24"/>
          <w:szCs w:val="24"/>
        </w:rPr>
        <w:t xml:space="preserve">需提供包含相应功能描述的医疗器械注册证证明；</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8、支持包括窦性心律、房性心律、室上性心动过速、心房颤动、心房扑动、停搏、起搏心律、短PR间期、预激综合征、传导阻滞等心律失常异常心电图的自动识别功能。</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9、支持急性心肌梗塞和陈旧性心肌梗塞等心肌梗塞异常心电图的自动识别。</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10、▲支持ST压低、ST抬高、T波异常、ST_T改变、QTc间期等ST-T异常心</w:t>
      </w:r>
      <w:r>
        <w:rPr>
          <w:rFonts w:hint="eastAsia" w:cs="宋体" w:asciiTheme="minorEastAsia" w:hAnsiTheme="minorEastAsia" w:eastAsiaTheme="minorEastAsia"/>
          <w:bCs/>
          <w:sz w:val="24"/>
          <w:szCs w:val="24"/>
        </w:rPr>
        <w:t xml:space="preserve">电图的自动识别。准确定位ST-T改变，协助医生快速定位心肌缺血、急性梗死等心电事件。</w:t>
      </w:r>
      <w:r>
        <w:rPr>
          <w:rFonts w:cs="宋体" w:asciiTheme="minorEastAsia" w:hAnsiTheme="minorEastAsia" w:eastAsiaTheme="minorEastAsia"/>
          <w:bCs/>
          <w:sz w:val="24"/>
          <w:szCs w:val="24"/>
        </w:rPr>
        <w:t xml:space="preserve">需提供包含相应功能描述的医疗器械注册证证明；</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11、AI可自动识别心电图的采集质量，如是否有左右手接反、伪差、导联脱落、起搏信号等情况；</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12、具有自主研发心电算法，算法经过AHA数据库、MIT数据库、NST数据库、CU数据库验证，需提供相关证明材料；</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13、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p>
    <w:p>
      <w:pPr>
        <w:pStyle w:val="786"/>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14、起搏信号智能标识：通过AI帮助医生快速识别出微弱的起搏信号，避免漏诊误诊。</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（二）平台对接功能</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无缝对接区域公共卫生服务系统、居民电子健康档案系统等，接口协议、数据标准严格遵循WS/T 483健康档案共享文档规范、WS/T 790区</w:t>
      </w:r>
      <w:r>
        <w:rPr>
          <w:rFonts w:hint="eastAsia" w:cs="宋体" w:asciiTheme="minorEastAsia" w:hAnsiTheme="minorEastAsia" w:eastAsiaTheme="minorEastAsia"/>
          <w:bCs/>
          <w:sz w:val="24"/>
          <w:szCs w:val="24"/>
        </w:rPr>
        <w:t xml:space="preserve">域卫生信息平台交互标准，具体接口规范：对接完成后具备居民健康档案调取、公卫业务数据互联互通功能，可自动调取公卫系统内居民基础信息、既往健康档案、慢病随访记录、体检筛查信息等待核验患者数据，支持一键关联建档人员信息、匹配居民唯一健康标识。本项目涉及的所有系统对接开发、接口调试、数据适配、合规改造及运维接口费用均由中标供应商全额承担，中标供应商需无条件配合采购人完成全域数据联调、合规校验及正式上线对接工作，并单独提供书面对接承诺函，保障数据交互安全、规范、可追溯，符合全民健康信息化及基层公卫数据标准化建设要求。</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2、检查数据、患者信息自动上传至中心服务器；</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3、支持中心专家远程诊断，诊断报告自动回传终端；</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4、支持检查记录、诊断结果、报告文件本地查询、回溯、导出；</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（三）人员与患者管理</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1、支持录入/读取患者姓名、性别、年龄、身份证号、联系方式；</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2、支持医务人员账号登录、操作日志留存，可追溯检查记录；</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（四）数据安全</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1、数据传输采用加密协议，防止数据篡改、泄露；</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2、设备具备权限管理、操作日志、数据备份功能；</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（五）心电</w:t>
      </w:r>
      <w:r>
        <w:rPr>
          <w:rFonts w:hint="eastAsia" w:cs="宋体" w:asciiTheme="minorEastAsia" w:hAnsiTheme="minorEastAsia" w:eastAsiaTheme="minorEastAsia"/>
          <w:bCs/>
          <w:sz w:val="24"/>
          <w:szCs w:val="24"/>
        </w:rPr>
        <w:t xml:space="preserve">质控中心</w:t>
      </w:r>
      <w:r>
        <w:rPr>
          <w:rFonts w:cs="宋体" w:asciiTheme="minorEastAsia" w:hAnsiTheme="minorEastAsia" w:eastAsiaTheme="minorEastAsia"/>
          <w:bCs/>
          <w:sz w:val="24"/>
          <w:szCs w:val="24"/>
        </w:rPr>
        <w:t xml:space="preserve">功能</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基于平台建设，成立心电质控中心，组建质控团队，支持从采集质量、病人信息完整度、诊断报告质量、报告规范、诊断时效、疑难病例、危急值数据等不同维度建立心电质控指标，对心电检查诊断业务进行全面的质控分析。</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支持新建质控任务，支持按照多维度筛选质控数据，指定质控报告数量，支持选择质控专家和反馈对象设置。</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支持通过心电人工智能进行质控分析，评估诊断医生和诊断组的诊断质量，进一步明确后续的培训方向和提高培训效果。</w:t>
      </w:r>
      <w:r>
        <w:rPr>
          <w:rFonts w:cs="宋体" w:asciiTheme="minorEastAsia" w:hAnsiTheme="minorEastAsia" w:eastAsiaTheme="minorEastAsia"/>
          <w:bCs/>
          <w:sz w:val="24"/>
          <w:szCs w:val="24"/>
        </w:rPr>
        <w:t xml:space="preserve">需</w:t>
      </w:r>
      <w:r>
        <w:rPr>
          <w:rFonts w:hint="eastAsia" w:cs="宋体" w:asciiTheme="minorEastAsia" w:hAnsiTheme="minorEastAsia" w:eastAsiaTheme="minorEastAsia"/>
          <w:bCs/>
          <w:sz w:val="24"/>
          <w:szCs w:val="24"/>
        </w:rPr>
        <w:t xml:space="preserve">提供心电人工智能质控中心系统相关软件著作权证明</w:t>
      </w:r>
      <w:r/>
    </w:p>
    <w:p>
      <w:pPr>
        <w:pStyle w:val="786"/>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五、环境适应参数</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1、工作温度：5℃～40℃；</w:t>
      </w:r>
      <w:r>
        <w:rPr>
          <w:rFonts w:hint="eastAsia" w:cs="宋体" w:asciiTheme="minorEastAsia" w:hAnsiTheme="minorEastAsia" w:eastAsiaTheme="minorEastAsia"/>
          <w:bCs/>
          <w:sz w:val="24"/>
          <w:szCs w:val="24"/>
        </w:rPr>
        <w:t xml:space="preserve"> </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2、工作湿度：</w:t>
      </w:r>
      <w:r>
        <w:rPr>
          <w:rFonts w:hint="eastAsia" w:cs="宋体" w:asciiTheme="minorEastAsia" w:hAnsiTheme="minorEastAsia" w:eastAsiaTheme="minorEastAsia"/>
          <w:bCs/>
          <w:sz w:val="24"/>
          <w:szCs w:val="24"/>
        </w:rPr>
        <w:t xml:space="preserve">25</w:t>
      </w:r>
      <w:r>
        <w:rPr>
          <w:rFonts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90</w:t>
      </w:r>
      <w:r>
        <w:rPr>
          <w:rFonts w:cs="宋体" w:asciiTheme="minorEastAsia" w:hAnsiTheme="minorEastAsia" w:eastAsiaTheme="minorEastAsia"/>
          <w:bCs/>
          <w:sz w:val="24"/>
          <w:szCs w:val="24"/>
        </w:rPr>
        <w:t xml:space="preserve">%RH（无冷凝）；</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3、可在基层卫生室常规室内环境、移动筛查场景稳定运行，抗电磁、工频干扰。</w:t>
      </w:r>
      <w:r/>
    </w:p>
    <w:p>
      <w:pPr>
        <w:pStyle w:val="786"/>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★六、供货资料要求（实质性要求，投标人必须在投标时提供，不参与技术评分。）</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投标/供货设备须提供完整有效资料：</w:t>
      </w:r>
      <w:r>
        <w:rPr>
          <w:rFonts w:hint="eastAsia" w:cs="宋体" w:asciiTheme="minorEastAsia" w:hAnsiTheme="minorEastAsia" w:eastAsiaTheme="minorEastAsia"/>
          <w:bCs/>
          <w:sz w:val="24"/>
          <w:szCs w:val="24"/>
        </w:rPr>
        <w:t xml:space="preserve"> </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1、医疗器械产品注册证及附件；</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2、医疗器械生产许可证；</w:t>
      </w:r>
      <w:r/>
    </w:p>
    <w:p>
      <w:pPr>
        <w:pStyle w:val="786"/>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3、产品检测报告（符合GB 9706.1-2020、GB 9706.225-2021标准）；</w:t>
      </w:r>
      <w:r/>
    </w:p>
    <w:p>
      <w:pPr>
        <w:jc w:val="left"/>
        <w:spacing w:line="360" w:lineRule="auto"/>
        <w:tabs>
          <w:tab w:val="left" w:pos="1260" w:leader="none"/>
        </w:tabs>
        <w:rPr>
          <w:rFonts w:hint="eastAsia" w:asciiTheme="minorEastAsia" w:hAnsiTheme="minorEastAsia" w:eastAsiaTheme="minorEastAsia"/>
          <w:b/>
          <w:szCs w:val="28"/>
        </w:rPr>
      </w:pPr>
      <w:r>
        <w:rPr>
          <w:rFonts w:cs="宋体" w:asciiTheme="minorEastAsia" w:hAnsiTheme="minorEastAsia" w:eastAsiaTheme="minorEastAsia"/>
          <w:bCs/>
          <w:sz w:val="24"/>
          <w:szCs w:val="24"/>
        </w:rPr>
        <w:t xml:space="preserve">4、售后服务承诺函；</w:t>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2029"/>
        <w:gridCol w:w="5483"/>
      </w:tblGrid>
      <w:tr>
        <w:trPr>
          <w:jc w:val="center"/>
          <w:trHeight w:val="750"/>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★交货期</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合同签订后一个月内</w:t>
            </w:r>
            <w:r/>
          </w:p>
        </w:tc>
      </w:tr>
      <w:tr>
        <w:trPr>
          <w:jc w:val="center"/>
          <w:trHeight w:val="810"/>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rPr>
              <w:t xml:space="preserve">2</w:t>
            </w:r>
            <w:r/>
          </w:p>
        </w:tc>
        <w:tc>
          <w:tcPr>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交货地点</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泰兴市卫生健康委员会指定地点</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★付款方式</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本次合同由泰兴市卫健委代各单位统一签署，资金按照各单位实际配备数计算，在设备安装调试验收到位后，</w:t>
            </w:r>
            <w:r>
              <w:rPr>
                <w:rFonts w:ascii="宋体" w:hAnsi="宋体" w:eastAsia="宋体" w:cs="宋体"/>
                <w:bCs/>
                <w:sz w:val="24"/>
                <w:szCs w:val="24"/>
              </w:rPr>
              <w:t xml:space="preserve">2027</w:t>
            </w:r>
            <w:r>
              <w:rPr>
                <w:rFonts w:hint="eastAsia" w:ascii="宋体" w:hAnsi="宋体" w:eastAsia="宋体" w:cs="宋体"/>
                <w:bCs/>
                <w:sz w:val="24"/>
                <w:szCs w:val="24"/>
              </w:rPr>
              <w:t xml:space="preserve">年由各实际使用单位按照实际金额的</w:t>
            </w:r>
            <w:r>
              <w:rPr>
                <w:rFonts w:ascii="宋体" w:hAnsi="宋体" w:eastAsia="宋体" w:cs="宋体"/>
                <w:bCs/>
                <w:sz w:val="24"/>
                <w:szCs w:val="24"/>
              </w:rPr>
              <w:t xml:space="preserve">50%</w:t>
            </w:r>
            <w:r>
              <w:rPr>
                <w:rFonts w:hint="eastAsia" w:ascii="宋体" w:hAnsi="宋体" w:eastAsia="宋体" w:cs="宋体"/>
                <w:bCs/>
                <w:sz w:val="24"/>
                <w:szCs w:val="24"/>
              </w:rPr>
              <w:t xml:space="preserve">支付给设备中标商，余款</w:t>
            </w:r>
            <w:r>
              <w:rPr>
                <w:rFonts w:ascii="宋体" w:hAnsi="宋体" w:eastAsia="宋体" w:cs="宋体"/>
                <w:bCs/>
                <w:sz w:val="24"/>
                <w:szCs w:val="24"/>
              </w:rPr>
              <w:t xml:space="preserve">50%</w:t>
            </w:r>
            <w:r>
              <w:rPr>
                <w:rFonts w:hint="eastAsia" w:ascii="宋体" w:hAnsi="宋体" w:eastAsia="宋体" w:cs="宋体"/>
                <w:bCs/>
                <w:sz w:val="24"/>
                <w:szCs w:val="24"/>
              </w:rPr>
              <w:t xml:space="preserve">在</w:t>
            </w:r>
            <w:r>
              <w:rPr>
                <w:rFonts w:ascii="宋体" w:hAnsi="宋体" w:eastAsia="宋体" w:cs="宋体"/>
                <w:bCs/>
                <w:sz w:val="24"/>
                <w:szCs w:val="24"/>
              </w:rPr>
              <w:t xml:space="preserve">2028</w:t>
            </w:r>
            <w:r>
              <w:rPr>
                <w:rFonts w:hint="eastAsia" w:ascii="宋体" w:hAnsi="宋体" w:eastAsia="宋体" w:cs="宋体"/>
                <w:bCs/>
                <w:sz w:val="24"/>
                <w:szCs w:val="24"/>
              </w:rPr>
              <w:t xml:space="preserve">年付清。</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zh-CN"/>
              </w:rPr>
              <w:t xml:space="preserve">设计方案</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zh-CN"/>
              </w:rPr>
              <w:t xml:space="preserve">供应商根据本项目需求提供一套完整的设计方案，包括设备性能和 配置，实施操作性，与其他同类系统对接的扩展性，方案思路合理性、可操作及实用性。</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运行维护保障</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供应商根据本项目需求提供一套运行维护保障方案，包括但不限于对日常维护、应急处理等部分</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6</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售后服务及质保要求</w:t>
            </w:r>
            <w:r/>
          </w:p>
        </w:tc>
        <w:tc>
          <w:tcPr>
            <w:shd w:val="clear" w:color="auto" w:fill="ffffff" w:themeFill="background1"/>
            <w:tcW w:w="3307" w:type="pct"/>
            <w:vAlign w:val="center"/>
            <w:textDirection w:val="lrTb"/>
            <w:noWrap w:val="false"/>
          </w:tcPr>
          <w:p>
            <w:pPr>
              <w:pStyle w:val="786"/>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包一：</w:t>
            </w:r>
            <w:r>
              <w:rPr>
                <w:rFonts w:ascii="宋体" w:hAnsi="宋体" w:eastAsia="宋体" w:cs="宋体"/>
                <w:bCs/>
                <w:sz w:val="24"/>
                <w:szCs w:val="24"/>
                <w:lang w:val="zh-CN"/>
              </w:rPr>
              <w:t xml:space="preserve">肺功能仪和慢病手环</w:t>
            </w:r>
            <w:r>
              <w:rPr>
                <w:rFonts w:hint="eastAsia" w:ascii="宋体" w:hAnsi="宋体" w:eastAsia="宋体" w:cs="宋体"/>
                <w:bCs/>
                <w:sz w:val="24"/>
                <w:szCs w:val="24"/>
                <w:lang w:val="zh-CN"/>
              </w:rPr>
              <w:t xml:space="preserve"> </w:t>
            </w:r>
            <w:r/>
          </w:p>
          <w:p>
            <w:pPr>
              <w:pStyle w:val="833"/>
              <w:numPr>
                <w:ilvl w:val="0"/>
                <w:numId w:val="5"/>
              </w:numPr>
              <w:ind w:left="0" w:hanging="44"/>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所有设备</w:t>
            </w:r>
            <w:r>
              <w:rPr>
                <w:rFonts w:ascii="宋体" w:hAnsi="宋体" w:eastAsia="宋体" w:cs="宋体"/>
                <w:bCs/>
                <w:sz w:val="24"/>
                <w:szCs w:val="24"/>
                <w:lang w:val="zh-CN"/>
              </w:rPr>
              <w:t xml:space="preserve">原厂质保不少于1年，本地售后快速响应，终身校准维修支持。</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2、中标后免费上门安装、操作人员实操+质控培训；</w:t>
            </w:r>
            <w:r>
              <w:rPr>
                <w:rFonts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包二：</w:t>
            </w:r>
            <w:r>
              <w:rPr>
                <w:rFonts w:ascii="宋体" w:hAnsi="宋体" w:eastAsia="宋体" w:cs="宋体"/>
                <w:bCs/>
                <w:sz w:val="24"/>
                <w:szCs w:val="24"/>
                <w:lang w:val="zh-CN"/>
              </w:rPr>
              <w:t xml:space="preserve">远程心电设备</w:t>
            </w:r>
            <w:r>
              <w:rPr>
                <w:rFonts w:hint="eastAsia"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、所有设备原厂质保不少于</w:t>
            </w: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年。</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、终身免费软件升级、算法升级、平台适配升级</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7×24</w:t>
            </w:r>
            <w:r>
              <w:rPr>
                <w:rFonts w:hint="eastAsia" w:ascii="宋体" w:hAnsi="宋体" w:eastAsia="宋体" w:cs="宋体"/>
                <w:bCs/>
                <w:sz w:val="24"/>
                <w:szCs w:val="24"/>
                <w:lang w:val="zh-CN"/>
              </w:rPr>
              <w:t xml:space="preserve">小时技术支持，县域内</w:t>
            </w: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小时响应、</w:t>
            </w:r>
            <w:r>
              <w:rPr>
                <w:rFonts w:ascii="宋体" w:hAnsi="宋体" w:eastAsia="宋体" w:cs="宋体"/>
                <w:bCs/>
                <w:sz w:val="24"/>
                <w:szCs w:val="24"/>
                <w:lang w:val="zh-CN"/>
              </w:rPr>
              <w:t xml:space="preserve">48</w:t>
            </w:r>
            <w:r>
              <w:rPr>
                <w:rFonts w:hint="eastAsia" w:ascii="宋体" w:hAnsi="宋体" w:eastAsia="宋体" w:cs="宋体"/>
                <w:bCs/>
                <w:sz w:val="24"/>
                <w:szCs w:val="24"/>
                <w:lang w:val="zh-CN"/>
              </w:rPr>
              <w:t xml:space="preserve">小时现场服务</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、免费提供基层医务人员操作培训、上机培训、日常维护培训</w:t>
            </w:r>
            <w:r/>
          </w:p>
          <w:p>
            <w:pPr>
              <w:pStyle w:val="786"/>
              <w:spacing w:line="360" w:lineRule="auto"/>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、质保期内非人为损坏免费维修、免费更换配件</w:t>
            </w:r>
            <w:r/>
          </w:p>
          <w:p>
            <w:pPr>
              <w:pStyle w:val="786"/>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7</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交付及验收要求</w:t>
            </w:r>
            <w:r/>
          </w:p>
        </w:tc>
        <w:tc>
          <w:tcPr>
            <w:shd w:val="clear" w:color="auto" w:fill="ffffff" w:themeFill="background1"/>
            <w:tcW w:w="3307" w:type="pct"/>
            <w:vAlign w:val="center"/>
            <w:textDirection w:val="lrTb"/>
            <w:noWrap w:val="false"/>
          </w:tcPr>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包一：</w:t>
            </w:r>
            <w:r>
              <w:rPr>
                <w:rFonts w:ascii="宋体" w:hAnsi="宋体" w:eastAsia="宋体" w:cs="宋体"/>
                <w:bCs/>
                <w:sz w:val="24"/>
                <w:szCs w:val="24"/>
                <w:lang w:val="zh-CN"/>
              </w:rPr>
              <w:t xml:space="preserve">肺功能仪和慢病手环</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标配配件：定标桶、电源线、打印纸、消毒耗材、操作手册。</w:t>
            </w:r>
            <w:r>
              <w:rPr>
                <w:rFonts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包二：</w:t>
            </w:r>
            <w:r>
              <w:rPr>
                <w:rFonts w:ascii="宋体" w:hAnsi="宋体" w:eastAsia="宋体" w:cs="宋体"/>
                <w:bCs/>
                <w:sz w:val="24"/>
                <w:szCs w:val="24"/>
                <w:lang w:val="zh-CN"/>
              </w:rPr>
              <w:t xml:space="preserve">远程心电设备</w:t>
            </w:r>
            <w:r>
              <w:rPr>
                <w:rFonts w:hint="eastAsia"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、交付含：心电主机、专用</w:t>
            </w:r>
            <w:r>
              <w:rPr>
                <w:rFonts w:ascii="宋体" w:hAnsi="宋体" w:eastAsia="宋体" w:cs="宋体"/>
                <w:bCs/>
                <w:sz w:val="24"/>
                <w:szCs w:val="24"/>
                <w:lang w:val="zh-CN"/>
              </w:rPr>
              <w:t xml:space="preserve">12</w:t>
            </w:r>
            <w:r>
              <w:rPr>
                <w:rFonts w:hint="eastAsia" w:ascii="宋体" w:hAnsi="宋体" w:eastAsia="宋体" w:cs="宋体"/>
                <w:bCs/>
                <w:sz w:val="24"/>
                <w:szCs w:val="24"/>
                <w:lang w:val="zh-CN"/>
              </w:rPr>
              <w:t xml:space="preserve">导联线、电源适配器、锂电池、说明书、合格证、配套线材</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、到货后完成设备入网、平台注册、数据联调、账号开通，确保到货即可正常使用</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、验收依据本技术参数、国家行业标准、平台对接通畅性、功能完整性逐项验收。</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8</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其他要求</w:t>
            </w:r>
            <w:r/>
          </w:p>
        </w:tc>
        <w:tc>
          <w:tcPr>
            <w:shd w:val="clear" w:color="auto" w:fill="ffffff" w:themeFill="background1"/>
            <w:tcW w:w="3307" w:type="pct"/>
            <w:vAlign w:val="center"/>
            <w:textDirection w:val="lrTb"/>
            <w:noWrap w:val="false"/>
          </w:tcPr>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w:t>
            </w:r>
            <w:r>
              <w:rPr>
                <w:rFonts w:hint="eastAsia" w:ascii="宋体" w:hAnsi="宋体" w:eastAsia="宋体" w:cs="宋体"/>
                <w:bCs/>
                <w:sz w:val="24"/>
                <w:szCs w:val="24"/>
                <w:lang w:val="zh-CN"/>
              </w:rPr>
              <w:t xml:space="preserve">二</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远程心电设备</w:t>
            </w:r>
            <w:r>
              <w:rPr>
                <w:rFonts w:hint="eastAsia"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1、设备为医用正规临床设备，禁止民用改装、翻新设备</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、所有数据格式、报告样式统一适配县域心电中心标准</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、支持后续卫健系统督查、公卫考核、数据统计需求</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9</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技术支持响应时间</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一般问题2小时内电话支持，难点、重点问题1天内现 场解决，质保期内相关费用由乙方承担，质保期满后乙方收取成本费。</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10</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报价组成</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供应商所投报价包含货物在买方医院内的安装、搬运及设备就位的一切费用。</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11</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技术培训</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在设备使用年限内，供方免费提供医院设备操作人员及维修工程师 原厂举办的操作培训及维修培训，提供一套完整的培训方案，包括培训内容、培训方式等</w:t>
            </w:r>
            <w:r/>
          </w:p>
        </w:tc>
      </w:tr>
    </w:tbl>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w:t>
      </w:r>
      <w:r>
        <w:rPr>
          <w:rFonts w:hint="eastAsia" w:cs="仿宋" w:asciiTheme="minorEastAsia" w:hAnsiTheme="minorEastAsia" w:eastAsiaTheme="minorEastAsia"/>
          <w:color w:val="000000" w:themeColor="text1"/>
          <w:sz w:val="24"/>
          <w:szCs w:val="24"/>
        </w:rPr>
        <w:t xml:space="preserve">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982"/>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1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4" w:name="_Hlk147842034"/>
      <w:r>
        <w:rPr>
          <w:rFonts w:cs="仿宋" w:asciiTheme="minorEastAsia" w:hAnsiTheme="minorEastAsia" w:eastAsiaTheme="minorEastAsia"/>
          <w:b/>
          <w:color w:val="000000" w:themeColor="text1"/>
          <w:sz w:val="24"/>
          <w:szCs w:val="24"/>
        </w:rPr>
        <w:br w:type="page" w:clear="all"/>
      </w:r>
      <w:r/>
    </w:p>
    <w:p>
      <w:pPr>
        <w:pStyle w:val="816"/>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16"/>
        <w:ind w:firstLine="0"/>
        <w:jc w:val="center"/>
        <w:spacing w:line="360" w:lineRule="auto"/>
        <w:rPr>
          <w:rFonts w:hint="eastAsia" w:cs="仿宋" w:asciiTheme="minorEastAsia" w:hAnsiTheme="minorEastAsia" w:eastAsiaTheme="minorEastAsia"/>
          <w:b/>
          <w:color w:val="000000" w:themeColor="text1"/>
          <w:sz w:val="24"/>
          <w:szCs w:val="24"/>
        </w:rPr>
      </w:pPr>
      <w:r>
        <w:rPr>
          <w:rFonts w:asciiTheme="minorEastAsia" w:hAnsiTheme="minorEastAsia" w:eastAsiaTheme="minorEastAsia"/>
          <w:b/>
          <w:sz w:val="24"/>
          <w:szCs w:val="24"/>
        </w:rPr>
        <w:t xml:space="preserve">包一：</w:t>
      </w:r>
      <w:r>
        <w:rPr>
          <w:rFonts w:hint="eastAsia" w:cs="仿宋" w:asciiTheme="minorEastAsia" w:hAnsiTheme="minorEastAsia" w:eastAsiaTheme="minorEastAsia"/>
          <w:b/>
          <w:color w:val="000000" w:themeColor="text1"/>
          <w:sz w:val="24"/>
          <w:szCs w:val="24"/>
        </w:rPr>
        <w:t xml:space="preserve"> </w:t>
      </w:r>
      <w:r>
        <w:rPr>
          <w:rFonts w:cs="仿宋" w:asciiTheme="minorEastAsia" w:hAnsiTheme="minorEastAsia" w:eastAsiaTheme="minorEastAsia"/>
          <w:b/>
          <w:color w:val="000000" w:themeColor="text1"/>
          <w:sz w:val="24"/>
          <w:szCs w:val="24"/>
        </w:rPr>
        <w:t xml:space="preserve">肺功能仪和慢病手环</w:t>
      </w:r>
      <w:r>
        <w:rPr>
          <w:rFonts w:hint="eastAsia" w:cs="仿宋" w:asciiTheme="minorEastAsia" w:hAnsiTheme="minorEastAsia" w:eastAsiaTheme="minorEastAsia"/>
          <w:b/>
          <w:color w:val="000000" w:themeColor="text1"/>
          <w:sz w:val="24"/>
          <w:szCs w:val="24"/>
        </w:rPr>
        <w:t xml:space="preserve"> </w:t>
      </w:r>
      <w:r/>
    </w:p>
    <w:tbl>
      <w:tblPr>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534"/>
        <w:gridCol w:w="6096"/>
      </w:tblGrid>
      <w:tr>
        <w:trPr>
          <w:jc w:val="center"/>
          <w:trHeight w:val="451"/>
        </w:trPr>
        <w:tc>
          <w:tcPr>
            <w:tcW w:w="49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评分项目</w:t>
            </w:r>
            <w:r/>
          </w:p>
        </w:tc>
        <w:tc>
          <w:tcPr>
            <w:tcW w:w="3596"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评分细则</w:t>
            </w:r>
            <w:r/>
          </w:p>
        </w:tc>
      </w:tr>
      <w:tr>
        <w:trPr>
          <w:jc w:val="center"/>
          <w:trHeight w:val="1212"/>
        </w:trPr>
        <w:tc>
          <w:tcPr>
            <w:tcW w:w="49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报价部分</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（30分）</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color w:val="000000" w:themeColor="text1"/>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p>
        </w:tc>
      </w:tr>
      <w:tr>
        <w:trPr>
          <w:jc w:val="center"/>
          <w:trHeight w:val="3100"/>
        </w:trPr>
        <w:tc>
          <w:tcPr>
            <w:tcW w:w="49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技术部分</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技术参数</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根据投标人对技术参数的响应情况进行评分。【该项评分以投标人响应情况并核对条款要求进行评分。】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标注“★”号的参数为必须满足项，不满足则视为无效投标</w:t>
            </w:r>
            <w:r>
              <w:rPr>
                <w:rFonts w:hint="eastAsia" w:ascii="宋体" w:hAnsi="宋体" w:eastAsia="宋体" w:cs="宋体"/>
                <w:sz w:val="24"/>
                <w:szCs w:val="24"/>
              </w:rPr>
              <w:t xml:space="preserve">，标注“</w:t>
            </w:r>
            <w:r>
              <w:rPr>
                <w:rFonts w:cs="宋体" w:asciiTheme="minorEastAsia" w:hAnsiTheme="minorEastAsia" w:eastAsiaTheme="minorEastAsia"/>
                <w:bCs/>
                <w:sz w:val="24"/>
                <w:szCs w:val="24"/>
              </w:rPr>
              <w:t xml:space="preserve">▲</w:t>
            </w:r>
            <w:r>
              <w:rPr>
                <w:rFonts w:hint="eastAsia" w:ascii="宋体" w:hAnsi="宋体" w:eastAsia="宋体" w:cs="宋体"/>
                <w:sz w:val="24"/>
                <w:szCs w:val="24"/>
              </w:rPr>
              <w:t xml:space="preserve">”</w:t>
            </w:r>
            <w:r>
              <w:rPr>
                <w:rFonts w:hint="eastAsia" w:cs="宋体" w:asciiTheme="minorEastAsia" w:hAnsiTheme="minorEastAsia" w:eastAsiaTheme="minorEastAsia"/>
                <w:bCs/>
                <w:sz w:val="24"/>
                <w:szCs w:val="24"/>
              </w:rPr>
              <w:t xml:space="preserve">号的为重要参数</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完全响应招标文件要求的，得35分。</w:t>
            </w:r>
            <w:bookmarkStart w:id="45" w:name="OLE_LINK2"/>
            <w:r>
              <w:rPr>
                <w:rFonts w:hint="eastAsia" w:ascii="宋体" w:hAnsi="宋体" w:eastAsia="宋体" w:cs="宋体"/>
                <w:sz w:val="24"/>
                <w:szCs w:val="24"/>
              </w:rPr>
              <w:t xml:space="preserve">每负偏离一项</w:t>
            </w:r>
            <w:r>
              <w:rPr>
                <w:rFonts w:hint="eastAsia" w:ascii="宋体" w:hAnsi="宋体" w:eastAsia="宋体" w:cs="宋体"/>
                <w:sz w:val="24"/>
                <w:szCs w:val="24"/>
              </w:rPr>
              <w:t xml:space="preserve">标注“</w:t>
            </w:r>
            <w:r>
              <w:rPr>
                <w:rFonts w:cs="宋体" w:asciiTheme="minorEastAsia" w:hAnsiTheme="minorEastAsia" w:eastAsiaTheme="minorEastAsia"/>
                <w:bCs/>
                <w:sz w:val="24"/>
                <w:szCs w:val="24"/>
              </w:rPr>
              <w:t xml:space="preserve">▲</w:t>
            </w:r>
            <w:r>
              <w:rPr>
                <w:rFonts w:hint="eastAsia" w:ascii="宋体" w:hAnsi="宋体" w:eastAsia="宋体" w:cs="宋体"/>
                <w:sz w:val="24"/>
                <w:szCs w:val="24"/>
              </w:rPr>
              <w:t xml:space="preserve">”</w:t>
            </w:r>
            <w:r>
              <w:rPr>
                <w:rFonts w:hint="eastAsia" w:cs="宋体" w:asciiTheme="minorEastAsia" w:hAnsiTheme="minorEastAsia" w:eastAsiaTheme="minorEastAsia"/>
                <w:bCs/>
                <w:sz w:val="24"/>
                <w:szCs w:val="24"/>
              </w:rPr>
              <w:t xml:space="preserve">号的</w:t>
            </w:r>
            <w:r>
              <w:rPr>
                <w:rFonts w:hint="eastAsia" w:ascii="宋体" w:hAnsi="宋体" w:eastAsia="宋体" w:cs="宋体"/>
                <w:sz w:val="24"/>
                <w:szCs w:val="24"/>
              </w:rPr>
              <w:t xml:space="preserve">扣</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bookmarkEnd w:id="45"/>
            <w:r>
              <w:rPr>
                <w:rFonts w:hint="eastAsia" w:ascii="宋体" w:hAnsi="宋体" w:eastAsia="宋体" w:cs="宋体"/>
                <w:sz w:val="24"/>
                <w:szCs w:val="24"/>
              </w:rPr>
              <w:t xml:space="preserve">，</w:t>
            </w:r>
            <w:r>
              <w:rPr>
                <w:rFonts w:hint="eastAsia" w:ascii="宋体" w:hAnsi="宋体" w:eastAsia="宋体" w:cs="宋体"/>
                <w:sz w:val="24"/>
                <w:szCs w:val="24"/>
              </w:rPr>
              <w:t xml:space="preserve">每负偏离一项非标注“</w:t>
            </w:r>
            <w:r>
              <w:rPr>
                <w:rFonts w:cs="宋体" w:asciiTheme="minorEastAsia" w:hAnsiTheme="minorEastAsia" w:eastAsiaTheme="minorEastAsia"/>
                <w:bCs/>
                <w:sz w:val="24"/>
                <w:szCs w:val="24"/>
              </w:rPr>
              <w:t xml:space="preserve">▲</w:t>
            </w:r>
            <w:r>
              <w:rPr>
                <w:rFonts w:hint="eastAsia" w:ascii="宋体" w:hAnsi="宋体" w:eastAsia="宋体" w:cs="宋体"/>
                <w:sz w:val="24"/>
                <w:szCs w:val="24"/>
              </w:rPr>
              <w:t xml:space="preserve">”</w:t>
            </w:r>
            <w:r>
              <w:rPr>
                <w:rFonts w:hint="eastAsia" w:cs="宋体" w:asciiTheme="minorEastAsia" w:hAnsiTheme="minorEastAsia" w:eastAsiaTheme="minorEastAsia"/>
                <w:bCs/>
                <w:sz w:val="24"/>
                <w:szCs w:val="24"/>
              </w:rPr>
              <w:t xml:space="preserve">号的</w:t>
            </w:r>
            <w:r>
              <w:rPr>
                <w:rFonts w:hint="eastAsia" w:ascii="宋体" w:hAnsi="宋体" w:eastAsia="宋体" w:cs="宋体"/>
                <w:sz w:val="24"/>
                <w:szCs w:val="24"/>
              </w:rPr>
              <w:t xml:space="preserve">扣2分，扣完为止</w:t>
            </w: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lang w:bidi="ar"/>
              </w:rPr>
              <w:t xml:space="preserve">投标人须在响应偏离表中逐条列出偏离情况并按招标文件要求逐条提供相应的证明材料，未根据要求提供相关证明材料视为负偏离。</w:t>
            </w:r>
            <w:r/>
          </w:p>
        </w:tc>
      </w:tr>
      <w:tr>
        <w:trPr>
          <w:jc w:val="center"/>
          <w:trHeight w:val="633"/>
        </w:trPr>
        <w:tc>
          <w:tcPr>
            <w:tcW w:w="499" w:type="pct"/>
            <w:vAlign w:val="center"/>
            <w:vMerge w:val="restart"/>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商务部分</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设计方案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根据投标人针对本项目设计方案，包括但不限于：所投设备性能和配置符合情况，实施操作性，与其他同类系统对接的扩展性，方案思路合理性、可操作性、实用性进行评分。</w:t>
            </w:r>
            <w:r/>
          </w:p>
          <w:p>
            <w:pPr>
              <w:spacing w:line="360" w:lineRule="auto"/>
              <w:rPr>
                <w:rFonts w:hint="eastAsia" w:ascii="宋体" w:hAnsi="宋体" w:eastAsia="宋体" w:cs="宋体"/>
                <w:sz w:val="24"/>
                <w:szCs w:val="24"/>
                <w:lang w:val="zh-CN" w:bidi="ar"/>
              </w:rPr>
            </w:pPr>
            <w:r>
              <w:rPr>
                <w:rFonts w:hint="eastAsia" w:ascii="宋体" w:hAnsi="宋体" w:eastAsia="宋体" w:cs="宋体"/>
                <w:bCs/>
                <w:sz w:val="24"/>
                <w:szCs w:val="24"/>
              </w:rPr>
              <w:t xml:space="preserve">方案详细、完善，处理办法合理、可行</w:t>
            </w:r>
            <w:r>
              <w:rPr>
                <w:rFonts w:hint="eastAsia" w:ascii="宋体" w:hAnsi="宋体" w:eastAsia="宋体" w:cs="宋体"/>
                <w:sz w:val="24"/>
                <w:szCs w:val="24"/>
                <w:lang w:val="zh-CN" w:bidi="ar"/>
              </w:rPr>
              <w:t xml:space="preserve">并优于需求的得</w:t>
            </w:r>
            <w:r>
              <w:rPr>
                <w:rFonts w:hint="eastAsia" w:ascii="宋体" w:hAnsi="宋体" w:eastAsia="宋体" w:cs="宋体"/>
                <w:sz w:val="24"/>
                <w:szCs w:val="24"/>
                <w:lang w:val="zh-CN" w:bidi="ar"/>
              </w:rPr>
              <w:t xml:space="preserve">8</w:t>
            </w:r>
            <w:r>
              <w:rPr>
                <w:rFonts w:hint="eastAsia" w:ascii="宋体" w:hAnsi="宋体" w:eastAsia="宋体" w:cs="宋体"/>
                <w:sz w:val="24"/>
                <w:szCs w:val="24"/>
                <w:lang w:val="zh-CN" w:bidi="ar"/>
              </w:rPr>
              <w:t xml:space="preserve">分。</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方案较详细，处理办法较合理、可行的，得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方案一般，合理性和可行一般的，得2分</w:t>
            </w: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未提供不得分。</w:t>
            </w:r>
            <w:r/>
          </w:p>
        </w:tc>
      </w:tr>
      <w:tr>
        <w:trPr>
          <w:jc w:val="center"/>
          <w:trHeight w:val="2217"/>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运行维护保障服务方案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根据</w:t>
            </w:r>
            <w:r>
              <w:rPr>
                <w:rFonts w:hint="eastAsia" w:ascii="宋体" w:hAnsi="宋体" w:eastAsia="宋体" w:cs="宋体"/>
                <w:sz w:val="24"/>
                <w:szCs w:val="24"/>
              </w:rPr>
              <w:t xml:space="preserve">投标人提供的运行维护保障服务方案是否符合项目要求，对日常维护、应急处理等部分制定是否有详细的方案</w:t>
            </w:r>
            <w:r>
              <w:rPr>
                <w:rFonts w:hint="eastAsia" w:ascii="宋体" w:hAnsi="宋体" w:eastAsia="宋体" w:cs="宋体"/>
                <w:bCs/>
                <w:sz w:val="24"/>
                <w:szCs w:val="24"/>
              </w:rPr>
              <w:t xml:space="preserve">进行评分。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方案详细、完善，处理办法合理、可行并优于需求的得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786"/>
              <w:rPr>
                <w:rFonts w:eastAsia="宋体"/>
              </w:rPr>
            </w:pPr>
            <w:r>
              <w:rPr>
                <w:rFonts w:hint="eastAsia" w:ascii="宋体" w:hAnsi="宋体" w:eastAsia="宋体" w:cs="宋体"/>
                <w:sz w:val="24"/>
                <w:szCs w:val="24"/>
              </w:rPr>
              <w:t xml:space="preserve">未提供不得分。</w:t>
            </w:r>
            <w:r/>
          </w:p>
        </w:tc>
      </w:tr>
      <w:tr>
        <w:trPr>
          <w:jc w:val="center"/>
          <w:trHeight w:val="2217"/>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服务保障能力（6分）</w:t>
            </w:r>
            <w:r/>
          </w:p>
        </w:tc>
        <w:tc>
          <w:tcPr>
            <w:tcW w:w="3596" w:type="pct"/>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投标人需提供所投设备制造商的以下资质、认证证书复印件：</w:t>
            </w:r>
            <w:r/>
          </w:p>
          <w:p>
            <w:pPr>
              <w:pStyle w:val="786"/>
              <w:numPr>
                <w:ilvl w:val="0"/>
                <w:numId w:val="8"/>
              </w:numPr>
              <w:rPr>
                <w:rFonts w:hint="eastAsia" w:ascii="宋体" w:hAnsi="宋体" w:eastAsia="宋体"/>
                <w:sz w:val="24"/>
                <w:szCs w:val="24"/>
                <w:lang w:val="zh-CN"/>
              </w:rPr>
            </w:pPr>
            <w:r>
              <w:rPr>
                <w:rFonts w:hint="eastAsia" w:ascii="宋体" w:hAnsi="宋体" w:eastAsia="宋体"/>
                <w:sz w:val="24"/>
                <w:szCs w:val="24"/>
                <w:lang w:val="zh-CN"/>
              </w:rPr>
              <w:t xml:space="preserve">具有环境管理体系认证证书，得2分。</w:t>
            </w:r>
            <w:r/>
          </w:p>
          <w:p>
            <w:pPr>
              <w:pStyle w:val="833"/>
              <w:numPr>
                <w:ilvl w:val="0"/>
                <w:numId w:val="8"/>
              </w:numPr>
              <w:rPr>
                <w:rFonts w:hint="eastAsia" w:ascii="宋体" w:hAnsi="宋体" w:eastAsia="宋体"/>
                <w:sz w:val="24"/>
                <w:szCs w:val="24"/>
                <w:lang w:val="zh-CN"/>
              </w:rPr>
            </w:pPr>
            <w:r>
              <w:rPr>
                <w:rFonts w:hint="eastAsia" w:ascii="宋体" w:hAnsi="宋体" w:eastAsia="宋体"/>
                <w:sz w:val="24"/>
                <w:szCs w:val="24"/>
                <w:lang w:val="zh-CN"/>
              </w:rPr>
              <w:t xml:space="preserve">具有质量管理体系认证证书，得2分。</w:t>
            </w:r>
            <w:r/>
          </w:p>
          <w:p>
            <w:pPr>
              <w:pStyle w:val="833"/>
              <w:numPr>
                <w:ilvl w:val="0"/>
                <w:numId w:val="8"/>
              </w:numPr>
              <w:rPr>
                <w:rFonts w:hint="eastAsia" w:ascii="宋体" w:hAnsi="宋体" w:eastAsia="宋体"/>
                <w:sz w:val="24"/>
                <w:szCs w:val="24"/>
                <w:lang w:val="zh-CN"/>
              </w:rPr>
            </w:pPr>
            <w:r>
              <w:rPr>
                <w:rFonts w:hint="eastAsia" w:ascii="宋体" w:hAnsi="宋体" w:eastAsia="宋体"/>
                <w:sz w:val="24"/>
                <w:szCs w:val="24"/>
                <w:lang w:val="zh-CN"/>
              </w:rPr>
              <w:t xml:space="preserve">具有计算机软件著作</w:t>
            </w:r>
            <w:r>
              <w:rPr>
                <w:rFonts w:hint="eastAsia" w:ascii="宋体" w:hAnsi="宋体" w:eastAsia="宋体"/>
                <w:sz w:val="24"/>
                <w:szCs w:val="24"/>
                <w:lang w:val="zh-CN"/>
              </w:rPr>
              <w:t xml:space="preserve">权登记证书，得2分。</w:t>
            </w:r>
            <w:r/>
          </w:p>
          <w:p>
            <w:pPr>
              <w:rPr>
                <w:lang w:val="zh-CN"/>
              </w:rPr>
            </w:pPr>
            <w:r>
              <w:rPr>
                <w:rFonts w:hint="eastAsia" w:ascii="宋体" w:hAnsi="宋体" w:eastAsia="宋体"/>
                <w:sz w:val="24"/>
                <w:szCs w:val="24"/>
                <w:lang w:val="zh-CN"/>
              </w:rPr>
              <w:t xml:space="preserve">需提供有效的证书复印件并加盖公章，未提供把得分。</w:t>
            </w:r>
            <w:r/>
          </w:p>
        </w:tc>
      </w:tr>
      <w:tr>
        <w:trPr>
          <w:jc w:val="center"/>
          <w:trHeight w:val="2217"/>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培训方案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w:t>
            </w:r>
            <w:r/>
          </w:p>
        </w:tc>
        <w:tc>
          <w:tcPr>
            <w:tcW w:w="3596"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为了保证项目顺利完成，投标人须</w:t>
            </w:r>
            <w:r>
              <w:rPr>
                <w:rFonts w:hint="eastAsia" w:ascii="宋体" w:hAnsi="宋体" w:eastAsia="宋体" w:cs="宋体"/>
                <w:sz w:val="24"/>
                <w:szCs w:val="24"/>
              </w:rPr>
              <w:t xml:space="preserve">提供</w:t>
            </w:r>
            <w:r>
              <w:rPr>
                <w:rFonts w:hint="eastAsia" w:ascii="宋体" w:hAnsi="宋体" w:eastAsia="宋体" w:cs="宋体"/>
                <w:sz w:val="24"/>
                <w:szCs w:val="24"/>
                <w:lang w:val="zh-CN"/>
              </w:rPr>
              <w:t xml:space="preserve">一套完整的培训</w:t>
            </w:r>
            <w:r>
              <w:rPr>
                <w:rFonts w:hint="eastAsia" w:ascii="宋体" w:hAnsi="宋体" w:eastAsia="宋体" w:cs="宋体"/>
                <w:sz w:val="24"/>
                <w:szCs w:val="24"/>
              </w:rPr>
              <w:t xml:space="preserve">服务方案</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包括但不限于</w:t>
            </w:r>
            <w:r>
              <w:rPr>
                <w:rFonts w:ascii="宋体" w:hAnsi="宋体" w:eastAsia="宋体" w:cs="宋体"/>
                <w:sz w:val="24"/>
                <w:szCs w:val="24"/>
                <w:lang w:bidi="ar"/>
              </w:rPr>
              <w:t xml:space="preserve">培训计划、培训方式</w:t>
            </w:r>
            <w:r>
              <w:rPr>
                <w:rFonts w:hint="eastAsia" w:ascii="宋体" w:hAnsi="宋体" w:eastAsia="宋体" w:cs="宋体"/>
                <w:sz w:val="24"/>
                <w:szCs w:val="24"/>
                <w:lang w:bidi="ar"/>
              </w:rPr>
              <w:t xml:space="preserve">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786"/>
              <w:rPr>
                <w:rFonts w:eastAsia="宋体"/>
              </w:rPr>
            </w:pPr>
            <w:r>
              <w:rPr>
                <w:rFonts w:hint="eastAsia" w:ascii="宋体" w:hAnsi="宋体" w:eastAsia="宋体" w:cs="宋体"/>
                <w:sz w:val="24"/>
                <w:szCs w:val="24"/>
              </w:rPr>
              <w:t xml:space="preserve">未提供不得分</w:t>
            </w:r>
            <w:r/>
          </w:p>
        </w:tc>
      </w:tr>
      <w:tr>
        <w:trPr>
          <w:jc w:val="center"/>
          <w:trHeight w:val="2226"/>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color w:val="000000"/>
                <w:spacing w:val="-2"/>
                <w:sz w:val="24"/>
                <w:szCs w:val="24"/>
              </w:rPr>
              <w:t xml:space="preserve">售后服务</w:t>
            </w:r>
            <w:r>
              <w:rPr>
                <w:rFonts w:hint="eastAsia" w:ascii="宋体" w:hAnsi="宋体" w:eastAsia="宋体" w:cs="宋体"/>
                <w:bCs/>
                <w:sz w:val="24"/>
                <w:szCs w:val="24"/>
              </w:rPr>
              <w:t xml:space="preserve">（5分）</w:t>
            </w:r>
            <w:r/>
          </w:p>
        </w:tc>
        <w:tc>
          <w:tcPr>
            <w:tcW w:w="3596" w:type="pct"/>
            <w:vAlign w:val="center"/>
            <w:textDirection w:val="lrTb"/>
            <w:noWrap w:val="false"/>
          </w:tcPr>
          <w:p>
            <w:pPr>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根据</w:t>
            </w:r>
            <w:r>
              <w:rPr>
                <w:rFonts w:hint="eastAsia" w:ascii="宋体" w:hAnsi="宋体" w:eastAsia="宋体" w:cs="宋体"/>
                <w:sz w:val="24"/>
                <w:szCs w:val="24"/>
                <w:lang w:val="zh-CN"/>
              </w:rPr>
              <w:t xml:space="preserve">投标人</w:t>
            </w:r>
            <w:r>
              <w:rPr>
                <w:rFonts w:hint="eastAsia" w:ascii="宋体" w:hAnsi="宋体" w:eastAsia="宋体" w:cs="宋体"/>
                <w:color w:val="000000"/>
                <w:spacing w:val="-2"/>
                <w:sz w:val="24"/>
                <w:szCs w:val="24"/>
              </w:rPr>
              <w:t xml:space="preserve">提供的售后服务方案（包括但不限于质量保证期限及范围、售后维护、服务响应时间等内容）的优劣打分：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的，得5分。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方案较详细，处理办法尚可，得3分。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w:t>
            </w:r>
            <w:r/>
          </w:p>
          <w:p>
            <w:pPr>
              <w:pStyle w:val="786"/>
              <w:rPr>
                <w:rFonts w:eastAsia="宋体"/>
              </w:rPr>
            </w:pPr>
            <w:r>
              <w:rPr>
                <w:rFonts w:hint="eastAsia" w:ascii="宋体" w:hAnsi="宋体" w:eastAsia="宋体" w:cs="宋体"/>
                <w:sz w:val="24"/>
                <w:szCs w:val="24"/>
              </w:rPr>
              <w:t xml:space="preserve">未提供不得分。</w:t>
            </w:r>
            <w:r/>
          </w:p>
        </w:tc>
      </w:tr>
    </w:tbl>
    <w:p>
      <w:pPr>
        <w:pStyle w:val="816"/>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br w:type="page" w:clear="all"/>
      </w:r>
      <w:r/>
    </w:p>
    <w:p>
      <w:pPr>
        <w:pStyle w:val="816"/>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包二：</w:t>
      </w:r>
      <w:r>
        <w:rPr>
          <w:rFonts w:hint="eastAsia" w:cs="仿宋" w:asciiTheme="minorEastAsia" w:hAnsiTheme="minorEastAsia" w:eastAsiaTheme="minorEastAsia"/>
          <w:b/>
          <w:color w:val="000000" w:themeColor="text1"/>
          <w:sz w:val="24"/>
          <w:szCs w:val="24"/>
        </w:rPr>
        <w:t xml:space="preserve"> </w:t>
      </w:r>
      <w:r>
        <w:rPr>
          <w:rFonts w:asciiTheme="minorEastAsia" w:hAnsiTheme="minorEastAsia" w:eastAsiaTheme="minorEastAsia"/>
          <w:b/>
          <w:sz w:val="24"/>
          <w:szCs w:val="24"/>
        </w:rPr>
        <w:t xml:space="preserve">远程心电设备</w:t>
      </w:r>
      <w:r/>
    </w:p>
    <w:tbl>
      <w:tblPr>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677"/>
        <w:gridCol w:w="6096"/>
      </w:tblGrid>
      <w:tr>
        <w:trPr>
          <w:jc w:val="center"/>
          <w:trHeight w:val="451"/>
        </w:trPr>
        <w:tc>
          <w:tcPr>
            <w:tcW w:w="41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评分项目</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评分细则</w:t>
            </w:r>
            <w:r/>
          </w:p>
        </w:tc>
      </w:tr>
      <w:tr>
        <w:trPr>
          <w:jc w:val="center"/>
          <w:trHeight w:val="1212"/>
        </w:trPr>
        <w:tc>
          <w:tcPr>
            <w:tcW w:w="41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报价部分</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（30分）</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color w:val="000000" w:themeColor="text1"/>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p>
        </w:tc>
      </w:tr>
      <w:tr>
        <w:trPr>
          <w:jc w:val="center"/>
          <w:trHeight w:val="3100"/>
        </w:trPr>
        <w:tc>
          <w:tcPr>
            <w:tcW w:w="41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技术部分</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技术参数</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（35分）</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根据投标人对技术参数的响应情况进行评分。【该项评分以投标人响应情况并核对条款要求进行评分。】</w:t>
            </w:r>
            <w:r/>
          </w:p>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标注“★”号的参数为必须满足项，不满足则视为无效投标。</w:t>
            </w:r>
            <w:r>
              <w:rPr>
                <w:rFonts w:hint="eastAsia" w:ascii="宋体" w:hAnsi="宋体" w:eastAsia="宋体" w:cs="宋体"/>
                <w:bCs/>
                <w:sz w:val="24"/>
                <w:szCs w:val="24"/>
              </w:rPr>
              <w:t xml:space="preserve">标</w:t>
            </w:r>
            <w:r>
              <w:rPr>
                <w:rFonts w:ascii="宋体" w:hAnsi="宋体" w:eastAsia="宋体" w:cs="宋体"/>
                <w:bCs/>
                <w:sz w:val="24"/>
                <w:szCs w:val="24"/>
              </w:rPr>
              <w:t xml:space="preserve">注</w:t>
            </w:r>
            <w:r>
              <w:rPr>
                <w:rFonts w:hint="eastAsia" w:ascii="宋体" w:hAnsi="宋体" w:eastAsia="宋体" w:cs="宋体"/>
                <w:bCs/>
                <w:sz w:val="24"/>
                <w:szCs w:val="24"/>
              </w:rPr>
              <w:t xml:space="preserve">“▲”符号的为重要参数。</w:t>
            </w:r>
            <w:r/>
          </w:p>
          <w:p>
            <w:pPr>
              <w:spacing w:line="360" w:lineRule="auto"/>
              <w:rPr>
                <w:rFonts w:hint="eastAsia" w:ascii="宋体" w:hAnsi="宋体" w:eastAsia="宋体" w:cs="宋体"/>
                <w:b/>
                <w:sz w:val="24"/>
                <w:szCs w:val="24"/>
              </w:rPr>
            </w:pPr>
            <w:r>
              <w:rPr>
                <w:rFonts w:ascii="宋体" w:hAnsi="宋体" w:eastAsia="宋体" w:cs="宋体"/>
                <w:b/>
                <w:sz w:val="24"/>
                <w:szCs w:val="24"/>
              </w:rPr>
              <w:t xml:space="preserve">投标人须在响应偏离表中逐条列出偏离情况并按招标文件要求逐条提供相应的证明材料，未根据要求提供相关证明材料视为负偏离</w:t>
            </w:r>
            <w:r>
              <w:rPr>
                <w:rFonts w:hint="eastAsia" w:ascii="宋体" w:hAnsi="宋体" w:eastAsia="宋体" w:cs="宋体"/>
                <w:b/>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非标</w:t>
            </w:r>
            <w:r>
              <w:rPr>
                <w:rFonts w:ascii="宋体" w:hAnsi="宋体" w:eastAsia="宋体" w:cs="宋体"/>
                <w:bCs/>
                <w:sz w:val="24"/>
                <w:szCs w:val="24"/>
              </w:rPr>
              <w:t xml:space="preserve">注“★</w:t>
            </w:r>
            <w:r>
              <w:rPr>
                <w:rFonts w:hint="eastAsia" w:ascii="宋体" w:hAnsi="宋体" w:eastAsia="宋体" w:cs="宋体"/>
                <w:bCs/>
                <w:sz w:val="24"/>
                <w:szCs w:val="24"/>
              </w:rPr>
              <w:t xml:space="preserve">、▲”符号的为一般参数。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完全响应招标文件要求的，得35分。每负偏离一项标示“▲”符号的，扣3分，每负偏离一项非标示“▲”符号的，扣0.5分，扣完为止。</w:t>
            </w:r>
            <w:r/>
          </w:p>
        </w:tc>
      </w:tr>
      <w:tr>
        <w:trPr>
          <w:jc w:val="center"/>
          <w:trHeight w:val="633"/>
        </w:trPr>
        <w:tc>
          <w:tcPr>
            <w:tcW w:w="415" w:type="pct"/>
            <w:vAlign w:val="center"/>
            <w:vMerge w:val="restart"/>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商务部分</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设计方案</w:t>
            </w:r>
            <w:bookmarkStart w:id="46" w:name="OLE_LINK8"/>
            <w:r>
              <w:rPr>
                <w:rFonts w:hint="eastAsia" w:ascii="宋体" w:hAnsi="宋体" w:eastAsia="宋体" w:cs="宋体"/>
                <w:bCs/>
                <w:sz w:val="24"/>
                <w:szCs w:val="24"/>
              </w:rPr>
              <w:t xml:space="preserve">（10分）</w:t>
            </w:r>
            <w:bookmarkEnd w:id="46"/>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根据投标人针对本项目设计方案，包括但不限于：所投设备性能和配置符合情况，实施操作性，与其他同类系统对接的扩展性，方案思路合理性、可操作性、实用性进行评分。</w:t>
            </w:r>
            <w:r/>
          </w:p>
          <w:p>
            <w:pPr>
              <w:spacing w:line="360" w:lineRule="auto"/>
              <w:rPr>
                <w:rFonts w:hint="eastAsia" w:ascii="宋体" w:hAnsi="宋体" w:eastAsia="宋体" w:cs="宋体"/>
                <w:sz w:val="24"/>
                <w:szCs w:val="24"/>
                <w:lang w:val="zh-CN" w:bidi="ar"/>
              </w:rPr>
            </w:pPr>
            <w:r>
              <w:rPr>
                <w:rFonts w:hint="eastAsia" w:ascii="宋体" w:hAnsi="宋体" w:eastAsia="宋体" w:cs="宋体"/>
                <w:bCs/>
                <w:sz w:val="24"/>
                <w:szCs w:val="24"/>
              </w:rPr>
              <w:t xml:space="preserve">方案详细、完善，处理办法合理、可行</w:t>
            </w:r>
            <w:r>
              <w:rPr>
                <w:rFonts w:hint="eastAsia" w:ascii="宋体" w:hAnsi="宋体" w:eastAsia="宋体" w:cs="宋体"/>
                <w:sz w:val="24"/>
                <w:szCs w:val="24"/>
                <w:lang w:val="zh-CN" w:bidi="ar"/>
              </w:rPr>
              <w:t xml:space="preserve">并优于需求的得</w:t>
            </w:r>
            <w:r>
              <w:rPr>
                <w:rFonts w:hint="eastAsia" w:ascii="宋体" w:hAnsi="宋体" w:eastAsia="宋体" w:cs="宋体"/>
                <w:sz w:val="24"/>
                <w:szCs w:val="24"/>
                <w:lang w:bidi="ar"/>
              </w:rPr>
              <w:t xml:space="preserve">10</w:t>
            </w:r>
            <w:r>
              <w:rPr>
                <w:rFonts w:hint="eastAsia" w:ascii="宋体" w:hAnsi="宋体" w:eastAsia="宋体" w:cs="宋体"/>
                <w:sz w:val="24"/>
                <w:szCs w:val="24"/>
                <w:lang w:val="zh-CN" w:bidi="ar"/>
              </w:rPr>
              <w:t xml:space="preserve">分。</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方案较详细，处理办法较合理、可行的，得6分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方案一般，合理性和可行一般的，得2分</w:t>
            </w: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未提供不得分。</w:t>
            </w:r>
            <w:r/>
          </w:p>
        </w:tc>
      </w:tr>
      <w:tr>
        <w:trPr>
          <w:jc w:val="center"/>
          <w:trHeight w:val="2217"/>
        </w:trPr>
        <w:tc>
          <w:tcPr>
            <w:tcW w:w="415"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运行维护保障服务方案</w:t>
            </w:r>
            <w:r>
              <w:rPr>
                <w:rFonts w:hint="eastAsia" w:ascii="宋体" w:hAnsi="宋体" w:eastAsia="宋体" w:cs="宋体"/>
                <w:bCs/>
                <w:sz w:val="24"/>
                <w:szCs w:val="24"/>
              </w:rPr>
              <w:t xml:space="preserve">（10分）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根据</w:t>
            </w:r>
            <w:r>
              <w:rPr>
                <w:rFonts w:hint="eastAsia" w:ascii="宋体" w:hAnsi="宋体" w:eastAsia="宋体" w:cs="宋体"/>
                <w:sz w:val="24"/>
                <w:szCs w:val="24"/>
              </w:rPr>
              <w:t xml:space="preserve">投标人提供的运行维护保障服务方案是否符合项目要求，对日常维护、应急处理等部分制定是否有详细的方案</w:t>
            </w:r>
            <w:r>
              <w:rPr>
                <w:rFonts w:hint="eastAsia" w:ascii="宋体" w:hAnsi="宋体" w:eastAsia="宋体" w:cs="宋体"/>
                <w:bCs/>
                <w:sz w:val="24"/>
                <w:szCs w:val="24"/>
              </w:rPr>
              <w:t xml:space="preserve">进行评分。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方案详细、完善，处理办法合理、可行并优于需求的得10分。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方案较详细，处理办法尚可，得6分。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786"/>
              <w:rPr>
                <w:rFonts w:eastAsia="宋体"/>
              </w:rPr>
            </w:pPr>
            <w:r>
              <w:rPr>
                <w:rFonts w:hint="eastAsia" w:ascii="宋体" w:hAnsi="宋体" w:eastAsia="宋体" w:cs="宋体"/>
                <w:sz w:val="24"/>
                <w:szCs w:val="24"/>
              </w:rPr>
              <w:t xml:space="preserve">未提供不得分。</w:t>
            </w:r>
            <w:r/>
          </w:p>
        </w:tc>
      </w:tr>
      <w:tr>
        <w:trPr>
          <w:jc w:val="center"/>
          <w:trHeight w:val="2217"/>
        </w:trPr>
        <w:tc>
          <w:tcPr>
            <w:tcW w:w="415"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培训方案</w:t>
            </w:r>
            <w:r>
              <w:rPr>
                <w:rFonts w:hint="eastAsia" w:ascii="宋体" w:hAnsi="宋体" w:eastAsia="宋体" w:cs="宋体"/>
                <w:bCs/>
                <w:sz w:val="24"/>
                <w:szCs w:val="24"/>
              </w:rPr>
              <w:t xml:space="preserve">（10分）</w:t>
            </w:r>
            <w:r/>
          </w:p>
        </w:tc>
        <w:tc>
          <w:tcPr>
            <w:tcW w:w="3596"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为了保证项目顺利完成，投标人须</w:t>
            </w:r>
            <w:r>
              <w:rPr>
                <w:rFonts w:hint="eastAsia" w:ascii="宋体" w:hAnsi="宋体" w:eastAsia="宋体" w:cs="宋体"/>
                <w:sz w:val="24"/>
                <w:szCs w:val="24"/>
              </w:rPr>
              <w:t xml:space="preserve">提供</w:t>
            </w:r>
            <w:r>
              <w:rPr>
                <w:rFonts w:hint="eastAsia" w:ascii="宋体" w:hAnsi="宋体" w:eastAsia="宋体" w:cs="宋体"/>
                <w:sz w:val="24"/>
                <w:szCs w:val="24"/>
                <w:lang w:val="zh-CN"/>
              </w:rPr>
              <w:t xml:space="preserve">一套完整的培训</w:t>
            </w:r>
            <w:r>
              <w:rPr>
                <w:rFonts w:hint="eastAsia" w:ascii="宋体" w:hAnsi="宋体" w:eastAsia="宋体" w:cs="宋体"/>
                <w:sz w:val="24"/>
                <w:szCs w:val="24"/>
              </w:rPr>
              <w:t xml:space="preserve">服务方案</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包括但不限于</w:t>
            </w:r>
            <w:r>
              <w:rPr>
                <w:rFonts w:ascii="宋体" w:hAnsi="宋体" w:eastAsia="宋体" w:cs="宋体"/>
                <w:sz w:val="24"/>
                <w:szCs w:val="24"/>
                <w:lang w:bidi="ar"/>
              </w:rPr>
              <w:t xml:space="preserve">培训计划、培训方式</w:t>
            </w:r>
            <w:r>
              <w:rPr>
                <w:rFonts w:hint="eastAsia" w:ascii="宋体" w:hAnsi="宋体" w:eastAsia="宋体" w:cs="宋体"/>
                <w:sz w:val="24"/>
                <w:szCs w:val="24"/>
                <w:lang w:bidi="ar"/>
              </w:rPr>
              <w:t xml:space="preserve">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的，得10分。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方案较详细，处理办法尚可，得6分。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786"/>
              <w:rPr>
                <w:rFonts w:eastAsia="宋体"/>
              </w:rPr>
            </w:pPr>
            <w:r>
              <w:rPr>
                <w:rFonts w:hint="eastAsia" w:ascii="宋体" w:hAnsi="宋体" w:eastAsia="宋体" w:cs="宋体"/>
                <w:sz w:val="24"/>
                <w:szCs w:val="24"/>
              </w:rPr>
              <w:t xml:space="preserve">未提供不得分</w:t>
            </w:r>
            <w:r/>
          </w:p>
        </w:tc>
      </w:tr>
      <w:tr>
        <w:trPr>
          <w:jc w:val="center"/>
          <w:trHeight w:val="2226"/>
        </w:trPr>
        <w:tc>
          <w:tcPr>
            <w:tcW w:w="415"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color w:val="000000"/>
                <w:spacing w:val="-2"/>
                <w:sz w:val="24"/>
                <w:szCs w:val="24"/>
              </w:rPr>
              <w:t xml:space="preserve">售后服务</w:t>
            </w:r>
            <w:r>
              <w:rPr>
                <w:rFonts w:hint="eastAsia" w:ascii="宋体" w:hAnsi="宋体" w:eastAsia="宋体" w:cs="宋体"/>
                <w:bCs/>
                <w:sz w:val="24"/>
                <w:szCs w:val="24"/>
              </w:rPr>
              <w:t xml:space="preserve">（5分）</w:t>
            </w:r>
            <w:r/>
          </w:p>
        </w:tc>
        <w:tc>
          <w:tcPr>
            <w:tcW w:w="3596" w:type="pct"/>
            <w:vAlign w:val="center"/>
            <w:textDirection w:val="lrTb"/>
            <w:noWrap w:val="false"/>
          </w:tcPr>
          <w:p>
            <w:pPr>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根据</w:t>
            </w:r>
            <w:r>
              <w:rPr>
                <w:rFonts w:hint="eastAsia" w:ascii="宋体" w:hAnsi="宋体" w:eastAsia="宋体" w:cs="宋体"/>
                <w:sz w:val="24"/>
                <w:szCs w:val="24"/>
                <w:lang w:val="zh-CN"/>
              </w:rPr>
              <w:t xml:space="preserve">投标人</w:t>
            </w:r>
            <w:r>
              <w:rPr>
                <w:rFonts w:hint="eastAsia" w:ascii="宋体" w:hAnsi="宋体" w:eastAsia="宋体" w:cs="宋体"/>
                <w:color w:val="000000"/>
                <w:spacing w:val="-2"/>
                <w:sz w:val="24"/>
                <w:szCs w:val="24"/>
              </w:rPr>
              <w:t xml:space="preserve">提供的售后服务方案（包括但不限于质量保证期限及范围、售后维护、服务响应时间等内容）的优劣打分：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的，得5分。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方案较详细，处理办法尚可，得3分。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786"/>
              <w:rPr>
                <w:rFonts w:eastAsia="宋体"/>
              </w:rPr>
            </w:pPr>
            <w:r>
              <w:rPr>
                <w:rFonts w:hint="eastAsia" w:ascii="宋体" w:hAnsi="宋体" w:eastAsia="宋体" w:cs="宋体"/>
                <w:sz w:val="24"/>
                <w:szCs w:val="24"/>
              </w:rPr>
              <w:t xml:space="preserve">未提供不得分。</w:t>
            </w:r>
            <w:r/>
          </w:p>
        </w:tc>
      </w:tr>
    </w:tbl>
    <w:p>
      <w:pPr>
        <w:pStyle w:val="816"/>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4"/>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w:t>
      </w:r>
      <w:r>
        <w:rPr>
          <w:rFonts w:ascii="宋体" w:hAnsi="宋体" w:eastAsia="宋体"/>
          <w:position w:val="-10"/>
          <w:sz w:val="24"/>
          <w:szCs w:val="24"/>
        </w:rPr>
        <w:t xml:space="preserve">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16"/>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16"/>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7" w:name="_Hlt26955039"/>
      <w:r/>
      <w:bookmarkStart w:id="48" w:name="_Hlt26671244"/>
      <w:r/>
      <w:bookmarkStart w:id="49" w:name="_Toc26554094"/>
      <w:r/>
      <w:bookmarkStart w:id="50" w:name="_Toc120614282"/>
      <w:r/>
      <w:bookmarkStart w:id="51" w:name="_Toc49090576"/>
      <w:r/>
      <w:bookmarkEnd w:id="47"/>
      <w:r/>
      <w:bookmarkEnd w:id="48"/>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86"/>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2"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2"/>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3" w:name="_Toc120614284"/>
      <w:r/>
      <w:bookmarkEnd w:id="49"/>
      <w:r/>
      <w:bookmarkEnd w:id="50"/>
      <w:r/>
      <w:bookmarkEnd w:id="51"/>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786"/>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4" w:name="_Hlt26671380"/>
      <w:r/>
      <w:bookmarkStart w:id="55" w:name="_格式3__银行出具的资信证明"/>
      <w:r/>
      <w:bookmarkStart w:id="56" w:name="_Hlt26955070"/>
      <w:r/>
      <w:bookmarkEnd w:id="54"/>
      <w:r/>
      <w:bookmarkEnd w:id="55"/>
      <w:r/>
      <w:bookmarkEnd w:id="56"/>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786"/>
        <w:spacing w:line="360" w:lineRule="auto"/>
      </w:pPr>
      <w:r/>
      <w:r/>
    </w:p>
    <w:p>
      <w:pPr>
        <w:pStyle w:val="786"/>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78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86"/>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08"/>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07"/>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07"/>
        <w:jc w:val="left"/>
        <w:spacing w:line="360" w:lineRule="auto"/>
        <w:rPr>
          <w:rFonts w:hint="eastAsia" w:ascii="宋体" w:hAnsi="宋体"/>
          <w:b/>
          <w:sz w:val="32"/>
          <w:szCs w:val="32"/>
        </w:rPr>
      </w:pPr>
      <w:r>
        <w:rPr>
          <w:rFonts w:hint="eastAsia" w:ascii="宋体" w:hAnsi="宋体"/>
          <w:b/>
          <w:sz w:val="32"/>
          <w:szCs w:val="32"/>
        </w:rPr>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07"/>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07"/>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07"/>
        <w:ind w:firstLine="480"/>
        <w:jc w:val="left"/>
        <w:spacing w:line="360" w:lineRule="auto"/>
        <w:rPr>
          <w:rFonts w:hint="eastAsia" w:ascii="宋体" w:hAnsi="宋体"/>
          <w:sz w:val="24"/>
          <w:szCs w:val="24"/>
        </w:rPr>
      </w:pPr>
      <w:r>
        <w:rPr>
          <w:rFonts w:ascii="宋体" w:hAnsi="宋体"/>
          <w:sz w:val="24"/>
          <w:szCs w:val="24"/>
        </w:rPr>
        <w:t xml:space="preserve">……</w:t>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7"/>
        <w:ind w:firstLine="480"/>
        <w:jc w:val="center"/>
        <w:spacing w:line="360" w:lineRule="auto"/>
        <w:rPr>
          <w:rFonts w:hint="eastAsia" w:ascii="宋体" w:hAnsi="宋体"/>
          <w:sz w:val="24"/>
          <w:szCs w:val="24"/>
        </w:rPr>
      </w:pPr>
      <w:r>
        <w:rPr>
          <w:rFonts w:hint="eastAsia" w:ascii="宋体" w:hAnsi="宋体"/>
          <w:sz w:val="24"/>
          <w:szCs w:val="24"/>
        </w:rPr>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07"/>
        <w:ind w:firstLine="560"/>
        <w:spacing w:line="360" w:lineRule="auto"/>
        <w:rPr>
          <w:rFonts w:hint="eastAsia" w:ascii="宋体" w:hAnsi="宋体"/>
          <w:sz w:val="28"/>
          <w:szCs w:val="28"/>
        </w:rPr>
      </w:pPr>
      <w:r>
        <w:rPr>
          <w:rFonts w:hint="eastAsia" w:ascii="宋体" w:hAnsi="宋体"/>
          <w:sz w:val="28"/>
          <w:szCs w:val="28"/>
        </w:rPr>
      </w:r>
      <w:r/>
    </w:p>
    <w:p>
      <w:pPr>
        <w:pStyle w:val="1007"/>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07"/>
        <w:jc w:val="center"/>
        <w:spacing w:line="360" w:lineRule="auto"/>
        <w:rPr>
          <w:rFonts w:hint="eastAsia" w:ascii="宋体" w:hAnsi="宋体"/>
          <w:b/>
          <w:sz w:val="36"/>
          <w:szCs w:val="36"/>
        </w:rPr>
      </w:pPr>
      <w:r>
        <w:rPr>
          <w:rFonts w:hint="eastAsia" w:ascii="宋体" w:hAnsi="宋体"/>
          <w:b/>
          <w:sz w:val="36"/>
          <w:szCs w:val="36"/>
        </w:rPr>
      </w:r>
      <w:r/>
    </w:p>
    <w:p>
      <w:pPr>
        <w:pStyle w:val="1007"/>
        <w:spacing w:line="360" w:lineRule="auto"/>
        <w:rPr>
          <w:rFonts w:hint="eastAsia" w:ascii="宋体" w:hAnsi="宋体"/>
          <w:b/>
          <w:sz w:val="36"/>
          <w:szCs w:val="36"/>
        </w:rPr>
      </w:pPr>
      <w:r>
        <w:rPr>
          <w:rFonts w:hint="eastAsia" w:ascii="宋体" w:hAnsi="宋体"/>
          <w:b/>
          <w:sz w:val="36"/>
          <w:szCs w:val="36"/>
        </w:rPr>
      </w:r>
      <w:r/>
    </w:p>
    <w:p>
      <w:pPr>
        <w:pStyle w:val="1007"/>
        <w:jc w:val="center"/>
        <w:spacing w:line="360" w:lineRule="auto"/>
        <w:rPr>
          <w:rFonts w:hint="eastAsia" w:ascii="宋体" w:hAnsi="宋体"/>
          <w:b/>
          <w:sz w:val="36"/>
          <w:szCs w:val="36"/>
        </w:rPr>
      </w:pPr>
      <w:r>
        <w:rPr>
          <w:rFonts w:hint="eastAsia" w:ascii="宋体" w:hAnsi="宋体"/>
          <w:b/>
          <w:sz w:val="36"/>
          <w:szCs w:val="36"/>
        </w:rPr>
      </w:r>
      <w:r/>
    </w:p>
    <w:p>
      <w:pPr>
        <w:pStyle w:val="1007"/>
        <w:spacing w:line="360" w:lineRule="auto"/>
        <w:rPr>
          <w:rFonts w:hint="eastAsia" w:ascii="宋体" w:hAnsi="宋体"/>
          <w:b/>
          <w:sz w:val="36"/>
          <w:szCs w:val="36"/>
        </w:rPr>
      </w:pPr>
      <w:r>
        <w:rPr>
          <w:rFonts w:hint="eastAsia" w:ascii="宋体" w:hAnsi="宋体"/>
          <w:b/>
          <w:sz w:val="36"/>
          <w:szCs w:val="36"/>
        </w:rPr>
      </w:r>
      <w:r/>
    </w:p>
    <w:p>
      <w:pPr>
        <w:pStyle w:val="1007"/>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07"/>
        <w:jc w:val="left"/>
        <w:spacing w:line="360" w:lineRule="auto"/>
        <w:rPr>
          <w:rFonts w:hint="eastAsia" w:ascii="宋体" w:hAnsi="宋体"/>
          <w:b/>
          <w:sz w:val="32"/>
          <w:szCs w:val="32"/>
        </w:rPr>
      </w:pPr>
      <w:r>
        <w:rPr>
          <w:rFonts w:hint="eastAsia" w:ascii="宋体" w:hAnsi="宋体"/>
          <w:b/>
          <w:sz w:val="32"/>
          <w:szCs w:val="32"/>
        </w:rPr>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07"/>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07"/>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07"/>
        <w:ind w:firstLine="480"/>
        <w:jc w:val="left"/>
        <w:spacing w:line="360" w:lineRule="auto"/>
        <w:rPr>
          <w:rFonts w:hint="eastAsia" w:ascii="宋体" w:hAnsi="宋体"/>
          <w:sz w:val="24"/>
          <w:szCs w:val="24"/>
        </w:rPr>
      </w:pPr>
      <w:r>
        <w:rPr>
          <w:rFonts w:ascii="宋体" w:hAnsi="宋体"/>
          <w:sz w:val="24"/>
          <w:szCs w:val="24"/>
        </w:rPr>
        <w:t xml:space="preserve">……</w:t>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7"/>
        <w:ind w:firstLine="480"/>
        <w:jc w:val="center"/>
        <w:spacing w:line="360" w:lineRule="auto"/>
        <w:rPr>
          <w:rFonts w:hint="eastAsia" w:ascii="宋体" w:hAnsi="宋体"/>
          <w:sz w:val="24"/>
          <w:szCs w:val="24"/>
        </w:rPr>
      </w:pPr>
      <w:r>
        <w:rPr>
          <w:rFonts w:hint="eastAsia" w:ascii="宋体" w:hAnsi="宋体"/>
          <w:sz w:val="24"/>
          <w:szCs w:val="24"/>
        </w:rPr>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07"/>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07"/>
        <w:ind w:firstLine="480"/>
        <w:spacing w:line="360" w:lineRule="auto"/>
        <w:rPr>
          <w:rFonts w:hint="eastAsia" w:ascii="宋体" w:hAnsi="宋体"/>
          <w:sz w:val="24"/>
          <w:szCs w:val="24"/>
        </w:rPr>
      </w:pPr>
      <w:r>
        <w:rPr>
          <w:rFonts w:hint="eastAsia" w:ascii="宋体" w:hAnsi="宋体"/>
          <w:sz w:val="24"/>
          <w:szCs w:val="24"/>
        </w:rPr>
      </w:r>
      <w:r/>
    </w:p>
    <w:p>
      <w:pPr>
        <w:pStyle w:val="1007"/>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07"/>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07"/>
        <w:spacing w:before="151" w:after="151" w:line="360" w:lineRule="auto"/>
        <w:rPr>
          <w:rFonts w:hint="eastAsia" w:ascii="宋体" w:hAnsi="宋体"/>
          <w:b/>
          <w:bCs/>
          <w:sz w:val="32"/>
          <w:szCs w:val="32"/>
        </w:rPr>
      </w:pPr>
      <w:r>
        <w:rPr>
          <w:rFonts w:hint="eastAsia" w:ascii="宋体" w:hAnsi="宋体"/>
          <w:b/>
          <w:bCs/>
          <w:sz w:val="32"/>
          <w:szCs w:val="32"/>
        </w:rPr>
      </w:r>
      <w:r/>
    </w:p>
    <w:p>
      <w:pPr>
        <w:pStyle w:val="1007"/>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07"/>
        <w:spacing w:line="360" w:lineRule="auto"/>
        <w:rPr>
          <w:rFonts w:hint="eastAsia" w:ascii="宋体" w:hAnsi="宋体"/>
          <w:b/>
          <w:sz w:val="36"/>
          <w:szCs w:val="36"/>
        </w:rPr>
      </w:pPr>
      <w:r>
        <w:rPr>
          <w:rFonts w:hint="eastAsia" w:ascii="宋体" w:hAnsi="宋体"/>
          <w:b/>
          <w:sz w:val="36"/>
          <w:szCs w:val="36"/>
        </w:rPr>
      </w:r>
      <w:r/>
    </w:p>
    <w:p>
      <w:pPr>
        <w:pStyle w:val="1009"/>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10"/>
        <w:spacing w:line="360" w:lineRule="auto"/>
        <w:rPr>
          <w:rFonts w:hint="eastAsia" w:ascii="宋体" w:hAnsi="宋体"/>
          <w:b/>
          <w:spacing w:val="6"/>
          <w:sz w:val="30"/>
          <w:szCs w:val="30"/>
        </w:rPr>
      </w:pPr>
      <w:r>
        <w:rPr>
          <w:rFonts w:hint="eastAsia" w:ascii="宋体" w:hAnsi="宋体"/>
          <w:b/>
          <w:spacing w:val="6"/>
          <w:sz w:val="30"/>
          <w:szCs w:val="30"/>
        </w:rPr>
      </w:r>
      <w:r/>
    </w:p>
    <w:p>
      <w:pPr>
        <w:pStyle w:val="100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0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11"/>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11"/>
        <w:ind w:firstLine="3629"/>
        <w:jc w:val="left"/>
        <w:spacing w:line="360" w:lineRule="auto"/>
        <w:rPr>
          <w:rFonts w:hint="eastAsia" w:ascii="宋体" w:hAnsi="宋体"/>
          <w:sz w:val="24"/>
        </w:rPr>
      </w:pPr>
      <w:r>
        <w:rPr>
          <w:rFonts w:hint="eastAsia" w:ascii="宋体" w:hAnsi="宋体"/>
          <w:sz w:val="24"/>
        </w:rPr>
      </w:r>
      <w:r/>
    </w:p>
    <w:p>
      <w:pPr>
        <w:pStyle w:val="1011"/>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07"/>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10"/>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12"/>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09"/>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pStyle w:val="1009"/>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1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19"/>
          <w:rFonts w:hint="eastAsia" w:ascii="方正魏碑_GBK" w:hAnsi="方正魏碑_GBK" w:eastAsia="方正魏碑_GBK" w:cs="方正魏碑_GBK"/>
          <w:i w:val="0"/>
          <w:color w:val="ff0000"/>
          <w:u w:val="single"/>
          <w:shd w:val="clear" w:color="auto" w:fill="ffffff"/>
        </w:rPr>
        <w:t xml:space="preserve">（产品名称1）</w:t>
      </w:r>
      <w:r>
        <w:rPr>
          <w:rStyle w:val="81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19"/>
          <w:rFonts w:hint="eastAsia" w:ascii="方正魏碑_GBK" w:hAnsi="方正魏碑_GBK" w:eastAsia="方正魏碑_GBK" w:cs="方正魏碑_GBK"/>
          <w:i w:val="0"/>
          <w:color w:val="ff0000"/>
          <w:u w:val="single"/>
          <w:shd w:val="clear" w:color="auto" w:fill="ffffff"/>
        </w:rPr>
        <w:t xml:space="preserve">（厂名）</w:t>
      </w:r>
      <w:r>
        <w:rPr>
          <w:rStyle w:val="81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1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1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19"/>
          <w:rFonts w:hint="eastAsia" w:ascii="方正魏碑_GBK" w:hAnsi="方正魏碑_GBK" w:eastAsia="方正魏碑_GBK" w:cs="方正魏碑_GBK"/>
          <w:i w:val="0"/>
          <w:color w:val="ff0000"/>
          <w:u w:val="single"/>
          <w:shd w:val="clear" w:color="auto" w:fill="ffffff"/>
        </w:rPr>
        <w:t xml:space="preserve">（规定</w:t>
      </w:r>
      <w:r>
        <w:rPr>
          <w:rStyle w:val="819"/>
          <w:rFonts w:ascii="方正魏碑_GBK" w:hAnsi="方正魏碑_GBK" w:eastAsia="方正魏碑_GBK" w:cs="方正魏碑_GBK"/>
          <w:i w:val="0"/>
          <w:color w:val="ff0000"/>
          <w:u w:val="single"/>
          <w:shd w:val="clear" w:color="auto" w:fill="ffffff"/>
        </w:rPr>
        <w:t xml:space="preserve">比例</w:t>
      </w:r>
      <w:r>
        <w:rPr>
          <w:rStyle w:val="819"/>
          <w:rFonts w:hint="eastAsia" w:ascii="方正魏碑_GBK" w:hAnsi="方正魏碑_GBK" w:eastAsia="方正魏碑_GBK" w:cs="方正魏碑_GBK"/>
          <w:i w:val="0"/>
          <w:color w:val="ff0000"/>
          <w:u w:val="single"/>
          <w:shd w:val="clear" w:color="auto" w:fill="ffffff"/>
        </w:rPr>
        <w:t xml:space="preserve">）</w:t>
      </w:r>
      <w:r>
        <w:rPr>
          <w:rStyle w:val="81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1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19"/>
          <w:rFonts w:hint="eastAsia" w:ascii="方正魏碑_GBK" w:hAnsi="方正魏碑_GBK" w:eastAsia="方正魏碑_GBK" w:cs="方正魏碑_GBK"/>
          <w:i w:val="0"/>
          <w:color w:val="ff0000"/>
          <w:u w:val="single"/>
          <w:shd w:val="clear" w:color="auto" w:fill="ffffff"/>
        </w:rPr>
        <w:t xml:space="preserve">（关键</w:t>
      </w:r>
      <w:r>
        <w:rPr>
          <w:rStyle w:val="819"/>
          <w:rFonts w:ascii="方正魏碑_GBK" w:hAnsi="方正魏碑_GBK" w:eastAsia="方正魏碑_GBK" w:cs="方正魏碑_GBK"/>
          <w:i w:val="0"/>
          <w:color w:val="ff0000"/>
          <w:u w:val="single"/>
          <w:shd w:val="clear" w:color="auto" w:fill="ffffff"/>
        </w:rPr>
        <w:t xml:space="preserve">组件</w:t>
      </w:r>
      <w:r>
        <w:rPr>
          <w:rStyle w:val="819"/>
          <w:rFonts w:hint="eastAsia" w:ascii="方正魏碑_GBK" w:hAnsi="方正魏碑_GBK" w:eastAsia="方正魏碑_GBK" w:cs="方正魏碑_GBK"/>
          <w:i w:val="0"/>
          <w:color w:val="ff0000"/>
          <w:u w:val="single"/>
          <w:shd w:val="clear" w:color="auto" w:fill="ffffff"/>
        </w:rPr>
        <w:t xml:space="preserve">）</w:t>
      </w:r>
      <w:r>
        <w:rPr>
          <w:rStyle w:val="81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1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19"/>
          <w:rFonts w:hint="eastAsia" w:ascii="方正魏碑_GBK" w:hAnsi="方正魏碑_GBK" w:eastAsia="方正魏碑_GBK" w:cs="方正魏碑_GBK"/>
          <w:i w:val="0"/>
          <w:color w:val="ff0000"/>
          <w:u w:val="single"/>
          <w:shd w:val="clear" w:color="auto" w:fill="ffffff"/>
        </w:rPr>
        <w:t xml:space="preserve">（关键工序）</w:t>
      </w:r>
      <w:r>
        <w:rPr>
          <w:rStyle w:val="81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1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1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1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1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1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19"/>
          <w:rFonts w:hint="eastAsia" w:ascii="方正魏碑_GBK" w:hAnsi="方正魏碑_GBK" w:eastAsia="方正魏碑_GBK" w:cs="方正魏碑_GBK"/>
          <w:i w:val="0"/>
          <w:color w:val="ff0000"/>
          <w:u w:val="single"/>
          <w:shd w:val="clear" w:color="auto" w:fill="ffffff"/>
        </w:rPr>
        <w:t xml:space="preserve">（规定</w:t>
      </w:r>
      <w:r>
        <w:rPr>
          <w:rStyle w:val="819"/>
          <w:rFonts w:ascii="方正魏碑_GBK" w:hAnsi="方正魏碑_GBK" w:eastAsia="方正魏碑_GBK" w:cs="方正魏碑_GBK"/>
          <w:i w:val="0"/>
          <w:color w:val="ff0000"/>
          <w:u w:val="single"/>
          <w:shd w:val="clear" w:color="auto" w:fill="ffffff"/>
        </w:rPr>
        <w:t xml:space="preserve">比例</w:t>
      </w:r>
      <w:r>
        <w:rPr>
          <w:rStyle w:val="81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1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19"/>
          <w:rFonts w:hint="eastAsia" w:ascii="方正魏碑_GBK" w:hAnsi="方正魏碑_GBK" w:eastAsia="方正魏碑_GBK" w:cs="方正魏碑_GBK"/>
          <w:i w:val="0"/>
          <w:color w:val="ff0000"/>
          <w:u w:val="single"/>
          <w:shd w:val="clear" w:color="auto" w:fill="ffffff"/>
        </w:rPr>
        <w:t xml:space="preserve">（关键</w:t>
      </w:r>
      <w:r>
        <w:rPr>
          <w:rStyle w:val="819"/>
          <w:rFonts w:ascii="方正魏碑_GBK" w:hAnsi="方正魏碑_GBK" w:eastAsia="方正魏碑_GBK" w:cs="方正魏碑_GBK"/>
          <w:i w:val="0"/>
          <w:color w:val="ff0000"/>
          <w:u w:val="single"/>
          <w:shd w:val="clear" w:color="auto" w:fill="ffffff"/>
        </w:rPr>
        <w:t xml:space="preserve">组件</w:t>
      </w:r>
      <w:r>
        <w:rPr>
          <w:rStyle w:val="81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1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1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1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1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1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3"/>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13"/>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1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1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1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1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1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13"/>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13"/>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09"/>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78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8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8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86"/>
        <w:rPr>
          <w:rFonts w:eastAsia="黑体"/>
          <w:b/>
          <w:sz w:val="36"/>
          <w:szCs w:val="21"/>
        </w:rPr>
      </w:pPr>
      <w:r>
        <w:rPr>
          <w:rFonts w:eastAsia="黑体"/>
          <w:b/>
          <w:sz w:val="36"/>
          <w:szCs w:val="21"/>
        </w:rPr>
      </w:r>
      <w:r/>
    </w:p>
    <w:p>
      <w:r/>
      <w:r/>
    </w:p>
    <w:p>
      <w:pPr>
        <w:pStyle w:val="786"/>
        <w:spacing w:line="360" w:lineRule="auto"/>
      </w:pPr>
      <w:r/>
      <w:r/>
    </w:p>
    <w:p>
      <w:pPr>
        <w:spacing w:line="360" w:lineRule="auto"/>
      </w:pPr>
      <w:r/>
      <w:r/>
    </w:p>
    <w:p>
      <w:pPr>
        <w:pStyle w:val="786"/>
        <w:spacing w:line="360" w:lineRule="auto"/>
      </w:pPr>
      <w:r/>
      <w:r/>
    </w:p>
    <w:p>
      <w:pPr>
        <w:pStyle w:val="786"/>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786"/>
        <w:spacing w:line="360" w:lineRule="auto"/>
      </w:pPr>
      <w:r/>
      <w:r/>
    </w:p>
    <w:p>
      <w:pPr>
        <w:spacing w:line="360" w:lineRule="auto"/>
      </w:pPr>
      <w:r/>
      <w:r/>
    </w:p>
    <w:p>
      <w:pPr>
        <w:pStyle w:val="786"/>
        <w:spacing w:line="360" w:lineRule="auto"/>
      </w:pPr>
      <w:r/>
      <w:r/>
    </w:p>
    <w:p>
      <w:pPr>
        <w:spacing w:line="360" w:lineRule="auto"/>
      </w:pPr>
      <w:r/>
      <w:r/>
    </w:p>
    <w:p>
      <w:pPr>
        <w:pStyle w:val="786"/>
        <w:spacing w:line="360" w:lineRule="auto"/>
      </w:pPr>
      <w:r/>
      <w:r/>
    </w:p>
    <w:p>
      <w:pPr>
        <w:spacing w:line="360" w:lineRule="auto"/>
      </w:pPr>
      <w:r/>
      <w:r/>
    </w:p>
    <w:p>
      <w:pPr>
        <w:pStyle w:val="786"/>
        <w:spacing w:line="360" w:lineRule="auto"/>
      </w:pPr>
      <w:r/>
      <w:r/>
    </w:p>
    <w:p>
      <w:pPr>
        <w:spacing w:line="360" w:lineRule="auto"/>
      </w:pPr>
      <w:r/>
      <w:r/>
    </w:p>
    <w:p>
      <w:pPr>
        <w:pStyle w:val="786"/>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7" w:name="_Toc11176"/>
      <w:r>
        <w:rPr>
          <w:rFonts w:hint="eastAsia" w:eastAsia="黑体" w:cs="黑体"/>
          <w:b/>
          <w:sz w:val="32"/>
          <w:szCs w:val="24"/>
        </w:rPr>
        <w:t xml:space="preserve">十、</w:t>
      </w:r>
      <w:bookmarkEnd w:id="57"/>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8" w:name="_Toc28140"/>
      <w:r>
        <w:rPr>
          <w:rFonts w:hint="eastAsia" w:eastAsia="黑体" w:cs="黑体"/>
          <w:b/>
          <w:sz w:val="32"/>
          <w:szCs w:val="24"/>
        </w:rPr>
        <w:t xml:space="preserve">十一</w:t>
      </w:r>
      <w:r>
        <w:rPr>
          <w:rFonts w:eastAsia="黑体" w:cs="黑体"/>
          <w:b/>
          <w:sz w:val="32"/>
          <w:szCs w:val="24"/>
        </w:rPr>
        <w:t xml:space="preserve">、投标所需其他材料</w:t>
      </w:r>
      <w:bookmarkEnd w:id="58"/>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3"/>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9" w:name="_Hlt26955066"/>
      <w:r/>
      <w:bookmarkStart w:id="60" w:name="_Hlt26671374"/>
      <w:r/>
      <w:bookmarkStart w:id="61" w:name="_Hlt26609389"/>
      <w:r/>
      <w:bookmarkStart w:id="62" w:name="_Toc462564146"/>
      <w:r/>
      <w:bookmarkEnd w:id="59"/>
      <w:r/>
      <w:bookmarkEnd w:id="60"/>
      <w:r/>
      <w:bookmarkEnd w:id="61"/>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3" w:name="_格式2__法定代表人授权书"/>
      <w:r/>
      <w:bookmarkEnd w:id="62"/>
      <w:r/>
      <w:bookmarkEnd w:id="63"/>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979"/>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979"/>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799"/>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8"/>
  </w:num>
  <w:num w:numId="6">
    <w:abstractNumId w:val="1"/>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3"/>
    <w:link w:val="774"/>
    <w:uiPriority w:val="9"/>
    <w:rPr>
      <w:rFonts w:ascii="Arial" w:hAnsi="Arial" w:eastAsia="Arial" w:cs="Arial"/>
      <w:sz w:val="40"/>
      <w:szCs w:val="40"/>
    </w:rPr>
  </w:style>
  <w:style w:type="character" w:styleId="15">
    <w:name w:val="Heading 2 Char"/>
    <w:basedOn w:val="783"/>
    <w:link w:val="775"/>
    <w:uiPriority w:val="9"/>
    <w:rPr>
      <w:rFonts w:ascii="Arial" w:hAnsi="Arial" w:eastAsia="Arial" w:cs="Arial"/>
      <w:sz w:val="34"/>
    </w:rPr>
  </w:style>
  <w:style w:type="character" w:styleId="17">
    <w:name w:val="Heading 3 Char"/>
    <w:basedOn w:val="783"/>
    <w:link w:val="776"/>
    <w:uiPriority w:val="9"/>
    <w:rPr>
      <w:rFonts w:ascii="Arial" w:hAnsi="Arial" w:eastAsia="Arial" w:cs="Arial"/>
      <w:sz w:val="30"/>
      <w:szCs w:val="30"/>
    </w:rPr>
  </w:style>
  <w:style w:type="character" w:styleId="19">
    <w:name w:val="Heading 4 Char"/>
    <w:basedOn w:val="783"/>
    <w:link w:val="777"/>
    <w:uiPriority w:val="9"/>
    <w:rPr>
      <w:rFonts w:ascii="Arial" w:hAnsi="Arial" w:eastAsia="Arial" w:cs="Arial"/>
      <w:b/>
      <w:bCs/>
      <w:sz w:val="26"/>
      <w:szCs w:val="26"/>
    </w:rPr>
  </w:style>
  <w:style w:type="character" w:styleId="21">
    <w:name w:val="Heading 5 Char"/>
    <w:basedOn w:val="783"/>
    <w:link w:val="778"/>
    <w:uiPriority w:val="9"/>
    <w:rPr>
      <w:rFonts w:ascii="Arial" w:hAnsi="Arial" w:eastAsia="Arial" w:cs="Arial"/>
      <w:b/>
      <w:bCs/>
      <w:sz w:val="24"/>
      <w:szCs w:val="24"/>
    </w:rPr>
  </w:style>
  <w:style w:type="character" w:styleId="23">
    <w:name w:val="Heading 6 Char"/>
    <w:basedOn w:val="783"/>
    <w:link w:val="779"/>
    <w:uiPriority w:val="9"/>
    <w:rPr>
      <w:rFonts w:ascii="Arial" w:hAnsi="Arial" w:eastAsia="Arial" w:cs="Arial"/>
      <w:b/>
      <w:bCs/>
      <w:sz w:val="22"/>
      <w:szCs w:val="22"/>
    </w:rPr>
  </w:style>
  <w:style w:type="character" w:styleId="25">
    <w:name w:val="Heading 7 Char"/>
    <w:basedOn w:val="783"/>
    <w:link w:val="780"/>
    <w:uiPriority w:val="9"/>
    <w:rPr>
      <w:rFonts w:ascii="Arial" w:hAnsi="Arial" w:eastAsia="Arial" w:cs="Arial"/>
      <w:b/>
      <w:bCs/>
      <w:i/>
      <w:iCs/>
      <w:sz w:val="22"/>
      <w:szCs w:val="22"/>
    </w:rPr>
  </w:style>
  <w:style w:type="character" w:styleId="27">
    <w:name w:val="Heading 8 Char"/>
    <w:basedOn w:val="783"/>
    <w:link w:val="781"/>
    <w:uiPriority w:val="9"/>
    <w:rPr>
      <w:rFonts w:ascii="Arial" w:hAnsi="Arial" w:eastAsia="Arial" w:cs="Arial"/>
      <w:i/>
      <w:iCs/>
      <w:sz w:val="22"/>
      <w:szCs w:val="22"/>
    </w:rPr>
  </w:style>
  <w:style w:type="character" w:styleId="29">
    <w:name w:val="Heading 9 Char"/>
    <w:basedOn w:val="783"/>
    <w:link w:val="782"/>
    <w:uiPriority w:val="9"/>
    <w:rPr>
      <w:rFonts w:ascii="Arial" w:hAnsi="Arial" w:eastAsia="Arial" w:cs="Arial"/>
      <w:i/>
      <w:iCs/>
      <w:sz w:val="21"/>
      <w:szCs w:val="21"/>
    </w:rPr>
  </w:style>
  <w:style w:type="character" w:styleId="34">
    <w:name w:val="Title Char"/>
    <w:basedOn w:val="783"/>
    <w:link w:val="814"/>
    <w:uiPriority w:val="10"/>
    <w:rPr>
      <w:sz w:val="48"/>
      <w:szCs w:val="48"/>
    </w:rPr>
  </w:style>
  <w:style w:type="character" w:styleId="36">
    <w:name w:val="Subtitle Char"/>
    <w:basedOn w:val="783"/>
    <w:link w:val="806"/>
    <w:uiPriority w:val="11"/>
    <w:rPr>
      <w:sz w:val="24"/>
      <w:szCs w:val="24"/>
    </w:rPr>
  </w:style>
  <w:style w:type="character" w:styleId="38">
    <w:name w:val="Quote Char"/>
    <w:link w:val="837"/>
    <w:uiPriority w:val="29"/>
    <w:rPr>
      <w:i/>
    </w:rPr>
  </w:style>
  <w:style w:type="character" w:styleId="40">
    <w:name w:val="Intense Quote Char"/>
    <w:link w:val="839"/>
    <w:uiPriority w:val="30"/>
    <w:rPr>
      <w:i/>
    </w:rPr>
  </w:style>
  <w:style w:type="character" w:styleId="46">
    <w:name w:val="Caption Char"/>
    <w:basedOn w:val="789"/>
    <w:link w:val="799"/>
    <w:uiPriority w:val="99"/>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7"/>
    <w:uiPriority w:val="99"/>
    <w:rPr>
      <w:sz w:val="18"/>
    </w:rPr>
  </w:style>
  <w:style w:type="character" w:styleId="178">
    <w:name w:val="Endnote Text Char"/>
    <w:link w:val="797"/>
    <w:uiPriority w:val="99"/>
    <w:rPr>
      <w:sz w:val="20"/>
    </w:rPr>
  </w:style>
  <w:style w:type="paragraph" w:styleId="189">
    <w:name w:val="TOC Heading"/>
    <w:uiPriority w:val="39"/>
    <w:unhideWhenUsed/>
  </w:style>
  <w:style w:type="paragraph" w:styleId="773" w:default="1">
    <w:name w:val="Normal"/>
    <w:next w:val="786"/>
    <w:qFormat/>
    <w:pPr>
      <w:jc w:val="both"/>
      <w:widowControl w:val="off"/>
    </w:pPr>
    <w:rPr>
      <w:rFonts w:eastAsia="楷体_GB2312"/>
      <w:sz w:val="26"/>
    </w:rPr>
  </w:style>
  <w:style w:type="paragraph" w:styleId="774">
    <w:name w:val="Heading 1"/>
    <w:basedOn w:val="773"/>
    <w:next w:val="773"/>
    <w:link w:val="824"/>
    <w:qFormat/>
    <w:pPr>
      <w:jc w:val="center"/>
      <w:keepLines/>
      <w:keepNext/>
      <w:spacing w:line="360" w:lineRule="auto"/>
      <w:outlineLvl w:val="0"/>
    </w:pPr>
    <w:rPr>
      <w:rFonts w:eastAsia="宋体"/>
      <w:b/>
      <w:sz w:val="32"/>
    </w:rPr>
  </w:style>
  <w:style w:type="paragraph" w:styleId="775">
    <w:name w:val="Heading 2"/>
    <w:basedOn w:val="773"/>
    <w:next w:val="773"/>
    <w:link w:val="825"/>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6"/>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27"/>
    <w:uiPriority w:val="9"/>
    <w:unhideWhenUsed/>
    <w:qFormat/>
    <w:pPr>
      <w:keepLines/>
      <w:keepNext/>
      <w:spacing w:before="320" w:after="200"/>
      <w:outlineLvl w:val="3"/>
    </w:pPr>
    <w:rPr>
      <w:rFonts w:ascii="Arial" w:hAnsi="Arial" w:eastAsia="Arial" w:cs="Arial"/>
      <w:b/>
      <w:bCs/>
      <w:szCs w:val="26"/>
    </w:rPr>
  </w:style>
  <w:style w:type="paragraph" w:styleId="778">
    <w:name w:val="Heading 5"/>
    <w:basedOn w:val="773"/>
    <w:next w:val="773"/>
    <w:link w:val="828"/>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9"/>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31"/>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32"/>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Body Text"/>
    <w:basedOn w:val="773"/>
    <w:next w:val="773"/>
    <w:qFormat/>
    <w:rPr>
      <w:rFonts w:ascii="楷体_GB2312" w:hAnsi="Arial"/>
      <w:sz w:val="28"/>
    </w:rPr>
  </w:style>
  <w:style w:type="paragraph" w:styleId="787">
    <w:name w:val="toc 7"/>
    <w:basedOn w:val="773"/>
    <w:next w:val="773"/>
    <w:uiPriority w:val="39"/>
    <w:unhideWhenUsed/>
    <w:qFormat/>
    <w:pPr>
      <w:ind w:left="1701"/>
      <w:spacing w:after="57"/>
    </w:pPr>
  </w:style>
  <w:style w:type="paragraph" w:styleId="788">
    <w:name w:val="Normal Indent"/>
    <w:basedOn w:val="773"/>
    <w:next w:val="773"/>
    <w:qFormat/>
    <w:pPr>
      <w:ind w:firstLine="200"/>
    </w:pPr>
  </w:style>
  <w:style w:type="paragraph" w:styleId="789">
    <w:name w:val="Caption"/>
    <w:basedOn w:val="773"/>
    <w:next w:val="773"/>
    <w:uiPriority w:val="35"/>
    <w:semiHidden/>
    <w:unhideWhenUsed/>
    <w:qFormat/>
    <w:pPr>
      <w:spacing w:line="276" w:lineRule="auto"/>
    </w:pPr>
    <w:rPr>
      <w:b/>
      <w:bCs/>
      <w:color w:val="4f81bd"/>
      <w:sz w:val="18"/>
      <w:szCs w:val="18"/>
    </w:rPr>
  </w:style>
  <w:style w:type="paragraph" w:styleId="790">
    <w:name w:val="annotation text"/>
    <w:basedOn w:val="773"/>
    <w:link w:val="1006"/>
    <w:uiPriority w:val="99"/>
    <w:semiHidden/>
    <w:unhideWhenUsed/>
    <w:qFormat/>
    <w:pPr>
      <w:jc w:val="left"/>
    </w:pPr>
  </w:style>
  <w:style w:type="paragraph" w:styleId="791">
    <w:name w:val="Body Text Indent"/>
    <w:basedOn w:val="773"/>
    <w:qFormat/>
    <w:pPr>
      <w:ind w:firstLine="645"/>
    </w:pPr>
    <w:rPr>
      <w:rFonts w:ascii="楷体_GB2312" w:hAnsi="Calibri"/>
      <w:sz w:val="32"/>
      <w:szCs w:val="22"/>
    </w:rPr>
  </w:style>
  <w:style w:type="paragraph" w:styleId="792">
    <w:name w:val="Block Text"/>
    <w:basedOn w:val="773"/>
    <w:qFormat/>
    <w:pPr>
      <w:ind w:left="525" w:right="-1" w:firstLine="525"/>
      <w:spacing w:line="312" w:lineRule="atLeast"/>
    </w:pPr>
    <w:rPr>
      <w:sz w:val="28"/>
      <w:szCs w:val="28"/>
    </w:rPr>
  </w:style>
  <w:style w:type="paragraph" w:styleId="793">
    <w:name w:val="toc 5"/>
    <w:basedOn w:val="773"/>
    <w:next w:val="773"/>
    <w:uiPriority w:val="39"/>
    <w:unhideWhenUsed/>
    <w:qFormat/>
    <w:pPr>
      <w:ind w:left="1134"/>
      <w:spacing w:after="57"/>
    </w:pPr>
  </w:style>
  <w:style w:type="paragraph" w:styleId="794">
    <w:name w:val="toc 3"/>
    <w:basedOn w:val="773"/>
    <w:next w:val="773"/>
    <w:uiPriority w:val="39"/>
    <w:unhideWhenUsed/>
    <w:qFormat/>
    <w:pPr>
      <w:ind w:left="567"/>
      <w:spacing w:after="57"/>
    </w:pPr>
  </w:style>
  <w:style w:type="paragraph" w:styleId="795">
    <w:name w:val="Plain Text"/>
    <w:basedOn w:val="773"/>
    <w:next w:val="788"/>
    <w:qFormat/>
    <w:rPr>
      <w:rFonts w:ascii="宋体"/>
    </w:rPr>
  </w:style>
  <w:style w:type="paragraph" w:styleId="796">
    <w:name w:val="toc 8"/>
    <w:basedOn w:val="773"/>
    <w:next w:val="773"/>
    <w:uiPriority w:val="39"/>
    <w:unhideWhenUsed/>
    <w:qFormat/>
    <w:pPr>
      <w:ind w:left="1984"/>
      <w:spacing w:after="57"/>
    </w:pPr>
  </w:style>
  <w:style w:type="paragraph" w:styleId="797">
    <w:name w:val="endnote text"/>
    <w:basedOn w:val="773"/>
    <w:link w:val="970"/>
    <w:uiPriority w:val="99"/>
    <w:semiHidden/>
    <w:unhideWhenUsed/>
    <w:qFormat/>
    <w:rPr>
      <w:sz w:val="20"/>
    </w:rPr>
  </w:style>
  <w:style w:type="paragraph" w:styleId="798">
    <w:name w:val="Balloon Text"/>
    <w:basedOn w:val="773"/>
    <w:link w:val="1002"/>
    <w:uiPriority w:val="99"/>
    <w:semiHidden/>
    <w:unhideWhenUsed/>
    <w:qFormat/>
    <w:rPr>
      <w:sz w:val="18"/>
      <w:szCs w:val="18"/>
    </w:rPr>
  </w:style>
  <w:style w:type="paragraph" w:styleId="799">
    <w:name w:val="Footer"/>
    <w:basedOn w:val="773"/>
    <w:link w:val="843"/>
    <w:uiPriority w:val="99"/>
    <w:unhideWhenUsed/>
    <w:qFormat/>
    <w:pPr>
      <w:tabs>
        <w:tab w:val="center" w:pos="7143" w:leader="none"/>
        <w:tab w:val="right" w:pos="14287" w:leader="none"/>
      </w:tabs>
    </w:pPr>
  </w:style>
  <w:style w:type="paragraph" w:styleId="800">
    <w:name w:val="envelope return"/>
    <w:basedOn w:val="801"/>
    <w:uiPriority w:val="99"/>
    <w:unhideWhenUsed/>
    <w:qFormat/>
    <w:rPr>
      <w:rFonts w:ascii="Arial" w:hAnsi="Arial"/>
    </w:rPr>
  </w:style>
  <w:style w:type="paragraph" w:styleId="801" w:customStyle="1">
    <w:name w:val="Normal_19"/>
    <w:next w:val="802"/>
    <w:qFormat/>
    <w:pPr>
      <w:jc w:val="both"/>
      <w:widowControl w:val="off"/>
    </w:pPr>
    <w:rPr>
      <w:sz w:val="21"/>
      <w:szCs w:val="24"/>
    </w:rPr>
  </w:style>
  <w:style w:type="paragraph" w:styleId="802" w:customStyle="1">
    <w:name w:val="正文文本缩进1"/>
    <w:basedOn w:val="773"/>
    <w:next w:val="800"/>
    <w:unhideWhenUsed/>
    <w:qFormat/>
    <w:pPr>
      <w:ind w:firstLine="570"/>
    </w:pPr>
    <w:rPr>
      <w:rFonts w:ascii="宋体" w:eastAsia="宋体"/>
      <w:sz w:val="28"/>
    </w:rPr>
  </w:style>
  <w:style w:type="paragraph" w:styleId="803">
    <w:name w:val="Header"/>
    <w:basedOn w:val="773"/>
    <w:link w:val="972"/>
    <w:qFormat/>
    <w:pPr>
      <w:jc w:val="center"/>
      <w:tabs>
        <w:tab w:val="center" w:pos="4153" w:leader="none"/>
        <w:tab w:val="right" w:pos="8306" w:leader="none"/>
      </w:tabs>
    </w:pPr>
    <w:rPr>
      <w:sz w:val="18"/>
      <w:szCs w:val="18"/>
    </w:rPr>
  </w:style>
  <w:style w:type="paragraph" w:styleId="804">
    <w:name w:val="toc 1"/>
    <w:basedOn w:val="773"/>
    <w:next w:val="773"/>
    <w:uiPriority w:val="39"/>
    <w:unhideWhenUsed/>
    <w:qFormat/>
    <w:pPr>
      <w:spacing w:after="57"/>
    </w:pPr>
  </w:style>
  <w:style w:type="paragraph" w:styleId="805">
    <w:name w:val="toc 4"/>
    <w:basedOn w:val="773"/>
    <w:next w:val="773"/>
    <w:uiPriority w:val="39"/>
    <w:unhideWhenUsed/>
    <w:qFormat/>
    <w:pPr>
      <w:ind w:left="850"/>
      <w:spacing w:after="57"/>
    </w:pPr>
  </w:style>
  <w:style w:type="paragraph" w:styleId="806">
    <w:name w:val="Subtitle"/>
    <w:basedOn w:val="773"/>
    <w:next w:val="773"/>
    <w:link w:val="836"/>
    <w:uiPriority w:val="11"/>
    <w:qFormat/>
    <w:pPr>
      <w:spacing w:before="200" w:after="200"/>
    </w:pPr>
    <w:rPr>
      <w:sz w:val="24"/>
      <w:szCs w:val="24"/>
    </w:rPr>
  </w:style>
  <w:style w:type="paragraph" w:styleId="807">
    <w:name w:val="footnote text"/>
    <w:basedOn w:val="773"/>
    <w:link w:val="969"/>
    <w:uiPriority w:val="99"/>
    <w:semiHidden/>
    <w:unhideWhenUsed/>
    <w:qFormat/>
    <w:pPr>
      <w:spacing w:after="40"/>
    </w:pPr>
    <w:rPr>
      <w:sz w:val="18"/>
    </w:rPr>
  </w:style>
  <w:style w:type="paragraph" w:styleId="808">
    <w:name w:val="toc 6"/>
    <w:basedOn w:val="773"/>
    <w:next w:val="773"/>
    <w:uiPriority w:val="39"/>
    <w:unhideWhenUsed/>
    <w:qFormat/>
    <w:pPr>
      <w:ind w:left="1417"/>
      <w:spacing w:after="57"/>
    </w:pPr>
  </w:style>
  <w:style w:type="paragraph" w:styleId="809">
    <w:name w:val="table of figures"/>
    <w:basedOn w:val="773"/>
    <w:next w:val="773"/>
    <w:uiPriority w:val="99"/>
    <w:unhideWhenUsed/>
    <w:qFormat/>
  </w:style>
  <w:style w:type="paragraph" w:styleId="810">
    <w:name w:val="toc 2"/>
    <w:basedOn w:val="773"/>
    <w:next w:val="773"/>
    <w:uiPriority w:val="39"/>
    <w:unhideWhenUsed/>
    <w:qFormat/>
    <w:pPr>
      <w:ind w:left="283"/>
      <w:spacing w:after="57"/>
    </w:pPr>
  </w:style>
  <w:style w:type="paragraph" w:styleId="811">
    <w:name w:val="toc 9"/>
    <w:basedOn w:val="773"/>
    <w:next w:val="773"/>
    <w:uiPriority w:val="39"/>
    <w:unhideWhenUsed/>
    <w:qFormat/>
    <w:pPr>
      <w:ind w:left="2268"/>
      <w:spacing w:after="57"/>
    </w:pPr>
  </w:style>
  <w:style w:type="paragraph" w:styleId="812">
    <w:name w:val="HTML Preformatted"/>
    <w:basedOn w:val="773"/>
    <w:link w:val="1014"/>
    <w:uiPriority w:val="99"/>
    <w:semiHidden/>
    <w:unhideWhenUsed/>
    <w:qFormat/>
    <w:rPr>
      <w:rFonts w:ascii="Courier New" w:hAnsi="Courier New" w:cs="Courier New"/>
      <w:sz w:val="20"/>
    </w:rPr>
  </w:style>
  <w:style w:type="paragraph" w:styleId="813">
    <w:name w:val="Normal (Web)"/>
    <w:basedOn w:val="773"/>
    <w:uiPriority w:val="99"/>
    <w:qFormat/>
    <w:pPr>
      <w:jc w:val="left"/>
      <w:spacing w:before="100" w:beforeAutospacing="1" w:after="100" w:afterAutospacing="1"/>
      <w:widowControl/>
    </w:pPr>
    <w:rPr>
      <w:rFonts w:ascii="宋体" w:hAnsi="宋体"/>
      <w:color w:val="000000"/>
      <w:sz w:val="24"/>
      <w:szCs w:val="24"/>
    </w:rPr>
  </w:style>
  <w:style w:type="paragraph" w:styleId="814">
    <w:name w:val="Title"/>
    <w:basedOn w:val="773"/>
    <w:next w:val="773"/>
    <w:link w:val="835"/>
    <w:uiPriority w:val="10"/>
    <w:qFormat/>
    <w:pPr>
      <w:contextualSpacing/>
      <w:spacing w:before="300" w:after="200"/>
    </w:pPr>
    <w:rPr>
      <w:sz w:val="48"/>
      <w:szCs w:val="48"/>
    </w:rPr>
  </w:style>
  <w:style w:type="paragraph" w:styleId="815">
    <w:name w:val="Body Text First Indent"/>
    <w:basedOn w:val="786"/>
    <w:next w:val="816"/>
    <w:qFormat/>
    <w:pPr>
      <w:ind w:firstLine="420"/>
    </w:pPr>
  </w:style>
  <w:style w:type="paragraph" w:styleId="816">
    <w:name w:val="Body Text First Indent 2"/>
    <w:basedOn w:val="791"/>
    <w:uiPriority w:val="99"/>
    <w:unhideWhenUsed/>
    <w:qFormat/>
    <w:pPr>
      <w:ind w:firstLine="200"/>
    </w:pPr>
  </w:style>
  <w:style w:type="table" w:styleId="817">
    <w:name w:val="Table Grid"/>
    <w:basedOn w:val="78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endnote reference"/>
    <w:uiPriority w:val="99"/>
    <w:semiHidden/>
    <w:unhideWhenUsed/>
    <w:qFormat/>
    <w:rPr>
      <w:vertAlign w:val="superscript"/>
    </w:rPr>
  </w:style>
  <w:style w:type="character" w:styleId="819">
    <w:name w:val="Emphasis"/>
    <w:qFormat/>
    <w:rPr>
      <w:rFonts w:ascii="Times New Roman" w:hAnsi="Times New Roman" w:eastAsia="宋体" w:cs="Times New Roman"/>
      <w:i/>
    </w:rPr>
  </w:style>
  <w:style w:type="character" w:styleId="820">
    <w:name w:val="Hyperlink"/>
    <w:uiPriority w:val="99"/>
    <w:unhideWhenUsed/>
    <w:qFormat/>
    <w:rPr>
      <w:color w:val="0563c1"/>
      <w:u w:val="single"/>
    </w:rPr>
  </w:style>
  <w:style w:type="character" w:styleId="821">
    <w:name w:val="annotation reference"/>
    <w:basedOn w:val="783"/>
    <w:uiPriority w:val="99"/>
    <w:semiHidden/>
    <w:unhideWhenUsed/>
    <w:qFormat/>
    <w:rPr>
      <w:sz w:val="21"/>
      <w:szCs w:val="21"/>
    </w:rPr>
  </w:style>
  <w:style w:type="character" w:styleId="822">
    <w:name w:val="footnote reference"/>
    <w:uiPriority w:val="99"/>
    <w:unhideWhenUsed/>
    <w:qFormat/>
    <w:rPr>
      <w:vertAlign w:val="superscript"/>
    </w:rPr>
  </w:style>
  <w:style w:type="paragraph" w:styleId="823" w:customStyle="1">
    <w:name w:val="标题 31"/>
    <w:basedOn w:val="773"/>
    <w:next w:val="773"/>
    <w:qFormat/>
    <w:pPr>
      <w:keepLines/>
      <w:keepNext/>
      <w:spacing w:before="260" w:after="260" w:line="416" w:lineRule="auto"/>
      <w:outlineLvl w:val="2"/>
    </w:pPr>
    <w:rPr>
      <w:b/>
      <w:bCs/>
      <w:sz w:val="32"/>
      <w:szCs w:val="32"/>
    </w:rPr>
  </w:style>
  <w:style w:type="character" w:styleId="824" w:customStyle="1">
    <w:name w:val="标题 1 字符"/>
    <w:link w:val="774"/>
    <w:qFormat/>
    <w:rPr>
      <w:rFonts w:ascii="Arial" w:hAnsi="Arial" w:eastAsia="Arial" w:cs="Arial"/>
      <w:sz w:val="40"/>
      <w:szCs w:val="40"/>
    </w:rPr>
  </w:style>
  <w:style w:type="character" w:styleId="825" w:customStyle="1">
    <w:name w:val="标题 2 字符"/>
    <w:link w:val="775"/>
    <w:uiPriority w:val="9"/>
    <w:qFormat/>
    <w:rPr>
      <w:rFonts w:ascii="Arial" w:hAnsi="Arial" w:eastAsia="Arial" w:cs="Arial"/>
      <w:sz w:val="34"/>
    </w:rPr>
  </w:style>
  <w:style w:type="character" w:styleId="826" w:customStyle="1">
    <w:name w:val="标题 3 字符"/>
    <w:link w:val="776"/>
    <w:uiPriority w:val="9"/>
    <w:qFormat/>
    <w:rPr>
      <w:rFonts w:ascii="Arial" w:hAnsi="Arial" w:eastAsia="Arial" w:cs="Arial"/>
      <w:sz w:val="30"/>
      <w:szCs w:val="30"/>
    </w:rPr>
  </w:style>
  <w:style w:type="character" w:styleId="827" w:customStyle="1">
    <w:name w:val="标题 4 字符"/>
    <w:link w:val="777"/>
    <w:uiPriority w:val="9"/>
    <w:qFormat/>
    <w:rPr>
      <w:rFonts w:ascii="Arial" w:hAnsi="Arial" w:eastAsia="Arial" w:cs="Arial"/>
      <w:b/>
      <w:bCs/>
      <w:sz w:val="26"/>
      <w:szCs w:val="26"/>
    </w:rPr>
  </w:style>
  <w:style w:type="character" w:styleId="828" w:customStyle="1">
    <w:name w:val="标题 5 字符"/>
    <w:link w:val="778"/>
    <w:uiPriority w:val="9"/>
    <w:qFormat/>
    <w:rPr>
      <w:rFonts w:ascii="Arial" w:hAnsi="Arial" w:eastAsia="Arial" w:cs="Arial"/>
      <w:b/>
      <w:bCs/>
      <w:sz w:val="24"/>
      <w:szCs w:val="24"/>
    </w:rPr>
  </w:style>
  <w:style w:type="character" w:styleId="829" w:customStyle="1">
    <w:name w:val="标题 6 字符"/>
    <w:link w:val="779"/>
    <w:uiPriority w:val="9"/>
    <w:qFormat/>
    <w:rPr>
      <w:rFonts w:ascii="Arial" w:hAnsi="Arial" w:eastAsia="Arial" w:cs="Arial"/>
      <w:b/>
      <w:bCs/>
      <w:sz w:val="22"/>
      <w:szCs w:val="22"/>
    </w:rPr>
  </w:style>
  <w:style w:type="character" w:styleId="830" w:customStyle="1">
    <w:name w:val="标题 7 字符"/>
    <w:link w:val="780"/>
    <w:uiPriority w:val="9"/>
    <w:qFormat/>
    <w:rPr>
      <w:rFonts w:ascii="Arial" w:hAnsi="Arial" w:eastAsia="Arial" w:cs="Arial"/>
      <w:b/>
      <w:bCs/>
      <w:i/>
      <w:iCs/>
      <w:sz w:val="22"/>
      <w:szCs w:val="22"/>
    </w:rPr>
  </w:style>
  <w:style w:type="character" w:styleId="831" w:customStyle="1">
    <w:name w:val="标题 8 字符"/>
    <w:link w:val="781"/>
    <w:uiPriority w:val="9"/>
    <w:qFormat/>
    <w:rPr>
      <w:rFonts w:ascii="Arial" w:hAnsi="Arial" w:eastAsia="Arial" w:cs="Arial"/>
      <w:i/>
      <w:iCs/>
      <w:sz w:val="22"/>
      <w:szCs w:val="22"/>
    </w:rPr>
  </w:style>
  <w:style w:type="character" w:styleId="832" w:customStyle="1">
    <w:name w:val="标题 9 字符"/>
    <w:link w:val="782"/>
    <w:uiPriority w:val="9"/>
    <w:qFormat/>
    <w:rPr>
      <w:rFonts w:ascii="Arial" w:hAnsi="Arial" w:eastAsia="Arial" w:cs="Arial"/>
      <w:i/>
      <w:iCs/>
      <w:sz w:val="21"/>
      <w:szCs w:val="21"/>
    </w:rPr>
  </w:style>
  <w:style w:type="paragraph" w:styleId="833">
    <w:name w:val="List Paragraph"/>
    <w:basedOn w:val="773"/>
    <w:qFormat/>
    <w:pPr>
      <w:ind w:firstLine="420"/>
    </w:pPr>
  </w:style>
  <w:style w:type="paragraph" w:styleId="834">
    <w:name w:val="No Spacing"/>
    <w:uiPriority w:val="1"/>
    <w:qFormat/>
  </w:style>
  <w:style w:type="character" w:styleId="835" w:customStyle="1">
    <w:name w:val="标题 字符"/>
    <w:link w:val="814"/>
    <w:uiPriority w:val="10"/>
    <w:qFormat/>
    <w:rPr>
      <w:sz w:val="48"/>
      <w:szCs w:val="48"/>
    </w:rPr>
  </w:style>
  <w:style w:type="character" w:styleId="836" w:customStyle="1">
    <w:name w:val="副标题 字符"/>
    <w:link w:val="806"/>
    <w:uiPriority w:val="11"/>
    <w:qFormat/>
    <w:rPr>
      <w:sz w:val="24"/>
      <w:szCs w:val="24"/>
    </w:rPr>
  </w:style>
  <w:style w:type="paragraph" w:styleId="837">
    <w:name w:val="Quote"/>
    <w:basedOn w:val="773"/>
    <w:next w:val="773"/>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73"/>
    <w:next w:val="773"/>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uiPriority w:val="99"/>
    <w:qFormat/>
  </w:style>
  <w:style w:type="character" w:styleId="842" w:customStyle="1">
    <w:name w:val="Footer Char"/>
    <w:uiPriority w:val="99"/>
    <w:qFormat/>
  </w:style>
  <w:style w:type="character" w:styleId="843" w:customStyle="1">
    <w:name w:val="页脚 字符"/>
    <w:link w:val="799"/>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清单表 1 浅色1"/>
    <w:uiPriority w:val="99"/>
    <w:qFormat/>
    <w:tblPr>
      <w:tblCellMar>
        <w:left w:w="0" w:type="dxa"/>
        <w:top w:w="0" w:type="dxa"/>
        <w:right w:w="0" w:type="dxa"/>
        <w:bottom w:w="0" w:type="dxa"/>
      </w:tblCellMar>
    </w:tblPr>
  </w:style>
  <w:style w:type="table" w:styleId="900" w:customStyle="1">
    <w:name w:val="List Table 1 Light - Accent 1"/>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3"/>
    <w:uiPriority w:val="99"/>
    <w:qFormat/>
    <w:tblPr>
      <w:tblCellMar>
        <w:left w:w="0" w:type="dxa"/>
        <w:top w:w="0" w:type="dxa"/>
        <w:right w:w="0" w:type="dxa"/>
        <w:bottom w:w="0" w:type="dxa"/>
      </w:tblCellMar>
    </w:tblPr>
  </w:style>
  <w:style w:type="table" w:styleId="903" w:customStyle="1">
    <w:name w:val="List Table 1 Light - Accent 4"/>
    <w:uiPriority w:val="99"/>
    <w:qFormat/>
    <w:tblPr>
      <w:tblCellMar>
        <w:left w:w="0" w:type="dxa"/>
        <w:top w:w="0" w:type="dxa"/>
        <w:right w:w="0" w:type="dxa"/>
        <w:bottom w:w="0" w:type="dxa"/>
      </w:tblCellMar>
    </w:tblPr>
  </w:style>
  <w:style w:type="table" w:styleId="904" w:customStyle="1">
    <w:name w:val="List Table 1 Light - Accent 5"/>
    <w:uiPriority w:val="99"/>
    <w:qFormat/>
    <w:tblPr>
      <w:tblCellMar>
        <w:left w:w="0" w:type="dxa"/>
        <w:top w:w="0" w:type="dxa"/>
        <w:right w:w="0" w:type="dxa"/>
        <w:bottom w:w="0" w:type="dxa"/>
      </w:tblCellMar>
    </w:tblPr>
  </w:style>
  <w:style w:type="table" w:styleId="905" w:customStyle="1">
    <w:name w:val="List Table 1 Light - Accent 6"/>
    <w:uiPriority w:val="99"/>
    <w:qFormat/>
    <w:tblPr>
      <w:tblCellMar>
        <w:left w:w="0" w:type="dxa"/>
        <w:top w:w="0" w:type="dxa"/>
        <w:right w:w="0" w:type="dxa"/>
        <w:bottom w:w="0" w:type="dxa"/>
      </w:tblCellMar>
    </w:tblPr>
  </w:style>
  <w:style w:type="table" w:styleId="9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customStyle="1">
    <w:name w:val="脚注文本 字符"/>
    <w:link w:val="807"/>
    <w:uiPriority w:val="99"/>
    <w:qFormat/>
    <w:rPr>
      <w:sz w:val="18"/>
    </w:rPr>
  </w:style>
  <w:style w:type="character" w:styleId="970" w:customStyle="1">
    <w:name w:val="尾注文本 字符"/>
    <w:link w:val="797"/>
    <w:uiPriority w:val="99"/>
    <w:qFormat/>
    <w:rPr>
      <w:sz w:val="20"/>
    </w:rPr>
  </w:style>
  <w:style w:type="paragraph" w:styleId="971" w:customStyle="1">
    <w:name w:val="TOC 标题1"/>
    <w:uiPriority w:val="39"/>
    <w:unhideWhenUsed/>
    <w:qFormat/>
  </w:style>
  <w:style w:type="character" w:styleId="972" w:customStyle="1">
    <w:name w:val="页眉 字符"/>
    <w:link w:val="803"/>
    <w:qFormat/>
    <w:rPr>
      <w:rFonts w:ascii="Times New Roman" w:hAnsi="Times New Roman" w:eastAsia="楷体_GB2312"/>
      <w:sz w:val="18"/>
      <w:szCs w:val="18"/>
    </w:rPr>
  </w:style>
  <w:style w:type="paragraph" w:styleId="973" w:customStyle="1">
    <w:name w:val="索引 41"/>
    <w:basedOn w:val="773"/>
    <w:next w:val="773"/>
    <w:qFormat/>
    <w:pPr>
      <w:ind w:left="600"/>
    </w:pPr>
    <w:rPr>
      <w:szCs w:val="21"/>
    </w:rPr>
  </w:style>
  <w:style w:type="paragraph" w:styleId="974" w:customStyle="1">
    <w:name w:val="正文首行缩进 21"/>
    <w:basedOn w:val="802"/>
    <w:uiPriority w:val="99"/>
    <w:unhideWhenUsed/>
    <w:qFormat/>
    <w:pPr>
      <w:ind w:firstLine="420"/>
    </w:pPr>
  </w:style>
  <w:style w:type="paragraph" w:styleId="975" w:customStyle="1">
    <w:name w:val="目录 11"/>
    <w:basedOn w:val="773"/>
    <w:next w:val="773"/>
    <w:unhideWhenUsed/>
    <w:qFormat/>
    <w:pPr>
      <w:jc w:val="left"/>
    </w:pPr>
    <w:rPr>
      <w:sz w:val="24"/>
    </w:rPr>
  </w:style>
  <w:style w:type="paragraph" w:styleId="976" w:customStyle="1">
    <w:name w:val="标题 21"/>
    <w:basedOn w:val="773"/>
    <w:next w:val="773"/>
    <w:qFormat/>
    <w:pPr>
      <w:keepLines/>
      <w:keepNext/>
      <w:spacing w:before="260" w:after="260" w:line="416" w:lineRule="auto"/>
      <w:outlineLvl w:val="1"/>
    </w:pPr>
    <w:rPr>
      <w:rFonts w:ascii="Cambria" w:hAnsi="Cambria" w:eastAsia="宋体"/>
      <w:b/>
      <w:bCs/>
      <w:sz w:val="32"/>
      <w:szCs w:val="32"/>
    </w:rPr>
  </w:style>
  <w:style w:type="paragraph" w:styleId="977" w:customStyle="1">
    <w:name w:val="Default"/>
    <w:qFormat/>
    <w:pPr>
      <w:widowControl w:val="off"/>
    </w:pPr>
    <w:rPr>
      <w:rFonts w:ascii="仿宋" w:eastAsia="仿宋" w:cs="仿宋"/>
      <w:color w:val="000000"/>
      <w:sz w:val="24"/>
      <w:szCs w:val="24"/>
    </w:rPr>
  </w:style>
  <w:style w:type="paragraph" w:styleId="978" w:customStyle="1">
    <w:name w:val="纯文本1111"/>
    <w:basedOn w:val="773"/>
    <w:next w:val="979"/>
    <w:unhideWhenUsed/>
    <w:qFormat/>
    <w:rPr>
      <w:rFonts w:ascii="宋体" w:hAnsi="Courier New"/>
    </w:rPr>
  </w:style>
  <w:style w:type="paragraph" w:styleId="979" w:customStyle="1">
    <w:name w:val="正文缩进1"/>
    <w:basedOn w:val="773"/>
    <w:unhideWhenUsed/>
    <w:qFormat/>
    <w:pPr>
      <w:ind w:firstLine="420"/>
      <w:jc w:val="left"/>
    </w:pPr>
    <w:rPr>
      <w:sz w:val="24"/>
    </w:rPr>
  </w:style>
  <w:style w:type="paragraph" w:styleId="980" w:customStyle="1">
    <w:name w:val="首行缩进"/>
    <w:basedOn w:val="773"/>
    <w:qFormat/>
    <w:pPr>
      <w:ind w:firstLine="480"/>
      <w:spacing w:line="360" w:lineRule="auto"/>
    </w:pPr>
    <w:rPr>
      <w:rFonts w:hAnsi="宋体" w:eastAsia="宋体" w:cs="宋体"/>
      <w:sz w:val="24"/>
      <w:szCs w:val="24"/>
    </w:rPr>
  </w:style>
  <w:style w:type="paragraph" w:styleId="981" w:customStyle="1">
    <w:name w:val="Char"/>
    <w:basedOn w:val="773"/>
    <w:qFormat/>
  </w:style>
  <w:style w:type="paragraph" w:styleId="982" w:customStyle="1">
    <w:name w:val="标题 11"/>
    <w:basedOn w:val="773"/>
    <w:next w:val="773"/>
    <w:qFormat/>
    <w:pPr>
      <w:keepLines/>
      <w:keepNext/>
      <w:spacing w:before="340" w:after="330" w:line="578" w:lineRule="auto"/>
      <w:outlineLvl w:val="0"/>
    </w:pPr>
    <w:rPr>
      <w:b/>
      <w:sz w:val="44"/>
    </w:rPr>
  </w:style>
  <w:style w:type="paragraph" w:styleId="983" w:customStyle="1">
    <w:name w:val="纯文本1"/>
    <w:basedOn w:val="773"/>
    <w:qFormat/>
    <w:rPr>
      <w:rFonts w:ascii="宋体" w:hAnsi="Courier New"/>
    </w:rPr>
  </w:style>
  <w:style w:type="paragraph" w:styleId="984" w:customStyle="1">
    <w:name w:val="正文2"/>
    <w:basedOn w:val="773"/>
    <w:qFormat/>
    <w:pPr>
      <w:ind w:firstLine="510"/>
      <w:spacing w:before="156" w:line="360" w:lineRule="auto"/>
    </w:pPr>
    <w:rPr>
      <w:sz w:val="24"/>
    </w:rPr>
  </w:style>
  <w:style w:type="character" w:styleId="985" w:customStyle="1">
    <w:name w:val="要点1"/>
    <w:qFormat/>
    <w:rPr>
      <w:b/>
      <w:bCs/>
    </w:rPr>
  </w:style>
  <w:style w:type="paragraph" w:styleId="986" w:customStyle="1">
    <w:name w:val="普通(网站)1"/>
    <w:basedOn w:val="773"/>
    <w:unhideWhenUsed/>
    <w:qFormat/>
    <w:pPr>
      <w:jc w:val="left"/>
      <w:spacing w:before="100" w:beforeAutospacing="1" w:after="100" w:afterAutospacing="1"/>
      <w:widowControl/>
    </w:pPr>
    <w:rPr>
      <w:rFonts w:ascii="宋体" w:hAnsi="宋体" w:cs="宋体"/>
      <w:sz w:val="24"/>
    </w:rPr>
  </w:style>
  <w:style w:type="paragraph" w:styleId="987" w:customStyle="1">
    <w:name w:val="正文文本缩进 21"/>
    <w:basedOn w:val="773"/>
    <w:unhideWhenUsed/>
    <w:qFormat/>
    <w:pPr>
      <w:ind w:left="420"/>
      <w:spacing w:after="120" w:line="480" w:lineRule="auto"/>
    </w:pPr>
  </w:style>
  <w:style w:type="paragraph" w:styleId="988" w:customStyle="1">
    <w:name w:val="纯文本11"/>
    <w:basedOn w:val="773"/>
    <w:uiPriority w:val="99"/>
    <w:qFormat/>
    <w:rPr>
      <w:rFonts w:ascii="宋体" w:hAnsi="Courier New"/>
    </w:rPr>
  </w:style>
  <w:style w:type="paragraph" w:styleId="989" w:customStyle="1">
    <w:name w:val="索引 11"/>
    <w:basedOn w:val="773"/>
    <w:next w:val="773"/>
    <w:unhideWhenUsed/>
    <w:qFormat/>
    <w:pPr>
      <w:jc w:val="center"/>
      <w:spacing w:line="220" w:lineRule="exact"/>
    </w:pPr>
    <w:rPr>
      <w:rFonts w:ascii="仿宋_GB2312" w:eastAsia="仿宋_GB2312"/>
      <w:szCs w:val="21"/>
    </w:rPr>
  </w:style>
  <w:style w:type="paragraph" w:styleId="990" w:customStyle="1">
    <w:name w:val="正文文本1"/>
    <w:basedOn w:val="773"/>
    <w:unhideWhenUsed/>
    <w:qFormat/>
    <w:rPr>
      <w:rFonts w:ascii="楷体_GB2312"/>
      <w:b/>
      <w:bCs/>
      <w:sz w:val="28"/>
    </w:rPr>
  </w:style>
  <w:style w:type="paragraph" w:styleId="991" w:customStyle="1">
    <w:name w:val="页眉1"/>
    <w:basedOn w:val="773"/>
    <w:unhideWhenUsed/>
    <w:qFormat/>
    <w:pPr>
      <w:jc w:val="center"/>
      <w:tabs>
        <w:tab w:val="center" w:pos="4153" w:leader="none"/>
        <w:tab w:val="right" w:pos="8306" w:leader="none"/>
      </w:tabs>
      <w:pBdr>
        <w:bottom w:val="single" w:color="000000" w:sz="6" w:space="1"/>
      </w:pBdr>
    </w:pPr>
    <w:rPr>
      <w:sz w:val="18"/>
    </w:rPr>
  </w:style>
  <w:style w:type="paragraph" w:styleId="992" w:customStyle="1">
    <w:name w:val="页脚1"/>
    <w:basedOn w:val="773"/>
    <w:unhideWhenUsed/>
    <w:qFormat/>
    <w:pPr>
      <w:jc w:val="left"/>
      <w:tabs>
        <w:tab w:val="center" w:pos="4153" w:leader="none"/>
        <w:tab w:val="right" w:pos="8306" w:leader="none"/>
      </w:tabs>
    </w:pPr>
    <w:rPr>
      <w:sz w:val="18"/>
    </w:rPr>
  </w:style>
  <w:style w:type="character" w:styleId="993" w:customStyle="1">
    <w:name w:val="font81"/>
    <w:qFormat/>
    <w:rPr>
      <w:rFonts w:ascii="Times New Roman" w:hAnsi="Times New Roman" w:cs="Times New Roman"/>
      <w:color w:val="000000"/>
      <w:sz w:val="22"/>
      <w:szCs w:val="22"/>
      <w:u w:val="none"/>
    </w:rPr>
  </w:style>
  <w:style w:type="character" w:styleId="994" w:customStyle="1">
    <w:name w:val="font11"/>
    <w:qFormat/>
    <w:rPr>
      <w:rFonts w:hint="eastAsia" w:ascii="仿宋" w:hAnsi="仿宋" w:eastAsia="仿宋" w:cs="仿宋"/>
      <w:color w:val="000000"/>
      <w:sz w:val="22"/>
      <w:szCs w:val="22"/>
      <w:u w:val="none"/>
    </w:rPr>
  </w:style>
  <w:style w:type="character" w:styleId="995" w:customStyle="1">
    <w:name w:val="font101"/>
    <w:qFormat/>
    <w:rPr>
      <w:rFonts w:ascii="Arial" w:hAnsi="Arial" w:cs="Arial"/>
      <w:color w:val="000000"/>
      <w:sz w:val="22"/>
      <w:szCs w:val="22"/>
      <w:u w:val="none"/>
    </w:rPr>
  </w:style>
  <w:style w:type="paragraph" w:styleId="996" w:customStyle="1">
    <w:name w:val="List Paragraph_f0420307-4c65-4cf4-ac34-e8950b7bacb1"/>
    <w:basedOn w:val="773"/>
    <w:qFormat/>
    <w:pPr>
      <w:ind w:firstLine="420"/>
    </w:pPr>
    <w:rPr>
      <w:rFonts w:eastAsia="宋体"/>
      <w:sz w:val="21"/>
      <w:szCs w:val="21"/>
    </w:rPr>
  </w:style>
  <w:style w:type="character" w:styleId="997" w:customStyle="1">
    <w:name w:val="font51"/>
    <w:basedOn w:val="783"/>
    <w:qFormat/>
    <w:rPr>
      <w:rFonts w:hint="default" w:ascii="Times New Roman" w:hAnsi="Times New Roman" w:cs="Times New Roman"/>
      <w:color w:val="000000"/>
      <w:sz w:val="21"/>
      <w:szCs w:val="21"/>
      <w:u w:val="none"/>
    </w:rPr>
  </w:style>
  <w:style w:type="character" w:styleId="998" w:customStyle="1">
    <w:name w:val="font31"/>
    <w:basedOn w:val="783"/>
    <w:qFormat/>
    <w:rPr>
      <w:rFonts w:hint="eastAsia" w:ascii="宋体" w:hAnsi="宋体" w:eastAsia="宋体" w:cs="宋体"/>
      <w:color w:val="000000"/>
      <w:sz w:val="21"/>
      <w:szCs w:val="21"/>
      <w:u w:val="none"/>
    </w:rPr>
  </w:style>
  <w:style w:type="character" w:styleId="999" w:customStyle="1">
    <w:name w:val="font21"/>
    <w:basedOn w:val="783"/>
    <w:qFormat/>
    <w:rPr>
      <w:rFonts w:hint="default" w:ascii="Times New Roman" w:hAnsi="Times New Roman" w:cs="Times New Roman"/>
      <w:color w:val="000000"/>
      <w:sz w:val="21"/>
      <w:szCs w:val="21"/>
      <w:u w:val="none"/>
    </w:rPr>
  </w:style>
  <w:style w:type="character" w:styleId="1000" w:customStyle="1">
    <w:name w:val="font61"/>
    <w:basedOn w:val="783"/>
    <w:qFormat/>
    <w:rPr>
      <w:rFonts w:hint="eastAsia" w:ascii="宋体" w:hAnsi="宋体" w:eastAsia="宋体" w:cs="宋体"/>
      <w:color w:val="000000"/>
      <w:sz w:val="21"/>
      <w:szCs w:val="21"/>
      <w:u w:val="none"/>
    </w:rPr>
  </w:style>
  <w:style w:type="character" w:styleId="1001" w:customStyle="1">
    <w:name w:val="font41"/>
    <w:basedOn w:val="783"/>
    <w:qFormat/>
    <w:rPr>
      <w:rFonts w:hint="default" w:ascii="Times New Roman" w:hAnsi="Times New Roman" w:cs="Times New Roman"/>
      <w:color w:val="000000"/>
      <w:sz w:val="20"/>
      <w:szCs w:val="20"/>
      <w:u w:val="none"/>
    </w:rPr>
  </w:style>
  <w:style w:type="character" w:styleId="1002" w:customStyle="1">
    <w:name w:val="批注框文本 字符"/>
    <w:basedOn w:val="783"/>
    <w:link w:val="798"/>
    <w:uiPriority w:val="99"/>
    <w:semiHidden/>
    <w:qFormat/>
    <w:rPr>
      <w:rFonts w:eastAsia="楷体_GB2312"/>
      <w:sz w:val="18"/>
      <w:szCs w:val="18"/>
    </w:rPr>
  </w:style>
  <w:style w:type="table" w:styleId="1003" w:customStyle="1">
    <w:name w:val="Table Normal"/>
    <w:semiHidden/>
    <w:unhideWhenUsed/>
    <w:qFormat/>
    <w:tblPr>
      <w:tblCellMar>
        <w:left w:w="0" w:type="dxa"/>
        <w:top w:w="0" w:type="dxa"/>
        <w:right w:w="0" w:type="dxa"/>
        <w:bottom w:w="0" w:type="dxa"/>
      </w:tblCellMar>
    </w:tblPr>
  </w:style>
  <w:style w:type="paragraph" w:styleId="1004" w:customStyle="1">
    <w:name w:val="样式 首行缩进:  2 字符"/>
    <w:basedOn w:val="773"/>
    <w:link w:val="1005"/>
    <w:qFormat/>
    <w:pPr>
      <w:ind w:firstLine="480"/>
      <w:spacing w:line="360" w:lineRule="auto"/>
    </w:pPr>
    <w:rPr>
      <w:rFonts w:eastAsia="宋体"/>
      <w:sz w:val="24"/>
    </w:rPr>
  </w:style>
  <w:style w:type="character" w:styleId="1005" w:customStyle="1">
    <w:name w:val="样式 首行缩进:  2 字符 Char Char"/>
    <w:link w:val="1004"/>
    <w:qFormat/>
    <w:rPr>
      <w:sz w:val="24"/>
    </w:rPr>
  </w:style>
  <w:style w:type="character" w:styleId="1006" w:customStyle="1">
    <w:name w:val="批注文字 字符"/>
    <w:basedOn w:val="783"/>
    <w:link w:val="790"/>
    <w:uiPriority w:val="99"/>
    <w:semiHidden/>
    <w:qFormat/>
    <w:rPr>
      <w:rFonts w:eastAsia="楷体_GB2312"/>
      <w:sz w:val="26"/>
    </w:rPr>
  </w:style>
  <w:style w:type="paragraph" w:styleId="1007" w:customStyle="1">
    <w:name w:val="Normal_17_1"/>
    <w:qFormat/>
    <w:pPr>
      <w:jc w:val="both"/>
      <w:widowControl w:val="off"/>
    </w:pPr>
    <w:rPr>
      <w:rFonts w:ascii="Calibri" w:hAnsi="Calibri"/>
      <w:sz w:val="21"/>
      <w:szCs w:val="22"/>
    </w:rPr>
  </w:style>
  <w:style w:type="paragraph" w:styleId="1008" w:customStyle="1">
    <w:name w:val="Normal_16_1"/>
    <w:qFormat/>
    <w:rPr>
      <w:rFonts w:ascii="宋体" w:hAnsi="宋体"/>
      <w:sz w:val="32"/>
      <w:szCs w:val="24"/>
    </w:rPr>
  </w:style>
  <w:style w:type="paragraph" w:styleId="1009" w:customStyle="1">
    <w:name w:val="正文_9_0_1"/>
    <w:qFormat/>
    <w:pPr>
      <w:jc w:val="both"/>
      <w:widowControl w:val="off"/>
    </w:pPr>
    <w:rPr>
      <w:rFonts w:ascii="Calibri" w:hAnsi="Calibri"/>
      <w:sz w:val="21"/>
      <w:szCs w:val="22"/>
    </w:rPr>
  </w:style>
  <w:style w:type="paragraph" w:styleId="1010" w:customStyle="1">
    <w:name w:val="正文_8_1_1"/>
    <w:qFormat/>
    <w:pPr>
      <w:jc w:val="both"/>
      <w:widowControl w:val="off"/>
    </w:pPr>
    <w:rPr>
      <w:rFonts w:ascii="Calibri" w:hAnsi="Calibri"/>
      <w:sz w:val="21"/>
      <w:szCs w:val="22"/>
    </w:rPr>
  </w:style>
  <w:style w:type="paragraph" w:styleId="1011" w:customStyle="1">
    <w:name w:val="正文_1_0_0_0_0_0"/>
    <w:qFormat/>
    <w:pPr>
      <w:jc w:val="both"/>
      <w:widowControl w:val="off"/>
    </w:pPr>
    <w:rPr>
      <w:sz w:val="21"/>
    </w:rPr>
  </w:style>
  <w:style w:type="paragraph" w:styleId="1012" w:customStyle="1">
    <w:name w:val="列出段落_2"/>
    <w:basedOn w:val="1010"/>
    <w:uiPriority w:val="34"/>
    <w:qFormat/>
    <w:pPr>
      <w:ind w:firstLine="420"/>
    </w:pPr>
  </w:style>
  <w:style w:type="paragraph" w:styleId="1013" w:customStyle="1">
    <w:name w:val="Other|1"/>
    <w:basedOn w:val="773"/>
    <w:qFormat/>
    <w:rPr>
      <w:rFonts w:ascii="宋体" w:hAnsi="宋体" w:eastAsia="宋体" w:cs="宋体"/>
      <w:sz w:val="21"/>
      <w:lang w:val="zh-TW" w:eastAsia="zh-TW" w:bidi="zh-TW"/>
    </w:rPr>
  </w:style>
  <w:style w:type="character" w:styleId="1014" w:customStyle="1">
    <w:name w:val="HTML 预设格式 字符"/>
    <w:basedOn w:val="783"/>
    <w:link w:val="812"/>
    <w:uiPriority w:val="99"/>
    <w:semiHidden/>
    <w:qFormat/>
    <w:rPr>
      <w:rFonts w:ascii="Courier New" w:hAnsi="Courier New" w:eastAsia="楷体_GB2312"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9E64BEB8-88A5-4FF7-A65C-B60CA1ED986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14</cp:revision>
  <dcterms:created xsi:type="dcterms:W3CDTF">2026-08-11T05:29:00Z</dcterms:created>
  <dcterms:modified xsi:type="dcterms:W3CDTF">2026-09-08T00:34:52Z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